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3)*</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32"/>
          <w:szCs w:val="32"/>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876033309</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1880" w:right="8020" w:hanging="67"/>
        <w:spacing w:after="0" w:line="291" w:lineRule="auto"/>
        <w:tabs>
          <w:tab w:leader="none" w:pos="223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2240" w:hanging="427"/>
        <w:spacing w:after="0"/>
        <w:tabs>
          <w:tab w:leader="none" w:pos="2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11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1" w:name="page2"/>
    <w:bookmarkEnd w:id="1"/>
    <w:p>
      <w:pPr>
        <w:ind w:left="1620" w:right="6980" w:hanging="887"/>
        <w:spacing w:after="0" w:line="340" w:lineRule="auto"/>
        <w:tabs>
          <w:tab w:leader="none" w:pos="162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6251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251575"/>
                    </a:xfrm>
                    <a:prstGeom prst="rect">
                      <a:avLst/>
                    </a:prstGeom>
                    <a:noFill/>
                  </pic:spPr>
                </pic:pic>
              </a:graphicData>
            </a:graphic>
          </wp:anchor>
        </w:drawing>
        <w:t>NAMES OF REPORTING PERSONS Iroquois Capital Management L.L.C.</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CHECK THE</w:t>
            </w:r>
          </w:p>
        </w:tc>
        <w:tc>
          <w:tcPr>
            <w:tcW w:w="8340" w:type="dxa"/>
            <w:vAlign w:val="bottom"/>
          </w:tcPr>
          <w:p>
            <w:pPr>
              <w:ind w:left="12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APPROPRIATE</w:t>
            </w:r>
          </w:p>
        </w:tc>
        <w:tc>
          <w:tcPr>
            <w:tcW w:w="8340" w:type="dxa"/>
            <w:vAlign w:val="bottom"/>
          </w:tcPr>
          <w:p>
            <w:pPr>
              <w:ind w:left="1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BOX IF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MEMBER OF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GROUP</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8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70"/>
        </w:trPr>
        <w:tc>
          <w:tcPr>
            <w:tcW w:w="14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line="196" w:lineRule="exact"/>
              <w:rPr>
                <w:sz w:val="20"/>
                <w:szCs w:val="20"/>
                <w:color w:val="auto"/>
              </w:rPr>
            </w:pPr>
            <w:r>
              <w:rPr>
                <w:rFonts w:ascii="Arial" w:cs="Arial" w:eastAsia="Arial" w:hAnsi="Arial"/>
                <w:sz w:val="18"/>
                <w:szCs w:val="18"/>
                <w:color w:val="auto"/>
                <w:w w:val="95"/>
              </w:rPr>
              <w:t>EACH</w:t>
            </w:r>
          </w:p>
        </w:tc>
        <w:tc>
          <w:tcPr>
            <w:tcW w:w="15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7"/>
                <w:szCs w:val="17"/>
                <w:color w:val="auto"/>
              </w:rPr>
            </w:pPr>
          </w:p>
        </w:tc>
        <w:tc>
          <w:tcPr>
            <w:tcW w:w="8340" w:type="dxa"/>
            <w:vAlign w:val="bottom"/>
          </w:tcPr>
          <w:p>
            <w:pPr>
              <w:ind w:left="40"/>
              <w:spacing w:after="0" w:line="19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0"/>
                <w:szCs w:val="10"/>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0"/>
        </w:trPr>
        <w:tc>
          <w:tcPr>
            <w:tcW w:w="146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CHECK BOX</w:t>
            </w:r>
          </w:p>
        </w:tc>
        <w:tc>
          <w:tcPr>
            <w:tcW w:w="8340" w:type="dxa"/>
            <w:vAlign w:val="bottom"/>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IF THE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AGGREGATE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AMOUNT 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ROW (9)</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EXCLUDES</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CERTAIN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990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3"/>
              </w:rPr>
              <w:t>5.5% (See Item 4)*</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20" w:right="7260" w:hanging="932"/>
        <w:spacing w:after="0" w:line="277" w:lineRule="auto"/>
        <w:tabs>
          <w:tab w:leader="none" w:pos="162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251" w:lineRule="exact"/>
        <w:rPr>
          <w:rFonts w:ascii="Arial" w:cs="Arial" w:eastAsia="Arial" w:hAnsi="Arial"/>
          <w:sz w:val="18"/>
          <w:szCs w:val="18"/>
          <w:b w:val="1"/>
          <w:bCs w:val="1"/>
          <w:color w:val="auto"/>
        </w:rPr>
      </w:pPr>
    </w:p>
    <w:p>
      <w:pPr>
        <w:jc w:val="both"/>
        <w:ind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As more fully described in Item 4, the Series D and E Warrants are subject to a 4.9% blocker and the Series C and F Warrants are subject to a 9.9% blocker and the percentage set forth in row (11) gives effect to such blockers. However, as more fully described in Item 4, the securities reported in rows (6), (8) and</w:t>
      </w:r>
    </w:p>
    <w:p>
      <w:pPr>
        <w:ind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 w:name="page3"/>
    <w:bookmarkEnd w:id="2"/>
    <w:p>
      <w:pPr>
        <w:ind w:left="1620" w:right="6980" w:hanging="887"/>
        <w:spacing w:after="0" w:line="277" w:lineRule="auto"/>
        <w:tabs>
          <w:tab w:leader="none" w:pos="16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680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6800850"/>
                    </a:xfrm>
                    <a:prstGeom prst="rect">
                      <a:avLst/>
                    </a:prstGeom>
                    <a:noFill/>
                  </pic:spPr>
                </pic:pic>
              </a:graphicData>
            </a:graphic>
          </wp:anchor>
        </w:drawing>
        <w:t>NAMES OF REPORTING PERSONS Richard Abbe</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CHECK THE</w:t>
            </w:r>
          </w:p>
        </w:tc>
        <w:tc>
          <w:tcPr>
            <w:tcW w:w="8340" w:type="dxa"/>
            <w:vAlign w:val="bottom"/>
          </w:tcPr>
          <w:p>
            <w:pPr>
              <w:ind w:left="2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APPROPRIATE</w:t>
            </w:r>
          </w:p>
        </w:tc>
        <w:tc>
          <w:tcPr>
            <w:tcW w:w="8340" w:type="dxa"/>
            <w:vAlign w:val="bottom"/>
          </w:tcPr>
          <w:p>
            <w:pPr>
              <w:ind w:left="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BOX IF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MEMBER OF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GROUP</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8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148,639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29,687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63,665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49"/>
        </w:trPr>
        <w:tc>
          <w:tcPr>
            <w:tcW w:w="1460" w:type="dxa"/>
            <w:vAlign w:val="bottom"/>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5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60" w:type="dxa"/>
            <w:vAlign w:val="bottom"/>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68"/>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15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60" w:type="dxa"/>
            <w:vAlign w:val="bottom"/>
            <w:vMerge w:val="continue"/>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82"/>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460" w:type="dxa"/>
            <w:vAlign w:val="bottom"/>
            <w:vMerge w:val="continue"/>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460" w:type="dxa"/>
            <w:vAlign w:val="bottom"/>
            <w:vMerge w:val="continue"/>
          </w:tcPr>
          <w:p>
            <w:pPr>
              <w:spacing w:after="0"/>
              <w:rPr>
                <w:sz w:val="6"/>
                <w:szCs w:val="6"/>
                <w:color w:val="auto"/>
              </w:rPr>
            </w:pPr>
          </w:p>
        </w:tc>
        <w:tc>
          <w:tcPr>
            <w:tcW w:w="150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6"/>
                <w:szCs w:val="6"/>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5"/>
              </w:rPr>
              <w:t>EACH</w:t>
            </w: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148,639 shares of Common Stock</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29,687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63,665 shares of Common Stock issuable upon exercise of Series C and F Warrants (See Item 4)*</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840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531,393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178,103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271,999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CHECK BOX</w:t>
            </w:r>
          </w:p>
        </w:tc>
        <w:tc>
          <w:tcPr>
            <w:tcW w:w="8340" w:type="dxa"/>
            <w:vAlign w:val="bottom"/>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IF THE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AGGREGATE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AMOUNT 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ROW (9)</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EXCLUDES</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CERTAIN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SHARES</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990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3"/>
              </w:rPr>
              <w:t>7.4% (See Item 4)*</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20" w:right="7260" w:hanging="932"/>
        <w:spacing w:after="0" w:line="277" w:lineRule="auto"/>
        <w:tabs>
          <w:tab w:leader="none" w:pos="162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51" w:lineRule="exact"/>
        <w:rPr>
          <w:rFonts w:ascii="Arial" w:cs="Arial" w:eastAsia="Arial" w:hAnsi="Arial"/>
          <w:sz w:val="18"/>
          <w:szCs w:val="18"/>
          <w:b w:val="1"/>
          <w:bCs w:val="1"/>
          <w:color w:val="auto"/>
        </w:rPr>
      </w:pPr>
    </w:p>
    <w:p>
      <w:pPr>
        <w:ind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As more fully described in Item 4, the Series A, D and E Warrants are subject to a 4.9% blocker and the Series C and F Warrants are subject to a 9.9% blocker and the percentage set forth in row (11) gives effect to such blocker. However, as more fully described in Item 4, the securities reported in rows (6),</w:t>
      </w:r>
    </w:p>
    <w:p>
      <w:pPr>
        <w:ind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 w:name="page4"/>
    <w:bookmarkEnd w:id="3"/>
    <w:p>
      <w:pPr>
        <w:ind w:left="1620" w:right="6980" w:hanging="865"/>
        <w:spacing w:after="0" w:line="277" w:lineRule="auto"/>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6251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251575"/>
                    </a:xfrm>
                    <a:prstGeom prst="rect">
                      <a:avLst/>
                    </a:prstGeom>
                    <a:noFill/>
                  </pic:spPr>
                </pic:pic>
              </a:graphicData>
            </a:graphic>
          </wp:anchor>
        </w:drawing>
        <w:t>NAMES OF REPORTING PERSONS Kimberly Page</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CHECK THE</w:t>
            </w:r>
          </w:p>
        </w:tc>
        <w:tc>
          <w:tcPr>
            <w:tcW w:w="8340" w:type="dxa"/>
            <w:vAlign w:val="bottom"/>
          </w:tcPr>
          <w:p>
            <w:pPr>
              <w:ind w:left="2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APPROPRIATE</w:t>
            </w:r>
          </w:p>
        </w:tc>
        <w:tc>
          <w:tcPr>
            <w:tcW w:w="8340" w:type="dxa"/>
            <w:vAlign w:val="bottom"/>
          </w:tcPr>
          <w:p>
            <w:pPr>
              <w:ind w:left="2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BOX IF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MEMBER OF A</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GROUP</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8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5</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right w:val="single" w:sz="8" w:color="auto"/>
            </w:tcBorders>
          </w:tcPr>
          <w:p>
            <w:pPr>
              <w:ind w:left="70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70"/>
        </w:trPr>
        <w:tc>
          <w:tcPr>
            <w:tcW w:w="146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line="196" w:lineRule="exact"/>
              <w:rPr>
                <w:sz w:val="20"/>
                <w:szCs w:val="20"/>
                <w:color w:val="auto"/>
              </w:rPr>
            </w:pPr>
            <w:r>
              <w:rPr>
                <w:rFonts w:ascii="Arial" w:cs="Arial" w:eastAsia="Arial" w:hAnsi="Arial"/>
                <w:sz w:val="18"/>
                <w:szCs w:val="18"/>
                <w:color w:val="auto"/>
                <w:w w:val="95"/>
              </w:rPr>
              <w:t>EACH</w:t>
            </w:r>
          </w:p>
        </w:tc>
        <w:tc>
          <w:tcPr>
            <w:tcW w:w="1500" w:type="dxa"/>
            <w:vAlign w:val="bottom"/>
            <w:tcBorders>
              <w:right w:val="single" w:sz="8" w:color="auto"/>
            </w:tcBorders>
          </w:tcPr>
          <w:p>
            <w:pPr>
              <w:ind w:left="700"/>
              <w:spacing w:after="0" w:line="196" w:lineRule="exact"/>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7"/>
                <w:szCs w:val="17"/>
                <w:color w:val="auto"/>
              </w:rPr>
            </w:pPr>
          </w:p>
        </w:tc>
        <w:tc>
          <w:tcPr>
            <w:tcW w:w="8340" w:type="dxa"/>
            <w:vAlign w:val="bottom"/>
          </w:tcPr>
          <w:p>
            <w:pPr>
              <w:ind w:left="40"/>
              <w:spacing w:after="0" w:line="196"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460" w:type="dxa"/>
            <w:vAlign w:val="bottom"/>
            <w:vMerge w:val="continue"/>
          </w:tcPr>
          <w:p>
            <w:pPr>
              <w:spacing w:after="0"/>
              <w:rPr>
                <w:sz w:val="10"/>
                <w:szCs w:val="10"/>
                <w:color w:val="auto"/>
              </w:rPr>
            </w:pPr>
          </w:p>
        </w:tc>
        <w:tc>
          <w:tcPr>
            <w:tcW w:w="1500" w:type="dxa"/>
            <w:vAlign w:val="bottom"/>
            <w:tcBorders>
              <w:right w:val="single" w:sz="8" w:color="auto"/>
            </w:tcBorders>
            <w:vMerge w:val="restart"/>
          </w:tcPr>
          <w:p>
            <w:pPr>
              <w:ind w:left="700"/>
              <w:spacing w:after="0"/>
              <w:rPr>
                <w:sz w:val="20"/>
                <w:szCs w:val="20"/>
                <w:color w:val="auto"/>
              </w:rPr>
            </w:pPr>
            <w:r>
              <w:rPr>
                <w:rFonts w:ascii="Arial" w:cs="Arial" w:eastAsia="Arial" w:hAnsi="Arial"/>
                <w:sz w:val="18"/>
                <w:szCs w:val="18"/>
                <w:b w:val="1"/>
                <w:bCs w:val="1"/>
                <w:color w:val="auto"/>
              </w:rPr>
              <w:t>8</w:t>
            </w:r>
          </w:p>
        </w:tc>
        <w:tc>
          <w:tcPr>
            <w:tcW w:w="60" w:type="dxa"/>
            <w:vAlign w:val="bottom"/>
          </w:tcPr>
          <w:p>
            <w:pPr>
              <w:spacing w:after="0"/>
              <w:rPr>
                <w:sz w:val="10"/>
                <w:szCs w:val="10"/>
                <w:color w:val="auto"/>
              </w:rPr>
            </w:pP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0"/>
        </w:trPr>
        <w:tc>
          <w:tcPr>
            <w:tcW w:w="146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8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41"/>
        </w:trPr>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84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9</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382,754 shares of Common Stock</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148,416 shares of Common Stock issuable upon exercise of Series D and E Warrants (See Item 4)*</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900" w:type="dxa"/>
            <w:vAlign w:val="bottom"/>
            <w:gridSpan w:val="3"/>
          </w:tcPr>
          <w:p>
            <w:pPr>
              <w:ind w:left="180"/>
              <w:spacing w:after="0"/>
              <w:rPr>
                <w:sz w:val="20"/>
                <w:szCs w:val="20"/>
                <w:color w:val="auto"/>
              </w:rPr>
            </w:pPr>
            <w:r>
              <w:rPr>
                <w:rFonts w:ascii="Arial" w:cs="Arial" w:eastAsia="Arial" w:hAnsi="Arial"/>
                <w:sz w:val="18"/>
                <w:szCs w:val="18"/>
                <w:color w:val="auto"/>
              </w:rPr>
              <w:t>208,334 shares of Common Stock issuable upon exercise of Series C and F Warrants (See Item 4)*</w:t>
            </w: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spacing w:after="0"/>
              <w:rPr>
                <w:sz w:val="22"/>
                <w:szCs w:val="22"/>
                <w:color w:val="auto"/>
              </w:rPr>
            </w:pPr>
          </w:p>
        </w:tc>
        <w:tc>
          <w:tcPr>
            <w:tcW w:w="8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CHECK BOX</w:t>
            </w:r>
          </w:p>
        </w:tc>
        <w:tc>
          <w:tcPr>
            <w:tcW w:w="8340" w:type="dxa"/>
            <w:vAlign w:val="bottom"/>
          </w:tcPr>
          <w:p>
            <w:pPr>
              <w:ind w:left="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IF THE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AMOUNT 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ROW (9)</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EXCLUDES</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CERTAIN</w:t>
            </w: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spacing w:after="0"/>
              <w:rPr>
                <w:sz w:val="22"/>
                <w:szCs w:val="22"/>
                <w:color w:val="auto"/>
              </w:rPr>
            </w:pPr>
          </w:p>
        </w:tc>
        <w:tc>
          <w:tcPr>
            <w:tcW w:w="9900" w:type="dxa"/>
            <w:vAlign w:val="bottom"/>
            <w:tcBorders>
              <w:bottom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79"/>
              </w:rPr>
              <w:t>11</w:t>
            </w:r>
          </w:p>
        </w:tc>
        <w:tc>
          <w:tcPr>
            <w:tcW w:w="99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3"/>
              </w:rPr>
              <w:t>5.5% (See Item 4)*</w:t>
            </w:r>
          </w:p>
        </w:tc>
        <w:tc>
          <w:tcPr>
            <w:tcW w:w="8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20" w:right="7260" w:hanging="932"/>
        <w:spacing w:after="0" w:line="277" w:lineRule="auto"/>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51" w:lineRule="exact"/>
        <w:rPr>
          <w:rFonts w:ascii="Arial" w:cs="Arial" w:eastAsia="Arial" w:hAnsi="Arial"/>
          <w:sz w:val="18"/>
          <w:szCs w:val="18"/>
          <w:b w:val="1"/>
          <w:bCs w:val="1"/>
          <w:color w:val="auto"/>
        </w:rPr>
      </w:pPr>
    </w:p>
    <w:p>
      <w:pPr>
        <w:ind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As more fully described in Item 4, the Series A, D and E Warrants are subject to a 4.9% blocker and the Series C and F Warrants are subject to a 9.9% blocker and the percentage set forth in row (11) gives effect to such blocker. However, as more fully described in Item 4, the securities reported in rows (6),</w:t>
      </w:r>
    </w:p>
    <w:p>
      <w:pPr>
        <w:ind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 w:name="page5"/>
    <w:bookmarkEnd w:id="4"/>
    <w:p>
      <w:pPr>
        <w:ind w:right="100" w:firstLine="648"/>
        <w:spacing w:after="0" w:line="279" w:lineRule="auto"/>
        <w:rPr>
          <w:sz w:val="20"/>
          <w:szCs w:val="20"/>
          <w:color w:val="auto"/>
        </w:rPr>
      </w:pPr>
      <w:r>
        <w:rPr>
          <w:rFonts w:ascii="Arial" w:cs="Arial" w:eastAsia="Arial" w:hAnsi="Arial"/>
          <w:sz w:val="17"/>
          <w:szCs w:val="17"/>
          <w:color w:val="auto"/>
        </w:rPr>
        <w:t>This Amendment No. 3 (this “Amendment”) amends the statement on Schedule 13G filed on March 13, 2015, as amended on February 8, 2016 and February 14, 2017 (the “Original Schedule 13G”) with respect to the Common Stock, $0.001 par value (the “Common Stock”) of TapImmune Inc., a Nevada corporation (the “Company”). Capitalized terms used herein and not otherwise defined in this Amendment have the meanings set forth in the Original Schedule 13G. This Amendment amends and restates Item 4 in its entirety as set forth below.</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10,605,724 shares of Common Stock issued and outstanding as of December 26, 2017, as represented in the Company’s prospectus filed pursuant to Rule 424(b)(3) with the Securities and Exchange Commission on December 29, 2017.</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Pursuant to the terms of the Reported Warrants, the Reporting Persons cannot exercise (i) any of the Reported Warrants that are Series D or Series E Warrants if the Reporting Persons would beneficially own, after any such exercise, more than 4.9% of the outstanding shares of Common Stock or (ii) any of the Reported Warrants that are Series C or Series F Warrants if the Reporting Persons would beneficially own, after any such exercise, more than 9.9% of the outstanding shares of Common Stock (the applicable “Blockers”), and the percentage set forth in Row 11 of the cover page for each Reporting Person gives effect to the applicable Blockers. Consequently, as of the date of the event which requires the filing of this statement, the Reporting Persons were not able to exercise all of the Reported Warrants due to the applicable Blockers.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date of the event which requires filing of this statement, (i) Iroquois Master Fund Ltd. (“Iroquois Master Fund”) held 382,754 shares of Common Stock and Reported Warrants to purchase 498,600 shares of Common Stock and (ii) Mr. Abbe indirectly held 48,775 shares of Common Stock and Reported Warrants to purchase 22,000 shares of Common Stock. In addition, each of The Samantha Abbe Irrevocable Trust, The Talia Abbe Irrevocable Trust and The Bennett Abbe Irrevocable Trust held 25,956, 25,954 and 25,954 shares of Common Stock, respectively, and Reported Warrants to purchase 23,785, 23,784 and 23,783 shares of Common Stock, respectively.</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Abbe shares authority and responsibility for the investments made on behalf of the Fund with Ms. Page, each of whom is a director of the Fund. Iroquois is the investment manager for Iroquois Master Fund and Mr. Abbe is the President of Iroquois. American Capital dissolved as of December 31, 2017 and distributed securities held by it to its members. In addition, by virtue of his position as a custodian or trustee of certain Accounts (The Samantha Abbe Irrevocable Trust, The Talia Abbe Irrevocable Trust and The Bennett Abbe Irrevocable Trust), Mr. Abbe may be deemed to be the beneficial owner of the shares of Common Stock held by, and underlying the Reported Warrants (subject to the applicable Blockers) held by, such Accounts.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 except to the extent of their pecuniary interest therein.</w:t>
      </w:r>
    </w:p>
    <w:p>
      <w:pPr>
        <w:spacing w:after="0" w:line="2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IROQUOIS CAPITAL MANAGEMENT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 Authorized Signatory</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Richard Abbe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Abbe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Kimberly Page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Kimberly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120"/>
      </w:cols>
      <w:pgMar w:left="240" w:top="40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lowerRoman"/>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2"/>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2"/>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
      <w:numFmt w:val="bullet"/>
      <w:start w:val="1"/>
    </w:lvl>
    <w:lvl w:ilvl="1">
      <w:lvlJc w:val="left"/>
      <w:lvlText w:val="%2"/>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2020-01-14T08:39:42Z</dcterms:created>
  <dcterms:modified xsi:type="dcterms:W3CDTF">2020-01-14T08:39:42Z</dcterms:modified>
</cp:coreProperties>
</file>