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60" w:after="60"/>
        <w:jc w:val="center"/>
        <w:rPr>
          <w:bdr w:val="single" w:sz="12" w:space="1" w:color="000000"/>
        </w:rPr>
      </w:pPr>
      <w:bookmarkStart w:id="0" w:name="tv508378_8k.htm"/>
      <w:bookmarkStart w:id="1" w:name="kstv508378_8k"/>
      <w:bookmarkEnd w:id="0"/>
      <w:bookmarkEnd w:id="1"/>
      <w:r>
        <w:rPr>
          <w:bdr w:val="single" w:sz="12"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8-K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November 27, 2018</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3"/>
          <w:u w:val="single"/>
        </w:rPr>
      </w:pPr>
      <w:r>
        <w:rPr>
          <w:rFonts w:ascii="Times New Roman;Times;Serif" w:hAnsi="Times New Roman;Times;Serif"/>
          <w:b/>
          <w:i w:val="false"/>
          <w:caps w:val="false"/>
          <w:smallCaps w:val="false"/>
          <w:sz w:val="23"/>
          <w:u w:val="single"/>
        </w:rPr>
        <w:t>MARKER THERAPEUTICS, INC.</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tbl>
      <w:tblPr>
        <w:tblW w:w="6420" w:type="dxa"/>
        <w:jc w:val="left"/>
        <w:tblInd w:w="0" w:type="dxa"/>
        <w:tblCellMar>
          <w:top w:w="0" w:type="dxa"/>
          <w:left w:w="0" w:type="dxa"/>
          <w:bottom w:w="0" w:type="dxa"/>
          <w:right w:w="0" w:type="dxa"/>
        </w:tblCellMar>
      </w:tblPr>
      <w:tblGrid>
        <w:gridCol w:w="2090"/>
        <w:gridCol w:w="1910"/>
        <w:gridCol w:w="2420"/>
      </w:tblGrid>
      <w:tr>
        <w:trPr/>
        <w:tc>
          <w:tcPr>
            <w:tcW w:w="2090" w:type="dxa"/>
            <w:tcBorders/>
            <w:shd w:fill="auto" w:val="clear"/>
            <w:vAlign w:val="center"/>
          </w:tcPr>
          <w:p>
            <w:pPr>
              <w:pStyle w:val="TableContents"/>
              <w:spacing w:before="0" w:after="283"/>
              <w:jc w:val="center"/>
              <w:rPr>
                <w:b/>
                <w:sz w:val="17"/>
                <w:u w:val="single"/>
              </w:rPr>
            </w:pPr>
            <w:r>
              <w:rPr>
                <w:b/>
                <w:sz w:val="17"/>
                <w:u w:val="single"/>
              </w:rPr>
              <w:t>Delaware</w:t>
            </w:r>
          </w:p>
        </w:tc>
        <w:tc>
          <w:tcPr>
            <w:tcW w:w="1910" w:type="dxa"/>
            <w:tcBorders/>
            <w:shd w:fill="auto" w:val="clear"/>
            <w:vAlign w:val="center"/>
          </w:tcPr>
          <w:p>
            <w:pPr>
              <w:pStyle w:val="TableContents"/>
              <w:spacing w:before="0" w:after="283"/>
              <w:jc w:val="center"/>
              <w:rPr>
                <w:b/>
                <w:sz w:val="17"/>
                <w:u w:val="single"/>
              </w:rPr>
            </w:pPr>
            <w:r>
              <w:rPr>
                <w:b/>
                <w:sz w:val="17"/>
                <w:u w:val="single"/>
              </w:rPr>
              <w:t>001-37939</w:t>
            </w:r>
          </w:p>
        </w:tc>
        <w:tc>
          <w:tcPr>
            <w:tcW w:w="2420" w:type="dxa"/>
            <w:tcBorders/>
            <w:shd w:fill="auto" w:val="clear"/>
            <w:vAlign w:val="center"/>
          </w:tcPr>
          <w:p>
            <w:pPr>
              <w:pStyle w:val="TableContents"/>
              <w:spacing w:before="0" w:after="283"/>
              <w:jc w:val="center"/>
              <w:rPr>
                <w:b/>
                <w:sz w:val="17"/>
                <w:u w:val="single"/>
              </w:rPr>
            </w:pPr>
            <w:r>
              <w:rPr>
                <w:b/>
                <w:sz w:val="17"/>
                <w:u w:val="single"/>
              </w:rPr>
              <w:t>45-4497941</w:t>
            </w:r>
          </w:p>
        </w:tc>
      </w:tr>
      <w:tr>
        <w:trPr/>
        <w:tc>
          <w:tcPr>
            <w:tcW w:w="2090" w:type="dxa"/>
            <w:tcBorders/>
            <w:shd w:fill="auto" w:val="clear"/>
            <w:vAlign w:val="center"/>
          </w:tcPr>
          <w:p>
            <w:pPr>
              <w:pStyle w:val="TableContents"/>
              <w:spacing w:before="0" w:after="283"/>
              <w:jc w:val="center"/>
              <w:rPr>
                <w:sz w:val="17"/>
              </w:rPr>
            </w:pPr>
            <w:r>
              <w:rPr>
                <w:sz w:val="17"/>
              </w:rPr>
              <w:t xml:space="preserve">(State or other jurisdiction of </w:t>
              <w:br/>
              <w:t>incorporation)</w:t>
            </w:r>
          </w:p>
        </w:tc>
        <w:tc>
          <w:tcPr>
            <w:tcW w:w="1910" w:type="dxa"/>
            <w:tcBorders/>
            <w:shd w:fill="auto" w:val="clear"/>
            <w:vAlign w:val="center"/>
          </w:tcPr>
          <w:p>
            <w:pPr>
              <w:pStyle w:val="TableContents"/>
              <w:spacing w:before="0" w:after="283"/>
              <w:jc w:val="center"/>
              <w:rPr>
                <w:sz w:val="17"/>
              </w:rPr>
            </w:pPr>
            <w:r>
              <w:rPr>
                <w:sz w:val="17"/>
              </w:rPr>
              <w:t>(Commission File Number)</w:t>
            </w:r>
          </w:p>
        </w:tc>
        <w:tc>
          <w:tcPr>
            <w:tcW w:w="2420" w:type="dxa"/>
            <w:tcBorders/>
            <w:shd w:fill="auto" w:val="clear"/>
            <w:vAlign w:val="center"/>
          </w:tcPr>
          <w:p>
            <w:pPr>
              <w:pStyle w:val="TableContents"/>
              <w:spacing w:before="0" w:after="283"/>
              <w:jc w:val="center"/>
              <w:rPr>
                <w:sz w:val="17"/>
              </w:rPr>
            </w:pPr>
            <w:r>
              <w:rPr>
                <w:sz w:val="17"/>
              </w:rPr>
              <w:t>(IRS Employer Identification No.)</w:t>
            </w:r>
          </w:p>
        </w:tc>
      </w:tr>
    </w:tbl>
    <w:p>
      <w:pPr>
        <w:pStyle w:val="TextBody"/>
        <w:spacing w:before="0" w:after="0"/>
        <w:jc w:val="center"/>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2780"/>
        <w:gridCol w:w="60"/>
        <w:gridCol w:w="800"/>
      </w:tblGrid>
      <w:tr>
        <w:trPr/>
        <w:tc>
          <w:tcPr>
            <w:tcW w:w="2780" w:type="dxa"/>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West Forsyth Street</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200</w:t>
            </w:r>
          </w:p>
          <w:p>
            <w:pPr>
              <w:pStyle w:val="TableContents"/>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Jacksonville, FL</w:t>
            </w:r>
          </w:p>
        </w:tc>
        <w:tc>
          <w:tcPr>
            <w:tcW w:w="60" w:type="dxa"/>
            <w:tcBorders/>
            <w:shd w:fill="auto" w:val="clear"/>
            <w:vAlign w:val="center"/>
          </w:tcPr>
          <w:p>
            <w:pPr>
              <w:pStyle w:val="TableContents"/>
              <w:spacing w:before="0" w:after="283"/>
              <w:jc w:val="center"/>
              <w:rPr/>
            </w:pPr>
            <w:r>
              <w:rPr/>
              <w:t> </w:t>
            </w:r>
          </w:p>
        </w:tc>
        <w:tc>
          <w:tcPr>
            <w:tcW w:w="800" w:type="dxa"/>
            <w:tcBorders/>
            <w:shd w:fill="auto" w:val="clear"/>
            <w:vAlign w:val="center"/>
          </w:tcPr>
          <w:p>
            <w:pPr>
              <w:pStyle w:val="TableContents"/>
              <w:spacing w:before="0" w:after="283"/>
              <w:jc w:val="center"/>
              <w:rPr>
                <w:b/>
                <w:sz w:val="17"/>
                <w:u w:val="single"/>
              </w:rPr>
            </w:pPr>
            <w:r>
              <w:rPr>
                <w:b/>
                <w:sz w:val="17"/>
                <w:u w:val="single"/>
              </w:rPr>
              <w:t>32202</w:t>
            </w:r>
          </w:p>
        </w:tc>
      </w:tr>
      <w:tr>
        <w:trPr/>
        <w:tc>
          <w:tcPr>
            <w:tcW w:w="2780" w:type="dxa"/>
            <w:tcBorders/>
            <w:shd w:fill="auto" w:val="clear"/>
            <w:vAlign w:val="center"/>
          </w:tcPr>
          <w:p>
            <w:pPr>
              <w:pStyle w:val="TableContents"/>
              <w:spacing w:before="0" w:after="283"/>
              <w:jc w:val="center"/>
              <w:rPr>
                <w:sz w:val="17"/>
              </w:rPr>
            </w:pPr>
            <w:r>
              <w:rPr>
                <w:sz w:val="17"/>
              </w:rPr>
              <w:t>(Address of principal executive offices)</w:t>
            </w:r>
          </w:p>
        </w:tc>
        <w:tc>
          <w:tcPr>
            <w:tcW w:w="60" w:type="dxa"/>
            <w:tcBorders/>
            <w:shd w:fill="auto" w:val="clear"/>
            <w:vAlign w:val="center"/>
          </w:tcPr>
          <w:p>
            <w:pPr>
              <w:pStyle w:val="TableContents"/>
              <w:spacing w:before="0" w:after="283"/>
              <w:jc w:val="center"/>
              <w:rPr/>
            </w:pPr>
            <w:r>
              <w:rPr/>
              <w:t> </w:t>
            </w:r>
          </w:p>
        </w:tc>
        <w:tc>
          <w:tcPr>
            <w:tcW w:w="800" w:type="dxa"/>
            <w:tcBorders/>
            <w:shd w:fill="auto" w:val="clear"/>
            <w:vAlign w:val="center"/>
          </w:tcPr>
          <w:p>
            <w:pPr>
              <w:pStyle w:val="TableContents"/>
              <w:spacing w:before="0" w:after="283"/>
              <w:jc w:val="center"/>
              <w:rPr>
                <w:sz w:val="17"/>
              </w:rPr>
            </w:pPr>
            <w:r>
              <w:rPr>
                <w:sz w:val="17"/>
              </w:rPr>
              <w:t>(Zip Code)</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(904) 516-5436</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8110" w:type="dxa"/>
        <w:jc w:val="left"/>
        <w:tblInd w:w="0" w:type="dxa"/>
        <w:tblCellMar>
          <w:top w:w="0" w:type="dxa"/>
          <w:left w:w="0" w:type="dxa"/>
          <w:bottom w:w="0" w:type="dxa"/>
          <w:right w:w="0" w:type="dxa"/>
        </w:tblCellMar>
      </w:tblPr>
      <w:tblGrid>
        <w:gridCol w:w="245"/>
        <w:gridCol w:w="7865"/>
      </w:tblGrid>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sz w:val="17"/>
              </w:rPr>
            </w:pPr>
            <w:r>
              <w:rPr>
                <w:sz w:val="17"/>
              </w:rPr>
              <w:t>Written communications pursuant to Rule 425 under the Securities Act (17 CFR 230.425)</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sz w:val="17"/>
              </w:rPr>
            </w:pPr>
            <w:r>
              <w:rPr>
                <w:sz w:val="17"/>
              </w:rPr>
              <w:t>Soliciting material pursuant to Rule 14a-12 under the Exchange Act (17 CFR 240.14a-12)</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sz w:val="17"/>
              </w:rPr>
            </w:pPr>
            <w:r>
              <w:rPr>
                <w:sz w:val="17"/>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sz w:val="17"/>
              </w:rPr>
            </w:pPr>
            <w:r>
              <w:rPr>
                <w:sz w:val="17"/>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(“Marker” or the “Company”) announced that it was splitting the role of Chief Financial Officer and Chief Accounting Officer held by Mr. Michael Loiacono with Mr. Loiacono remaining as the Company’s Chief Accounting Officer and Mr. Anthony Kim being appointed by the Board as the Company’s Chief Financial Officer effective on November 27, 2018.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Michael Loiacono, Chief Accounting Officer-Employment Agreement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split of the roles of Chief Financial Officer and Chief Accounting Officer, on November 27, 2018, the Company entered into an Amendment to its Employment Agreement with Mr. Michael Loiacono (the “Amendment”). The Amendment provides for (i) the change in Mr. Loiacono’s title to reference his service to the Company solely as Chief Accounting Officer; (ii) an increase in Mr. Loiacono’s annual base salary to $275,000 per annum; (iii) an increase in Mr. Loiacono’s performance based bonus percentage to up to 35% of his annual base salary during the term of his employment; and (iv) an increase in Mr. Loiacono’s entitlement to severance payments in the event of termination of his employment under certain circumstances, to twelve (12) months of his annual base salary. The other provisions of his employment agreement not effected by the Amendment shall remain unchanged. In connection with the execution of the Amendment, Mr. Loiacono was awarded a discretionary cash bonus in the amount of $75,000. Mr. Loiacono will also continue to serve as the Company’s Secretary and Treasurer.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the specific terms of the Amendment attached as Exhibit 10.2 to this Form 8-K which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Appointment of Mr. Anthony Kim, as Chief Financial Officer.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split of the roles of Chief Financial Officer and Chief Accounting Officer, the Board of Directors of the Company appointed Mr. Anthony Kim to serve as Chief Financial Officer of the Company, effective November 27, 2018. Mr. Kim, age 42 previously served as an Executive Director in the Healthcare Group at Nomura Securities International, Inc. Before joining Nomura, Mr. Kim was a Senior Vice President at Jefferies in their Healthcare group. Previously, he was an investment banker at Oppenheimer &amp; Co. and J.P. Morgan Securities. Mr. Kim earned an AB in economics from the University of Chicago and an MBA with a concentration in finance from the UCLA Anderson School of Management.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Kim and any other persons pursuant to which he was selected as Chief Financial Officer. There are no family relationships between Mr. Kim and any director or executive officer of the Company and he has no direct or indirect material interest in any transaction required to be disclosed pursuant to Item 404(a) of Regulation S-K promulgated under the Securities Act of 1933,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Employment Agreement with Mr. Kim.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Mr. Kim to serve the Company as its Chief Financial Officer, the Company and Mr. Kim entered into an at will Employment Agreement (the “Employment Agreement”). Mr. Kim’s Employment Agreement provides for payment of an annual base salary of $375,000 and Mr. Kim will be eligible for an annual performance based bonus of up to 40% of his base salary payable in immediately vested shares of common stock or cash at the discretion of the Board or Compensation Committee. In connection with the appointment of Mr. Kim as Chief Financial Officer, Mr. Kim was also granted 400,000 stock options to purchase common stock at an exercise price of $6.81 per share under the Company’s 2014 Omnibus Stock Ownership Plan, as amended (the “Plan”). The exercise price of the options was equal to the fair market value of the common stock on the date of the execution of the Employment Agreement. One quarter of the shares vest on the first anniversary of the grant date and the remainder of the shares subsequently vest in equal monthly installments over a three year period upon the continued employment by the Company of Mr. Kim through the vesting dates.  The option award was made pursuant to the Company’s form of option award agreement for employees, which has previously been filed.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Kim’s employment is terminated by us for Cause (as defined in his employment agreement) or by Mr. Kim during the term of the agreement, he will be entitled to receive his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Kim’s employment is terminated by us without “Cause” or by him for “Good Reason” (as defined in his employment agreement), subject to his execution of a release of claims against us, and in addition to the payment of the Accrued Compensation, Mr. Kim within 60 days after his termination date shall receive continued payment of his base salary for the first twelve (12) months after the date of such termination (paid over the Company’s regular payroll schedule). Mr. Kim shall also receive a lump sum amount equal to his target annual performance bonus for the year of termination, pro-rated based on the ratio that the number of days from the beginning of the calendar year in which such termination occurs through the date of termination. Mr. Kim shall also receive COBRA continuation payments through earlier of severance payment period or eligibility to receive such payments.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contains a change of control provision providing that if Mr. Kim’s employment with the Company is terminated by the Company without Cause or by him for Good Reason during the period of twelve months following a Change in Control (as that term is defined in the Company’s Plan) of the Company, Mr. Kim will be entitled to (i) receive continued payment of his base salary for the first twelve (12) months after the date of such termination (paid over the Company’s regular payroll schedule); (ii) a bonus payment equal to Mr. Kim’s full target annual performance bonus for the year of termination, rather than the pro-rated target bonus; and (iii) the vesting of all of Executive’s outstanding stock options and other equity awards that are subject to time-based vesting requirements shall accelerate in full such that all such equity awards shall be deemed fully vested as of the date of Mr. Kim’s 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employment agreement, the term “Change in Control” as defined in the Plan includes: (i) the acquisition by any Person of “beneficial ownership” (within the meaning of Rule 13d-3 promulgated under the 1934 Act) of 20% or more of either (A) the then-outstanding shares of Stock or (B) the combined voting power of the then-outstanding voting securities of the Company entitled to vote generally in the election of directors; or (ii) 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or (iii) approval by the shareholders of the Company of a complete liquidation or dissolution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Kim’s employment agreement also provides that each of the payments and benefits under the agreement are subject to compliance with Section 409A of the Code and it includes time of payment language intended to comply with Section 409A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Kim’s Employment Agreement further provides that Mr. Kim is subject to a covenant not to disclose our confidential information during his employment term and an assignment of intellectual property rights. Also, during his employment term and for a period of 12 months thereafter, Mr. Kim covenants not to compete with us and not to solicit any of our customers, vendors or employees. If Mr. Kim breaches any of these covenants, the Company will be entitled to injunctive relief.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the specific terms of the Employment Agreement attached as Exhibit 10.3 to this Form 8-K which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1735" w:type="dxa"/>
        <w:jc w:val="left"/>
        <w:tblInd w:w="0" w:type="dxa"/>
        <w:tblCellMar>
          <w:top w:w="0" w:type="dxa"/>
          <w:left w:w="0" w:type="dxa"/>
          <w:bottom w:w="0" w:type="dxa"/>
          <w:right w:w="0" w:type="dxa"/>
        </w:tblCellMar>
      </w:tblPr>
      <w:tblGrid>
        <w:gridCol w:w="845"/>
        <w:gridCol w:w="890"/>
      </w:tblGrid>
      <w:tr>
        <w:trPr/>
        <w:tc>
          <w:tcPr>
            <w:tcW w:w="84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Exhibit No.</w:t>
            </w:r>
          </w:p>
        </w:tc>
        <w:tc>
          <w:tcPr>
            <w:tcW w:w="890" w:type="dxa"/>
            <w:tcBorders/>
            <w:shd w:fill="auto" w:val="clear"/>
            <w:vAlign w:val="center"/>
          </w:tcPr>
          <w:p>
            <w:pPr>
              <w:pStyle w:val="TableContents"/>
              <w:spacing w:before="0" w:after="283"/>
              <w:jc w:val="center"/>
              <w:rPr/>
            </w:pPr>
            <w:r>
              <w:rPr>
                <w:rFonts w:ascii="Times New Roman;Times;Serif" w:hAnsi="Times New Roman;Times;Serif"/>
                <w:sz w:val="17"/>
              </w:rPr>
              <w:t>Description</w:t>
            </w:r>
            <w:r>
              <w:rPr/>
              <w:t> </w:t>
            </w:r>
          </w:p>
        </w:tc>
      </w:tr>
      <w:tr>
        <w:trPr/>
        <w:tc>
          <w:tcPr>
            <w:tcW w:w="84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455"/>
        <w:gridCol w:w="9750"/>
      </w:tblGrid>
      <w:tr>
        <w:trPr/>
        <w:tc>
          <w:tcPr>
            <w:tcW w:w="455" w:type="dxa"/>
            <w:tcBorders/>
            <w:shd w:fill="auto" w:val="clear"/>
            <w:vAlign w:val="center"/>
          </w:tcPr>
          <w:p>
            <w:pPr>
              <w:pStyle w:val="TableContents"/>
              <w:spacing w:before="0" w:after="283"/>
              <w:jc w:val="center"/>
              <w:rPr/>
            </w:pPr>
            <w:hyperlink r:id="rId2">
              <w:r>
                <w:rPr>
                  <w:rStyle w:val="InternetLink"/>
                </w:rPr>
                <w:t>10.1</w:t>
              </w:r>
            </w:hyperlink>
          </w:p>
        </w:tc>
        <w:tc>
          <w:tcPr>
            <w:tcW w:w="9750" w:type="dxa"/>
            <w:tcBorders/>
            <w:shd w:fill="auto" w:val="clear"/>
            <w:vAlign w:val="center"/>
          </w:tcPr>
          <w:p>
            <w:pPr>
              <w:pStyle w:val="TableContents"/>
              <w:spacing w:before="0" w:after="283"/>
              <w:rPr/>
            </w:pPr>
            <w:hyperlink r:id="rId3">
              <w:r>
                <w:rPr>
                  <w:rStyle w:val="InternetLink"/>
                </w:rPr>
                <w:t>Employment Agreement between Marker Therapeutics, Inc. (f/k/a TapImmune Inc.) and Michael J. Loiacono dated as of August 25, 2016.*  </w:t>
              </w:r>
            </w:hyperlink>
          </w:p>
        </w:tc>
      </w:tr>
    </w:tbl>
    <w:p>
      <w:pPr>
        <w:pStyle w:val="TextBody"/>
        <w:rPr/>
      </w:pPr>
      <w:r>
        <w:rPr/>
        <w:t> </w:t>
      </w:r>
    </w:p>
    <w:tbl>
      <w:tblPr>
        <w:tblW w:w="9685" w:type="dxa"/>
        <w:jc w:val="left"/>
        <w:tblInd w:w="0" w:type="dxa"/>
        <w:tblCellMar>
          <w:top w:w="0" w:type="dxa"/>
          <w:left w:w="0" w:type="dxa"/>
          <w:bottom w:w="0" w:type="dxa"/>
          <w:right w:w="0" w:type="dxa"/>
        </w:tblCellMar>
      </w:tblPr>
      <w:tblGrid>
        <w:gridCol w:w="350"/>
        <w:gridCol w:w="9335"/>
      </w:tblGrid>
      <w:tr>
        <w:trPr/>
        <w:tc>
          <w:tcPr>
            <w:tcW w:w="350" w:type="dxa"/>
            <w:tcBorders/>
            <w:shd w:fill="auto" w:val="clear"/>
            <w:vAlign w:val="center"/>
          </w:tcPr>
          <w:p>
            <w:pPr>
              <w:pStyle w:val="TableContents"/>
              <w:spacing w:before="0" w:after="283"/>
              <w:jc w:val="center"/>
              <w:rPr/>
            </w:pPr>
            <w:hyperlink w:anchor="tv508378_ex10-2.htm">
              <w:r>
                <w:rPr>
                  <w:rStyle w:val="InternetLink"/>
                  <w:rFonts w:ascii="Times New Roman;Times;Serif" w:hAnsi="Times New Roman;Times;Serif"/>
                  <w:sz w:val="17"/>
                </w:rPr>
                <w:t>10.2</w:t>
              </w:r>
            </w:hyperlink>
          </w:p>
        </w:tc>
        <w:tc>
          <w:tcPr>
            <w:tcW w:w="9335" w:type="dxa"/>
            <w:tcBorders/>
            <w:shd w:fill="auto" w:val="clear"/>
            <w:vAlign w:val="center"/>
          </w:tcPr>
          <w:p>
            <w:pPr>
              <w:pStyle w:val="TableContents"/>
              <w:spacing w:before="0" w:after="283"/>
              <w:jc w:val="left"/>
              <w:rPr/>
            </w:pPr>
            <w:hyperlink w:anchor="tv508378_ex10-2.htm">
              <w:r>
                <w:rPr>
                  <w:rStyle w:val="InternetLink"/>
                  <w:rFonts w:ascii="Times New Roman;Times;Serif" w:hAnsi="Times New Roman;Times;Serif"/>
                  <w:sz w:val="17"/>
                </w:rPr>
                <w:t>Amendment to Employment Agreement between Marker Therapeutics, Inc. and Michael J. Loiacono dated as of November 27, 2018.</w:t>
              </w:r>
            </w:hyperlink>
          </w:p>
        </w:tc>
      </w:tr>
      <w:tr>
        <w:trPr/>
        <w:tc>
          <w:tcPr>
            <w:tcW w:w="350" w:type="dxa"/>
            <w:tcBorders/>
            <w:shd w:fill="auto" w:val="clear"/>
            <w:vAlign w:val="center"/>
          </w:tcPr>
          <w:p>
            <w:pPr>
              <w:pStyle w:val="TableContents"/>
              <w:spacing w:before="0" w:after="283"/>
              <w:jc w:val="center"/>
              <w:rPr/>
            </w:pPr>
            <w:r>
              <w:rPr/>
              <w:t> </w:t>
            </w:r>
          </w:p>
        </w:tc>
        <w:tc>
          <w:tcPr>
            <w:tcW w:w="9335" w:type="dxa"/>
            <w:tcBorders/>
            <w:shd w:fill="auto" w:val="clear"/>
            <w:vAlign w:val="center"/>
          </w:tcPr>
          <w:p>
            <w:pPr>
              <w:pStyle w:val="TableContents"/>
              <w:spacing w:before="0" w:after="283"/>
              <w:jc w:val="left"/>
              <w:rPr/>
            </w:pPr>
            <w:r>
              <w:rPr/>
              <w:t> </w:t>
            </w:r>
          </w:p>
        </w:tc>
      </w:tr>
      <w:tr>
        <w:trPr/>
        <w:tc>
          <w:tcPr>
            <w:tcW w:w="350" w:type="dxa"/>
            <w:tcBorders/>
            <w:shd w:fill="auto" w:val="clear"/>
            <w:vAlign w:val="center"/>
          </w:tcPr>
          <w:p>
            <w:pPr>
              <w:pStyle w:val="TableContents"/>
              <w:spacing w:before="0" w:after="283"/>
              <w:jc w:val="center"/>
              <w:rPr/>
            </w:pPr>
            <w:hyperlink w:anchor="tv508378_ex10-3.htm">
              <w:r>
                <w:rPr>
                  <w:rStyle w:val="InternetLink"/>
                  <w:rFonts w:ascii="Times New Roman;Times;Serif" w:hAnsi="Times New Roman;Times;Serif"/>
                  <w:sz w:val="17"/>
                </w:rPr>
                <w:t>10.3</w:t>
              </w:r>
            </w:hyperlink>
          </w:p>
        </w:tc>
        <w:tc>
          <w:tcPr>
            <w:tcW w:w="9335" w:type="dxa"/>
            <w:tcBorders/>
            <w:shd w:fill="auto" w:val="clear"/>
            <w:vAlign w:val="center"/>
          </w:tcPr>
          <w:p>
            <w:pPr>
              <w:pStyle w:val="TableContents"/>
              <w:spacing w:before="0" w:after="283"/>
              <w:jc w:val="left"/>
              <w:rPr/>
            </w:pPr>
            <w:hyperlink w:anchor="tv508378_ex10-3.htm">
              <w:r>
                <w:rPr>
                  <w:rStyle w:val="InternetLink"/>
                  <w:rFonts w:ascii="Times New Roman;Times;Serif" w:hAnsi="Times New Roman;Times;Serif"/>
                  <w:sz w:val="17"/>
                </w:rPr>
                <w:t>Employment Agreement between Marker Therapeutics, Inc. and Anthony Kim dated as of November 27, 2018.</w:t>
              </w:r>
            </w:hyperlink>
          </w:p>
        </w:tc>
      </w:tr>
      <w:tr>
        <w:trPr/>
        <w:tc>
          <w:tcPr>
            <w:tcW w:w="350" w:type="dxa"/>
            <w:tcBorders/>
            <w:shd w:fill="auto" w:val="clear"/>
            <w:vAlign w:val="center"/>
          </w:tcPr>
          <w:p>
            <w:pPr>
              <w:pStyle w:val="TableContents"/>
              <w:spacing w:before="0" w:after="283"/>
              <w:jc w:val="center"/>
              <w:rPr/>
            </w:pPr>
            <w:r>
              <w:rPr/>
              <w:t> </w:t>
            </w:r>
          </w:p>
        </w:tc>
        <w:tc>
          <w:tcPr>
            <w:tcW w:w="933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as Exhibit 10.1 to Form 8-K filed on August 25, 2016.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 on this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of December, 2018.</w:t>
      </w:r>
    </w:p>
    <w:p>
      <w:pPr>
        <w:pStyle w:val="TextBody"/>
        <w:spacing w:before="0" w:after="0"/>
        <w:ind w:left="0" w:right="0" w:firstLine="720"/>
        <w:rPr>
          <w:caps w:val="false"/>
          <w:smallCaps w:val="false"/>
        </w:rPr>
      </w:pPr>
      <w:r>
        <w:rPr>
          <w:caps w:val="false"/>
          <w:smallCaps w:val="false"/>
        </w:rPr>
        <w:t> </w:t>
      </w:r>
    </w:p>
    <w:tbl>
      <w:tblPr>
        <w:tblW w:w="3094" w:type="dxa"/>
        <w:jc w:val="left"/>
        <w:tblInd w:w="0" w:type="dxa"/>
        <w:tblCellMar>
          <w:top w:w="0" w:type="dxa"/>
          <w:left w:w="0" w:type="dxa"/>
          <w:bottom w:w="0" w:type="dxa"/>
          <w:right w:w="0" w:type="dxa"/>
        </w:tblCellMar>
      </w:tblPr>
      <w:tblGrid>
        <w:gridCol w:w="75"/>
        <w:gridCol w:w="565"/>
        <w:gridCol w:w="2379"/>
        <w:gridCol w:w="75"/>
      </w:tblGrid>
      <w:tr>
        <w:trPr/>
        <w:tc>
          <w:tcPr>
            <w:tcW w:w="75"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 </w:t>
            </w:r>
          </w:p>
        </w:tc>
        <w:tc>
          <w:tcPr>
            <w:tcW w:w="237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4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4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 </w:t>
            </w:r>
          </w:p>
        </w:tc>
        <w:tc>
          <w:tcPr>
            <w:tcW w:w="237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 </w:t>
            </w:r>
          </w:p>
        </w:tc>
        <w:tc>
          <w:tcPr>
            <w:tcW w:w="237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BY:</w:t>
            </w:r>
          </w:p>
        </w:tc>
        <w:tc>
          <w:tcPr>
            <w:tcW w:w="2379"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/s/ Michael Loiacono</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 </w:t>
            </w:r>
          </w:p>
        </w:tc>
        <w:tc>
          <w:tcPr>
            <w:tcW w:w="2379"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Michael Loiacono</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 </w:t>
            </w:r>
          </w:p>
        </w:tc>
        <w:tc>
          <w:tcPr>
            <w:tcW w:w="2379"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Chief Accounting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b/>
        </w:rPr>
      </w:pPr>
      <w:bookmarkStart w:id="2" w:name="tv508378_ex10-2.htm"/>
      <w:bookmarkStart w:id="3" w:name="kstv508378_ex102"/>
      <w:bookmarkEnd w:id="2"/>
      <w:bookmarkEnd w:id="3"/>
      <w:r>
        <w:rPr>
          <w:b/>
        </w:rPr>
        <w:t>Exhibit 10.2</w:t>
      </w:r>
    </w:p>
    <w:p>
      <w:pPr>
        <w:pStyle w:val="TextBody"/>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EMPLOYMENT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THIS AMENDMENT TO EMPLOYMENT AGREEMENT (this “</w:t>
      </w:r>
      <w:r>
        <w:rPr>
          <w:rFonts w:ascii="Times New Roman;Times;Serif" w:hAnsi="Times New Roman;Times;Serif"/>
          <w:b w:val="false"/>
          <w:i w:val="false"/>
          <w:caps w:val="false"/>
          <w:smallCaps w:val="false"/>
          <w:color w:val="000000"/>
          <w:sz w:val="20"/>
          <w:u w:val="single"/>
        </w:rPr>
        <w:t>Amendment</w:t>
      </w:r>
      <w:r>
        <w:rPr>
          <w:rFonts w:ascii="Times New Roman;Times;Serif" w:hAnsi="Times New Roman;Times;Serif"/>
          <w:b w:val="false"/>
          <w:i w:val="false"/>
          <w:caps w:val="false"/>
          <w:smallCaps w:val="false"/>
          <w:color w:val="000000"/>
          <w:sz w:val="20"/>
        </w:rPr>
        <w:t>”) is made on this 27</w:t>
      </w:r>
      <w:r>
        <w:rPr>
          <w:rFonts w:ascii="Times New Roman;Times;Serif" w:hAnsi="Times New Roman;Times;Serif"/>
          <w:b w:val="false"/>
          <w:i w:val="false"/>
          <w:caps w:val="false"/>
          <w:smallCaps w:val="false"/>
          <w:color w:val="000000"/>
          <w:position w:val="7"/>
          <w:sz w:val="16"/>
          <w:sz w:val="20"/>
        </w:rPr>
        <w:t>th</w:t>
      </w:r>
      <w:r>
        <w:rPr>
          <w:rFonts w:ascii="Times New Roman;Times;Serif" w:hAnsi="Times New Roman;Times;Serif"/>
          <w:b w:val="false"/>
          <w:i w:val="false"/>
          <w:caps w:val="false"/>
          <w:smallCaps w:val="false"/>
          <w:color w:val="000000"/>
          <w:sz w:val="20"/>
        </w:rPr>
        <w:t xml:space="preserve"> day of November, 2018 (the “</w:t>
      </w:r>
      <w:r>
        <w:rPr>
          <w:rFonts w:ascii="Times New Roman;Times;Serif" w:hAnsi="Times New Roman;Times;Serif"/>
          <w:b w:val="false"/>
          <w:i w:val="false"/>
          <w:caps w:val="false"/>
          <w:smallCaps w:val="false"/>
          <w:color w:val="000000"/>
          <w:sz w:val="20"/>
          <w:u w:val="single"/>
        </w:rPr>
        <w:t>Effective Date</w:t>
      </w:r>
      <w:r>
        <w:rPr>
          <w:rFonts w:ascii="Times New Roman;Times;Serif" w:hAnsi="Times New Roman;Times;Serif"/>
          <w:b w:val="false"/>
          <w:i w:val="false"/>
          <w:caps w:val="false"/>
          <w:smallCaps w:val="false"/>
          <w:color w:val="000000"/>
          <w:sz w:val="20"/>
        </w:rPr>
        <w:t>”), by and between Marker Therapeutics, Inc., a Delaware corporation (the “</w:t>
      </w:r>
      <w:r>
        <w:rPr>
          <w:rFonts w:ascii="Times New Roman;Times;Serif" w:hAnsi="Times New Roman;Times;Serif"/>
          <w:b w:val="false"/>
          <w:i w:val="false"/>
          <w:caps w:val="false"/>
          <w:smallCaps w:val="false"/>
          <w:color w:val="000000"/>
          <w:sz w:val="20"/>
          <w:u w:val="single"/>
        </w:rPr>
        <w:t>Company</w:t>
      </w:r>
      <w:r>
        <w:rPr>
          <w:rFonts w:ascii="Times New Roman;Times;Serif" w:hAnsi="Times New Roman;Times;Serif"/>
          <w:b w:val="false"/>
          <w:i w:val="false"/>
          <w:caps w:val="false"/>
          <w:smallCaps w:val="false"/>
          <w:color w:val="000000"/>
          <w:sz w:val="20"/>
        </w:rPr>
        <w:t>”), and Michael J. Loiacono, an individual (the “</w:t>
      </w:r>
      <w:r>
        <w:rPr>
          <w:rFonts w:ascii="Times New Roman;Times;Serif" w:hAnsi="Times New Roman;Times;Serif"/>
          <w:b w:val="false"/>
          <w:i w:val="false"/>
          <w:caps w:val="false"/>
          <w:smallCaps w:val="false"/>
          <w:color w:val="000000"/>
          <w:sz w:val="20"/>
          <w:u w:val="single"/>
        </w:rPr>
        <w:t>Executive</w:t>
      </w:r>
      <w:r>
        <w:rPr>
          <w:rFonts w:ascii="Times New Roman;Times;Serif" w:hAnsi="Times New Roman;Times;Serif"/>
          <w:b w:val="false"/>
          <w:i w:val="false"/>
          <w:caps w:val="false"/>
          <w:smallCaps w:val="false"/>
          <w:color w:val="000000"/>
          <w:sz w:val="20"/>
        </w:rPr>
        <w:t>”), and amends that certain Employment Agreement between the Company and the Executive, dated August 25, 2016 (the “</w:t>
      </w:r>
      <w:r>
        <w:rPr>
          <w:rFonts w:ascii="Times New Roman;Times;Serif" w:hAnsi="Times New Roman;Times;Serif"/>
          <w:b w:val="false"/>
          <w:i w:val="false"/>
          <w:caps w:val="false"/>
          <w:smallCaps w:val="false"/>
          <w:color w:val="000000"/>
          <w:sz w:val="20"/>
          <w:u w:val="single"/>
        </w:rPr>
        <w:t>Employment Agreement</w:t>
      </w:r>
      <w:r>
        <w:rPr>
          <w:rFonts w:ascii="Times New Roman;Times;Serif" w:hAnsi="Times New Roman;Times;Serif"/>
          <w:b w:val="false"/>
          <w:i w:val="false"/>
          <w:caps w:val="false"/>
          <w:smallCaps w:val="false"/>
          <w:color w:val="000000"/>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Executive entered into the Employment Agreement on August 25, 2016;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appoint a new Chief Financial Officer, however, the Company desires to retain Executive to continue to serve as the Company’s Chief Accounting Officer;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Executive wish to amend the Executive’s Employment Agreement, to provide for Executive’s services as Chief Accounting Officer and thereby the relinquishment of the office of Chief Financial Officer as provided herein.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Executive and the Company for themselves, their heirs, successors and assigns, in consideration of their mutual promises contained herein, intending to be legally bound, hereby agree that the Employment Agreement is hereby amended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1 and 2 of the Employment Agreement are hereby deleted and replaced in their entirety with the following: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EMPLOYMENT.</w:t>
      </w:r>
      <w:r>
        <w:rPr>
          <w:rFonts w:ascii="Times New Roman;Times;Serif" w:hAnsi="Times New Roman;Times;Serif"/>
          <w:b w:val="false"/>
          <w:i w:val="false"/>
          <w:caps w:val="false"/>
          <w:smallCaps w:val="false"/>
          <w:sz w:val="20"/>
        </w:rPr>
        <w:t> The Company will employ the Executive as the Chief Accounting Officer of the Company, and the Executive agrees to serve in such capacities and provide his services to the Company on the terms and conditions set forth in this Agreement.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POSITION AND DUTIES.</w:t>
      </w:r>
      <w:r>
        <w:rPr>
          <w:rFonts w:ascii="Times New Roman;Times;Serif" w:hAnsi="Times New Roman;Times;Serif"/>
          <w:b w:val="false"/>
          <w:i w:val="false"/>
          <w:caps w:val="false"/>
          <w:smallCaps w:val="false"/>
          <w:sz w:val="20"/>
        </w:rPr>
        <w:t> On and after the date of this Agreement, the Executive will serve as the Chief Accounting Officer of the Company. The Executive agrees that during the Term (as defined below) he shall dedicate his full business time, attention and energies to performing his duties to the Company, as prescribed by the Chief Executive Office (the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and Chief Financial Officer (the “</w:t>
      </w:r>
      <w:r>
        <w:rPr>
          <w:rFonts w:ascii="Times New Roman;Times;Serif" w:hAnsi="Times New Roman;Times;Serif"/>
          <w:b w:val="false"/>
          <w:i w:val="false"/>
          <w:caps w:val="false"/>
          <w:smallCaps w:val="false"/>
          <w:sz w:val="20"/>
          <w:u w:val="single"/>
        </w:rPr>
        <w:t>CFO</w:t>
      </w:r>
      <w:r>
        <w:rPr>
          <w:rFonts w:ascii="Times New Roman;Times;Serif" w:hAnsi="Times New Roman;Times;Serif"/>
          <w:b w:val="false"/>
          <w:i w:val="false"/>
          <w:caps w:val="false"/>
          <w:smallCaps w:val="false"/>
          <w:sz w:val="20"/>
        </w:rPr>
        <w:t>”). The Executive will manage the accounting affairs of the Company and perform the duties typically assigned to the Chief Accounting Officer of a similarly situated company in the Company’s industry. The Executive shall also perform such other reasonable duties as may hereafter be assigned to him by the CEO or CFO, consistent with his abilities and position as the Chief Accounting Officer and providing such further services to the Company as may reasonably be requested of him. The Executive will report to the CEO of the Company, and carry out the financial decisions and otherwise abide by and enforce the lawful rules and policies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Executive shall devote his best business efforts to the business and affairs of the Company and, during the Term, shall observe at all times the covenants regarding non-competition, and confidentiality provided in </w:t>
      </w:r>
      <w:r>
        <w:rPr>
          <w:rFonts w:ascii="Times New Roman;Times;Serif" w:hAnsi="Times New Roman;Times;Serif"/>
          <w:b w:val="false"/>
          <w:i w:val="false"/>
          <w:caps w:val="false"/>
          <w:smallCaps w:val="false"/>
          <w:sz w:val="20"/>
          <w:u w:val="single"/>
        </w:rPr>
        <w:t>Sections 5,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9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4(a)-(b) of the Employment Agreement are hereby deleted and replaced in their entirety with the following:</w:t>
      </w:r>
    </w:p>
    <w:p>
      <w:pPr>
        <w:pStyle w:val="TextBody"/>
        <w:spacing w:before="0" w:after="0"/>
        <w:ind w:left="0" w:right="0" w:firstLine="792"/>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COMPENSATION AND BENEFITS</w:t>
      </w:r>
      <w:r>
        <w:rPr>
          <w:rFonts w:ascii="Times New Roman;Times;Serif" w:hAnsi="Times New Roman;Times;Serif"/>
          <w:b w:val="false"/>
          <w:i w:val="false"/>
          <w:caps w:val="false"/>
          <w:smallCaps w:val="false"/>
          <w:sz w:val="20"/>
        </w:rPr>
        <w:t>.</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At the Effective Date, the Executive’s annual base salary shall be two hundred seventy five thousand dollars ($275,000) per year, which shall be paid bi-weekly by the Company to the Executive in accordance with the Company’s customary payroll practices, subject to customary withholding as required by applicable law. This annual base salary shall be reviewed by the CEO periodically, and the CEO may increase the Executive’s annual base salary from time to time as the CEO deems to be appropriate subject to performance and market conditions. The Executive’s salary will not be reduced without Executive’s prior written consent except that the Board may, in its sole discretion, reduce Executive’s base salary in connection with a salary reduction applicable to all Company senior executive officers in substantially the same proportions.</w:t>
      </w:r>
    </w:p>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Annual Incentive Compensation</w:t>
      </w:r>
      <w:r>
        <w:rPr>
          <w:rFonts w:ascii="Times New Roman;Times;Serif" w:hAnsi="Times New Roman;Times;Serif"/>
          <w:b w:val="false"/>
          <w:i w:val="false"/>
          <w:caps w:val="false"/>
          <w:smallCaps w:val="false"/>
          <w:sz w:val="20"/>
        </w:rPr>
        <w:t>. During the Term, the Executive shall be eligible for an annual performance bonus of up to thirty-five percent (35%) of the Executive’s annual base salary, based on goals and other conditions as the Board (or duly authorized committee thereof), shall determine in its sole discretion on an annual basis (the “</w:t>
      </w:r>
      <w:r>
        <w:rPr>
          <w:rFonts w:ascii="Times New Roman;Times;Serif" w:hAnsi="Times New Roman;Times;Serif"/>
          <w:b w:val="false"/>
          <w:i w:val="false"/>
          <w:caps w:val="false"/>
          <w:smallCaps w:val="false"/>
          <w:sz w:val="20"/>
          <w:u w:val="single"/>
        </w:rPr>
        <w:t>Annual Performance Bonus</w:t>
      </w:r>
      <w:r>
        <w:rPr>
          <w:rFonts w:ascii="Times New Roman;Times;Serif" w:hAnsi="Times New Roman;Times;Serif"/>
          <w:b w:val="false"/>
          <w:i w:val="false"/>
          <w:caps w:val="false"/>
          <w:smallCaps w:val="false"/>
          <w:sz w:val="20"/>
        </w:rPr>
        <w:t>”). The Annual Performance Bonus will be payable in the form of cash or fully-vested shares of the Company’s common stock, or a combination thereof, at the Board’s (or duly authorized committee thereof), discretion, in any case to be paid or delivered as soon as practicable after the end of the year in which it is earned and in any event not more than ninety (90) days after the end of such year. Payment of the Annual Performance Bonus shall be expressly conditioned upon Executive’s employment with the Company on the date that the Annual Performance Bonus is paid, except as provided in Section 9(b) and Section 10(a) below</w:t>
      </w:r>
    </w:p>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9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Section 9 of the Employment Agreement is hereby amended to read as follows in its entirety:</w:t>
      </w:r>
    </w:p>
    <w:p>
      <w:pPr>
        <w:pStyle w:val="TextBody"/>
        <w:spacing w:before="0" w:after="0"/>
        <w:ind w:left="792" w:right="0" w:hanging="0"/>
        <w:jc w:val="both"/>
        <w:rPr>
          <w:caps w:val="false"/>
          <w:smallCaps w:val="false"/>
        </w:rPr>
      </w:pPr>
      <w:r>
        <w:rPr>
          <w:caps w:val="false"/>
          <w:smallCaps w:val="false"/>
        </w:rPr>
        <w:t> </w:t>
      </w:r>
    </w:p>
    <w:p>
      <w:pPr>
        <w:pStyle w:val="TextBody"/>
        <w:shd w:fill="FFFFFF" w:val="clear"/>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SEVERANCE PAY</w:t>
      </w:r>
      <w:r>
        <w:rPr>
          <w:rFonts w:ascii="Times New Roman;Times;Serif" w:hAnsi="Times New Roman;Times;Serif"/>
          <w:b w:val="false"/>
          <w:i w:val="false"/>
          <w:caps w:val="false"/>
          <w:smallCaps w:val="false"/>
          <w:sz w:val="20"/>
        </w:rPr>
        <w:t>.</w:t>
      </w:r>
    </w:p>
    <w:p>
      <w:pPr>
        <w:pStyle w:val="TextBody"/>
        <w:shd w:fill="FFFFFF" w:val="clear"/>
        <w:spacing w:before="0" w:after="0"/>
        <w:ind w:left="792" w:right="0" w:hanging="0"/>
        <w:jc w:val="both"/>
        <w:rPr>
          <w:caps w:val="false"/>
          <w:smallCaps w:val="false"/>
        </w:rPr>
      </w:pPr>
      <w:r>
        <w:rPr>
          <w:caps w:val="false"/>
          <w:smallCaps w:val="false"/>
        </w:rPr>
        <w:t> </w:t>
      </w:r>
    </w:p>
    <w:p>
      <w:pPr>
        <w:pStyle w:val="TextBody"/>
        <w:shd w:fill="FFFFFF" w:val="clear"/>
        <w:spacing w:before="0" w:after="0"/>
        <w:ind w:left="151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the Executive’s employment with the Company is terminated by the Company during the Term for Cause (as defined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above), or by the Executive other than for Good Reason (as defined in </w:t>
      </w:r>
      <w:r>
        <w:rPr>
          <w:rFonts w:ascii="Times New Roman;Times;Serif" w:hAnsi="Times New Roman;Times;Serif"/>
          <w:b w:val="false"/>
          <w:i w:val="false"/>
          <w:caps w:val="false"/>
          <w:smallCaps w:val="false"/>
          <w:sz w:val="20"/>
          <w:u w:val="single"/>
        </w:rPr>
        <w:t>Section 8(e)</w:t>
      </w:r>
      <w:r>
        <w:rPr>
          <w:rFonts w:ascii="Times New Roman;Times;Serif" w:hAnsi="Times New Roman;Times;Serif"/>
          <w:b w:val="false"/>
          <w:i w:val="false"/>
          <w:caps w:val="false"/>
          <w:smallCaps w:val="false"/>
          <w:sz w:val="20"/>
        </w:rPr>
        <w:t xml:space="preserve"> above), the compensation and benefits the Executive shall be entitled to receive from the Company shall be limited to:</w:t>
      </w:r>
    </w:p>
    <w:p>
      <w:pPr>
        <w:pStyle w:val="TextBody"/>
        <w:shd w:fill="FFFFFF" w:val="clear"/>
        <w:spacing w:before="0" w:after="0"/>
        <w:ind w:left="792" w:right="0" w:hanging="0"/>
        <w:jc w:val="both"/>
        <w:rPr>
          <w:caps w:val="false"/>
          <w:smallCaps w:val="false"/>
        </w:rPr>
      </w:pPr>
      <w:r>
        <w:rPr>
          <w:caps w:val="false"/>
          <w:smallCaps w:val="false"/>
        </w:rPr>
        <w:t> </w:t>
      </w:r>
    </w:p>
    <w:p>
      <w:pPr>
        <w:pStyle w:val="TextBody"/>
        <w:shd w:fill="FFFFFF" w:val="clear"/>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his then-current annual base salary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through the date of termination, payable in accordance with the Company’s standard payroll practices;</w:t>
      </w:r>
    </w:p>
    <w:p>
      <w:pPr>
        <w:pStyle w:val="TextBody"/>
        <w:shd w:fill="FFFFFF" w:val="clear"/>
        <w:spacing w:before="0" w:after="0"/>
        <w:ind w:left="792" w:right="0" w:hanging="0"/>
        <w:jc w:val="both"/>
        <w:rPr>
          <w:caps w:val="false"/>
          <w:smallCaps w:val="false"/>
        </w:rPr>
      </w:pPr>
      <w:r>
        <w:rPr>
          <w:caps w:val="false"/>
          <w:smallCaps w:val="false"/>
        </w:rPr>
        <w:t> </w:t>
      </w:r>
    </w:p>
    <w:p>
      <w:pPr>
        <w:pStyle w:val="TextBody"/>
        <w:shd w:fill="FFFFFF" w:val="clear"/>
        <w:spacing w:before="0" w:after="0"/>
        <w:ind w:left="22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reimbursable expenses for which the Executive has not yet been reimbursed as of the date of termination; and</w:t>
      </w:r>
    </w:p>
    <w:p>
      <w:pPr>
        <w:pStyle w:val="TextBody"/>
        <w:shd w:fill="FFFFFF" w:val="clear"/>
        <w:spacing w:before="0" w:after="0"/>
        <w:ind w:left="2232" w:right="0" w:hanging="0"/>
        <w:jc w:val="both"/>
        <w:rPr>
          <w:caps w:val="false"/>
          <w:smallCaps w:val="false"/>
        </w:rPr>
      </w:pPr>
      <w:r>
        <w:rPr>
          <w:caps w:val="false"/>
          <w:smallCaps w:val="false"/>
        </w:rPr>
        <w:t> </w:t>
      </w:r>
    </w:p>
    <w:p>
      <w:pPr>
        <w:pStyle w:val="TextBody"/>
        <w:shd w:fill="FFFFFF" w:val="clear"/>
        <w:spacing w:before="0" w:after="0"/>
        <w:ind w:left="22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other rights and vested benefits (if any) provided under employee benefit plans and programs of the Company, determined in accordance with the applicable terms and provisions of such plans and programs.</w:t>
      </w:r>
    </w:p>
    <w:p>
      <w:pPr>
        <w:pStyle w:val="TextBody"/>
        <w:shd w:fill="FFFFFF" w:val="clear"/>
        <w:spacing w:before="0" w:after="0"/>
        <w:ind w:left="1512"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annual performance bonus under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xml:space="preserve"> earned for a prior year but not yet paid by the Company shall be forfeited if the Executive’s employment with the Company is terminated by the Company for Cause or is terminated by the Executive for other than Good Reason. If the Executive’s employment with the Company is terminated during the Term due to death or Disability, in addition to the amounts in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the Executive shall also be entitled to receive any annual performance bonus that, as of the date of termination, has been earned by the Executive but has not yet been paid by the Company to the Executive with such payments being made in the form determined by the Board as provided in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w:t>
      </w:r>
    </w:p>
    <w:p>
      <w:pPr>
        <w:pStyle w:val="TextBody"/>
        <w:spacing w:before="0" w:after="0"/>
        <w:ind w:left="1512" w:right="0" w:hanging="0"/>
        <w:jc w:val="both"/>
        <w:rPr>
          <w:caps w:val="false"/>
          <w:smallCaps w:val="false"/>
        </w:rPr>
      </w:pPr>
      <w:r>
        <w:rPr>
          <w:caps w:val="false"/>
          <w:smallCaps w:val="false"/>
        </w:rPr>
        <w:t> </w:t>
      </w:r>
    </w:p>
    <w:p>
      <w:pPr>
        <w:pStyle w:val="TextBody"/>
        <w:spacing w:before="0" w:after="0"/>
        <w:ind w:left="151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Executive’s employment with the Company is terminated during the Term, either by the Company without Cause or by the Executive for Good Reason, in addition to the amounts in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the Executive shall also be entitled to receive severance pay equal to twelve (12) months of his annual base salary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at the rate in effect on the date of termination. This severance pay shall be paid to the Executive in cash in a single lump sum payment, within sixty (60)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In addition, the Executive shall also receive upon termination any annual performance bonus that, as of the date of termination, has been earned by the Executive but has not yet been paid by the Company to the Executive for the calendar year prior to the calendar year in which termination occurs. For the calendar year in which termination occurs, Executive shall receive an Annual Performance Bonus payable at the highest performance amount for the pro rata portion of the calendar year Executive served the Company, provided that, the Executive has served a minimum of six months during the calendar year of any termination under this subsection. Any applicable performance bonus is to be paid in such form as provided in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In addition, the Company shall pay the cost for Executive to continue his health insurance benefits under COBRA for a period of twelve (12) months after termination of employment, or the Company will fund an alternative health care insurance plan for the same dollar amount as would be payable under COBRA for such period.</w:t>
      </w:r>
    </w:p>
    <w:p>
      <w:pPr>
        <w:pStyle w:val="TextBody"/>
        <w:spacing w:before="0" w:after="0"/>
        <w:ind w:left="1512" w:right="0" w:hanging="0"/>
        <w:jc w:val="both"/>
        <w:rPr>
          <w:caps w:val="false"/>
          <w:smallCaps w:val="false"/>
        </w:rPr>
      </w:pPr>
      <w:r>
        <w:rPr>
          <w:caps w:val="false"/>
          <w:smallCaps w:val="false"/>
        </w:rPr>
        <w:t> </w:t>
      </w:r>
    </w:p>
    <w:p>
      <w:pPr>
        <w:pStyle w:val="TextBody"/>
        <w:spacing w:before="0" w:after="0"/>
        <w:ind w:left="1512" w:right="0" w:hanging="0"/>
        <w:jc w:val="center"/>
        <w:rPr>
          <w:bdr w:val="single" w:sz="8" w:space="1" w:color="000000"/>
        </w:rPr>
      </w:pPr>
      <w:r>
        <w:rPr>
          <w:bdr w:val="single" w:sz="8" w:space="1" w:color="000000"/>
        </w:rPr>
        <w:t>3 </w:t>
      </w:r>
    </w:p>
    <w:p>
      <w:pPr>
        <w:pStyle w:val="TextBody"/>
        <w:spacing w:before="0" w:after="0"/>
        <w:ind w:left="0" w:right="0" w:hanging="0"/>
        <w:rPr/>
      </w:pPr>
      <w:r>
        <w:rPr/>
        <w:t> </w:t>
      </w:r>
    </w:p>
    <w:p>
      <w:pPr>
        <w:pStyle w:val="TextBody"/>
        <w:spacing w:before="0" w:after="0"/>
        <w:ind w:left="1512"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9"/>
        <w:gridCol w:w="9948"/>
      </w:tblGrid>
      <w:tr>
        <w:trPr/>
        <w:tc>
          <w:tcPr>
            <w:tcW w:w="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pPr>
            <w:r>
              <w:rPr/>
              <w:t>(c)</w:t>
            </w:r>
          </w:p>
        </w:tc>
        <w:tc>
          <w:tcPr>
            <w:tcW w:w="9948" w:type="dxa"/>
            <w:tcBorders/>
            <w:shd w:fill="auto" w:val="clear"/>
            <w:vAlign w:val="center"/>
          </w:tcPr>
          <w:p>
            <w:pPr>
              <w:pStyle w:val="TableContents"/>
              <w:spacing w:before="0" w:after="283"/>
              <w:jc w:val="both"/>
              <w:rPr/>
            </w:pPr>
            <w:r>
              <w:rPr/>
              <w:t>If the Company exercises its right to provide Executive with a termination notice pursuant to Section 3, in addition to the amounts in Subsection (a) of this Section 9, at termination, Executive shall also be entitled to receive severance pay equal to twelve months of his annual base salary at the rate in effect at termination payable in twelve equal monthly payments.</w:t>
            </w:r>
          </w:p>
        </w:tc>
      </w:tr>
    </w:tbl>
    <w:p>
      <w:pPr>
        <w:pStyle w:val="TextBody"/>
        <w:spacing w:before="0" w:after="0"/>
        <w:ind w:left="1512" w:right="0" w:hanging="0"/>
        <w:jc w:val="both"/>
        <w:rPr>
          <w:caps w:val="false"/>
          <w:smallCaps w:val="false"/>
        </w:rPr>
      </w:pPr>
      <w:r>
        <w:rPr>
          <w:caps w:val="false"/>
          <w:smallCaps w:val="false"/>
        </w:rPr>
        <w:t> </w:t>
      </w:r>
    </w:p>
    <w:p>
      <w:pPr>
        <w:pStyle w:val="TextBody"/>
        <w:spacing w:before="0" w:after="0"/>
        <w:ind w:left="151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this Agreement to the contrary, it will be a condition to the Executive’s right to receive any severance benefits under </w:t>
      </w:r>
      <w:r>
        <w:rPr>
          <w:rFonts w:ascii="Times New Roman;Times;Serif" w:hAnsi="Times New Roman;Times;Serif"/>
          <w:b w:val="false"/>
          <w:i w:val="false"/>
          <w:caps w:val="false"/>
          <w:smallCaps w:val="false"/>
          <w:sz w:val="20"/>
          <w:u w:val="single"/>
        </w:rPr>
        <w:t xml:space="preserve">Subsections (b) and (c)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that he execute and deliver the Release to the Company upon his separation from service, and that he does not revoke the Release during the fifteen (15) day period thereafter. Subject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below, the severance payments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will be made no earlier than fifteen (15) days after the Executive has executed, delivered and not revoked the Release as required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spacing w:before="0" w:after="0"/>
        <w:ind w:left="792" w:right="0" w:hanging="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Except as expressly amended by this Amendment, the Employment Agreement shall continue and remain in full force and effect.</w:t>
      </w:r>
    </w:p>
    <w:p>
      <w:pPr>
        <w:pStyle w:val="TextBody"/>
        <w:spacing w:before="0" w:after="0"/>
        <w:ind w:left="792" w:right="0" w:hanging="0"/>
        <w:jc w:val="both"/>
        <w:rPr>
          <w:caps w:val="false"/>
          <w:smallCaps w:val="false"/>
        </w:rPr>
      </w:pPr>
      <w:r>
        <w:rPr>
          <w:caps w:val="false"/>
          <w:smallCaps w:val="false"/>
        </w:rPr>
        <w:t> </w:t>
      </w:r>
    </w:p>
    <w:p>
      <w:pPr>
        <w:pStyle w:val="TextBody"/>
        <w:spacing w:before="0" w:after="0"/>
        <w:ind w:left="792"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4 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 to be effective on the Effective Date, for the purposes herein contained.</w:t>
      </w:r>
    </w:p>
    <w:p>
      <w:pPr>
        <w:pStyle w:val="TextBody"/>
        <w:spacing w:before="0" w:after="0"/>
        <w:ind w:left="0" w:right="0" w:firstLine="720"/>
        <w:jc w:val="both"/>
        <w:rPr>
          <w:caps w:val="false"/>
          <w:smallCaps w:val="false"/>
        </w:rPr>
      </w:pPr>
      <w:r>
        <w:rPr>
          <w:caps w:val="false"/>
          <w:smallCaps w:val="false"/>
        </w:rPr>
        <w:t> </w:t>
      </w:r>
    </w:p>
    <w:tbl>
      <w:tblPr>
        <w:tblW w:w="5454" w:type="dxa"/>
        <w:jc w:val="left"/>
        <w:tblInd w:w="0" w:type="dxa"/>
        <w:tblCellMar>
          <w:top w:w="0" w:type="dxa"/>
          <w:left w:w="0" w:type="dxa"/>
          <w:bottom w:w="0" w:type="dxa"/>
          <w:right w:w="0" w:type="dxa"/>
        </w:tblCellMar>
      </w:tblPr>
      <w:tblGrid>
        <w:gridCol w:w="817"/>
        <w:gridCol w:w="2577"/>
        <w:gridCol w:w="60"/>
        <w:gridCol w:w="1925"/>
        <w:gridCol w:w="75"/>
      </w:tblGrid>
      <w:tr>
        <w:trPr/>
        <w:tc>
          <w:tcPr>
            <w:tcW w:w="3394" w:type="dxa"/>
            <w:gridSpan w:val="2"/>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–Marker Therapeutics, Inc.</w:t>
            </w:r>
          </w:p>
        </w:tc>
        <w:tc>
          <w:tcPr>
            <w:tcW w:w="60" w:type="dxa"/>
            <w:tcBorders/>
            <w:shd w:fill="auto" w:val="clear"/>
            <w:vAlign w:val="center"/>
          </w:tcPr>
          <w:p>
            <w:pPr>
              <w:pStyle w:val="TableContents"/>
              <w:spacing w:before="0" w:after="283"/>
              <w:jc w:val="both"/>
              <w:rPr/>
            </w:pPr>
            <w:r>
              <w:rPr/>
              <w:t> </w:t>
            </w:r>
          </w:p>
        </w:tc>
        <w:tc>
          <w:tcPr>
            <w:tcW w:w="1925" w:type="dxa"/>
            <w:tcBorders/>
            <w:shd w:fill="auto" w:val="clear"/>
            <w:vAlign w:val="center"/>
          </w:tcPr>
          <w:p>
            <w:pPr>
              <w:pStyle w:val="TableContents"/>
              <w:spacing w:before="0" w:after="283"/>
              <w:jc w:val="both"/>
              <w:rPr>
                <w:rFonts w:ascii="Times New Roman;Times;Serif" w:hAnsi="Times New Roman;Times;Serif"/>
                <w:b/>
                <w:sz w:val="17"/>
              </w:rPr>
            </w:pPr>
            <w:r>
              <w:rPr>
                <w:rFonts w:ascii="Times New Roman;Times;Serif" w:hAnsi="Times New Roman;Times;Serif"/>
                <w:b/>
                <w:sz w:val="17"/>
              </w:rPr>
              <w:t>EXECUTIVE</w:t>
            </w:r>
          </w:p>
        </w:tc>
        <w:tc>
          <w:tcPr>
            <w:tcW w:w="75" w:type="dxa"/>
            <w:tcBorders/>
            <w:shd w:fill="auto" w:val="clear"/>
            <w:vAlign w:val="center"/>
          </w:tcPr>
          <w:p>
            <w:pPr>
              <w:pStyle w:val="TableContents"/>
              <w:spacing w:before="0" w:after="283"/>
              <w:jc w:val="both"/>
              <w:rPr/>
            </w:pPr>
            <w:r>
              <w:rPr/>
              <w:t> </w:t>
            </w:r>
          </w:p>
        </w:tc>
      </w:tr>
      <w:tr>
        <w:trPr/>
        <w:tc>
          <w:tcPr>
            <w:tcW w:w="817" w:type="dxa"/>
            <w:tcBorders/>
            <w:shd w:fill="auto" w:val="clear"/>
            <w:vAlign w:val="center"/>
          </w:tcPr>
          <w:p>
            <w:pPr>
              <w:pStyle w:val="TableContents"/>
              <w:spacing w:before="0" w:after="283"/>
              <w:jc w:val="both"/>
              <w:rPr/>
            </w:pPr>
            <w:r>
              <w:rPr/>
              <w:t> </w:t>
            </w:r>
          </w:p>
        </w:tc>
        <w:tc>
          <w:tcPr>
            <w:tcW w:w="2577"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192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817" w:type="dxa"/>
            <w:tcBorders/>
            <w:shd w:fill="auto" w:val="clear"/>
            <w:vAlign w:val="center"/>
          </w:tcPr>
          <w:p>
            <w:pPr>
              <w:pStyle w:val="TableContents"/>
              <w:spacing w:before="0" w:after="283"/>
              <w:jc w:val="both"/>
              <w:rPr/>
            </w:pPr>
            <w:r>
              <w:rPr/>
              <w:t> </w:t>
            </w:r>
          </w:p>
        </w:tc>
        <w:tc>
          <w:tcPr>
            <w:tcW w:w="2577"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192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817"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By:</w:t>
            </w:r>
          </w:p>
        </w:tc>
        <w:tc>
          <w:tcPr>
            <w:tcW w:w="2577"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/s/Peter L. Hoang</w:t>
            </w:r>
          </w:p>
        </w:tc>
        <w:tc>
          <w:tcPr>
            <w:tcW w:w="60" w:type="dxa"/>
            <w:tcBorders/>
            <w:shd w:fill="auto" w:val="clear"/>
            <w:vAlign w:val="center"/>
          </w:tcPr>
          <w:p>
            <w:pPr>
              <w:pStyle w:val="TableContents"/>
              <w:spacing w:before="0" w:after="283"/>
              <w:jc w:val="both"/>
              <w:rPr/>
            </w:pPr>
            <w:r>
              <w:rPr/>
              <w:t> </w:t>
            </w:r>
          </w:p>
        </w:tc>
        <w:tc>
          <w:tcPr>
            <w:tcW w:w="1925"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/s/Michael J. Loiacono</w:t>
            </w:r>
          </w:p>
        </w:tc>
        <w:tc>
          <w:tcPr>
            <w:tcW w:w="75" w:type="dxa"/>
            <w:tcBorders/>
            <w:shd w:fill="auto" w:val="clear"/>
            <w:vAlign w:val="center"/>
          </w:tcPr>
          <w:p>
            <w:pPr>
              <w:pStyle w:val="TableContents"/>
              <w:spacing w:before="0" w:after="283"/>
              <w:jc w:val="both"/>
              <w:rPr/>
            </w:pPr>
            <w:r>
              <w:rPr/>
              <w:t> </w:t>
            </w:r>
          </w:p>
        </w:tc>
      </w:tr>
      <w:tr>
        <w:trPr/>
        <w:tc>
          <w:tcPr>
            <w:tcW w:w="817"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 xml:space="preserve">Name: </w:t>
            </w:r>
          </w:p>
        </w:tc>
        <w:tc>
          <w:tcPr>
            <w:tcW w:w="2577"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Peter L. Hoang</w:t>
            </w:r>
          </w:p>
        </w:tc>
        <w:tc>
          <w:tcPr>
            <w:tcW w:w="60" w:type="dxa"/>
            <w:tcBorders/>
            <w:shd w:fill="auto" w:val="clear"/>
            <w:vAlign w:val="center"/>
          </w:tcPr>
          <w:p>
            <w:pPr>
              <w:pStyle w:val="TableContents"/>
              <w:spacing w:before="0" w:after="283"/>
              <w:jc w:val="both"/>
              <w:rPr/>
            </w:pPr>
            <w:r>
              <w:rPr/>
              <w:t> </w:t>
            </w:r>
          </w:p>
        </w:tc>
        <w:tc>
          <w:tcPr>
            <w:tcW w:w="1925"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Name: Michael J. Loiacono</w:t>
            </w:r>
          </w:p>
        </w:tc>
        <w:tc>
          <w:tcPr>
            <w:tcW w:w="75" w:type="dxa"/>
            <w:tcBorders/>
            <w:shd w:fill="auto" w:val="clear"/>
            <w:vAlign w:val="center"/>
          </w:tcPr>
          <w:p>
            <w:pPr>
              <w:pStyle w:val="TableContents"/>
              <w:spacing w:before="0" w:after="283"/>
              <w:jc w:val="both"/>
              <w:rPr/>
            </w:pPr>
            <w:r>
              <w:rPr/>
              <w:t> </w:t>
            </w:r>
          </w:p>
        </w:tc>
      </w:tr>
      <w:tr>
        <w:trPr/>
        <w:tc>
          <w:tcPr>
            <w:tcW w:w="817"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 xml:space="preserve">Title: </w:t>
            </w:r>
          </w:p>
        </w:tc>
        <w:tc>
          <w:tcPr>
            <w:tcW w:w="2577"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Chief Executive Officer</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to Employment Agreement]</w:t>
      </w:r>
    </w:p>
    <w:p>
      <w:pPr>
        <w:pStyle w:val="TextBody"/>
        <w:spacing w:before="0" w:after="0"/>
        <w:ind w:left="0" w:right="0" w:hanging="0"/>
        <w:rPr>
          <w:bdr w:val="single" w:sz="8" w:space="1" w:color="000000"/>
        </w:rPr>
      </w:pPr>
      <w:r>
        <w:rPr>
          <w:bdr w:val="single" w:sz="8" w:space="1" w:color="000000"/>
        </w:rPr>
        <w:t> </w:t>
      </w:r>
      <w:r>
        <w:br w:type="page"/>
      </w:r>
    </w:p>
    <w:p>
      <w:pPr>
        <w:pStyle w:val="TextBody"/>
        <w:jc w:val="right"/>
        <w:rPr>
          <w:b/>
        </w:rPr>
      </w:pPr>
      <w:bookmarkStart w:id="4" w:name="tv508378_ex10-3.htm"/>
      <w:bookmarkStart w:id="5" w:name="kstv508378_ex103"/>
      <w:bookmarkEnd w:id="4"/>
      <w:bookmarkEnd w:id="5"/>
      <w:r>
        <w:rPr>
          <w:b/>
        </w:rPr>
        <w:t>Exhibit 10.3</w:t>
      </w:r>
    </w:p>
    <w:p>
      <w:pPr>
        <w:pStyle w:val="TextBody"/>
        <w:rPr/>
      </w:pPr>
      <w:r>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MARKER THERAPEUTICS, INC.</w:t>
        <w:br/>
        <w:br/>
        <w:t>EMPLOYMENT AGREEMENT</w:t>
      </w:r>
    </w:p>
    <w:p>
      <w:pPr>
        <w:pStyle w:val="TextBody"/>
        <w:spacing w:before="0" w:after="0"/>
        <w:ind w:left="0" w:right="0" w:hanging="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dated as of November 27, 2018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by and between Marker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having offices at 3200 Southwest Freeway #2240, Houston, Texas 77027 and at 5 W Forsyth St, Jacksonville, FL 32202 (the “</w:t>
      </w:r>
      <w:r>
        <w:rPr>
          <w:rFonts w:ascii="Times New Roman;Times;Serif" w:hAnsi="Times New Roman;Times;Serif"/>
          <w:b/>
          <w:i w:val="false"/>
          <w:caps w:val="false"/>
          <w:smallCaps w:val="false"/>
          <w:sz w:val="20"/>
        </w:rPr>
        <w:t>Company Premises</w:t>
      </w:r>
      <w:r>
        <w:rPr>
          <w:rFonts w:ascii="Times New Roman;Times;Serif" w:hAnsi="Times New Roman;Times;Serif"/>
          <w:b w:val="false"/>
          <w:i w:val="false"/>
          <w:caps w:val="false"/>
          <w:smallCaps w:val="false"/>
          <w:sz w:val="20"/>
        </w:rPr>
        <w:t>”) and Anthony H. Kim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employ Executive as its Chief Financial Officer and to provide Executive with certain compensation and benefits in return for Executive’s services, and Executive agrees to be retained by the Company in such capacity and to receive the compensation and benefits on the terms and conditions set forth herein;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Executive desire to enter into this Employment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effective as of the Effective Date in order to memorialize the terms and conditions of Executive’s employment by the Company upon and following the Effective Date;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Executive’s agreement to and compliance with the provisions in Sections 9 through 11 of this Agreement are a material factor, material inducement and material condition to the Company’s entering into this Agreement. Moreover, Executive acknowledges that a substantial portion of the value of the employment of Executive is Executive’s promises to refrain from competing with the Company as identified in Sections 9 through 11 of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mutual covenants contained herein and for other good and valuable consideration, the parties agree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At-Will Employment</w:t>
      </w:r>
      <w:r>
        <w:rPr>
          <w:rFonts w:ascii="Times New Roman;Times;Serif" w:hAnsi="Times New Roman;Times;Serif"/>
          <w:b w:val="false"/>
          <w:i w:val="false"/>
          <w:caps w:val="false"/>
          <w:smallCaps w:val="false"/>
          <w:sz w:val="20"/>
        </w:rPr>
        <w:t>. The Company and Executive acknowledge that either party has the right to terminate Executive’s employment with the Company at any time for any reason whatsoever, with or without cause, subject to the provisions of Section 6 and 7 herein. This at-will employment relationship cannot be changed except in a writing signed by both Executive and the Board of Directors of the Company (or a duly authorized committee thereof, if applicable)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Any rights of Executive to additional payments or other benefits from the Company upon any such termination of employment shall be governed by Section 7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t>. Executive shall serve as the Chief Financial Officer of the Company with the responsibilities, rights, authority and duties pertaining to such offices as are established from time to time by the Chief Executive Officer of the Company, and Executive shall report to the Chief Executive Officer of the Company. Executive shall also act as an officer and/or director and/or manager of such Affiliates of the Company as may be designated by the Chief Executive Officer of the Company from time to time, commensurate with Executive’s office, all without further compensation, other than as provided in this Agreement. As used herein,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entity that directly or indirectly controls, is controlled by, or is under common control with,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 Executive will devote substantially all of his business time and best efforts to the performance of his duties hereunder; provided, however, that Executive shall be allowed, to the extent that such activities do not interfere with the performance of his duties and responsibilities hereunder and do not conflict with the financial, fiduciary or other interests of the Company (or its Affiliates), as determined in the sole discretion of the Chief Executive Officer of the Company, to manage his passive personal investments and to serve on corporate, civic, charitable and industry boards or committees. Notwithstanding the foregoing, Executive agrees that he shall only serve on for-profit boards of directors or for-profit advisory committees if such service is approved in advance in the sole discretion of the Chief Executive Officer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During Executive’s employment with the Company, effective as of the Effective Date, the Company shall pay Executive a base salary at the annual rate of Three Hundred Seventy-Five thousand dollars ($375,000), less payroll deductions and withholdings, which shall be payable in accordance with the standard payroll practices of the Company. Executive’s base salary shall be subject to periodic review and adjustment by the Board from time to time in the discretion of the Board.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Annual Performance Bonus</w:t>
      </w:r>
      <w:r>
        <w:rPr>
          <w:rFonts w:ascii="Times New Roman;Times;Serif" w:hAnsi="Times New Roman;Times;Serif"/>
          <w:b w:val="false"/>
          <w:i w:val="false"/>
          <w:caps w:val="false"/>
          <w:smallCaps w:val="false"/>
          <w:sz w:val="20"/>
        </w:rPr>
        <w:t>. For each calendar year, Executive shall be eligible to receive an annual performance bonus (“</w:t>
      </w:r>
      <w:r>
        <w:rPr>
          <w:rFonts w:ascii="Times New Roman;Times;Serif" w:hAnsi="Times New Roman;Times;Serif"/>
          <w:b/>
          <w:i w:val="false"/>
          <w:caps w:val="false"/>
          <w:smallCaps w:val="false"/>
          <w:sz w:val="20"/>
        </w:rPr>
        <w:t>Annual Performance Bonus</w:t>
      </w:r>
      <w:r>
        <w:rPr>
          <w:rFonts w:ascii="Times New Roman;Times;Serif" w:hAnsi="Times New Roman;Times;Serif"/>
          <w:b w:val="false"/>
          <w:i w:val="false"/>
          <w:caps w:val="false"/>
          <w:smallCaps w:val="false"/>
          <w:sz w:val="20"/>
        </w:rPr>
        <w:t>”) from the Company, with the target amount of such bonus equal to forty percent (40%) of Executive’s annual base salary. The Annual Performance Bonus will be based on achievement of individual and/or Company goals which are established by the Board (or duly authorized committee thereof), in its sole discretion at the beginning of each calendar year. Following the close of each calendar year, the Board (or duly authorized committee thereof), will determine whether Executive has earned an Annual Performance Bonus, and the amount of any such bonus. Payment of the Annual Performance Bonus shall be expressly conditioned upon Executive’s employment with the Company on the date that the Annual Performance Bonus is paid, except as provided in Section 7(b) and Section 7(c) below. The Annual Performance Bonus shall be paid within ninety (90) days after the end of the calendar year for which it relates and may be payable in such portion of cash and stock as the Board (or duly authorized committee thereof), shall determine in its sole discretion. Executive’s target Annual Performance Bonus will be subject to periodic review and adjustment by the Board from time to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Executive will be eligible to participate in and receive stock option or equity award grants under the Company’s 2014 Omnibus Stock Ownership Plan, as amended (the “Plan”) from time to time in the discretion of the Board, and in accordance with the terms and conditions of such plans.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Reimbursement of Business Expenses and Commuting</w:t>
      </w:r>
      <w:r>
        <w:rPr>
          <w:rFonts w:ascii="Times New Roman;Times;Serif" w:hAnsi="Times New Roman;Times;Serif"/>
          <w:b w:val="false"/>
          <w:i w:val="false"/>
          <w:caps w:val="false"/>
          <w:smallCaps w:val="false"/>
          <w:sz w:val="20"/>
        </w:rPr>
        <w:t>. The Company shall reimburse Executive for reasonable travel and other business expenses incurred by Executive in the performance of his duties hereunder, in accordance with the Company’s policies as in effect from time to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2 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 xml:space="preserve">Benefits. </w:t>
      </w:r>
      <w:r>
        <w:rPr>
          <w:rFonts w:ascii="Times New Roman;Times;Serif" w:hAnsi="Times New Roman;Times;Serif"/>
          <w:b w:val="false"/>
          <w:i w:val="false"/>
          <w:caps w:val="false"/>
          <w:smallCaps w:val="false"/>
          <w:sz w:val="20"/>
        </w:rPr>
        <w:t>Subject to applicable eligibility requirements, Executive shall be entitled to participate in all benefit plans and arrangements and fringe benefits and programs that may be provided to senior executives of the Company from time to time, subject to plan terms and generally applicable Company policies. Executive is entitled to participate in personal time off and holiday benefits, in accordance with the Company’s policies as in effect from time to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employment of Executive under this Agreement shall terminate upon the earliest to occur of any of the following events: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death of Executive;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termination of Executive’s employment by the Company due to Executive’s Disability pursuant to Section 6(b)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termination of Executive’s employment by Executive other than for Good Reason (as hereinafter defined);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termination of Executive’s employment by the Company without Cause (termination for Cause being defined in Section 6(c) and requiring the Notice of Termination for Cause, if applicable, as described in Section 6(c) and 6(d));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termination of Executive’s employment by the Company for Cause pursuant to Section 6(c) after providing the Notice of Termination for Cause, if applicable, as described in Section 6(c) and Section 6(d);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termination by Executive of Executive’s employment for Good Reason (as hereinafter defined) pursuant to Section 6(e); or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termination of Executive’s employment upon mutual agreement in writing between the Company and Executive.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that Executive has been unable, for ninety (90) consecutive days, or for periods aggregating one hundred and twenty (120) business days in any period of twelve consecutive months, to perform Executive’s duties under this Agreement, as a result of physical or mental impairment, illness or injury, as determined in good faith by the Board. A termination of Executive’s employment for Disability shall be communicated to Executive by written notice, and shall be effective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sending such notice to Executive (the “</w:t>
      </w:r>
      <w:r>
        <w:rPr>
          <w:rFonts w:ascii="Times New Roman;Times;Serif" w:hAnsi="Times New Roman;Times;Serif"/>
          <w:b/>
          <w:i w:val="false"/>
          <w:caps w:val="false"/>
          <w:smallCaps w:val="false"/>
          <w:sz w:val="20"/>
        </w:rPr>
        <w:t>Disability Effective Date</w:t>
      </w:r>
      <w:r>
        <w:rPr>
          <w:rFonts w:ascii="Times New Roman;Times;Serif" w:hAnsi="Times New Roman;Times;Serif"/>
          <w:b w:val="false"/>
          <w:i w:val="false"/>
          <w:caps w:val="false"/>
          <w:smallCaps w:val="false"/>
          <w:sz w:val="20"/>
        </w:rPr>
        <w:t>”), unless Executive returns to performance of Executive’s duties before the Disability Effective 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3 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For purposes of this Agreement, the term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shall mean (i) Executive’s willful misconduct which is demonstrably and materially injurious to the Company’s reputation, financial condition, or business relationships; (ii) the failure of Executive to attempt in good faith to follow the legal written direction of the Board; (iii) the failure by Executive to attempt in good faith to perform the duties required of him hereunder (other than any such failure resulting from incapacity due to physical or mental illness) within ten (10) days after a written demand for substantial performance is delivered to Executive by the Board which specifically identifies the manner in which it is believed that Executive has failed to attempt to perform his duties hereunder; (iv) Executive being convicted of, indicted for, or pleading guilty or nolo contendere to, a felony or any crime involving dishonesty, fraud or moral turpitude; (v) Executive’s dishonesty with regard to the Company or in the performance of his duties hereunder, which in either case has a material adverse effect on the Company; (vi) Executive’s material breach of this Agreement unless corrected by Executive within ten (10) days of the Company’s written notification to Executive of such breach; or, (vii) Executive’s failure to comply in any material respect with the Company’s policies and/or procedures, unless corrected by Executive within ten (10) days of the Company’s written notification to Executive of such breach.</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Termination for Cause</w:t>
      </w:r>
      <w:r>
        <w:rPr>
          <w:rFonts w:ascii="Times New Roman;Times;Serif" w:hAnsi="Times New Roman;Times;Serif"/>
          <w:b w:val="false"/>
          <w:i w:val="false"/>
          <w:caps w:val="false"/>
          <w:smallCaps w:val="false"/>
          <w:sz w:val="20"/>
        </w:rPr>
        <w:t>. Notice of Termination for Cause shall mean a written notice to Executive that shall indicate the specific termination provision in Section 6(c) relied upon and shall set forth in reasonable detail the facts and circumstances which provide a basis for Termination for Cause.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by Executive for Good Reason</w:t>
      </w:r>
      <w:r>
        <w:rPr>
          <w:rFonts w:ascii="Times New Roman;Times;Serif" w:hAnsi="Times New Roman;Times;Serif"/>
          <w:b w:val="false"/>
          <w:i w:val="false"/>
          <w:caps w:val="false"/>
          <w:smallCaps w:val="false"/>
          <w:sz w:val="20"/>
        </w:rPr>
        <w:t>. Executive may terminate Executive’s employment with the Company by resigning from employment with the Company for Good Reason. The term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shall mean the occurrence, without Executive’s prior written consent, of any one or more of the following: (i) a material reduction in Executive’s base salary; (ii) a material reduction in Executive’s authority, duties or responsibilities; (iii) a relocation of Executive’s principal place of employment with the Company (or its successor, if applicable) to a place that increases Executive’s one-way commute by more than fifty (50) miles as compared to Executive’s then-current principal place of employment immediately prior to such relocation, except for required travel by Executive on the Company’s business to an extent substantially consistent with Executive’s business travel obligations prior to such relocation; or (iv) any other action or inaction that constitutes a material breach by the Company (or its successor, if applicable) of any material provision of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resignation for Good Reason shall be effective unless (1) Executive provides written notice, within ninety (90) days after the first occurrence of the event giving rise to Good Reason, to the Chairman of the Board setting forth in reasonable detail the material facts constituting Good Reason and the reasonable steps Executive believes necessary to cure, (2) the Company has had thirty (30) business days from the date of such notice to cure any such occurrence otherwise constituting Good Reason, and (3) if such event is not reasonably cured within such period, Executive must resign from all positions Executive then holds with the Company (including any position as a member of the Board) effective not later than ninety (90) days after the expiration of the cure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Consequences of Termination of Employment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If Executive’s employment is terminated for any reason or no reason, the Company shall pay to Executive or to Executive’s legal representatives, if applicable: (i) any base salary earned, but unpaid; and, (ii) any unreimbursed business expenses payable pursuant to Section 4 hereof and any accrued but unused personal time off benefits and any other payments or benefits required by applicable law (collectively “</w:t>
      </w:r>
      <w:r>
        <w:rPr>
          <w:rFonts w:ascii="Times New Roman;Times;Serif" w:hAnsi="Times New Roman;Times;Serif"/>
          <w:b/>
          <w:i w:val="false"/>
          <w:caps w:val="false"/>
          <w:smallCaps w:val="false"/>
          <w:sz w:val="20"/>
        </w:rPr>
        <w:t>Accrued Amounts</w:t>
      </w:r>
      <w:r>
        <w:rPr>
          <w:rFonts w:ascii="Times New Roman;Times;Serif" w:hAnsi="Times New Roman;Times;Serif"/>
          <w:b w:val="false"/>
          <w:i w:val="false"/>
          <w:caps w:val="false"/>
          <w:smallCaps w:val="false"/>
          <w:sz w:val="20"/>
        </w:rPr>
        <w:t>”), which amounts shall be promptly paid in a lump sum to Executive, or in the case of Executive’s death to Executive’s estate. Other than the Accrued Amounts, Executive or Executive’s legal representatives shall not be entitled to any additional compensation or benefits if Executive’s employment is terminated for any reason other than by reason of Executive’s Involuntary Termination (as defined in Section 7(b) below). If Executive’s employment terminates due to an Involuntary Termination, Executive will be eligible to receive the additional compensation and benefits described in Section 7(b) and 7(c), as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4 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Involuntary Termination</w:t>
      </w:r>
      <w:r>
        <w:rPr>
          <w:rFonts w:ascii="Times New Roman;Times;Serif" w:hAnsi="Times New Roman;Times;Serif"/>
          <w:b w:val="false"/>
          <w:i w:val="false"/>
          <w:caps w:val="false"/>
          <w:smallCaps w:val="false"/>
          <w:sz w:val="20"/>
        </w:rPr>
        <w:t>. If (1) Executive’s employment with the Company is terminated by the Company without Cause (and other than as a result of Executive’s death or Disability) or (2) Executive terminates employment for Good Reason, and provided in any case such termination constitutes a “separation from service”, as defined under Treasury Regulation Section 1.409A-1(h)) (a “</w:t>
      </w:r>
      <w:r>
        <w:rPr>
          <w:rFonts w:ascii="Times New Roman;Times;Serif" w:hAnsi="Times New Roman;Times;Serif"/>
          <w:b/>
          <w:i w:val="false"/>
          <w:caps w:val="false"/>
          <w:smallCaps w:val="false"/>
          <w:sz w:val="20"/>
        </w:rPr>
        <w:t>Separation from Service</w:t>
      </w:r>
      <w:r>
        <w:rPr>
          <w:rFonts w:ascii="Times New Roman;Times;Serif" w:hAnsi="Times New Roman;Times;Serif"/>
          <w:b w:val="false"/>
          <w:i w:val="false"/>
          <w:caps w:val="false"/>
          <w:smallCaps w:val="false"/>
          <w:sz w:val="20"/>
        </w:rPr>
        <w:t>”) (such termination described in (1) or (2), an “</w:t>
      </w:r>
      <w:r>
        <w:rPr>
          <w:rFonts w:ascii="Times New Roman;Times;Serif" w:hAnsi="Times New Roman;Times;Serif"/>
          <w:b/>
          <w:i w:val="false"/>
          <w:caps w:val="false"/>
          <w:smallCaps w:val="false"/>
          <w:sz w:val="20"/>
        </w:rPr>
        <w:t>Involuntary Termination</w:t>
      </w:r>
      <w:r>
        <w:rPr>
          <w:rFonts w:ascii="Times New Roman;Times;Serif" w:hAnsi="Times New Roman;Times;Serif"/>
          <w:b w:val="false"/>
          <w:i w:val="false"/>
          <w:caps w:val="false"/>
          <w:smallCaps w:val="false"/>
          <w:sz w:val="20"/>
        </w:rPr>
        <w:t>”), in addition to the Accrued Amounts, Executive shall be entitled to receive the severance benefits described below in this Section 7(b), subject in all events to Executive’s compliance with Section 7(d)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shall receive continued payment of Executive’s Base Salary (as defined below) for the first twelve (12) months after the date of such termination (the “</w:t>
      </w:r>
      <w:r>
        <w:rPr>
          <w:rFonts w:ascii="Times New Roman;Times;Serif" w:hAnsi="Times New Roman;Times;Serif"/>
          <w:b/>
          <w:i w:val="false"/>
          <w:caps w:val="false"/>
          <w:smallCaps w:val="false"/>
          <w:sz w:val="20"/>
        </w:rPr>
        <w:t>Severance Period</w:t>
      </w:r>
      <w:r>
        <w:rPr>
          <w:rFonts w:ascii="Times New Roman;Times;Serif" w:hAnsi="Times New Roman;Times;Serif"/>
          <w:b w:val="false"/>
          <w:i w:val="false"/>
          <w:caps w:val="false"/>
          <w:smallCaps w:val="false"/>
          <w:sz w:val="20"/>
        </w:rPr>
        <w:t>”), paid over the Company’s regular payroll schedule.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 lump sum amount equal to Executive’s target Annual Performance Bonus for the year of termination, pro-rated based on the ratio that the number of days from the beginning of the calendar year in which such termination occurs through the date of termination bears to 365 (the “</w:t>
      </w:r>
      <w:r>
        <w:rPr>
          <w:rFonts w:ascii="Times New Roman;Times;Serif" w:hAnsi="Times New Roman;Times;Serif"/>
          <w:b/>
          <w:i w:val="false"/>
          <w:caps w:val="false"/>
          <w:smallCaps w:val="false"/>
          <w:sz w:val="20"/>
        </w:rPr>
        <w:t>Bonus Payment</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Executive is eligible for and timely elects to continue the health insurance coverage under the Company’s group health plans under the Consolidated Omnibus Budget Reconciliation Act of 1985 or the state equivalent (“</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following Executive’s termination date, the Company will pay the COBRA group health insurance premiums for Executive and Executive’s eligible dependents until the earliest of (A) the close of the Severance Period, (B) the expiration of Executive’s eligibility for the continuation coverage under COBRA, or (C) the date when Executive becomes eligible for substantially equivalent health insurance coverage in connection with new employment or self-employment. For purposes of this Section, references to COBRA premiums shall not include any amounts payable by Executive under a Section 125 health care reimbursement plan under the Internal Revenue Code of 1986, as amended and the treasury regulations thereunder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Executive elects continued health coverage under COBRA, and in lieu of providing the COBRA premiums, the Company will instead pay Executive on the last day of each remaining month of the Severance Period, a fully taxable cash payment equal to the COBRA premiums for that month, subject to applicable tax withholdings (such amount, the “</w:t>
      </w:r>
      <w:r>
        <w:rPr>
          <w:rFonts w:ascii="Times New Roman;Times;Serif" w:hAnsi="Times New Roman;Times;Serif"/>
          <w:b/>
          <w:i w:val="false"/>
          <w:caps w:val="false"/>
          <w:smallCaps w:val="false"/>
          <w:sz w:val="20"/>
        </w:rPr>
        <w:t>Health Care Benefit Payment</w:t>
      </w:r>
      <w:r>
        <w:rPr>
          <w:rFonts w:ascii="Times New Roman;Times;Serif" w:hAnsi="Times New Roman;Times;Serif"/>
          <w:b w:val="false"/>
          <w:i w:val="false"/>
          <w:caps w:val="false"/>
          <w:smallCaps w:val="false"/>
          <w:sz w:val="20"/>
        </w:rPr>
        <w:t>”). The Health Care Benefit Payment shall be paid in monthly installments on the same schedule that the COBRA premiums would otherwise have been paid and shall be equal to the amount that the Company would have otherwise paid for COBRA premiums, and shall be paid until the earlier of (i) expiration of the Severance Period or (ii) the date Executive voluntarily enrolls in a group health insurance plan offered by another employer or entity.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center"/>
        <w:rPr>
          <w:bdr w:val="single" w:sz="8" w:space="1" w:color="000000"/>
        </w:rPr>
      </w:pPr>
      <w:r>
        <w:rPr>
          <w:bdr w:val="single" w:sz="8" w:space="1" w:color="000000"/>
        </w:rPr>
        <w:t>5 </w:t>
      </w:r>
    </w:p>
    <w:p>
      <w:pPr>
        <w:pStyle w:val="TextBody"/>
        <w:spacing w:before="0" w:after="0"/>
        <w:ind w:left="0" w:right="0" w:hanging="0"/>
        <w:rPr/>
      </w:pPr>
      <w:r>
        <w:rPr/>
        <w:t> </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Involuntary Termination in Connection with a Change in Control</w:t>
      </w:r>
      <w:r>
        <w:rPr>
          <w:rFonts w:ascii="Times New Roman;Times;Serif" w:hAnsi="Times New Roman;Times;Serif"/>
          <w:b w:val="false"/>
          <w:i w:val="false"/>
          <w:caps w:val="false"/>
          <w:smallCaps w:val="false"/>
          <w:sz w:val="20"/>
        </w:rPr>
        <w:t>. In the event that Executive’s Involuntary Termination occurs immediately prior to, on or within the twelve (12) months following the consummation of a Change in Control (as defined in Section 7(e)) and subject in all events to Executive’s compliance with Section 7(d) below, then Executive shall be entitled to the benefits provided above in Section 7(b) (which, for the avoidance of doubt, shall be incorporated into and become part of this Section 7(c)), except that: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Bonus Payment shall equal Executive’s full target Annual Performance Bonus for the year of termination, rather than the pro-rated target bonus;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vesting of all of Executive’s outstanding stock options and other equity awards that are subject to time-based vesting requirements shall accelerate in full such that all such equity awards shall be deemed fully vested as of the date of Executive’s Involuntary Termination.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no event shall Executive be entitled to benefits under both Section 7(b) and this Section 7(c). If Executive is eligible for benefits under both Section 7(b) and this Section 7(c), Executive shall receive the benefits set forth in this Section 7(c) and such benefits will be reduced by any benefits previously provided to Executive under Section 7(b).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Conditions and Timing for Severance Benefits</w:t>
      </w:r>
      <w:r>
        <w:rPr>
          <w:rFonts w:ascii="Times New Roman;Times;Serif" w:hAnsi="Times New Roman;Times;Serif"/>
          <w:b w:val="false"/>
          <w:i w:val="false"/>
          <w:caps w:val="false"/>
          <w:smallCaps w:val="false"/>
          <w:sz w:val="20"/>
        </w:rPr>
        <w:t>. The severance benefits set forth in Section 7(b) and Section 7(c) above are expressly conditioned upon: (i) Executive continuing to comply with Executive’s obligations under this Agreement, including Sections 8 through 11; and (ii) Executive signing and not revoking a general release of legal claims in a form similar to the form attached as Exhibit B hereto, with such changes as are necessary for updates in applicable laws and the circumstances of Executive’s termination (the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xml:space="preserve">”) within the applicable deadline set forth therein and permitting the Release to become effective in accordance with its terms, which must occur no later than the Release Deadline (as defined in Section 14 below). The salary continuation payments described in Section 7(b) will be paid in substantially equal installments on the Company’s regular payroll schedule and subject to standard deductions and withholdings over the Severance Period following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payments will be made prior to the effectiveness of the Release. On the effective date of the Release, the Company will pay Executive the salary continuation payments that Executive would have received on or prior to such date in a lump sum under the original schedule but for the delay while waiting for the effectiveness of the Release, with the balance of the payments being paid as originally scheduled. Bonus Payments described in Section 7(b) and 7(c) will be paid in a lump sum cash payment on the first regular payroll date of the Company following the effective date of the Release, but in no event later than March 15 of the year following the year in which Executive’s termination of employment occurred. All severance benefits described in this Section 7 will be subject to all applicable standard required deductions and withholdings.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6 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xml:space="preserve"> means Executive’s annual base salary in effect immediately prior to Executive’s termination, excluding any reduction which forms the basis for Executive’s right to resign for Good Reason.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a “Change in Control” as defined in the 2014 Omnibus Stock Ownership Plan, as amended.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as used in this Agreement, includes non-public confidential information provided by or on behalf of the Company to Executive, including but not limited to specialized training, products already developed or that are under development by the Company; research and development materials, electronic databases; computer programs and technologies; marketing and/or scientific studies and analysis; product and pricing knowledge; manufacturing methods; supplier lists and information; any and all information concerning past, present and future customers, referral sources or vendors; contracts and licenses; management structure, company ownership, personnel information (including the performance, skills, abilities and payment of employees); purchasing, accounting and business systems; short and long range business planning; data regarding the Company’s past, current and future financial performance, sales performance, and current and/or future plans to increase the Company’s market share by targeting specific medical issues, demographic and/or geographic markets; standard operating procedures; financial information; trade secrets, copyrights, derivative works, patents, inventions, know-how, and other intellectual property; business policies; submissions to government or regulatory agencies and related information; methods of operation; implementation strategies; promotional information and techniques; marketing presentations; price lists; files or other information; pricing strategies; computer files; samples; customer originals; or any other confidential information concerning the business and affairs of the Company. The Company’s Confidential Information is also comprised of the personal information received from third parties and/or confidential and proprietary information regarding research, products, or clinical trials received from third parties, but only if such confidential information is reduced to writing and marked “Confidential” by the third party. All such confidential information obtained by Executive, whether in writing, any other tangible form of expression or disclosed orally or through visual means or otherwise, and regardless of whether such information bears a confidential or proprietary legend, will be presumed to be Confidential Information. Executive acknowledges that the Confidential Information is vital, valuable, sensitive, confidential and proprietary to Company and provides Company with a competitive advantage. Executive further acknowledges that Company’s Confidential Information is dynamic, and constantly changes in nature and/or quantity, given that Company continues to refine its Confidential Information. The obligations specified in this Section 8 shall not apply, and Executive shall have no further obligations under this Agreement with respect to any Confidential Information that: a) is available to the public at the time of disclosure to Executive or becomes publicly known through no breach of the undertakings hereunder by Executive; b) becomes known to Executive through disclosure by sources other than the Company and its Affiliates, said sources being under no obligation of confidentiality to the Company with respect to such Confidential Information; c) is approved by the Company for release; or d) has been independently developed by Executive without benefit of the Confidential Information and on Executive’s own time and without use of Company resources. Executive understands and agrees that the Company may require him, as a condition to continued employment, to execute and abide by the terms of a standard proprietary information and inventions agreement with the Company which will further set forth the terms of, and prohibit the unauthorized use or disclosure of, the Company’s confidential and proprietary information (the “</w:t>
      </w:r>
      <w:r>
        <w:rPr>
          <w:rFonts w:ascii="Times New Roman;Times;Serif" w:hAnsi="Times New Roman;Times;Serif"/>
          <w:b/>
          <w:i w:val="false"/>
          <w:caps w:val="false"/>
          <w:smallCaps w:val="false"/>
          <w:sz w:val="20"/>
        </w:rPr>
        <w:t>PIIA</w:t>
      </w:r>
      <w:r>
        <w:rPr>
          <w:rFonts w:ascii="Times New Roman;Times;Serif" w:hAnsi="Times New Roman;Times;Serif"/>
          <w:b w:val="false"/>
          <w:i w:val="false"/>
          <w:caps w:val="false"/>
          <w:smallCaps w:val="false"/>
          <w:sz w:val="20"/>
        </w:rPr>
        <w:t>”) and that such PIIA shall become part of this Agreement and Executive’s obligations under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7 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Non-Competition; Non-Solicitation, Etc</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Promises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is entered into pursuant to Executive’s agreement to these non-compete and non-solicitation provisions. Executive’s agreement to the provisions in Sections 9 through 11 is a material condition of the Company’s entering into this Agreement and continued employment of Executive.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agrees to provide Executive with access to Confidential Information and in a greater quantity and/or expanded nature than any such Confidential Information that may have already been provided to Executive and with additional opportunities to broaden the Company’s services and develop the Company’s customers in a manner not previously available to Executive including, but not limited to, information regarding the Company’s products and business plan; research results; information supporting patent applications; and Company standard operating procedures related to the Company’s research and development efforts.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promises that during Executive’s employment with the Company, the Company will provide Executive with the opportunity to develop goodwill and establish rapport with the customer contacts in a greater quantity and/or expanded nature than any such opportunities that may have already been provided to Executive.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promises that Executive will continue to receive and have access to Confidential Information throughout Executive’s employment with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Executive’s Promises</w:t>
      </w:r>
      <w:r>
        <w:rPr>
          <w:rFonts w:ascii="Times New Roman;Times;Serif" w:hAnsi="Times New Roman;Times;Serif"/>
          <w:b w:val="false"/>
          <w:i w:val="false"/>
          <w:caps w:val="false"/>
          <w:smallCaps w:val="false"/>
          <w:sz w:val="20"/>
        </w:rPr>
        <w:t>. In exchange for the Company’s promises listed above and all other consideration provided pursuant to this Agreement, to which these promises are ancillary, Executive promises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will not, during or after Executive’s employment with the Company, use, copy, remove, disclose or disseminate to any person or entity, the Company’s Confidential Information, except (i) as required in the course of performing Executive’s duties with the Company, for the benefit of the Company, or (ii) when required to do so by a court of law, by any governmental agency having supervisory authority over the business of the Company or by any administrative or legislative body (including a committee thereof) with apparent jurisdiction to order Executive to divulge, disclose or make accessible such information, it being understood that Executive will promptly notify the Company of such requirement so that the Company may seek to obtain a protective order.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Following employment termination, Executive will immediately return to the Company all materials created, received or utilized in any way in conjunction with Executive’s work performed with the Company that in any way incorporates, reflects or constitutes Company’s Confidential Information.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center"/>
        <w:rPr>
          <w:bdr w:val="single" w:sz="8" w:space="1" w:color="000000"/>
        </w:rPr>
      </w:pPr>
      <w:r>
        <w:rPr>
          <w:bdr w:val="single" w:sz="8" w:space="1" w:color="000000"/>
        </w:rPr>
        <w:t>8 </w:t>
      </w:r>
    </w:p>
    <w:p>
      <w:pPr>
        <w:pStyle w:val="TextBody"/>
        <w:spacing w:before="0" w:after="0"/>
        <w:ind w:left="0" w:right="0" w:hanging="0"/>
        <w:rPr/>
      </w:pPr>
      <w:r>
        <w:rPr/>
        <w:t> </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Executive acknowledges that the market for the Company’s products, services, and activities is global, and that the products, services and/or activities can be provided anywhere in the world. Executive recognizes that the Company draws its customers and/or clients from around the world because it will seek to file patents and run clinical trials in countries around the world, and sell its product to consumers around the world and/or pharmaceutical companies located around the world. Moreover, Executive recognizes that the Company’s customers may be contacted by telephone, in person, or in writing (including e-mail via the Internet). Executive further acknowledges that due to the international scope of the Company’s customer and client base, the following non-solicitation/non-competition restriction is necessary.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Executive agrees and acknowledges that Executive shall not provide to the Company, either directly or indirectly, access to Confidential Information, as defined in Section 8, from or belonging to a third party that Executive was exposed to or received from said third party prior to the execution date of this Agreement and that is the subject of any confidentiality requirement of any kind between Executive and said third party. Company agrees that: (A) Executive shall be allowed to participate fully in the defense of any such action against Company and in any settlement negotiations, and (B) any payment to Company by Executive under this Section shall be only after any settlement has been consummated or judicial action has become final and non-appealable.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Non-Compete</w:t>
      </w:r>
      <w:r>
        <w:rPr>
          <w:rFonts w:ascii="Times New Roman;Times;Serif" w:hAnsi="Times New Roman;Times;Serif"/>
          <w:b w:val="false"/>
          <w:i w:val="false"/>
          <w:caps w:val="false"/>
          <w:smallCaps w:val="false"/>
          <w:sz w:val="20"/>
        </w:rPr>
        <w:t>. Ancillary to the consideration reflected within this Agreement, the Company and Executive agree to the following non-competition provisions. Executive agrees that during Executive’s employment with the Company and for a period of twelve (12) months following the termination of his employment (“</w:t>
      </w:r>
      <w:r>
        <w:rPr>
          <w:rFonts w:ascii="Times New Roman;Times;Serif" w:hAnsi="Times New Roman;Times;Serif"/>
          <w:b/>
          <w:i w:val="false"/>
          <w:caps w:val="false"/>
          <w:smallCaps w:val="false"/>
          <w:sz w:val="20"/>
        </w:rPr>
        <w:t>Non-Compete Period</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shall not, directly or indirectly, engage in or participate (including, without limitation, as an investor, officer, employee, director, agent, or consultant (any such capacity, being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in or on behalf of any entity engaging in the “</w:t>
      </w:r>
      <w:r>
        <w:rPr>
          <w:rFonts w:ascii="Times New Roman;Times;Serif" w:hAnsi="Times New Roman;Times;Serif"/>
          <w:b/>
          <w:i w:val="false"/>
          <w:caps w:val="false"/>
          <w:smallCaps w:val="false"/>
          <w:sz w:val="20"/>
        </w:rPr>
        <w:t>Company’s Business</w:t>
      </w:r>
      <w:r>
        <w:rPr>
          <w:rFonts w:ascii="Times New Roman;Times;Serif" w:hAnsi="Times New Roman;Times;Serif"/>
          <w:b w:val="false"/>
          <w:i w:val="false"/>
          <w:caps w:val="false"/>
          <w:smallCaps w:val="false"/>
          <w:sz w:val="20"/>
        </w:rPr>
        <w:t>”, said Company’s Business being defined as: non-gene modified multi-antigen specific T cell therapies for the treatment of hematologic malignancies and solid tumors (the “</w:t>
      </w:r>
      <w:r>
        <w:rPr>
          <w:rFonts w:ascii="Times New Roman;Times;Serif" w:hAnsi="Times New Roman;Times;Serif"/>
          <w:b/>
          <w:i w:val="false"/>
          <w:caps w:val="false"/>
          <w:smallCaps w:val="false"/>
          <w:sz w:val="20"/>
        </w:rPr>
        <w:t>Non-Compete Obligations</w:t>
      </w:r>
      <w:r>
        <w:rPr>
          <w:rFonts w:ascii="Times New Roman;Times;Serif" w:hAnsi="Times New Roman;Times;Serif"/>
          <w:b w:val="false"/>
          <w:i w:val="false"/>
          <w:caps w:val="false"/>
          <w:smallCaps w:val="false"/>
          <w:sz w:val="20"/>
        </w:rPr>
        <w:t>”), provided, however, that nothing herein shall prevent him from investing as a less than 5% shareholder in securities of any company listed on a national securities exchange or quoted on an automated quotation system.</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Geographic Limitation</w:t>
      </w:r>
      <w:r>
        <w:rPr>
          <w:rFonts w:ascii="Times New Roman;Times;Serif" w:hAnsi="Times New Roman;Times;Serif"/>
          <w:b w:val="false"/>
          <w:i w:val="false"/>
          <w:caps w:val="false"/>
          <w:smallCaps w:val="false"/>
          <w:sz w:val="20"/>
        </w:rPr>
        <w:t>. The geographic limitation for the Non-Compete Obligations is North America, Europe and Japan;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Executive agrees that Executive’s work for any third party engaged in the Company’s Business during the Non-Compete Period inevitably would lead to Executive’s unauthorized use of Company’s Confidential Information, even if such use is unintentional. Because it would be impossible, as a practical matter, to monitor, restrain, or police Executive’s use of such Confidential Information other than by Executive’s not working for such third party, and because the Company’s Business is highly specialized, the competitors are identifiable, the market for the Company’s product, services, and activities is global, and the Company’s customers are located throughout the world, Executive agrees that restricting such employment as set forth in this Agreement is the narrowest way to protect Company’s legitimate business interests, and the narrowest way of enforcing Executive’s consideration for the receipt of Company’s consideration (namely, Executive’s promise not to use or disclose Confidential Information).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center"/>
        <w:rPr>
          <w:bdr w:val="single" w:sz="8" w:space="1" w:color="000000"/>
        </w:rPr>
      </w:pPr>
      <w:r>
        <w:rPr>
          <w:bdr w:val="single" w:sz="8" w:space="1" w:color="000000"/>
        </w:rPr>
        <w:t>9 </w:t>
      </w:r>
    </w:p>
    <w:p>
      <w:pPr>
        <w:pStyle w:val="TextBody"/>
        <w:spacing w:before="0" w:after="0"/>
        <w:ind w:left="0" w:right="0" w:hanging="0"/>
        <w:rPr/>
      </w:pPr>
      <w:r>
        <w:rPr/>
        <w:t> </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Nonsolicitation of Employees</w:t>
      </w:r>
      <w:r>
        <w:rPr>
          <w:rFonts w:ascii="Times New Roman;Times;Serif" w:hAnsi="Times New Roman;Times;Serif"/>
          <w:b w:val="false"/>
          <w:i w:val="false"/>
          <w:caps w:val="false"/>
          <w:smallCaps w:val="false"/>
          <w:sz w:val="20"/>
        </w:rPr>
        <w:t>. Executive agrees that during the Non-Compete Period, Executive will not, directly or indirectly, (i) induce or solicit any person who was an employee, consultant or independent contractor of the Company or any of its Affiliates, to terminate such individual’s employment or service with the Company or any of its Affiliates or (ii) assist any other person or entity in such activities.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Extension of Non-Solicitation/Non-Competition and Non-Recruitment Periods</w:t>
      </w:r>
      <w:r>
        <w:rPr>
          <w:rFonts w:ascii="Times New Roman;Times;Serif" w:hAnsi="Times New Roman;Times;Serif"/>
          <w:b w:val="false"/>
          <w:i w:val="false"/>
          <w:caps w:val="false"/>
          <w:smallCaps w:val="false"/>
          <w:sz w:val="20"/>
        </w:rPr>
        <w:t>. If Executive is found by a court of competent jurisdiction to have breached any promise made in Section 9 of this Agreement, the periods specified in Section 9(c) of this Agreement shall be extended by one month for every month in which Executive was in breach so that the Company has the full benefit of the time period provided in Section 9(c).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Injunction</w:t>
      </w:r>
      <w:r>
        <w:rPr>
          <w:rFonts w:ascii="Times New Roman;Times;Serif" w:hAnsi="Times New Roman;Times;Serif"/>
          <w:b w:val="false"/>
          <w:i w:val="false"/>
          <w:caps w:val="false"/>
          <w:smallCaps w:val="false"/>
          <w:sz w:val="20"/>
        </w:rPr>
        <w:t>. Executive recognizes that Executive’s services hereunder are of a special, unique, unusual, extraordinary and intellectual character giving them a peculiar value, the loss of which cannot be reasonably or adequately compensated for in damages. Executive acknowledges that if Executive were to leave the employ of the Company for any reason and compete, directly or indirectly, with the Company, or solicit the Company’s employees, or use or disclose, directly or indirectly, the Company’s Confidential Information (whether in tangible form or memorized), that such competition, solicitation, use and/or disclosure would cause the Company irreparable harm and injury for which no adequate remedy at law exists. Executive agrees this Agreement is the narrowest way to protect the Company’s interests. Therefore, in the event of the breach or threatened breach of any of Sections 9 through 11 of this Agreement by Executive, the Company shall be entitled to obtain injunctive relief to enjoin such breach or threatened breach, in addition to all other remedies and alternatives that may be available at law or in equity. Executive acknowledges that the remedies contained in this Agreement for violation of this Agreement are not the exclusive remedies that the Company may pursue.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Inventions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Inventions Retained and Licensed</w:t>
      </w:r>
      <w:r>
        <w:rPr>
          <w:rFonts w:ascii="Times New Roman;Times;Serif" w:hAnsi="Times New Roman;Times;Serif"/>
          <w:b w:val="false"/>
          <w:i w:val="false"/>
          <w:caps w:val="false"/>
          <w:smallCaps w:val="false"/>
          <w:sz w:val="20"/>
        </w:rPr>
        <w:t xml:space="preserve">. Executive has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a list describing all inventions, original works of authorship, derivative works, developments, improvements and trade secrets that (i) were made by Executive prior to his employment with the Company, (ii) belong to Executive, (iii) relate to the Company’s proposed business, products or research and development and (iv) are not assigned to the Company hereunder (collectively, “</w:t>
      </w:r>
      <w:r>
        <w:rPr>
          <w:rFonts w:ascii="Times New Roman;Times;Serif" w:hAnsi="Times New Roman;Times;Serif"/>
          <w:b/>
          <w:i w:val="false"/>
          <w:caps w:val="false"/>
          <w:smallCaps w:val="false"/>
          <w:sz w:val="20"/>
        </w:rPr>
        <w:t>Prior Inventions</w:t>
      </w:r>
      <w:r>
        <w:rPr>
          <w:rFonts w:ascii="Times New Roman;Times;Serif" w:hAnsi="Times New Roman;Times;Serif"/>
          <w:b w:val="false"/>
          <w:i w:val="false"/>
          <w:caps w:val="false"/>
          <w:smallCaps w:val="false"/>
          <w:sz w:val="20"/>
        </w:rPr>
        <w:t>”); or, if no such list is attached, Executive represents that there are no such Prior Inventions. Executive agrees that Executive will not incorporate, or permit to be incorporated, any Prior Invention owned by Executive or in which Executive has an interest into a Company product, process or service without the Company’s prior written consent. Nevertheless, if, in the course of Executive’s employment with the Company, Executive incorporates into a Company product, process or service a Prior Invention owned by Executive or in which Executive has an interest, Executive hereby grants to the Company a nonexclusive, royalty-free, fully paid-up, irrevocable, perpetual, transferable, sublicensable, worldwide license to reproduce, make derivative works of, distribute, perform, display, import, make, have made, modify, use, sell, offer to sell, and exploit in any other way such Prior Invention as part of or in connection with such product, process or service, and to practice any method related thereto.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10 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Assignment of Inventions</w:t>
      </w:r>
      <w:r>
        <w:rPr>
          <w:rFonts w:ascii="Times New Roman;Times;Serif" w:hAnsi="Times New Roman;Times;Serif"/>
          <w:b w:val="false"/>
          <w:i w:val="false"/>
          <w:caps w:val="false"/>
          <w:smallCaps w:val="false"/>
          <w:sz w:val="20"/>
        </w:rPr>
        <w:t>. Executive agrees that Executive will promptly make full written disclosure to the Company, will hold in trust for the sole right and benefit of the Company, and hereby assign to the Company, or its designee, all Executive’s right, title, and interest in and to any and all inventions, original works of authorship, derivative works, developments, concepts, modifications, improvements (including improvements to Confidential Information), designs, discoveries, ideas, know-how, trademarks, trade dress, trade secrets or other intellectual property, whether or not patentable or registrable under copyright or similar laws, which Executive may solely or jointly conceive or develop or reduce to practice, or cause to be conceived or developed or reduced to practice, whether or not reduced to drawings, written descriptions, documentation or other tangible form, as applicable, during the period of time Executive is employed by the Company (collectively, “</w:t>
      </w:r>
      <w:r>
        <w:rPr>
          <w:rFonts w:ascii="Times New Roman;Times;Serif" w:hAnsi="Times New Roman;Times;Serif"/>
          <w:b/>
          <w:i w:val="false"/>
          <w:caps w:val="false"/>
          <w:smallCaps w:val="false"/>
          <w:sz w:val="20"/>
        </w:rPr>
        <w:t>Inventions</w:t>
      </w:r>
      <w:r>
        <w:rPr>
          <w:rFonts w:ascii="Times New Roman;Times;Serif" w:hAnsi="Times New Roman;Times;Serif"/>
          <w:b w:val="false"/>
          <w:i w:val="false"/>
          <w:caps w:val="false"/>
          <w:smallCaps w:val="false"/>
          <w:sz w:val="20"/>
        </w:rPr>
        <w:t>”), except as provided in Section 11(f) below. Executive further acknowledges that all original works of authorship which are made by Executive (solely or jointly with others) within the scope of and during the period of Executive’s employment with the Company and which are protectible by copyright are “works made for hire” as that term is defined in the United States Copyright Act. Executive understands and agrees that the decision whether or not to commercialize or market any Invention is within the Company’s sole discretion and for the Company’s sole benefit and that no royalty will be due to Executive as a result of the Company’s efforts to commercialize or market any such Invention.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Inventions Assigned to the United States</w:t>
      </w:r>
      <w:r>
        <w:rPr>
          <w:rFonts w:ascii="Times New Roman;Times;Serif" w:hAnsi="Times New Roman;Times;Serif"/>
          <w:b w:val="false"/>
          <w:i w:val="false"/>
          <w:caps w:val="false"/>
          <w:smallCaps w:val="false"/>
          <w:sz w:val="20"/>
        </w:rPr>
        <w:t>. Executive agrees to assign to the United States government all Executive’s right, title, and interest in and to any and all Inventions whenever such full title is required to be in the United States by a contract between the Company and the United States or any of its agencies.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Maintenance of Records</w:t>
      </w:r>
      <w:r>
        <w:rPr>
          <w:rFonts w:ascii="Times New Roman;Times;Serif" w:hAnsi="Times New Roman;Times;Serif"/>
          <w:b w:val="false"/>
          <w:i w:val="false"/>
          <w:caps w:val="false"/>
          <w:smallCaps w:val="false"/>
          <w:sz w:val="20"/>
        </w:rPr>
        <w:t>. Executive agrees to keep and maintain adequate and current written records of all Inventions during the term of Executive’s employment with the Company. The records will be in the form of notes, sketches, drawings and any other format that may be specified by the Board. The records will be available to and remain the Company’s sole property at all times.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Patent and Copyright Registrations</w:t>
      </w:r>
      <w:r>
        <w:rPr>
          <w:rFonts w:ascii="Times New Roman;Times;Serif" w:hAnsi="Times New Roman;Times;Serif"/>
          <w:b w:val="false"/>
          <w:i w:val="false"/>
          <w:caps w:val="false"/>
          <w:smallCaps w:val="false"/>
          <w:sz w:val="20"/>
        </w:rPr>
        <w:t>. Executive agrees to assist the Company, or its designee, at the Company’s expense, in every proper way to secure the Company’s rights in any Inventions and any copyrights, patents, mask work rights or other intellectual property rights relating thereto in any and all countries, including, but not limited to, the disclosure to the Company of all pertinent information and data with respect thereto, the execution of all applications, specifications, oaths, declarations, assignments and all other instruments that the Company deems necessary in order to apply for and obtain such rights and in order to assign and convey to the Company, its successors, assigns, and nominees the sole and exclusive rights, title and interest in and to such Inventions, and any copyrights, patents, mask work rights or other intellectual property rights relating thereto. Executive further agrees that Executive’s obligations to execute or cause to be executed, when it is in Executive’s power to do so, any such instrument or papers shall continue after the termination of this Agreement. If the Company is unable because of Executive’s mental or physical incapacity or for any other reason to secure Executive’s signature to apply for or to pursue any application for any United States or foreign patents or copyright registrations covering any Inventions or original works of authorship assigned to the Company as above, then Executive hereby irrevocably designates and appoints the Company and its duly authorized officers and agents as Executive’s agent and attorney in 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11 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Exception to Assignments</w:t>
      </w:r>
      <w:r>
        <w:rPr>
          <w:rFonts w:ascii="Times New Roman;Times;Serif" w:hAnsi="Times New Roman;Times;Serif"/>
          <w:b w:val="false"/>
          <w:i w:val="false"/>
          <w:caps w:val="false"/>
          <w:smallCaps w:val="false"/>
          <w:sz w:val="20"/>
        </w:rPr>
        <w:t>. Executive understands that the provisions of this Agreement requiring assignment of Inventions to the Company does not apply to any Invention that Executive has developed entirely on Executive’s own time without using the Company’s equipment, supplies, facilities, trade secret information or Confidential Information (an “</w:t>
      </w:r>
      <w:r>
        <w:rPr>
          <w:rFonts w:ascii="Times New Roman;Times;Serif" w:hAnsi="Times New Roman;Times;Serif"/>
          <w:b/>
          <w:i w:val="false"/>
          <w:caps w:val="false"/>
          <w:smallCaps w:val="false"/>
          <w:sz w:val="20"/>
        </w:rPr>
        <w:t>Other Invention</w:t>
      </w:r>
      <w:r>
        <w:rPr>
          <w:rFonts w:ascii="Times New Roman;Times;Serif" w:hAnsi="Times New Roman;Times;Serif"/>
          <w:b w:val="false"/>
          <w:i w:val="false"/>
          <w:caps w:val="false"/>
          <w:smallCaps w:val="false"/>
          <w:sz w:val="20"/>
        </w:rPr>
        <w:t xml:space="preserve">”), except for those Other Inventions that either (i) relate in any way at the time of conception or reduction to practice of such Other Invention to the Company’s Business or (ii) result from any work that Executive performed for the Company. Executive will advise the Company promptly in writing, under a confidentiality agreement, of any Invention that Executive believes constitutes an Other Invention and is not otherwise disclosed on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Executive agrees that Executive will not incorporate, or permit to be incorporated, any Other Invention owned by Executive or in which Executive has an interest into a Company product, process or service without the Company’s prior written consent. Notwithstanding the foregoing sentence, if, in the course of Executive’s employment with the Company, Executive incorporates into a Company product, process or service an Other Invention owned by Executive or in which Executive has an interest, Executive hereby grants to the Company a nonexclusive, royalty-free, fully paid-up,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xml:space="preserve">. Any dispute or controversy between the Company and Executive, arising out of or relating to this Agreement, the breach of this Agreement, the Company’s employment of Executive, or otherwise, shall be settled by binding arbitration conducted by and before a single arbitrator in Houston, Texas administered by the American Arbitration Association in accordance with its Employment Arbitration Rules (the “AAA Rules”) then in effect and judgment on the award rendered by the arbitrator may be entered in any court having jurisdiction thereof. Both Employee and the Company hereby waive the right to a trial by jury or judge, or by administrative proceeding, for any covered claim or dispute. To the extent the AAA Rules conflict with any provision or aspect of this Agreement, this Agreement shall control. The arbitrator shall have the authority to award any remedy or relief that a court of competent jurisdiction could order or grant, including, without limitation, the issuance of an injunction. However, either party may, without inconsistency with this arbitration provision, apply to any court having jurisdiction over such dispute or controversy and seek interim provisional, injunctive or other equitable relief until the arbitration award is rendered or the controversy is otherwise resolved. Except as necessary in court proceedings to enforce this arbitration provision or an award rendered hereunder, or to obtain interim relief, neither a party nor an arbitrator may disclose the existence, content or results of any arbitration hereunder without the prior written consent of the Company and Executive. All claims, disputes, or causes of action under this Agreement, whether by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This Agreement is made under the provisions of the Federal Arbitration Act (9 U.S.C., Sections 1-14) (“FAA”) and will be construed and governed accordingly. It is the parties’ intention that both the procedural and the substantive provisions of the FAA shall apply. </w:t>
      </w:r>
      <w:r>
        <w:rPr>
          <w:rFonts w:ascii="Times New Roman;Times;Serif" w:hAnsi="Times New Roman;Times;Serif"/>
          <w:b/>
          <w:i w:val="false"/>
          <w:caps w:val="false"/>
          <w:smallCaps w:val="false"/>
          <w:sz w:val="20"/>
        </w:rPr>
        <w:t xml:space="preserve">Questions of arbitrability (that is whether an issue is subject to arbitration under this agreement) shall be decided by the arbitrator. </w:t>
      </w:r>
      <w:r>
        <w:rPr>
          <w:rFonts w:ascii="Times New Roman;Times;Serif" w:hAnsi="Times New Roman;Times;Serif"/>
          <w:b w:val="false"/>
          <w:i w:val="false"/>
          <w:caps w:val="false"/>
          <w:smallCaps w:val="false"/>
          <w:sz w:val="20"/>
        </w:rPr>
        <w:t>Likewise, procedural questions which grow out of the dispute and bear on the final disposition are also matters for the arbitrator. However, where a party already has initiated a judicial proceeding, a court may decide procedural questions that grow out of the dispute and bear on the final disposition of the matter. Each party shall bear its or his costs and expenses in any arbitration hereunder and one-half of the arbitrator’s fees and costs; provided, however, that the arbitrator shall have the discretion to award the prevailing party reimbursement of its or his reasonable attorney’s fees and costs, unless such award is prohibited by applicable law. Notwithstanding the foregoing, Executive and the Company shall each have the right to resolve any dispute or cause of action involving trade secrets, proprietary information, or intellectual property (including, without limitation, inventions assignment rights, and rights under patent, trademark, or copyright law) by court action instead of arbitration.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given under this Agreement shall be in writing and shall be deemed to have been duly given (a) when delivered personally, (b) three business days after being mailed by first class certified mail, return receipt requested, postage prepaid, (c) one business day after being sent by a reputable overnight delivery service, postage or delivery charges prepaid, or (d) on the date on which a facsimile is transmitted to the parties at their respective addresses stated below. Any party may change its address for notice and the address to which copies must be sent by giving notice of the new addresses to the other party in accordance with this Section 13, except that any such change of address notice shall not be effective unless and until received.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spacing w:before="0" w:after="0"/>
        <w:ind w:left="1440" w:right="1440" w:hanging="0"/>
        <w:rPr>
          <w:caps w:val="false"/>
          <w:smallCaps w:val="false"/>
        </w:rPr>
      </w:pPr>
      <w:r>
        <w:rPr>
          <w:caps w:val="false"/>
          <w:smallCaps w:val="false"/>
        </w:rPr>
        <w:t> </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 Southwest Freeway #2240</w:t>
        <w:br/>
        <w:t>Houston, Texas 77027</w:t>
        <w:br/>
        <w:t>Attention: Chairman of the Board of Directors</w:t>
      </w:r>
    </w:p>
    <w:p>
      <w:pPr>
        <w:pStyle w:val="TextBody"/>
        <w:spacing w:before="0" w:after="0"/>
        <w:ind w:left="1440" w:right="1440" w:hanging="0"/>
        <w:rPr>
          <w:caps w:val="false"/>
          <w:smallCaps w:val="false"/>
        </w:rPr>
      </w:pPr>
      <w:r>
        <w:rPr>
          <w:caps w:val="false"/>
          <w:smallCaps w:val="false"/>
        </w:rPr>
        <w:t> </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spacing w:before="0" w:after="0"/>
        <w:ind w:left="1440" w:right="1440" w:hanging="0"/>
        <w:rPr>
          <w:caps w:val="false"/>
          <w:smallCaps w:val="false"/>
        </w:rPr>
      </w:pPr>
      <w:r>
        <w:rPr>
          <w:caps w:val="false"/>
          <w:smallCaps w:val="false"/>
        </w:rPr>
        <w:t> </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Catchur</w:t>
      </w:r>
    </w:p>
    <w:p>
      <w:pPr>
        <w:pStyle w:val="TextBody"/>
        <w:spacing w:before="0" w:after="0"/>
        <w:ind w:left="1440" w:right="1440" w:hanging="0"/>
        <w:rPr>
          <w:caps w:val="false"/>
          <w:smallCaps w:val="false"/>
        </w:rPr>
      </w:pPr>
      <w:r>
        <w:rPr>
          <w:caps w:val="false"/>
          <w:smallCaps w:val="false"/>
        </w:rPr>
        <w:t> </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Shumaker Loop &amp; Kendrick, LLP</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Plaza, Suite 2800</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East Kennedy Boulevard</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 33602</w:t>
      </w:r>
    </w:p>
    <w:p>
      <w:pPr>
        <w:pStyle w:val="TextBody"/>
        <w:spacing w:before="0" w:after="0"/>
        <w:ind w:left="1440" w:right="1440" w:hanging="0"/>
        <w:rPr>
          <w:caps w:val="false"/>
          <w:smallCaps w:val="false"/>
        </w:rPr>
      </w:pPr>
      <w:r>
        <w:rPr>
          <w:caps w:val="false"/>
          <w:smallCaps w:val="false"/>
        </w:rPr>
        <w:t> </w:t>
      </w:r>
    </w:p>
    <w:p>
      <w:pPr>
        <w:pStyle w:val="TextBody"/>
        <w:spacing w:before="0" w:after="0"/>
        <w:ind w:left="1440" w:right="144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Executive, to Executive’s address on file with the Company.</w:t>
      </w:r>
    </w:p>
    <w:p>
      <w:pPr>
        <w:pStyle w:val="TextBody"/>
        <w:spacing w:before="0" w:after="0"/>
        <w:ind w:left="1440" w:right="144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13 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Tax Provisions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Notwithstanding anything in this Agreement to the contrary, the following provisions apply to the extent severance benefits provided herein are subject to the provisions of Section 409A of the Code and the regulations and other guidance thereunder and any state law of similar effect (collectively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Severance benefits shall not commence until Executive’s Separation from Service. Each installment of severance benefits is a separate “payment” for purposes of Treasury Regulations Section 1.409A-2(b)(2)(i), and the severance benefits are intended to satisfy the exemptions from application of Section 409A provided under Treasury Regulations Sections 1.409A-1(b)(4), 1.409A-1(b)(5) and 1.409A-1(b)(9). However, if such exemptions are not available and Executive is, upon Separation from Service, a “specified employee” for purposes of Section 409A, then, solely to the extent necessary to avoid adverse personal tax consequences under Section 409A, the timing of the severance benefits payments shall be delayed until the earlier of (i) six (6) months and one day after Executive’s Separation from Service, or (ii) Executive’s death. Executive shall receive severance benefits only if Executive executes and returns to the Company the Release within the applicable time period set forth therein and permits such Release to become effective in accordance with its terms, which date may not be later than sixty (60) days following the date of Executive’s Separation from Service (such latest permitted date, the “</w:t>
      </w:r>
      <w:r>
        <w:rPr>
          <w:rFonts w:ascii="Times New Roman;Times;Serif" w:hAnsi="Times New Roman;Times;Serif"/>
          <w:b/>
          <w:i w:val="false"/>
          <w:caps w:val="false"/>
          <w:smallCaps w:val="false"/>
          <w:sz w:val="20"/>
        </w:rPr>
        <w:t>Release Deadline”</w:t>
      </w:r>
      <w:r>
        <w:rPr>
          <w:rFonts w:ascii="Times New Roman;Times;Serif" w:hAnsi="Times New Roman;Times;Serif"/>
          <w:b w:val="false"/>
          <w:i w:val="false"/>
          <w:caps w:val="false"/>
          <w:smallCaps w:val="false"/>
          <w:sz w:val="20"/>
        </w:rPr>
        <w:t>). If the severance benefits are not covered by one or more exemptions from the application of Section 409A and the Release could become effective in the calendar year following the calendar year in which Executive’s Separation from Service occurs, the Release will not be deemed effective any earlier than the Release Deadline. None of the severance benefits will be paid or otherwise delivered prior to the effective date of the Release. Except to the minimum extent that payments must be delayed because Executive is a “specified employee” or until the effectiveness of the Release, all amounts will be paid as soon as practicable in accordance with the schedule provided herein and in accordance with the Company’s normal payroll practices. The severance benefits are intended to qualify for an exemption from application of Section 409A or comply with its requirements to the extent necessary to avoid adverse personal tax consequences under Section 409A, and any ambiguities herein shall be interpreted accordingly.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If any payment or benefit Executive will or may receive from the Company or otherwise (a “</w:t>
      </w:r>
      <w:r>
        <w:rPr>
          <w:rFonts w:ascii="Times New Roman;Times;Serif" w:hAnsi="Times New Roman;Times;Serif"/>
          <w:b/>
          <w:i w:val="false"/>
          <w:caps w:val="false"/>
          <w:smallCaps w:val="false"/>
          <w:sz w:val="20"/>
        </w:rPr>
        <w:t>280G Payment</w:t>
      </w:r>
      <w:r>
        <w:rPr>
          <w:rFonts w:ascii="Times New Roman;Times;Serif" w:hAnsi="Times New Roman;Times;Serif"/>
          <w:b w:val="false"/>
          <w:i w:val="false"/>
          <w:caps w:val="false"/>
          <w:smallCaps w:val="false"/>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i w:val="false"/>
          <w:caps w:val="false"/>
          <w:smallCaps w:val="false"/>
          <w:sz w:val="20"/>
        </w:rPr>
        <w:t>Excise Tax</w:t>
      </w:r>
      <w:r>
        <w:rPr>
          <w:rFonts w:ascii="Times New Roman;Times;Serif" w:hAnsi="Times New Roman;Times;Serif"/>
          <w:b w:val="false"/>
          <w:i w:val="false"/>
          <w:caps w:val="false"/>
          <w:smallCaps w:val="false"/>
          <w:sz w:val="20"/>
        </w:rPr>
        <w:t>”), then any such 280G Payment pursuant to this Agreement or otherwise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shall be equal to the Reduced Amount. The “</w:t>
      </w:r>
      <w:r>
        <w:rPr>
          <w:rFonts w:ascii="Times New Roman;Times;Serif" w:hAnsi="Times New Roman;Times;Serif"/>
          <w:b/>
          <w:i w:val="false"/>
          <w:caps w:val="false"/>
          <w:smallCaps w:val="false"/>
          <w:sz w:val="20"/>
        </w:rPr>
        <w:t>Reduced Amount</w:t>
      </w:r>
      <w:r>
        <w:rPr>
          <w:rFonts w:ascii="Times New Roman;Times;Serif" w:hAnsi="Times New Roman;Times;Serif"/>
          <w:b w:val="false"/>
          <w:i w:val="false"/>
          <w:caps w:val="false"/>
          <w:smallCaps w:val="false"/>
          <w:sz w:val="20"/>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Times;Serif" w:hAnsi="Times New Roman;Times;Serif"/>
          <w:b/>
          <w:i w:val="false"/>
          <w:caps w:val="false"/>
          <w:smallCaps w:val="false"/>
          <w:sz w:val="20"/>
        </w:rPr>
        <w:t>Reduction Method</w:t>
      </w:r>
      <w:r>
        <w:rPr>
          <w:rFonts w:ascii="Times New Roman;Times;Serif" w:hAnsi="Times New Roman;Times;Serif"/>
          <w:b w:val="false"/>
          <w:i w:val="false"/>
          <w:caps w:val="false"/>
          <w:smallCaps w:val="false"/>
          <w:sz w:val="20"/>
        </w:rPr>
        <w:t>”) that results in the greatest economic benefit for Executive. If more than one method of reduction will result in the same economic benefit, the items so reduced will be reduced pro rata (the “</w:t>
      </w:r>
      <w:r>
        <w:rPr>
          <w:rFonts w:ascii="Times New Roman;Times;Serif" w:hAnsi="Times New Roman;Times;Serif"/>
          <w:b/>
          <w:i w:val="false"/>
          <w:caps w:val="false"/>
          <w:smallCaps w:val="false"/>
          <w:sz w:val="20"/>
        </w:rPr>
        <w:t>Pro Rata Reduction Method</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14 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Executive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Executive receives a Payment for which the Reduced Amount was determined pursuant to clause (x) of the first paragraph of this Section 14(b) and the Internal Revenue Service determines thereafter that some portion of the Payment is subject to the Excise Tax, Executive shall promptly return to the Company a sufficient amount of the Payment (after reduction pursuant to clause (x) of the first paragraph of this Section 14(b) so that no portion of the remaining Payment is subject to the Excise Tax. For the avoidance of doubt, if the Reduced Amount was determined pursuant to clause (y) in the first paragraph of this Section 14(b), Executive shall have no obligation to return any portion of the Payment pursuant to the preceding sentence.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Texas without reference to principles of conflict of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8" w:space="1" w:color="000000"/>
        </w:rPr>
      </w:pPr>
      <w:r>
        <w:rPr>
          <w:bdr w:val="single" w:sz="8" w:space="1" w:color="000000"/>
        </w:rPr>
        <w:t>15 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Entire Agreement/Amendments</w:t>
      </w:r>
      <w:r>
        <w:rPr>
          <w:rFonts w:ascii="Times New Roman;Times;Serif" w:hAnsi="Times New Roman;Times;Serif"/>
          <w:b w:val="false"/>
          <w:i w:val="false"/>
          <w:caps w:val="false"/>
          <w:smallCaps w:val="false"/>
          <w:sz w:val="20"/>
        </w:rPr>
        <w:t>. This Agreement and the instruments contemplated herein contain the entire understanding of the parties with respect to the employment of Executive by the Company from and after the Effective Date and supersede any prior agreements or promises between the Company and Executive, except for any outstanding stock option or other equity award agreement previously entered into between Executive and the Company. There are no restrictions, agreements, promises, warranties, covenants or undertakings between the parties with respect to the subject matter herein other than those expressly set forth herein and therein. This Agreement may not be altered, modified, or amended except by written instrument signed by the parties hereto.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Any such waiver must be in writing and signed by Executive or an authorized officer of the Company, as the case may be.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shall not be assignable by Executive.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w:t>
      </w:r>
      <w:r>
        <w:rPr>
          <w:rFonts w:ascii="Times New Roman;Times;Serif" w:hAnsi="Times New Roman;Times;Serif"/>
          <w:b w:val="false"/>
          <w:i w:val="false"/>
          <w:caps w:val="false"/>
          <w:smallCaps w:val="false"/>
          <w:sz w:val="20"/>
        </w:rPr>
        <w:t>. Executive represents that Executive’s employment by the Company and the performance by Executive of his obligations under this Agreement do not, and shall not, breach any agreement, including, but not limited to, any agreement that obligates him to keep in confidence any trade secrets or confidential or proprietary information of his or of any other party, to perform services for any other party or to refrain from competing, directly or indirectly, with the business of any other party. Executive shall not disclose to the Company or use any trade secrets or confidential or proprietary information of any other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Successors; Binding Agreement; Third Party Beneficiaries</w:t>
      </w:r>
      <w:r>
        <w:rPr>
          <w:rFonts w:ascii="Times New Roman;Times;Serif" w:hAnsi="Times New Roman;Times;Serif"/>
          <w:b w:val="false"/>
          <w:i w:val="false"/>
          <w:caps w:val="false"/>
          <w:smallCaps w:val="false"/>
          <w:sz w:val="20"/>
        </w:rPr>
        <w:t>. This Agreement shall inure to the benefit of and be binding upon the personal or legal representatives, executors, administrators, successors, heirs, distributees, devisees, legatees and permitted assignees of the parties hereto.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Company shall withhold from any and all compensation, severance and other amounts payable under this Agreement such Federal, state, local or other taxes as may be required to be withheld pursuant to any applicable law or regulation.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Survivorship</w:t>
      </w:r>
      <w:r>
        <w:rPr>
          <w:rFonts w:ascii="Times New Roman;Times;Serif" w:hAnsi="Times New Roman;Times;Serif"/>
          <w:b w:val="false"/>
          <w:i w:val="false"/>
          <w:caps w:val="false"/>
          <w:smallCaps w:val="false"/>
          <w:sz w:val="20"/>
        </w:rPr>
        <w:t>. The respective rights and obligations of the parties hereunder, including without limitation Sections 8 through 11 hereof, shall survive any termination of Executive’s employment to the extent necessary to the agreed preservation of such rights and obligations.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counterparts, each of which shall be an original, with the same effect as if the signatures thereto and hereto were upon the same instrument.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sections contained in this Agreement are for convenience only and shall not be deemed to control or affect the meaning or construction of any provision of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16 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day and year first above written.</w:t>
      </w:r>
    </w:p>
    <w:p>
      <w:pPr>
        <w:pStyle w:val="TextBody"/>
        <w:spacing w:before="0" w:after="0"/>
        <w:ind w:left="0" w:right="0" w:firstLine="720"/>
        <w:jc w:val="both"/>
        <w:rPr>
          <w:caps w:val="false"/>
          <w:smallCaps w:val="false"/>
        </w:rPr>
      </w:pPr>
      <w:r>
        <w:rPr>
          <w:caps w:val="false"/>
          <w:smallCaps w:val="false"/>
        </w:rPr>
        <w:t> </w:t>
      </w:r>
    </w:p>
    <w:tbl>
      <w:tblPr>
        <w:tblW w:w="4995" w:type="dxa"/>
        <w:jc w:val="left"/>
        <w:tblInd w:w="0" w:type="dxa"/>
        <w:tblCellMar>
          <w:top w:w="0" w:type="dxa"/>
          <w:left w:w="0" w:type="dxa"/>
          <w:bottom w:w="0" w:type="dxa"/>
          <w:right w:w="0" w:type="dxa"/>
        </w:tblCellMar>
      </w:tblPr>
      <w:tblGrid>
        <w:gridCol w:w="1700"/>
        <w:gridCol w:w="60"/>
        <w:gridCol w:w="515"/>
        <w:gridCol w:w="2645"/>
        <w:gridCol w:w="75"/>
      </w:tblGrid>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Marker Therapeutics, Inc.</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By:</w:t>
            </w:r>
          </w:p>
        </w:tc>
        <w:tc>
          <w:tcPr>
            <w:tcW w:w="264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/s/Peter Hoang</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 xml:space="preserve">Name: </w:t>
            </w:r>
          </w:p>
        </w:tc>
        <w:tc>
          <w:tcPr>
            <w:tcW w:w="264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Peter Hoang</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 xml:space="preserve">Title: </w:t>
            </w:r>
          </w:p>
        </w:tc>
        <w:tc>
          <w:tcPr>
            <w:tcW w:w="264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President and Chief Executive Officer</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/s/Anthony H. Kim</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Name: Anthony H. Kim</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Employment Agreement</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A</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INVENTIONS</w:t>
      </w:r>
    </w:p>
    <w:p>
      <w:pPr>
        <w:pStyle w:val="TextBody"/>
        <w:spacing w:before="0" w:after="0"/>
        <w:ind w:left="0" w:right="0" w:hanging="0"/>
        <w:jc w:val="center"/>
        <w:rPr>
          <w:caps/>
        </w:rPr>
      </w:pPr>
      <w:r>
        <w:rPr>
          <w:caps/>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AGREEMENT</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signed on or after the Separation Date)</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1.</w:t>
        <w:tab/>
      </w:r>
      <w:r>
        <w:rPr>
          <w:rFonts w:ascii="Times New Roman;Times;Serif" w:hAnsi="Times New Roman;Times;Serif"/>
          <w:b/>
          <w:i w:val="false"/>
          <w:caps w:val="false"/>
          <w:smallCaps w:val="false"/>
          <w:sz w:val="17"/>
        </w:rPr>
        <w:t>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17"/>
        </w:rPr>
        <w:t>I understand that my position with Marker Therapeutics, Inc. (the “</w:t>
      </w:r>
      <w:r>
        <w:rPr>
          <w:rFonts w:ascii="Times New Roman;Times;Serif" w:hAnsi="Times New Roman;Times;Serif"/>
          <w:b/>
          <w:i/>
          <w:caps w:val="false"/>
          <w:smallCaps w:val="false"/>
          <w:sz w:val="17"/>
        </w:rPr>
        <w:t>Company</w:t>
      </w:r>
      <w:r>
        <w:rPr>
          <w:rFonts w:ascii="Times New Roman;Times;Serif" w:hAnsi="Times New Roman;Times;Serif"/>
          <w:b w:val="false"/>
          <w:i w:val="false"/>
          <w:caps w:val="false"/>
          <w:smallCaps w:val="false"/>
          <w:sz w:val="17"/>
        </w:rPr>
        <w:t>”) will terminate or has terminated effective ___________, 201_ (the “</w:t>
      </w:r>
      <w:r>
        <w:rPr>
          <w:rFonts w:ascii="Times New Roman;Times;Serif" w:hAnsi="Times New Roman;Times;Serif"/>
          <w:b/>
          <w:i/>
          <w:caps w:val="false"/>
          <w:smallCaps w:val="false"/>
          <w:sz w:val="17"/>
        </w:rPr>
        <w:t>Separation Date</w:t>
      </w:r>
      <w:r>
        <w:rPr>
          <w:rFonts w:ascii="Times New Roman;Times;Serif" w:hAnsi="Times New Roman;Times;Serif"/>
          <w:b w:val="false"/>
          <w:i w:val="false"/>
          <w:caps w:val="false"/>
          <w:smallCaps w:val="false"/>
          <w:sz w:val="17"/>
        </w:rPr>
        <w:t>”). The Company has agreed that if I timely sign, date and return this Release Agreement (“</w:t>
      </w:r>
      <w:r>
        <w:rPr>
          <w:rFonts w:ascii="Times New Roman;Times;Serif" w:hAnsi="Times New Roman;Times;Serif"/>
          <w:b/>
          <w:i/>
          <w:caps w:val="false"/>
          <w:smallCaps w:val="false"/>
          <w:sz w:val="17"/>
        </w:rPr>
        <w:t>Release</w:t>
      </w:r>
      <w:r>
        <w:rPr>
          <w:rFonts w:ascii="Times New Roman;Times;Serif" w:hAnsi="Times New Roman;Times;Serif"/>
          <w:b w:val="false"/>
          <w:i w:val="false"/>
          <w:caps w:val="false"/>
          <w:smallCaps w:val="false"/>
          <w:sz w:val="17"/>
        </w:rPr>
        <w:t>”), and I do not revoke it, the Company will provide me with certain severance benefits pursuant to the terms and conditions of that certain Employment Agreement between myself and the Company dated _____________, 20</w:t>
      </w:r>
      <w:r>
        <w:rPr>
          <w:rFonts w:ascii="Times New Roman;Times;Serif" w:hAnsi="Times New Roman;Times;Serif"/>
          <w:b w:val="false"/>
          <w:i w:val="false"/>
          <w:caps w:val="false"/>
          <w:smallCaps w:val="false"/>
          <w:sz w:val="17"/>
          <w:u w:val="single"/>
        </w:rPr>
        <w:tab/>
      </w:r>
      <w:r>
        <w:rPr>
          <w:rFonts w:ascii="Times New Roman;Times;Serif" w:hAnsi="Times New Roman;Times;Serif"/>
          <w:b w:val="false"/>
          <w:i w:val="false"/>
          <w:caps w:val="false"/>
          <w:smallCaps w:val="false"/>
          <w:sz w:val="17"/>
        </w:rPr>
        <w:t xml:space="preserve"> (the “</w:t>
      </w:r>
      <w:r>
        <w:rPr>
          <w:rFonts w:ascii="Times New Roman;Times;Serif" w:hAnsi="Times New Roman;Times;Serif"/>
          <w:b/>
          <w:i/>
          <w:caps w:val="false"/>
          <w:smallCaps w:val="false"/>
          <w:sz w:val="17"/>
        </w:rPr>
        <w:t>Employment Agreement</w:t>
      </w:r>
      <w:r>
        <w:rPr>
          <w:rFonts w:ascii="Times New Roman;Times;Serif" w:hAnsi="Times New Roman;Times;Serif"/>
          <w:b w:val="false"/>
          <w:i w:val="false"/>
          <w:caps w:val="false"/>
          <w:smallCaps w:val="false"/>
          <w:sz w:val="17"/>
        </w:rPr>
        <w:t>”), and any agreements incorporated therein by reference. I understand that I am not entitled to such severance benefits unless I timely sign this Release and allow it to become effective.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2.       </w:t>
      </w:r>
      <w:r>
        <w:rPr>
          <w:rFonts w:ascii="Times New Roman;Times;Serif" w:hAnsi="Times New Roman;Times;Serif"/>
          <w:b/>
          <w:i w:val="false"/>
          <w:caps w:val="false"/>
          <w:smallCaps w:val="false"/>
          <w:sz w:val="17"/>
        </w:rPr>
        <w:t>General Release.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17"/>
        </w:rPr>
        <w:t>In exchange for the consideration to be provided to me under the Employment Agreement that I am not otherwise entitled to receive, I hereby generally and completely release, acquit and forever discharge the Company and its parent, subsidiary, and affiliated entities, and investors, along with its and their predecessors and successors and their respective directors, officers, employees, shareholders, stockholders, partners, agents, attorneys, insurers, affiliates and assigns (collectively, the “</w:t>
      </w:r>
      <w:r>
        <w:rPr>
          <w:rFonts w:ascii="Times New Roman;Times;Serif" w:hAnsi="Times New Roman;Times;Serif"/>
          <w:b/>
          <w:i/>
          <w:caps w:val="false"/>
          <w:smallCaps w:val="false"/>
          <w:sz w:val="17"/>
        </w:rPr>
        <w:t>Released Parties</w:t>
      </w:r>
      <w:r>
        <w:rPr>
          <w:rFonts w:ascii="Times New Roman;Times;Serif" w:hAnsi="Times New Roman;Times;Serif"/>
          <w:b w:val="false"/>
          <w:i w:val="false"/>
          <w:caps w:val="false"/>
          <w:smallCaps w:val="false"/>
          <w:sz w:val="17"/>
        </w:rPr>
        <w:t>”), of and from any and all claims, liabilities and obligations, both known and unknown, that arise from or are in any way related to events, acts, conduct, or omissions occurring at any time prior to and including the date that I sign this Release (collectively, the “</w:t>
      </w:r>
      <w:r>
        <w:rPr>
          <w:rFonts w:ascii="Times New Roman;Times;Serif" w:hAnsi="Times New Roman;Times;Serif"/>
          <w:b/>
          <w:i/>
          <w:caps w:val="false"/>
          <w:smallCaps w:val="false"/>
          <w:sz w:val="17"/>
        </w:rPr>
        <w:t>Released Claims</w:t>
      </w:r>
      <w:r>
        <w:rPr>
          <w:rFonts w:ascii="Times New Roman;Times;Serif" w:hAnsi="Times New Roman;Times;Serif"/>
          <w:b w:val="false"/>
          <w:i w:val="false"/>
          <w:caps w:val="false"/>
          <w:smallCaps w:val="false"/>
          <w:sz w:val="17"/>
        </w:rPr>
        <w:t xml:space="preserve">”). The Released Claims include, but are not limited to: </w:t>
      </w:r>
      <w:r>
        <w:rPr>
          <w:rFonts w:ascii="Times New Roman;Times;Serif" w:hAnsi="Times New Roman;Times;Serif"/>
          <w:b/>
          <w:i w:val="false"/>
          <w:caps w:val="false"/>
          <w:smallCaps w:val="false"/>
          <w:sz w:val="17"/>
        </w:rPr>
        <w:t>(a)</w:t>
      </w:r>
      <w:r>
        <w:rPr>
          <w:rFonts w:ascii="Times New Roman;Times;Serif" w:hAnsi="Times New Roman;Times;Serif"/>
          <w:b w:val="false"/>
          <w:i w:val="false"/>
          <w:caps w:val="false"/>
          <w:smallCaps w:val="false"/>
          <w:sz w:val="17"/>
        </w:rPr>
        <w:t xml:space="preserve"> all claims arising out of or in any way related to my employment with the Company, or the termination of that employment; </w:t>
      </w:r>
      <w:r>
        <w:rPr>
          <w:rFonts w:ascii="Times New Roman;Times;Serif" w:hAnsi="Times New Roman;Times;Serif"/>
          <w:b/>
          <w:i w:val="false"/>
          <w:caps w:val="false"/>
          <w:smallCaps w:val="false"/>
          <w:sz w:val="17"/>
        </w:rPr>
        <w:t>(b)</w:t>
      </w:r>
      <w:r>
        <w:rPr>
          <w:rFonts w:ascii="Times New Roman;Times;Serif" w:hAnsi="Times New Roman;Times;Serif"/>
          <w:b w:val="false"/>
          <w:i w:val="false"/>
          <w:caps w:val="false"/>
          <w:smallCaps w:val="false"/>
          <w:sz w:val="17"/>
        </w:rPr>
        <w:t xml:space="preserve"> all claims related to my compensation or benefits from the Company, including salary, bonuses, commissions, other incentive compensation, vacation pay and the redemption thereof, expense reimbursements, fringe benefits, stock, stock options, or any other ownership or equity interests in the Company; </w:t>
      </w:r>
      <w:r>
        <w:rPr>
          <w:rFonts w:ascii="Times New Roman;Times;Serif" w:hAnsi="Times New Roman;Times;Serif"/>
          <w:b/>
          <w:i w:val="false"/>
          <w:caps w:val="false"/>
          <w:smallCaps w:val="false"/>
          <w:sz w:val="17"/>
        </w:rPr>
        <w:t>(c)</w:t>
      </w:r>
      <w:r>
        <w:rPr>
          <w:rFonts w:ascii="Times New Roman;Times;Serif" w:hAnsi="Times New Roman;Times;Serif"/>
          <w:b w:val="false"/>
          <w:i w:val="false"/>
          <w:caps w:val="false"/>
          <w:smallCaps w:val="false"/>
          <w:sz w:val="17"/>
        </w:rPr>
        <w:t xml:space="preserve"> all claims for breach of contract, wrongful termination, and breach of the implied covenant of good faith and fair dealing; </w:t>
      </w:r>
      <w:r>
        <w:rPr>
          <w:rFonts w:ascii="Times New Roman;Times;Serif" w:hAnsi="Times New Roman;Times;Serif"/>
          <w:b/>
          <w:i w:val="false"/>
          <w:caps w:val="false"/>
          <w:smallCaps w:val="false"/>
          <w:sz w:val="17"/>
        </w:rPr>
        <w:t>(d)</w:t>
      </w:r>
      <w:r>
        <w:rPr>
          <w:rFonts w:ascii="Times New Roman;Times;Serif" w:hAnsi="Times New Roman;Times;Serif"/>
          <w:b w:val="false"/>
          <w:i w:val="false"/>
          <w:caps w:val="false"/>
          <w:smallCaps w:val="false"/>
          <w:sz w:val="17"/>
        </w:rPr>
        <w:t xml:space="preserve"> all tort claims, including but not limited to claims for fraud, defamation, emotional distress, and discharge in violation of public policy; and </w:t>
      </w:r>
      <w:r>
        <w:rPr>
          <w:rFonts w:ascii="Times New Roman;Times;Serif" w:hAnsi="Times New Roman;Times;Serif"/>
          <w:b/>
          <w:i w:val="false"/>
          <w:caps w:val="false"/>
          <w:smallCaps w:val="false"/>
          <w:sz w:val="17"/>
        </w:rPr>
        <w:t>(e)</w:t>
      </w:r>
      <w:r>
        <w:rPr>
          <w:rFonts w:ascii="Times New Roman;Times;Serif" w:hAnsi="Times New Roman;Times;Serif"/>
          <w:b w:val="false"/>
          <w:i w:val="false"/>
          <w:caps w:val="false"/>
          <w:smallCaps w:val="false"/>
          <w:sz w:val="17"/>
        </w:rPr>
        <w:t xml:space="preserve"> all federal, state, and local statutory claims, including but not limited to claims for discrimination, harassment, retaliation, attorneys’ fees, penalties, or other claims arising under the federal Civil Rights Act of 1964 (as amended), the federal Americans with Disabilities Act of 1990 (as amended), the federal Age Discrimination in Employment Act of 1967 (as amended) (the “</w:t>
      </w:r>
      <w:r>
        <w:rPr>
          <w:rFonts w:ascii="Times New Roman;Times;Serif" w:hAnsi="Times New Roman;Times;Serif"/>
          <w:b/>
          <w:i/>
          <w:caps w:val="false"/>
          <w:smallCaps w:val="false"/>
          <w:sz w:val="17"/>
        </w:rPr>
        <w:t>ADEA</w:t>
      </w:r>
      <w:r>
        <w:rPr>
          <w:rFonts w:ascii="Times New Roman;Times;Serif" w:hAnsi="Times New Roman;Times;Serif"/>
          <w:b w:val="false"/>
          <w:i w:val="false"/>
          <w:caps w:val="false"/>
          <w:smallCaps w:val="false"/>
          <w:sz w:val="17"/>
        </w:rPr>
        <w:t>”), the federal Family and Medical Leave Act (“</w:t>
      </w:r>
      <w:r>
        <w:rPr>
          <w:rFonts w:ascii="Times New Roman;Times;Serif" w:hAnsi="Times New Roman;Times;Serif"/>
          <w:b/>
          <w:i/>
          <w:caps w:val="false"/>
          <w:smallCaps w:val="false"/>
          <w:sz w:val="17"/>
        </w:rPr>
        <w:t>FMLA</w:t>
      </w:r>
      <w:r>
        <w:rPr>
          <w:rFonts w:ascii="Times New Roman;Times;Serif" w:hAnsi="Times New Roman;Times;Serif"/>
          <w:b w:val="false"/>
          <w:i w:val="false"/>
          <w:caps w:val="false"/>
          <w:smallCaps w:val="false"/>
          <w:sz w:val="17"/>
        </w:rPr>
        <w:t xml:space="preserve">”), the California Labor Code (as amended), and the California Fair Employment and Housing Act (as amended).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Excluded Claims. </w:t>
      </w:r>
      <w:r>
        <w:rPr>
          <w:rFonts w:ascii="Times New Roman;Times;Serif" w:hAnsi="Times New Roman;Times;Serif"/>
          <w:b w:val="false"/>
          <w:i w:val="false"/>
          <w:caps w:val="false"/>
          <w:smallCaps w:val="false"/>
          <w:sz w:val="20"/>
        </w:rPr>
        <w:t>Notwithstanding the foregoing, the following are not included in the Released Claims (the “</w:t>
      </w:r>
      <w:r>
        <w:rPr>
          <w:rFonts w:ascii="Times New Roman;Times;Serif" w:hAnsi="Times New Roman;Times;Serif"/>
          <w:b/>
          <w:i/>
          <w:caps w:val="false"/>
          <w:smallCaps w:val="false"/>
          <w:sz w:val="20"/>
        </w:rPr>
        <w:t>Excluded Claims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any rights or claims for indemnification I may have pursuant to any written indemnification agreement with the Company to which I am a party, the Company’s bylaws, or applicable law;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any rights or claims to benefits under Company benefit plans or programs to which I have a vested or non-forfeitable right at the time of my termination;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any rights or claims that I may have after termination pursuant to stock options that have vested prior to or at the time of my termination; </w:t>
      </w: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the severance benefits described in paragraph 1; and </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any rights which are not waivable as a matter of law. In addition, nothing in this Release prevents me from filing, cooperating with, or participating in any investigation or proceeding before the Equal Employment Opportunity Commission, the Department of Labor, the California Department of Fair Employment and Housing, or any other government agency, except that I hereby waive my right to any monetary benefits in connection with any such claim, charge, investigation or proceeding. I hereby represent and warrant that, other than the Excluded Claims, I am not aware of any claims I have or might have against any of the Released Parties that are not included in the Released Claims.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ADEA Waiver.</w:t>
      </w:r>
      <w:r>
        <w:rPr>
          <w:rFonts w:ascii="Times New Roman;Times;Serif" w:hAnsi="Times New Roman;Times;Serif"/>
          <w:b w:val="false"/>
          <w:i w:val="false"/>
          <w:caps w:val="false"/>
          <w:smallCaps w:val="false"/>
          <w:sz w:val="20"/>
        </w:rPr>
        <w:t xml:space="preserve"> I acknowledge that I am knowingly and voluntarily waiving and releasing any rights I may have under the ADEA (“</w:t>
      </w:r>
      <w:r>
        <w:rPr>
          <w:rFonts w:ascii="Times New Roman;Times;Serif" w:hAnsi="Times New Roman;Times;Serif"/>
          <w:b/>
          <w:i/>
          <w:caps w:val="false"/>
          <w:smallCaps w:val="false"/>
          <w:sz w:val="20"/>
        </w:rPr>
        <w:t>ADEA Waiver</w:t>
      </w:r>
      <w:r>
        <w:rPr>
          <w:rFonts w:ascii="Times New Roman;Times;Serif" w:hAnsi="Times New Roman;Times;Serif"/>
          <w:b w:val="false"/>
          <w:i w:val="false"/>
          <w:caps w:val="false"/>
          <w:smallCaps w:val="false"/>
          <w:sz w:val="20"/>
        </w:rPr>
        <w:t xml:space="preserve">”). I also acknowledge that the consideration given for the ADEA Waiver is in addition to anything of value to which I was already entitled. I further acknowledge that I have been advised by this writing, as required by the ADEA, that: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my ADEA Waiver does not apply to any rights or claims that arise after the date I sign this Release;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I should consult with an attorney prior to signing this Release;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I have twenty-one (21) days to consider this Release (although I may choose to voluntarily sign it sooner); </w:t>
      </w: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I have seven (7) days following the date I sign this Release to revoke the ADEA Waiver; and </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the ADEA Waiver will not be effective until the date upon which the revocation period has expired unexercised, which will be the eighth day after I sign this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Other Agreements and Representations.</w:t>
      </w:r>
      <w:r>
        <w:rPr>
          <w:rFonts w:ascii="Times New Roman;Times;Serif" w:hAnsi="Times New Roman;Times;Serif"/>
          <w:b w:val="false"/>
          <w:i w:val="false"/>
          <w:caps w:val="false"/>
          <w:smallCaps w:val="false"/>
          <w:sz w:val="20"/>
        </w:rPr>
        <w:t xml:space="preserve"> I further agree: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not to voluntarily (except in response to legal compulsion) assist any third party in bringing or pursuing any proposed or pending litigation, arbitration, administrative claim or other formal proceeding against the Company, its parent or subsidiary entities, investors, affiliates, officers, directors, employees or agents;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to cooperate fully with the Company, by voluntarily (without legal compulsion) providing accurate and complete information, in connection with the Company’s actual or contemplated defense, prosecution, or investigation of any claims or demands by or against third parties, or other matters, arising from events, acts, or failures to act that occurred during the period of my employment by the Company; and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I hereby acknowledge and reaffirm my continuing obligations under the terms of my Proprietary Information and Inventions Agreement with the Company. In addition, I hereby represent that I have been paid all wages owed and for all hours worked, I have received all the leave and leave benefits and protections for which I am eligible, pursuant to FMLA or any applicable law or Company policy, and I am not aware of having suffered any on-the-job injury for which I have not already filed a workers’ compensation claim. The non-disparagement agreement in subsection (a) is conditioned upon the Company’s agreement, through an authorized representative, to instruct its officers and directors not to disparage me in any manner likely to be harmful to my business or personal reputation.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together with my Proprietary Information and Inventions Agreement with the Company, constitutes the complete, final and exclusive embodiment of the entire agreement between the Company and me with regard to the subject matter hereof. I am not relying on any promise or representation by the Company that is not expressly stated herein. This Release may only be modified by a writing signed by both me and a duly authorized officer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Understood and Agreed: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710" w:type="dxa"/>
        <w:jc w:val="left"/>
        <w:tblInd w:w="0" w:type="dxa"/>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shd w:fill="auto" w:val="clear"/>
            <w:vAlign w:val="center"/>
          </w:tcPr>
          <w:p>
            <w:pPr>
              <w:pStyle w:val="TableContents"/>
              <w:spacing w:before="0" w:after="283"/>
              <w:jc w:val="both"/>
              <w:rPr/>
            </w:pPr>
            <w:r>
              <w:rPr/>
              <w:t> </w:t>
            </w:r>
          </w:p>
        </w:tc>
        <w:tc>
          <w:tcPr>
            <w:tcW w:w="75" w:type="dxa"/>
            <w:tcBorders/>
            <w:shd w:fill="auto" w:val="clear"/>
            <w:tcMar>
              <w:bottom w:w="0" w:type="dxa"/>
            </w:tcMar>
            <w:vAlign w:val="center"/>
          </w:tcPr>
          <w:p>
            <w:pPr>
              <w:pStyle w:val="TableContents"/>
              <w:spacing w:before="0" w:after="283"/>
              <w:jc w:val="both"/>
              <w:rPr/>
            </w:pPr>
            <w:r>
              <w:rPr/>
              <w:t> </w:t>
            </w:r>
          </w:p>
        </w:tc>
      </w:tr>
      <w:tr>
        <w:trPr/>
        <w:tc>
          <w:tcPr>
            <w:tcW w:w="575" w:type="dxa"/>
            <w:tcBorders/>
            <w:shd w:fill="auto" w:val="clear"/>
            <w:tcMar>
              <w:bottom w:w="0" w:type="dxa"/>
            </w:tcMar>
            <w:vAlign w:val="center"/>
          </w:tcPr>
          <w:p>
            <w:pPr>
              <w:pStyle w:val="TableContents"/>
              <w:spacing w:before="0" w:after="283"/>
              <w:jc w:val="both"/>
              <w:rPr>
                <w:rFonts w:ascii="Times New Roman;Times;Serif" w:hAnsi="Times New Roman;Times;Serif"/>
                <w:b/>
                <w:i/>
                <w:smallCaps/>
                <w:sz w:val="17"/>
              </w:rPr>
            </w:pPr>
            <w:r>
              <w:rPr>
                <w:rFonts w:ascii="Times New Roman;Times;Serif" w:hAnsi="Times New Roman;Times;Serif"/>
                <w:b/>
                <w:i/>
                <w:smallCaps/>
                <w:sz w:val="17"/>
              </w:rPr>
              <w:t>[Name]</w:t>
            </w:r>
          </w:p>
        </w:tc>
        <w:tc>
          <w:tcPr>
            <w:tcW w:w="60" w:type="dxa"/>
            <w:tcBorders/>
            <w:shd w:fill="auto" w:val="clear"/>
            <w:tcMar>
              <w:bottom w:w="0" w:type="dxa"/>
            </w:tcMar>
            <w:vAlign w:val="center"/>
          </w:tcPr>
          <w:p>
            <w:pPr>
              <w:pStyle w:val="TableContents"/>
              <w:spacing w:before="0" w:after="283"/>
              <w:jc w:val="both"/>
              <w:rPr/>
            </w:pPr>
            <w:r>
              <w:rPr/>
              <w:t> </w:t>
            </w:r>
          </w:p>
        </w:tc>
        <w:tc>
          <w:tcPr>
            <w:tcW w:w="75" w:type="dxa"/>
            <w:tcBorders/>
            <w:shd w:fill="auto" w:val="clear"/>
            <w:tcMar>
              <w:bottom w:w="0" w:type="dxa"/>
            </w:tcMar>
            <w:vAlign w:val="center"/>
          </w:tcPr>
          <w:p>
            <w:pPr>
              <w:pStyle w:val="TableContents"/>
              <w:spacing w:before="0" w:after="283"/>
              <w:jc w:val="both"/>
              <w:rPr/>
            </w:pPr>
            <w:r>
              <w:rPr/>
              <w:t> </w:t>
            </w:r>
          </w:p>
        </w:tc>
      </w:tr>
      <w:tr>
        <w:trPr/>
        <w:tc>
          <w:tcPr>
            <w:tcW w:w="575" w:type="dxa"/>
            <w:tcBorders/>
            <w:shd w:fill="auto" w:val="clear"/>
            <w:tcMar>
              <w:bottom w:w="0" w:type="dxa"/>
            </w:tcMar>
            <w:vAlign w:val="center"/>
          </w:tcPr>
          <w:p>
            <w:pPr>
              <w:pStyle w:val="TableContents"/>
              <w:spacing w:before="0" w:after="283"/>
              <w:jc w:val="both"/>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75" w:type="dxa"/>
            <w:tcBorders/>
            <w:shd w:fill="auto" w:val="clear"/>
            <w:tcMar>
              <w:bottom w:w="0" w:type="dxa"/>
            </w:tcMar>
            <w:vAlign w:val="center"/>
          </w:tcPr>
          <w:p>
            <w:pPr>
              <w:pStyle w:val="TableContents"/>
              <w:spacing w:before="0" w:after="283"/>
              <w:jc w:val="both"/>
              <w:rPr/>
            </w:pPr>
            <w:r>
              <w:rPr/>
              <w:t> </w:t>
            </w:r>
          </w:p>
        </w:tc>
      </w:tr>
      <w:tr>
        <w:trPr/>
        <w:tc>
          <w:tcPr>
            <w:tcW w:w="575" w:type="dxa"/>
            <w:tcBorders/>
            <w:shd w:fill="auto" w:val="clear"/>
            <w:tcMar>
              <w:bottom w:w="0" w:type="dxa"/>
            </w:tcM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Date:</w:t>
            </w:r>
          </w:p>
        </w:tc>
        <w:tc>
          <w:tcPr>
            <w:tcW w:w="60" w:type="dxa"/>
            <w:tcBorders>
              <w:bottom w:val="single" w:sz="8" w:space="0" w:color="000000"/>
            </w:tcBorders>
            <w:shd w:fill="auto" w:val="cle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5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bl>
    <w:p>
      <w:pPr>
        <w:pStyle w:val="TextBody"/>
        <w:ind w:left="0" w:right="0" w:firstLine="720"/>
        <w:rPr/>
      </w:pPr>
      <w:r>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94038/000119312516690727/d230909dex101.htm" TargetMode="External"/><Relationship Id="rId3" Type="http://schemas.openxmlformats.org/officeDocument/2006/relationships/hyperlink" Target="http://www.sec.gov/Archives/edgar/data/1094038/000119312516690727/d230909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13314</Words>
  <CharactersWithSpaces>86520</CharactersWithSpaces>
  <Paragraphs>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