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Prospectus Supplement No. 1 File Pursuant to Rule 424(b)(3)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16, 2015) Registration Statement No. 333-196115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160020</wp:posOffset>
            </wp:positionV>
            <wp:extent cx="2084070" cy="1063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4070" cy="1063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68,486,792 Shares of Common Stock</w:t>
      </w:r>
    </w:p>
    <w:p>
      <w:pPr>
        <w:spacing w:after="0" w:line="229" w:lineRule="exact"/>
        <w:rPr>
          <w:sz w:val="24"/>
          <w:szCs w:val="24"/>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This prospectus supplement no. 1 supplements the prospectus dated July 16, 2015, which forms a part of our Post-Effective Amendment No. 2 to our registration statement to Form S-3/A on Form S-1 (Registration Statement No. 333-196115) relating to the resale of up to 68,486,792 shares of our common stock by the selling stockholders named in the “Selling Stockholders” section of the prospectus. We will not receive any proceeds from the sale of our shares by the selling stockholders.</w:t>
      </w:r>
    </w:p>
    <w:p>
      <w:pPr>
        <w:spacing w:after="0" w:line="187"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supplement is being filed to update and supplement the information included or incorporated by reference in the prospectus with the information contained in our Quarterly Report on Form 10-Q, filed with the Securities and Exchange Commission on November 16, 2015 (the “Report”). Accordingly, we have attached the Report to this prospectus supplement.</w:t>
      </w:r>
    </w:p>
    <w:p>
      <w:pPr>
        <w:spacing w:after="0" w:line="181" w:lineRule="exact"/>
        <w:rPr>
          <w:sz w:val="24"/>
          <w:szCs w:val="24"/>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attached information amends and supplements certain information contained in the prospectus. This prospectus supplement is not complete without, and should not be delivered or utilized, except in conjunction with the prospectus, including any supplements and amendments thereto. You should read this prospectus supplement in conjunction with the prospectus, including any supplements and amendments thereto.</w:t>
      </w:r>
    </w:p>
    <w:p>
      <w:pPr>
        <w:spacing w:after="0" w:line="166"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traded on the OTCQB marketplace under the symbol “TPIV.” On November 16, 2015, the last reported closing price of our common stock was $0.64 per share.</w:t>
      </w:r>
    </w:p>
    <w:p>
      <w:pPr>
        <w:spacing w:after="0" w:line="180" w:lineRule="exact"/>
        <w:rPr>
          <w:sz w:val="24"/>
          <w:szCs w:val="24"/>
          <w:color w:val="auto"/>
        </w:rPr>
      </w:pPr>
    </w:p>
    <w:p>
      <w:pPr>
        <w:jc w:val="both"/>
        <w:spacing w:after="0" w:line="347" w:lineRule="auto"/>
        <w:rPr>
          <w:sz w:val="20"/>
          <w:szCs w:val="20"/>
          <w:color w:val="auto"/>
        </w:rPr>
      </w:pPr>
      <w:r>
        <w:rPr>
          <w:rFonts w:ascii="Arial" w:cs="Arial" w:eastAsia="Arial" w:hAnsi="Arial"/>
          <w:sz w:val="16"/>
          <w:szCs w:val="16"/>
          <w:b w:val="1"/>
          <w:bCs w:val="1"/>
          <w:color w:val="auto"/>
        </w:rPr>
        <w:t>Investing in our common stock involves risks. You should carefully consider the risk factors for our business, our industry and our securities, which begin on page 1 of the prospectus, as well as any updates to such risk factors included in any supplements and amendments thereto.</w:t>
      </w:r>
    </w:p>
    <w:p>
      <w:pPr>
        <w:spacing w:after="0" w:line="116"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November 16,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PART I – FINANCIAL INFORMATION</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Page</w:t>
            </w: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rPr>
              <w:t>Condensed Interim Financial Statements</w:t>
            </w:r>
          </w:p>
        </w:tc>
        <w:tc>
          <w:tcPr>
            <w:tcW w:w="1540" w:type="dxa"/>
            <w:vAlign w:val="bottom"/>
          </w:tcPr>
          <w:p>
            <w:pPr>
              <w:spacing w:after="0"/>
              <w:rPr>
                <w:sz w:val="24"/>
                <w:szCs w:val="24"/>
                <w:color w:val="auto"/>
              </w:rPr>
            </w:pP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rPr>
              <w:t>Condensed Consolidated Balance Sheets as of September 30, 2015 and December 31, 2014 (Unaudited)</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9"/>
              </w:rPr>
              <w:t>3</w:t>
            </w:r>
          </w:p>
        </w:tc>
      </w:tr>
      <w:tr>
        <w:trPr>
          <w:trHeight w:val="418"/>
        </w:trPr>
        <w:tc>
          <w:tcPr>
            <w:tcW w:w="9880" w:type="dxa"/>
            <w:vAlign w:val="bottom"/>
          </w:tcPr>
          <w:p>
            <w:pPr>
              <w:spacing w:after="0"/>
              <w:rPr>
                <w:sz w:val="20"/>
                <w:szCs w:val="20"/>
                <w:color w:val="auto"/>
              </w:rPr>
            </w:pPr>
            <w:r>
              <w:rPr>
                <w:rFonts w:ascii="Arial" w:cs="Arial" w:eastAsia="Arial" w:hAnsi="Arial"/>
                <w:sz w:val="18"/>
                <w:szCs w:val="18"/>
                <w:color w:val="auto"/>
                <w:w w:val="98"/>
              </w:rPr>
              <w:t>Condensed Consolidated Statements of Operations and Comprehensive Income (Loss) for the Three and Nine Months Ended</w:t>
            </w:r>
          </w:p>
        </w:tc>
        <w:tc>
          <w:tcPr>
            <w:tcW w:w="1540" w:type="dxa"/>
            <w:vAlign w:val="bottom"/>
          </w:tcPr>
          <w:p>
            <w:pPr>
              <w:spacing w:after="0"/>
              <w:rPr>
                <w:sz w:val="24"/>
                <w:szCs w:val="24"/>
                <w:color w:val="auto"/>
              </w:rPr>
            </w:pPr>
          </w:p>
        </w:tc>
      </w:tr>
      <w:tr>
        <w:trPr>
          <w:trHeight w:val="230"/>
        </w:trPr>
        <w:tc>
          <w:tcPr>
            <w:tcW w:w="9880" w:type="dxa"/>
            <w:vAlign w:val="bottom"/>
          </w:tcPr>
          <w:p>
            <w:pPr>
              <w:spacing w:after="0"/>
              <w:rPr>
                <w:sz w:val="20"/>
                <w:szCs w:val="20"/>
                <w:color w:val="auto"/>
              </w:rPr>
            </w:pPr>
            <w:r>
              <w:rPr>
                <w:rFonts w:ascii="Arial" w:cs="Arial" w:eastAsia="Arial" w:hAnsi="Arial"/>
                <w:sz w:val="18"/>
                <w:szCs w:val="18"/>
                <w:color w:val="auto"/>
              </w:rPr>
              <w:t>September 30, 2015 and 2014 (Unaudited)</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9"/>
              </w:rPr>
              <w:t>4</w:t>
            </w: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w w:val="95"/>
              </w:rPr>
              <w:t>Condensed Consolidated Statement of Stockholders' Equity (Deficit) for the Nine Months Ended September 30, 2015 (Unaudited)</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9"/>
              </w:rPr>
              <w:t>5</w:t>
            </w: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rPr>
              <w:t>Condensed Consolidated Statements of Cash Flows for the Nine Months Ended September 30, 2015 and 2014 (Unaudited)</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9"/>
              </w:rPr>
              <w:t>6</w:t>
            </w: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rPr>
              <w:t>Unaudited Notes to Condensed Consolidated Financial Statements</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9"/>
              </w:rPr>
              <w:t>8</w:t>
            </w:r>
          </w:p>
        </w:tc>
      </w:tr>
      <w:tr>
        <w:trPr>
          <w:trHeight w:val="223"/>
        </w:trPr>
        <w:tc>
          <w:tcPr>
            <w:tcW w:w="98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1145"/>
        </w:trPr>
        <w:tc>
          <w:tcPr>
            <w:tcW w:w="98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2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6"/>
              </w:rPr>
              <w:t>September 30,</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0"/>
              </w:rPr>
              <w:t>December 31,</w:t>
            </w:r>
          </w:p>
        </w:tc>
      </w:tr>
      <w:tr>
        <w:trPr>
          <w:trHeight w:val="237"/>
        </w:trPr>
        <w:tc>
          <w:tcPr>
            <w:tcW w:w="55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2014</w:t>
            </w:r>
          </w:p>
        </w:tc>
      </w:tr>
      <w:tr>
        <w:trPr>
          <w:trHeight w:val="414"/>
        </w:trPr>
        <w:tc>
          <w:tcPr>
            <w:tcW w:w="8700" w:type="dxa"/>
            <w:vAlign w:val="bottom"/>
            <w:tcBorders>
              <w:top w:val="single" w:sz="8" w:color="auto"/>
            </w:tcBorders>
            <w:gridSpan w:val="2"/>
          </w:tcPr>
          <w:p>
            <w:pPr>
              <w:ind w:left="53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Cash</w:t>
            </w: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6,087,016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141,944</w:t>
            </w:r>
          </w:p>
        </w:tc>
      </w:tr>
      <w:tr>
        <w:trPr>
          <w:trHeight w:val="230"/>
        </w:trPr>
        <w:tc>
          <w:tcPr>
            <w:tcW w:w="5520" w:type="dxa"/>
            <w:vAlign w:val="bottom"/>
          </w:tcPr>
          <w:p>
            <w:pPr>
              <w:ind w:left="100"/>
              <w:spacing w:after="0"/>
              <w:rPr>
                <w:sz w:val="20"/>
                <w:szCs w:val="20"/>
                <w:color w:val="auto"/>
              </w:rPr>
            </w:pPr>
            <w:r>
              <w:rPr>
                <w:rFonts w:ascii="Arial" w:cs="Arial" w:eastAsia="Arial" w:hAnsi="Arial"/>
                <w:sz w:val="18"/>
                <w:szCs w:val="18"/>
                <w:color w:val="auto"/>
              </w:rPr>
              <w:t>Prepaid expenses and deposits</w:t>
            </w: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138,286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82,504</w:t>
            </w:r>
          </w:p>
        </w:tc>
      </w:tr>
      <w:tr>
        <w:trPr>
          <w:trHeight w:val="27"/>
        </w:trPr>
        <w:tc>
          <w:tcPr>
            <w:tcW w:w="5520" w:type="dxa"/>
            <w:vAlign w:val="bottom"/>
            <w:shd w:val="clear" w:color="auto" w:fill="000000"/>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5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6,225,302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224,448</w:t>
            </w:r>
          </w:p>
        </w:tc>
      </w:tr>
      <w:tr>
        <w:trPr>
          <w:trHeight w:val="21"/>
        </w:trPr>
        <w:tc>
          <w:tcPr>
            <w:tcW w:w="8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8920" w:type="dxa"/>
            <w:vAlign w:val="bottom"/>
            <w:gridSpan w:val="4"/>
          </w:tcPr>
          <w:p>
            <w:pPr>
              <w:ind w:left="3240"/>
              <w:spacing w:after="0"/>
              <w:rPr>
                <w:sz w:val="20"/>
                <w:szCs w:val="20"/>
                <w:color w:val="auto"/>
              </w:rPr>
            </w:pPr>
            <w:r>
              <w:rPr>
                <w:rFonts w:ascii="Arial" w:cs="Arial" w:eastAsia="Arial" w:hAnsi="Arial"/>
                <w:sz w:val="18"/>
                <w:szCs w:val="18"/>
                <w:b w:val="1"/>
                <w:bCs w:val="1"/>
                <w:color w:val="auto"/>
              </w:rPr>
              <w:t>LIABILITIES AND STOCKHOLDERS’ EQUITY (DEFICIT)</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520" w:type="dxa"/>
            <w:vAlign w:val="bottom"/>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874,628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693,362</w:t>
            </w: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Research agreement obligations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492,365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492,365</w:t>
            </w: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Derivative liability – warrants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7,426,684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9,415</w:t>
            </w:r>
          </w:p>
        </w:tc>
      </w:tr>
      <w:tr>
        <w:trPr>
          <w:trHeight w:val="237"/>
        </w:trPr>
        <w:tc>
          <w:tcPr>
            <w:tcW w:w="5520" w:type="dxa"/>
            <w:vAlign w:val="bottom"/>
          </w:tcPr>
          <w:p>
            <w:pPr>
              <w:ind w:left="100"/>
              <w:spacing w:after="0"/>
              <w:rPr>
                <w:sz w:val="20"/>
                <w:szCs w:val="20"/>
                <w:color w:val="auto"/>
              </w:rPr>
            </w:pPr>
            <w:r>
              <w:rPr>
                <w:rFonts w:ascii="Arial" w:cs="Arial" w:eastAsia="Arial" w:hAnsi="Arial"/>
                <w:sz w:val="18"/>
                <w:szCs w:val="18"/>
                <w:color w:val="auto"/>
              </w:rPr>
              <w:t>Promissory notes</w:t>
            </w: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52,942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52,942</w:t>
            </w:r>
          </w:p>
        </w:tc>
      </w:tr>
      <w:tr>
        <w:trPr>
          <w:trHeight w:val="223"/>
        </w:trPr>
        <w:tc>
          <w:tcPr>
            <w:tcW w:w="552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8,846,619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1,248,084</w:t>
            </w:r>
          </w:p>
        </w:tc>
        <w:tc>
          <w:tcPr>
            <w:tcW w:w="100" w:type="dxa"/>
            <w:vAlign w:val="bottom"/>
          </w:tcPr>
          <w:p>
            <w:pPr>
              <w:spacing w:after="0"/>
              <w:rPr>
                <w:sz w:val="19"/>
                <w:szCs w:val="19"/>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920" w:type="dxa"/>
            <w:vAlign w:val="bottom"/>
            <w:gridSpan w:val="4"/>
          </w:tcPr>
          <w:p>
            <w:pPr>
              <w:spacing w:after="0"/>
              <w:rPr>
                <w:sz w:val="20"/>
                <w:szCs w:val="20"/>
                <w:color w:val="auto"/>
              </w:rPr>
            </w:pPr>
            <w:r>
              <w:rPr>
                <w:rFonts w:ascii="Arial" w:cs="Arial" w:eastAsia="Arial" w:hAnsi="Arial"/>
                <w:sz w:val="18"/>
                <w:szCs w:val="18"/>
                <w:color w:val="auto"/>
              </w:rPr>
              <w:t>Convertible preferred stock, $0.001 par value — 10,000,000 shares authorized:</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20" w:type="dxa"/>
            <w:vAlign w:val="bottom"/>
            <w:gridSpan w:val="4"/>
          </w:tcPr>
          <w:p>
            <w:pPr>
              <w:ind w:left="180"/>
              <w:spacing w:after="0"/>
              <w:rPr>
                <w:sz w:val="20"/>
                <w:szCs w:val="20"/>
                <w:color w:val="auto"/>
              </w:rPr>
            </w:pPr>
            <w:r>
              <w:rPr>
                <w:rFonts w:ascii="Arial" w:cs="Arial" w:eastAsia="Arial" w:hAnsi="Arial"/>
                <w:sz w:val="18"/>
                <w:szCs w:val="18"/>
                <w:color w:val="auto"/>
                <w:w w:val="92"/>
              </w:rPr>
              <w:t>Series A, $0.001 par value, 1,250,000 shares designated, -0- shares issued and outstanding as of September 30, 2015</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and December 31, 2014</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w w:val="88"/>
              </w:rPr>
              <w:t>Series B, $0.001 par value, 1,500,000 shares designated, -0- shares issued</w:t>
            </w:r>
          </w:p>
        </w:tc>
        <w:tc>
          <w:tcPr>
            <w:tcW w:w="3400" w:type="dxa"/>
            <w:vAlign w:val="bottom"/>
            <w:gridSpan w:val="3"/>
          </w:tcPr>
          <w:p>
            <w:pPr>
              <w:jc w:val="right"/>
              <w:ind w:right="320"/>
              <w:spacing w:after="0"/>
              <w:rPr>
                <w:sz w:val="20"/>
                <w:szCs w:val="20"/>
                <w:color w:val="auto"/>
              </w:rPr>
            </w:pPr>
            <w:r>
              <w:rPr>
                <w:rFonts w:ascii="Arial" w:cs="Arial" w:eastAsia="Arial" w:hAnsi="Arial"/>
                <w:sz w:val="18"/>
                <w:szCs w:val="18"/>
                <w:color w:val="auto"/>
                <w:w w:val="89"/>
              </w:rPr>
              <w:t>and outstanding as of September 30, 2015</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and December 31, 2014</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Common stock, $0.001 par value, 500,000,000 shares authorized</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62,890,763 shares issued and outstanding (2014 – 20,318,815)</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62,891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20,319</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100,568,900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85,265,776</w:t>
            </w:r>
          </w:p>
        </w:tc>
      </w:tr>
      <w:tr>
        <w:trPr>
          <w:trHeight w:val="237"/>
        </w:trPr>
        <w:tc>
          <w:tcPr>
            <w:tcW w:w="5520" w:type="dxa"/>
            <w:vAlign w:val="bottom"/>
          </w:tcPr>
          <w:p>
            <w:pPr>
              <w:spacing w:after="0"/>
              <w:rPr>
                <w:sz w:val="20"/>
                <w:szCs w:val="20"/>
                <w:color w:val="auto"/>
              </w:rPr>
            </w:pPr>
            <w:r>
              <w:rPr>
                <w:rFonts w:ascii="Arial" w:cs="Arial" w:eastAsia="Arial" w:hAnsi="Arial"/>
                <w:sz w:val="18"/>
                <w:szCs w:val="18"/>
                <w:color w:val="auto"/>
              </w:rPr>
              <w:t>Accumulated deficit</w:t>
            </w: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6"/>
              </w:rPr>
              <w:t>(103,253,108)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(86,309,731)</w:t>
            </w:r>
          </w:p>
        </w:tc>
      </w:tr>
      <w:tr>
        <w:trPr>
          <w:trHeight w:val="223"/>
        </w:trPr>
        <w:tc>
          <w:tcPr>
            <w:tcW w:w="552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(2,621,317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(1,023,636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32"/>
        </w:trPr>
        <w:tc>
          <w:tcPr>
            <w:tcW w:w="5520" w:type="dxa"/>
            <w:vAlign w:val="bottom"/>
          </w:tcPr>
          <w:p>
            <w:pPr>
              <w:spacing w:after="0"/>
              <w:rPr>
                <w:sz w:val="24"/>
                <w:szCs w:val="24"/>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6,225,302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224,448</w:t>
            </w:r>
          </w:p>
        </w:tc>
      </w:tr>
      <w:tr>
        <w:trPr>
          <w:trHeight w:val="21"/>
        </w:trPr>
        <w:tc>
          <w:tcPr>
            <w:tcW w:w="552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520" w:type="dxa"/>
            <w:vAlign w:val="bottom"/>
            <w:tcBorders>
              <w:top w:val="single" w:sz="8" w:color="auto"/>
            </w:tcBorders>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18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gridSpan w:val="6"/>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6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968,759</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1,351,209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2,324,432</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2,899,181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769,219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32,500</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1,579,754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1,737,978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1,383,709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3,904,186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(1,737,978)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(1,383,709)</w:t>
            </w: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(3,904,186)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(2,976,681)</w:t>
            </w:r>
          </w:p>
        </w:tc>
        <w:tc>
          <w:tcPr>
            <w:tcW w:w="0" w:type="dxa"/>
            <w:vAlign w:val="bottom"/>
          </w:tcPr>
          <w:p>
            <w:pPr>
              <w:spacing w:after="0"/>
              <w:rPr>
                <w:sz w:val="1"/>
                <w:szCs w:val="1"/>
                <w:color w:val="auto"/>
              </w:rPr>
            </w:pPr>
          </w:p>
        </w:tc>
      </w:tr>
      <w:tr>
        <w:trPr>
          <w:trHeight w:val="418"/>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Foreign exchange gain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Changes in fair value of derivative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4,246,663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(74,062)</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(4,759,269)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243,475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Accretion of interest on convertible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(492,296)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Inducement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(8,256,000)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Interest and finance charges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(15,425)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Shares issued in settlement agreement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(24,697)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(24,697)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Loss on settlement of debt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(94,640)</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(26,837,837)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Net Income (Loss) for the Period</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2,483,988</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(1,567,836)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(16,943,377)</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(30,146,586)</w:t>
            </w:r>
          </w:p>
        </w:tc>
        <w:tc>
          <w:tcPr>
            <w:tcW w:w="0" w:type="dxa"/>
            <w:vAlign w:val="bottom"/>
          </w:tcPr>
          <w:p>
            <w:pPr>
              <w:spacing w:after="0"/>
              <w:rPr>
                <w:sz w:val="1"/>
                <w:szCs w:val="1"/>
                <w:color w:val="auto"/>
              </w:rPr>
            </w:pPr>
          </w:p>
        </w:tc>
      </w:tr>
      <w:tr>
        <w:trPr>
          <w:trHeight w:val="634"/>
        </w:trPr>
        <w:tc>
          <w:tcPr>
            <w:tcW w:w="5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Foreign exchange translation adjustment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2,483,988</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(1,564,864)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(16,943,377)</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(30,143,821)</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940" w:type="dxa"/>
            <w:vAlign w:val="bottom"/>
          </w:tcPr>
          <w:p>
            <w:pPr>
              <w:spacing w:after="0" w:line="191" w:lineRule="exact"/>
              <w:rPr>
                <w:sz w:val="20"/>
                <w:szCs w:val="20"/>
                <w:color w:val="auto"/>
              </w:rPr>
            </w:pPr>
            <w:r>
              <w:rPr>
                <w:rFonts w:ascii="Arial" w:cs="Arial" w:eastAsia="Arial" w:hAnsi="Arial"/>
                <w:sz w:val="18"/>
                <w:szCs w:val="18"/>
                <w:b w:val="1"/>
                <w:bCs w:val="1"/>
                <w:color w:val="auto"/>
              </w:rPr>
              <w:t>Basic Net Income (Loss) per Share</w:t>
            </w:r>
          </w:p>
        </w:tc>
        <w:tc>
          <w:tcPr>
            <w:tcW w:w="120" w:type="dxa"/>
            <w:vAlign w:val="bottom"/>
            <w:vMerge w:val="continue"/>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1" w:lineRule="exact"/>
              <w:rPr>
                <w:sz w:val="20"/>
                <w:szCs w:val="20"/>
                <w:color w:val="auto"/>
              </w:rPr>
            </w:pPr>
            <w:r>
              <w:rPr>
                <w:rFonts w:ascii="Arial" w:cs="Arial" w:eastAsia="Arial" w:hAnsi="Arial"/>
                <w:sz w:val="18"/>
                <w:szCs w:val="18"/>
                <w:color w:val="auto"/>
              </w:rPr>
              <w:t>0.05</w:t>
            </w:r>
          </w:p>
        </w:tc>
        <w:tc>
          <w:tcPr>
            <w:tcW w:w="1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1" w:lineRule="exact"/>
              <w:rPr>
                <w:sz w:val="20"/>
                <w:szCs w:val="20"/>
                <w:color w:val="auto"/>
              </w:rPr>
            </w:pPr>
            <w:r>
              <w:rPr>
                <w:rFonts w:ascii="Arial" w:cs="Arial" w:eastAsia="Arial" w:hAnsi="Arial"/>
                <w:sz w:val="18"/>
                <w:szCs w:val="18"/>
                <w:color w:val="auto"/>
              </w:rPr>
              <w:t>(0.09)</w:t>
            </w:r>
          </w:p>
        </w:tc>
        <w:tc>
          <w:tcPr>
            <w:tcW w:w="200" w:type="dxa"/>
            <w:vAlign w:val="bottom"/>
            <w:vMerge w:val="continue"/>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1" w:lineRule="exact"/>
              <w:rPr>
                <w:sz w:val="20"/>
                <w:szCs w:val="20"/>
                <w:color w:val="auto"/>
              </w:rPr>
            </w:pPr>
            <w:r>
              <w:rPr>
                <w:rFonts w:ascii="Arial" w:cs="Arial" w:eastAsia="Arial" w:hAnsi="Arial"/>
                <w:sz w:val="18"/>
                <w:szCs w:val="18"/>
                <w:color w:val="auto"/>
              </w:rPr>
              <w:t>(0.46)</w:t>
            </w:r>
          </w:p>
        </w:tc>
        <w:tc>
          <w:tcPr>
            <w:tcW w:w="1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1" w:lineRule="exact"/>
              <w:rPr>
                <w:sz w:val="20"/>
                <w:szCs w:val="20"/>
                <w:color w:val="auto"/>
              </w:rPr>
            </w:pPr>
            <w:r>
              <w:rPr>
                <w:rFonts w:ascii="Arial" w:cs="Arial" w:eastAsia="Arial" w:hAnsi="Arial"/>
                <w:sz w:val="18"/>
                <w:szCs w:val="18"/>
                <w:color w:val="auto"/>
              </w:rPr>
              <w:t>(2.27)</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(0.46)</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Number of</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Common Shares Outstanding, Basic</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48,585,003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17,310,708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36,651,565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13,292,886</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Number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Common Shares Outstanding, Diluted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80,944,993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17,310,708</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36,651,565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13,292,886</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5"/>
          </w:tcPr>
          <w:p>
            <w:pPr>
              <w:jc w:val="right"/>
              <w:ind w:right="820"/>
              <w:spacing w:after="0"/>
              <w:rPr>
                <w:sz w:val="20"/>
                <w:szCs w:val="20"/>
                <w:color w:val="auto"/>
              </w:rPr>
            </w:pPr>
            <w:r>
              <w:rPr>
                <w:rFonts w:ascii="Arial" w:cs="Arial" w:eastAsia="Arial" w:hAnsi="Arial"/>
                <w:sz w:val="18"/>
                <w:szCs w:val="18"/>
                <w:color w:val="auto"/>
              </w:rPr>
              <w:t>Common Stock</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8"/>
              </w:rPr>
              <w:t>Additional</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Number of</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Paid In</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700" w:type="dxa"/>
            <w:vAlign w:val="bottom"/>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Capital</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Balance, January 1, 2015</w:t>
            </w:r>
          </w:p>
        </w:tc>
        <w:tc>
          <w:tcPr>
            <w:tcW w:w="1160" w:type="dxa"/>
            <w:vAlign w:val="bottom"/>
          </w:tcPr>
          <w:p>
            <w:pPr>
              <w:jc w:val="right"/>
              <w:spacing w:after="0"/>
              <w:rPr>
                <w:sz w:val="20"/>
                <w:szCs w:val="20"/>
                <w:color w:val="auto"/>
              </w:rPr>
            </w:pPr>
            <w:r>
              <w:rPr>
                <w:rFonts w:ascii="Arial" w:cs="Arial" w:eastAsia="Arial" w:hAnsi="Arial"/>
                <w:sz w:val="18"/>
                <w:szCs w:val="18"/>
                <w:color w:val="auto"/>
              </w:rPr>
              <w:t>20,318,816</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20,319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85,265,776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(86,309,731)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(1,023,636)</w:t>
            </w: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Accounts payable settled in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118,450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21,795</w:t>
            </w: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21,913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Private placement (net of finders’ fee of $454,000)</w:t>
            </w:r>
          </w:p>
        </w:tc>
        <w:tc>
          <w:tcPr>
            <w:tcW w:w="1160" w:type="dxa"/>
            <w:vAlign w:val="bottom"/>
          </w:tcPr>
          <w:p>
            <w:pPr>
              <w:jc w:val="right"/>
              <w:spacing w:after="0"/>
              <w:rPr>
                <w:sz w:val="20"/>
                <w:szCs w:val="20"/>
                <w:color w:val="auto"/>
              </w:rPr>
            </w:pPr>
            <w:r>
              <w:rPr>
                <w:rFonts w:ascii="Arial" w:cs="Arial" w:eastAsia="Arial" w:hAnsi="Arial"/>
                <w:sz w:val="18"/>
                <w:szCs w:val="18"/>
                <w:color w:val="auto"/>
              </w:rPr>
              <w:t>12,363,447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1,997,144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2,009,506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Fair value of warrants recognized as derivative liabilities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(2,090,000)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(2,090,000)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Exercise of warrants</w:t>
            </w:r>
          </w:p>
        </w:tc>
        <w:tc>
          <w:tcPr>
            <w:tcW w:w="1160" w:type="dxa"/>
            <w:vAlign w:val="bottom"/>
          </w:tcPr>
          <w:p>
            <w:pPr>
              <w:jc w:val="right"/>
              <w:spacing w:after="0"/>
              <w:rPr>
                <w:sz w:val="20"/>
                <w:szCs w:val="20"/>
                <w:color w:val="auto"/>
              </w:rPr>
            </w:pPr>
            <w:r>
              <w:rPr>
                <w:rFonts w:ascii="Arial" w:cs="Arial" w:eastAsia="Arial" w:hAnsi="Arial"/>
                <w:sz w:val="18"/>
                <w:szCs w:val="18"/>
                <w:color w:val="auto"/>
              </w:rPr>
              <w:t>29,639,990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29,640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7,398,358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7,427,998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Inducement expense on incremental value associated with</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modified warrants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7,688,000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7,688,000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in settlement agreement</w:t>
            </w:r>
          </w:p>
        </w:tc>
        <w:tc>
          <w:tcPr>
            <w:tcW w:w="1160" w:type="dxa"/>
            <w:vAlign w:val="bottom"/>
          </w:tcPr>
          <w:p>
            <w:pPr>
              <w:jc w:val="right"/>
              <w:spacing w:after="0"/>
              <w:rPr>
                <w:sz w:val="20"/>
                <w:szCs w:val="20"/>
                <w:color w:val="auto"/>
              </w:rPr>
            </w:pPr>
            <w:r>
              <w:rPr>
                <w:rFonts w:ascii="Arial" w:cs="Arial" w:eastAsia="Arial" w:hAnsi="Arial"/>
                <w:sz w:val="18"/>
                <w:szCs w:val="18"/>
                <w:color w:val="auto"/>
              </w:rPr>
              <w:t>49,950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26,424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26,474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400,110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261,404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261,806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(16,943,377)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(16,943,3770)</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Balance, September 30, 2015</w:t>
            </w:r>
          </w:p>
        </w:tc>
        <w:tc>
          <w:tcPr>
            <w:tcW w:w="1160" w:type="dxa"/>
            <w:vAlign w:val="bottom"/>
          </w:tcPr>
          <w:p>
            <w:pPr>
              <w:jc w:val="right"/>
              <w:spacing w:after="0"/>
              <w:rPr>
                <w:sz w:val="20"/>
                <w:szCs w:val="20"/>
                <w:color w:val="auto"/>
              </w:rPr>
            </w:pPr>
            <w:r>
              <w:rPr>
                <w:rFonts w:ascii="Arial" w:cs="Arial" w:eastAsia="Arial" w:hAnsi="Arial"/>
                <w:sz w:val="18"/>
                <w:szCs w:val="18"/>
                <w:color w:val="auto"/>
              </w:rPr>
              <w:t>62,890,763</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62,891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100,568,901</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(103,253,108)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(2,621,316)</w:t>
            </w:r>
          </w:p>
        </w:tc>
      </w:tr>
      <w:tr>
        <w:trPr>
          <w:trHeight w:val="21"/>
        </w:trPr>
        <w:tc>
          <w:tcPr>
            <w:tcW w:w="4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6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2"/>
              </w:rPr>
              <w:t>Nine Months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2"/>
              </w:rPr>
              <w:t>Nine Months</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Ended</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w:t>
            </w:r>
          </w:p>
        </w:tc>
      </w:tr>
      <w:tr>
        <w:trPr>
          <w:trHeight w:val="237"/>
        </w:trPr>
        <w:tc>
          <w:tcPr>
            <w:tcW w:w="20" w:type="dxa"/>
            <w:vAlign w:val="bottom"/>
          </w:tcPr>
          <w:p>
            <w:pPr>
              <w:spacing w:after="0"/>
              <w:rPr>
                <w:sz w:val="20"/>
                <w:szCs w:val="20"/>
                <w:color w:val="auto"/>
              </w:rPr>
            </w:pPr>
          </w:p>
        </w:tc>
        <w:tc>
          <w:tcPr>
            <w:tcW w:w="8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r>
      <w:tr>
        <w:trPr>
          <w:trHeight w:val="418"/>
        </w:trPr>
        <w:tc>
          <w:tcPr>
            <w:tcW w:w="87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(16,943,377)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(30,146,586)</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Adjustments to reconcile net loss to</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net cash from operating activities: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Changes in fair value of derivative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4,759,269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(243,475)</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Inducement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8,256,000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Loss on settlement of debt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26,837,837</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Loss on settlement agreement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24,697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60"/>
              <w:spacing w:after="0"/>
              <w:rPr>
                <w:sz w:val="20"/>
                <w:szCs w:val="20"/>
                <w:color w:val="auto"/>
              </w:rPr>
            </w:pPr>
            <w:r>
              <w:rPr>
                <w:rFonts w:ascii="Arial" w:cs="Arial" w:eastAsia="Arial" w:hAnsi="Arial"/>
                <w:sz w:val="18"/>
                <w:szCs w:val="18"/>
                <w:color w:val="auto"/>
              </w:rPr>
              <w:t>Accretion of interest on convertible debt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492,296</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261,805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1,265,625</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Prepaid expenses and deposits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(55,782)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r>
      <w:tr>
        <w:trPr>
          <w:trHeight w:val="237"/>
        </w:trPr>
        <w:tc>
          <w:tcPr>
            <w:tcW w:w="20" w:type="dxa"/>
            <w:vAlign w:val="bottom"/>
          </w:tcPr>
          <w:p>
            <w:pPr>
              <w:spacing w:after="0"/>
              <w:rPr>
                <w:sz w:val="20"/>
                <w:szCs w:val="20"/>
                <w:color w:val="auto"/>
              </w:rPr>
            </w:pPr>
          </w:p>
        </w:tc>
        <w:tc>
          <w:tcPr>
            <w:tcW w:w="8680" w:type="dxa"/>
            <w:vAlign w:val="bottom"/>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204,956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291,359</w:t>
            </w:r>
          </w:p>
        </w:tc>
      </w:tr>
      <w:tr>
        <w:trPr>
          <w:trHeight w:val="198"/>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NET CASH USED IN</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(3,492,432)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(1,517,944)</w:t>
            </w:r>
          </w:p>
        </w:tc>
      </w:tr>
      <w:tr>
        <w:trPr>
          <w:trHeight w:val="27"/>
        </w:trPr>
        <w:tc>
          <w:tcPr>
            <w:tcW w:w="2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18"/>
        </w:trPr>
        <w:tc>
          <w:tcPr>
            <w:tcW w:w="20" w:type="dxa"/>
            <w:vAlign w:val="bottom"/>
          </w:tcPr>
          <w:p>
            <w:pPr>
              <w:spacing w:after="0"/>
              <w:rPr>
                <w:sz w:val="24"/>
                <w:szCs w:val="24"/>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Private placement, net of finders’ fee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2,009,506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2,097,500</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Proceeds from exercise of warrants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7,427,998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Proceeds from loans payable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37"/>
        </w:trPr>
        <w:tc>
          <w:tcPr>
            <w:tcW w:w="20" w:type="dxa"/>
            <w:vAlign w:val="bottom"/>
          </w:tcPr>
          <w:p>
            <w:pPr>
              <w:spacing w:after="0"/>
              <w:rPr>
                <w:sz w:val="20"/>
                <w:szCs w:val="20"/>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Repayment of promissory notes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r>
      <w:tr>
        <w:trPr>
          <w:trHeight w:val="198"/>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NET CASH PROVIDED BY</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9,437,504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2,083,000</w:t>
            </w:r>
          </w:p>
        </w:tc>
      </w:tr>
      <w:tr>
        <w:trPr>
          <w:trHeight w:val="27"/>
        </w:trPr>
        <w:tc>
          <w:tcPr>
            <w:tcW w:w="870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1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INCREASE IN CASH</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5,945,072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565,056</w:t>
            </w:r>
          </w:p>
        </w:tc>
      </w:tr>
      <w:tr>
        <w:trPr>
          <w:trHeight w:val="241"/>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CASH, BEGINNING OF PERIOD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141,944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48,589</w:t>
            </w:r>
          </w:p>
        </w:tc>
      </w:tr>
      <w:tr>
        <w:trPr>
          <w:trHeight w:val="216"/>
        </w:trPr>
        <w:tc>
          <w:tcPr>
            <w:tcW w:w="8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CASH, END OF PERIOD</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6,087,016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613,645</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2"/>
              </w:rPr>
              <w:t>Nine Months</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2"/>
              </w:rPr>
              <w:t>Nine Months</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Ended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Ended</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w:t>
            </w:r>
          </w:p>
        </w:tc>
      </w:tr>
      <w:tr>
        <w:trPr>
          <w:trHeight w:val="237"/>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b w:val="1"/>
                <w:bCs w:val="1"/>
                <w:color w:val="auto"/>
              </w:rPr>
              <w:t>SUPPLEMENTAL SCHEDULE OF NON-CASH ACTIVITIES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color w:val="auto"/>
              </w:rPr>
              <w:t>Accounts payable settled in common stock</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683,000</w:t>
            </w:r>
          </w:p>
        </w:tc>
      </w:tr>
      <w:tr>
        <w:trPr>
          <w:trHeight w:val="418"/>
        </w:trPr>
        <w:tc>
          <w:tcPr>
            <w:tcW w:w="8700" w:type="dxa"/>
            <w:vAlign w:val="bottom"/>
          </w:tcPr>
          <w:p>
            <w:pPr>
              <w:spacing w:after="0"/>
              <w:rPr>
                <w:sz w:val="20"/>
                <w:szCs w:val="20"/>
                <w:color w:val="auto"/>
              </w:rPr>
            </w:pPr>
            <w:r>
              <w:rPr>
                <w:rFonts w:ascii="Arial" w:cs="Arial" w:eastAsia="Arial" w:hAnsi="Arial"/>
                <w:sz w:val="18"/>
                <w:szCs w:val="18"/>
                <w:b w:val="1"/>
                <w:bCs w:val="1"/>
                <w:color w:val="auto"/>
              </w:rPr>
              <w:t>Conversion of debt obligations into common stock:</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476,000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3,797,000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Loans payable, related party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Promissory notes, related party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369,000</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Fair value derivative liability – conversion option at conversion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708,000</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September 30, 2015, condensed consolidated statements of interim financials include all adjustments, consisting only of normal recurring adjustments, which the Company considers necessary for a fair presentation of the financial position, operating results and cash flows for the periods presented.</w:t>
      </w:r>
    </w:p>
    <w:p>
      <w:pPr>
        <w:spacing w:after="0" w:line="220" w:lineRule="exact"/>
        <w:rPr>
          <w:sz w:val="20"/>
          <w:szCs w:val="20"/>
          <w:color w:val="auto"/>
        </w:rPr>
      </w:pPr>
    </w:p>
    <w:p>
      <w:pPr>
        <w:jc w:val="both"/>
        <w:ind w:firstLine="53"/>
        <w:spacing w:after="0" w:line="257" w:lineRule="auto"/>
        <w:rPr>
          <w:sz w:val="20"/>
          <w:szCs w:val="20"/>
          <w:color w:val="auto"/>
        </w:rPr>
      </w:pPr>
      <w:r>
        <w:rPr>
          <w:rFonts w:ascii="Arial" w:cs="Arial" w:eastAsia="Arial" w:hAnsi="Arial"/>
          <w:sz w:val="18"/>
          <w:szCs w:val="18"/>
          <w:color w:val="auto"/>
        </w:rPr>
        <w:t>The results for the statement of operations are not necessarily indicative of results to be expected for the year ending December 31, 2015 or for any future interim period. The condensed balance sheet at December 31, 2014 has been derived from audited financial statements; however, it does not include all of the information and notes required by U.S. GAAP for complete financial statements. The accompanying condensed financial statements should be read in conjunction with the consolidated financial statements for the year ended December 31, 2014, and notes thereto included in the Company’s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FINANCIAL CONDITION</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2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2015, the Company had cash and cash equivalents of approximately $6,087,000.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April 15,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expense categories of the comparable prior period have been reclassified for comparability with the September 30, 2015 presentation. These reclassifications had no effect on previously reported net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INCOME (LOSS) PER SHARE</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income (loss) per common share is computed by dividing net income by the weighted average number of common shares outstanding during the reporting period. Diluted income per common share is computed similar to basic income per common share except that it reflects the potential dilution that could occur if dilutive securities or other obligations to issue common stock were exercised or converted into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income (loss) per share: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1"/>
              </w:rPr>
              <w:t>For the Three Months Ended</w:t>
            </w:r>
          </w:p>
        </w:tc>
        <w:tc>
          <w:tcPr>
            <w:tcW w:w="100" w:type="dxa"/>
            <w:vAlign w:val="bottom"/>
          </w:tcPr>
          <w:p>
            <w:pPr>
              <w:spacing w:after="0"/>
              <w:rPr>
                <w:sz w:val="18"/>
                <w:szCs w:val="18"/>
                <w:color w:val="auto"/>
              </w:rPr>
            </w:pPr>
          </w:p>
        </w:tc>
        <w:tc>
          <w:tcPr>
            <w:tcW w:w="24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41"/>
        </w:trPr>
        <w:tc>
          <w:tcPr>
            <w:tcW w:w="6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0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9"/>
                <w:szCs w:val="19"/>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2,483,988</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(1,567,836)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(16,943,377)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(30,146,586)</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48,583,003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17,310,708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36,651,565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13,292,886</w:t>
            </w:r>
          </w:p>
        </w:tc>
        <w:tc>
          <w:tcPr>
            <w:tcW w:w="60" w:type="dxa"/>
            <w:vAlign w:val="bottom"/>
          </w:tcPr>
          <w:p>
            <w:pPr>
              <w:spacing w:after="0"/>
              <w:rPr>
                <w:sz w:val="24"/>
                <w:szCs w:val="24"/>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Common stock warrants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31,959,990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Common stock options</w:t>
            </w: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80,944,993</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17,310,708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36,651,565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13,292,886</w:t>
            </w:r>
          </w:p>
        </w:tc>
        <w:tc>
          <w:tcPr>
            <w:tcW w:w="60" w:type="dxa"/>
            <w:vAlign w:val="bottom"/>
          </w:tcPr>
          <w:p>
            <w:pPr>
              <w:spacing w:after="0"/>
              <w:rPr>
                <w:sz w:val="19"/>
                <w:szCs w:val="19"/>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Net loss per share data:</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0.05</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(0.46)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(0.46)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(2.27)</w:t>
            </w:r>
          </w:p>
        </w:tc>
      </w:tr>
      <w:tr>
        <w:trPr>
          <w:trHeight w:val="21"/>
        </w:trPr>
        <w:tc>
          <w:tcPr>
            <w:tcW w:w="6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Options, warrants, and convertible debt outstanding were all considered anti-dilutive for the nine months ended September 30, 2015 and 2014, due to net losses.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securities were not included in the diluted net loss per share calculation because their effect was anti-dilutive as of the periods presented: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60" w:type="dxa"/>
            <w:vAlign w:val="bottom"/>
          </w:tcPr>
          <w:p>
            <w:pPr>
              <w:spacing w:after="0"/>
              <w:rPr>
                <w:sz w:val="20"/>
                <w:szCs w:val="20"/>
                <w:color w:val="auto"/>
              </w:rPr>
            </w:pPr>
          </w:p>
        </w:tc>
        <w:tc>
          <w:tcPr>
            <w:tcW w:w="270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23"/>
        </w:trPr>
        <w:tc>
          <w:tcPr>
            <w:tcW w:w="866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202"/>
        </w:trPr>
        <w:tc>
          <w:tcPr>
            <w:tcW w:w="8660" w:type="dxa"/>
            <w:vAlign w:val="bottom"/>
          </w:tcPr>
          <w:p>
            <w:pPr>
              <w:spacing w:after="0" w:line="201" w:lineRule="exact"/>
              <w:rPr>
                <w:sz w:val="20"/>
                <w:szCs w:val="20"/>
                <w:color w:val="auto"/>
              </w:rPr>
            </w:pPr>
            <w:r>
              <w:rPr>
                <w:rFonts w:ascii="Arial" w:cs="Arial" w:eastAsia="Arial" w:hAnsi="Arial"/>
                <w:sz w:val="18"/>
                <w:szCs w:val="18"/>
                <w:color w:val="auto"/>
              </w:rPr>
              <w:t>Common stock options</w:t>
            </w:r>
          </w:p>
        </w:tc>
        <w:tc>
          <w:tcPr>
            <w:tcW w:w="1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465,000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65,000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Common stock warrants - equity treatment</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47,032,000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185,000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Common stock warrants - liability treatment</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12,514,000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49,000</w:t>
            </w:r>
          </w:p>
        </w:tc>
      </w:tr>
      <w:tr>
        <w:trPr>
          <w:trHeight w:val="237"/>
        </w:trPr>
        <w:tc>
          <w:tcPr>
            <w:tcW w:w="8660" w:type="dxa"/>
            <w:vAlign w:val="bottom"/>
          </w:tcPr>
          <w:p>
            <w:pPr>
              <w:spacing w:after="0"/>
              <w:rPr>
                <w:sz w:val="20"/>
                <w:szCs w:val="20"/>
                <w:color w:val="auto"/>
              </w:rPr>
            </w:pPr>
            <w:r>
              <w:rPr>
                <w:rFonts w:ascii="Arial" w:cs="Arial" w:eastAsia="Arial" w:hAnsi="Arial"/>
                <w:sz w:val="18"/>
                <w:szCs w:val="18"/>
                <w:color w:val="auto"/>
              </w:rPr>
              <w:t>Convertible notes</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7,000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2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60,011,000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306,000</w:t>
            </w:r>
          </w:p>
        </w:tc>
        <w:tc>
          <w:tcPr>
            <w:tcW w:w="100" w:type="dxa"/>
            <w:vAlign w:val="bottom"/>
          </w:tcPr>
          <w:p>
            <w:pPr>
              <w:spacing w:after="0"/>
              <w:rPr>
                <w:sz w:val="18"/>
                <w:szCs w:val="18"/>
                <w:color w:val="auto"/>
              </w:rPr>
            </w:pPr>
          </w:p>
        </w:tc>
      </w:tr>
      <w:tr>
        <w:trPr>
          <w:trHeight w:val="21"/>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6: DERIVATIVE LIABILITY - WARRANTS AND DERIVATIVE LIABILITY – CONVERSION OPTION</w:t>
      </w:r>
    </w:p>
    <w:p>
      <w:pPr>
        <w:spacing w:after="0" w:line="25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nine months ended 2015 and 2014 is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Weighted Average Inputs for the</w:t>
            </w:r>
          </w:p>
        </w:tc>
      </w:tr>
      <w:tr>
        <w:trPr>
          <w:trHeight w:val="216"/>
        </w:trPr>
        <w:tc>
          <w:tcPr>
            <w:tcW w:w="8620" w:type="dxa"/>
            <w:vAlign w:val="bottom"/>
          </w:tcPr>
          <w:p>
            <w:pPr>
              <w:spacing w:after="0"/>
              <w:rPr>
                <w:sz w:val="20"/>
                <w:szCs w:val="20"/>
                <w:color w:val="auto"/>
              </w:rPr>
            </w:pPr>
            <w:r>
              <w:rPr>
                <w:rFonts w:ascii="Arial" w:cs="Arial" w:eastAsia="Arial" w:hAnsi="Arial"/>
                <w:sz w:val="18"/>
                <w:szCs w:val="18"/>
                <w:b w:val="1"/>
                <w:bCs w:val="1"/>
                <w:color w:val="auto"/>
              </w:rPr>
              <w:t>Stock Purchase Warrants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Period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For the Nine</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For the Nine</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Months</w:t>
            </w:r>
          </w:p>
        </w:tc>
        <w:tc>
          <w:tcPr>
            <w:tcW w:w="2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Months</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Ending</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Ending</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of valuation</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r>
      <w:tr>
        <w:trPr>
          <w:trHeight w:val="202"/>
        </w:trPr>
        <w:tc>
          <w:tcPr>
            <w:tcW w:w="8620" w:type="dxa"/>
            <w:vAlign w:val="bottom"/>
          </w:tcPr>
          <w:p>
            <w:pPr>
              <w:spacing w:after="0" w:line="201" w:lineRule="exact"/>
              <w:rPr>
                <w:sz w:val="20"/>
                <w:szCs w:val="20"/>
                <w:color w:val="auto"/>
              </w:rPr>
            </w:pPr>
            <w:r>
              <w:rPr>
                <w:rFonts w:ascii="Arial" w:cs="Arial" w:eastAsia="Arial" w:hAnsi="Arial"/>
                <w:sz w:val="18"/>
                <w:szCs w:val="18"/>
                <w:color w:val="auto"/>
              </w:rPr>
              <w:t>Strike price</w:t>
            </w:r>
          </w:p>
        </w:tc>
        <w:tc>
          <w:tcPr>
            <w:tcW w:w="100" w:type="dxa"/>
            <w:vAlign w:val="bottom"/>
          </w:tcPr>
          <w:p>
            <w:pPr>
              <w:spacing w:after="0"/>
              <w:rPr>
                <w:sz w:val="17"/>
                <w:szCs w:val="17"/>
                <w:color w:val="auto"/>
              </w:rPr>
            </w:pP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0.13</w:t>
            </w:r>
          </w:p>
        </w:tc>
        <w:tc>
          <w:tcPr>
            <w:tcW w:w="26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5.84</w:t>
            </w:r>
          </w:p>
        </w:tc>
        <w:tc>
          <w:tcPr>
            <w:tcW w:w="140" w:type="dxa"/>
            <w:vAlign w:val="bottom"/>
          </w:tcPr>
          <w:p>
            <w:pPr>
              <w:spacing w:after="0"/>
              <w:rPr>
                <w:sz w:val="17"/>
                <w:szCs w:val="17"/>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Volatility (annual)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158.00%</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156.00%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Risk-free rate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8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are summarized below and disclosed on the balance sheet under Derivative liability – warrants: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As of September 30, 2015</w:t>
            </w: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41"/>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Fair Value Measurements</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02"/>
        </w:trPr>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40"/>
              <w:spacing w:after="0" w:line="201" w:lineRule="exact"/>
              <w:rPr>
                <w:sz w:val="20"/>
                <w:szCs w:val="20"/>
                <w:color w:val="auto"/>
              </w:rPr>
            </w:pPr>
            <w:r>
              <w:rPr>
                <w:rFonts w:ascii="Arial" w:cs="Arial" w:eastAsia="Arial" w:hAnsi="Arial"/>
                <w:sz w:val="18"/>
                <w:szCs w:val="18"/>
                <w:b w:val="1"/>
                <w:bCs w:val="1"/>
                <w:color w:val="auto"/>
              </w:rPr>
              <w:t>Fair Value</w:t>
            </w:r>
          </w:p>
        </w:tc>
        <w:tc>
          <w:tcPr>
            <w:tcW w:w="1120" w:type="dxa"/>
            <w:vAlign w:val="bottom"/>
          </w:tcPr>
          <w:p>
            <w:pPr>
              <w:jc w:val="right"/>
              <w:ind w:right="190"/>
              <w:spacing w:after="0" w:line="201" w:lineRule="exact"/>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7"/>
                <w:szCs w:val="17"/>
                <w:color w:val="auto"/>
              </w:rPr>
            </w:pPr>
          </w:p>
        </w:tc>
        <w:tc>
          <w:tcPr>
            <w:tcW w:w="1240" w:type="dxa"/>
            <w:vAlign w:val="bottom"/>
            <w:gridSpan w:val="2"/>
          </w:tcPr>
          <w:p>
            <w:pPr>
              <w:ind w:left="300"/>
              <w:spacing w:after="0" w:line="201" w:lineRule="exact"/>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0"/>
              <w:spacing w:after="0" w:line="201" w:lineRule="exact"/>
              <w:rPr>
                <w:sz w:val="20"/>
                <w:szCs w:val="20"/>
                <w:color w:val="auto"/>
              </w:rPr>
            </w:pPr>
            <w:r>
              <w:rPr>
                <w:rFonts w:ascii="Arial" w:cs="Arial" w:eastAsia="Arial" w:hAnsi="Arial"/>
                <w:sz w:val="18"/>
                <w:szCs w:val="18"/>
                <w:b w:val="1"/>
                <w:bCs w:val="1"/>
                <w:color w:val="auto"/>
                <w:w w:val="91"/>
              </w:rPr>
              <w:t>Level 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160"/>
              <w:spacing w:after="0" w:line="201" w:lineRule="exact"/>
              <w:rPr>
                <w:sz w:val="20"/>
                <w:szCs w:val="20"/>
                <w:color w:val="auto"/>
              </w:rPr>
            </w:pPr>
            <w:r>
              <w:rPr>
                <w:rFonts w:ascii="Arial" w:cs="Arial" w:eastAsia="Arial" w:hAnsi="Arial"/>
                <w:sz w:val="18"/>
                <w:szCs w:val="18"/>
                <w:b w:val="1"/>
                <w:bCs w:val="1"/>
                <w:color w:val="auto"/>
              </w:rPr>
              <w:t>Total</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Derivative liability - warrants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7,427,000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7,427,000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9"/>
              </w:rPr>
              <w:t>7,427,000</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7,427,000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7,427,000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9"/>
              </w:rPr>
              <w:t>7,427,000</w:t>
            </w:r>
          </w:p>
        </w:tc>
      </w:tr>
      <w:tr>
        <w:trPr>
          <w:trHeight w:val="21"/>
        </w:trPr>
        <w:tc>
          <w:tcPr>
            <w:tcW w:w="4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rPr>
              <w:t>As of December 31, 2014</w:t>
            </w: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4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Fair Value Measurements</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420"/>
              <w:spacing w:after="0" w:line="201" w:lineRule="exact"/>
              <w:rPr>
                <w:sz w:val="20"/>
                <w:szCs w:val="20"/>
                <w:color w:val="auto"/>
              </w:rPr>
            </w:pPr>
            <w:r>
              <w:rPr>
                <w:rFonts w:ascii="Arial" w:cs="Arial" w:eastAsia="Arial" w:hAnsi="Arial"/>
                <w:sz w:val="18"/>
                <w:szCs w:val="18"/>
                <w:b w:val="1"/>
                <w:bCs w:val="1"/>
                <w:color w:val="auto"/>
                <w:w w:val="97"/>
              </w:rPr>
              <w:t>Fair Value</w:t>
            </w:r>
          </w:p>
        </w:tc>
        <w:tc>
          <w:tcPr>
            <w:tcW w:w="1360" w:type="dxa"/>
            <w:vAlign w:val="bottom"/>
            <w:gridSpan w:val="2"/>
          </w:tcPr>
          <w:p>
            <w:pPr>
              <w:jc w:val="right"/>
              <w:ind w:right="520"/>
              <w:spacing w:after="0" w:line="201" w:lineRule="exact"/>
              <w:rPr>
                <w:sz w:val="20"/>
                <w:szCs w:val="20"/>
                <w:color w:val="auto"/>
              </w:rPr>
            </w:pPr>
            <w:r>
              <w:rPr>
                <w:rFonts w:ascii="Arial" w:cs="Arial" w:eastAsia="Arial" w:hAnsi="Arial"/>
                <w:sz w:val="18"/>
                <w:szCs w:val="18"/>
                <w:b w:val="1"/>
                <w:bCs w:val="1"/>
                <w:color w:val="auto"/>
              </w:rPr>
              <w:t>Level 1</w:t>
            </w:r>
          </w:p>
        </w:tc>
        <w:tc>
          <w:tcPr>
            <w:tcW w:w="1140" w:type="dxa"/>
            <w:vAlign w:val="bottom"/>
          </w:tcPr>
          <w:p>
            <w:pPr>
              <w:jc w:val="right"/>
              <w:ind w:right="210"/>
              <w:spacing w:after="0" w:line="201" w:lineRule="exact"/>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380"/>
              <w:spacing w:after="0" w:line="201" w:lineRule="exact"/>
              <w:rPr>
                <w:sz w:val="20"/>
                <w:szCs w:val="20"/>
                <w:color w:val="auto"/>
              </w:rPr>
            </w:pPr>
            <w:r>
              <w:rPr>
                <w:rFonts w:ascii="Arial" w:cs="Arial" w:eastAsia="Arial" w:hAnsi="Arial"/>
                <w:sz w:val="18"/>
                <w:szCs w:val="18"/>
                <w:b w:val="1"/>
                <w:bCs w:val="1"/>
                <w:color w:val="auto"/>
                <w:w w:val="98"/>
              </w:rPr>
              <w:t>Level 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90"/>
              <w:spacing w:after="0" w:line="20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Derivative liability - warrants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1"/>
        </w:trPr>
        <w:tc>
          <w:tcPr>
            <w:tcW w:w="4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nine months ended September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10180" w:type="dxa"/>
            <w:vAlign w:val="bottom"/>
          </w:tcPr>
          <w:p>
            <w:pPr>
              <w:spacing w:after="0"/>
              <w:rPr>
                <w:sz w:val="20"/>
                <w:szCs w:val="20"/>
                <w:color w:val="auto"/>
              </w:rPr>
            </w:pPr>
            <w:r>
              <w:rPr>
                <w:rFonts w:ascii="Arial" w:cs="Arial" w:eastAsia="Arial" w:hAnsi="Arial"/>
                <w:sz w:val="18"/>
                <w:szCs w:val="18"/>
                <w:color w:val="auto"/>
                <w:w w:val="99"/>
              </w:rPr>
              <w:t>The following table presents changes in Level 3 liabilities measured at fair value for the nine months ended September 30, 2015: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4"/>
              </w:rPr>
              <w:t>Derivative</w:t>
            </w:r>
          </w:p>
        </w:tc>
        <w:tc>
          <w:tcPr>
            <w:tcW w:w="0" w:type="dxa"/>
            <w:vAlign w:val="bottom"/>
          </w:tcPr>
          <w:p>
            <w:pPr>
              <w:spacing w:after="0"/>
              <w:rPr>
                <w:sz w:val="1"/>
                <w:szCs w:val="1"/>
                <w:color w:val="auto"/>
              </w:rPr>
            </w:pPr>
          </w:p>
        </w:tc>
      </w:tr>
      <w:tr>
        <w:trPr>
          <w:trHeight w:val="202"/>
        </w:trPr>
        <w:tc>
          <w:tcPr>
            <w:tcW w:w="10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rPr>
              <w:t>liability –</w:t>
            </w:r>
          </w:p>
        </w:tc>
        <w:tc>
          <w:tcPr>
            <w:tcW w:w="0" w:type="dxa"/>
            <w:vAlign w:val="bottom"/>
          </w:tcPr>
          <w:p>
            <w:pPr>
              <w:spacing w:after="0"/>
              <w:rPr>
                <w:sz w:val="1"/>
                <w:szCs w:val="1"/>
                <w:color w:val="auto"/>
              </w:rPr>
            </w:pPr>
          </w:p>
        </w:tc>
      </w:tr>
      <w:tr>
        <w:trPr>
          <w:trHeight w:val="237"/>
        </w:trPr>
        <w:tc>
          <w:tcPr>
            <w:tcW w:w="10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warrants</w:t>
            </w:r>
          </w:p>
        </w:tc>
        <w:tc>
          <w:tcPr>
            <w:tcW w:w="0" w:type="dxa"/>
            <w:vAlign w:val="bottom"/>
          </w:tcPr>
          <w:p>
            <w:pPr>
              <w:spacing w:after="0"/>
              <w:rPr>
                <w:sz w:val="1"/>
                <w:szCs w:val="1"/>
                <w:color w:val="auto"/>
              </w:rPr>
            </w:pPr>
          </w:p>
        </w:tc>
      </w:tr>
      <w:tr>
        <w:trPr>
          <w:trHeight w:val="202"/>
        </w:trPr>
        <w:tc>
          <w:tcPr>
            <w:tcW w:w="10180" w:type="dxa"/>
            <w:vAlign w:val="bottom"/>
          </w:tcPr>
          <w:p>
            <w:pPr>
              <w:spacing w:after="0" w:line="201" w:lineRule="exact"/>
              <w:rPr>
                <w:sz w:val="20"/>
                <w:szCs w:val="20"/>
                <w:color w:val="auto"/>
              </w:rPr>
            </w:pPr>
            <w:r>
              <w:rPr>
                <w:rFonts w:ascii="Arial" w:cs="Arial" w:eastAsia="Arial" w:hAnsi="Arial"/>
                <w:sz w:val="18"/>
                <w:szCs w:val="18"/>
                <w:color w:val="auto"/>
              </w:rPr>
              <w:t>Balance – December 31, 2014</w:t>
            </w: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2,659,000</w:t>
            </w:r>
          </w:p>
        </w:tc>
        <w:tc>
          <w:tcPr>
            <w:tcW w:w="0" w:type="dxa"/>
            <w:vAlign w:val="bottom"/>
          </w:tcPr>
          <w:p>
            <w:pPr>
              <w:spacing w:after="0"/>
              <w:rPr>
                <w:sz w:val="1"/>
                <w:szCs w:val="1"/>
                <w:color w:val="auto"/>
              </w:rPr>
            </w:pPr>
          </w:p>
        </w:tc>
      </w:tr>
      <w:tr>
        <w:trPr>
          <w:trHeight w:val="237"/>
        </w:trPr>
        <w:tc>
          <w:tcPr>
            <w:tcW w:w="101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4,760,000</w:t>
            </w: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Balance – September 30, 2015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7,428,000</w:t>
            </w:r>
          </w:p>
        </w:tc>
        <w:tc>
          <w:tcPr>
            <w:tcW w:w="0" w:type="dxa"/>
            <w:vAlign w:val="bottom"/>
          </w:tcPr>
          <w:p>
            <w:pPr>
              <w:spacing w:after="0"/>
              <w:rPr>
                <w:sz w:val="1"/>
                <w:szCs w:val="1"/>
                <w:color w:val="auto"/>
              </w:rPr>
            </w:pPr>
          </w:p>
        </w:tc>
      </w:tr>
      <w:tr>
        <w:trPr>
          <w:trHeight w:val="21"/>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2014 the Company entered into numerous extinguishment agreements with various convertible note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7"/>
          </w:tcPr>
          <w:p>
            <w:pPr>
              <w:ind w:left="20"/>
              <w:spacing w:after="0"/>
              <w:rPr>
                <w:sz w:val="20"/>
                <w:szCs w:val="20"/>
                <w:color w:val="auto"/>
              </w:rPr>
            </w:pPr>
            <w:r>
              <w:rPr>
                <w:rFonts w:ascii="Arial" w:cs="Arial" w:eastAsia="Arial" w:hAnsi="Arial"/>
                <w:sz w:val="18"/>
                <w:szCs w:val="18"/>
                <w:b w:val="1"/>
                <w:bCs w:val="1"/>
                <w:color w:val="auto"/>
                <w:w w:val="95"/>
              </w:rPr>
              <w:t>Weighted Average Inputs for the</w:t>
            </w:r>
          </w:p>
        </w:tc>
      </w:tr>
      <w:tr>
        <w:trPr>
          <w:trHeight w:val="241"/>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Conversion Option</w:t>
            </w:r>
          </w:p>
        </w:tc>
        <w:tc>
          <w:tcPr>
            <w:tcW w:w="9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6"/>
              </w:rPr>
              <w:t>Period</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8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left="90"/>
              <w:spacing w:after="0" w:line="198" w:lineRule="exact"/>
              <w:rPr>
                <w:sz w:val="20"/>
                <w:szCs w:val="20"/>
                <w:color w:val="auto"/>
              </w:rPr>
            </w:pPr>
            <w:r>
              <w:rPr>
                <w:rFonts w:ascii="Arial" w:cs="Arial" w:eastAsia="Arial" w:hAnsi="Arial"/>
                <w:sz w:val="18"/>
                <w:szCs w:val="18"/>
                <w:b w:val="1"/>
                <w:bCs w:val="1"/>
                <w:color w:val="auto"/>
                <w:w w:val="91"/>
              </w:rPr>
              <w:t>For the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4"/>
              </w:rPr>
              <w:t>For the</w:t>
            </w:r>
          </w:p>
        </w:tc>
        <w:tc>
          <w:tcPr>
            <w:tcW w:w="140" w:type="dxa"/>
            <w:vAlign w:val="bottom"/>
          </w:tcPr>
          <w:p>
            <w:pPr>
              <w:spacing w:after="0"/>
              <w:rPr>
                <w:sz w:val="17"/>
                <w:szCs w:val="17"/>
                <w:color w:val="auto"/>
              </w:rPr>
            </w:pP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left="110"/>
              <w:spacing w:after="0"/>
              <w:rPr>
                <w:sz w:val="20"/>
                <w:szCs w:val="20"/>
                <w:color w:val="auto"/>
              </w:rPr>
            </w:pPr>
            <w:r>
              <w:rPr>
                <w:rFonts w:ascii="Arial" w:cs="Arial" w:eastAsia="Arial" w:hAnsi="Arial"/>
                <w:sz w:val="18"/>
                <w:szCs w:val="18"/>
                <w:b w:val="1"/>
                <w:bCs w:val="1"/>
                <w:color w:val="auto"/>
                <w:w w:val="95"/>
              </w:rPr>
              <w:t>Quarter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Quarter</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Ending</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Ending</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Date of valuation</w:t>
            </w:r>
          </w:p>
        </w:tc>
        <w:tc>
          <w:tcPr>
            <w:tcW w:w="94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r>
      <w:tr>
        <w:trPr>
          <w:trHeight w:val="202"/>
        </w:trPr>
        <w:tc>
          <w:tcPr>
            <w:tcW w:w="8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Strike price</w:t>
            </w: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Volatility (annual)</w:t>
            </w:r>
          </w:p>
        </w:tc>
        <w:tc>
          <w:tcPr>
            <w:tcW w:w="94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199.00%</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Risk-free rate</w:t>
            </w:r>
          </w:p>
        </w:tc>
        <w:tc>
          <w:tcPr>
            <w:tcW w:w="94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Contractual term (years)</w:t>
            </w:r>
          </w:p>
        </w:tc>
        <w:tc>
          <w:tcPr>
            <w:tcW w:w="94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Dividend yield (per share)</w:t>
            </w:r>
          </w:p>
        </w:tc>
        <w:tc>
          <w:tcPr>
            <w:tcW w:w="94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Conversion Option at extinguishment</w:t>
            </w: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708,000</w:t>
            </w:r>
          </w:p>
        </w:tc>
        <w:tc>
          <w:tcPr>
            <w:tcW w:w="140" w:type="dxa"/>
            <w:vAlign w:val="bottom"/>
          </w:tcPr>
          <w:p>
            <w:pPr>
              <w:spacing w:after="0"/>
              <w:rPr>
                <w:sz w:val="20"/>
                <w:szCs w:val="20"/>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PROMISSORY NOTES, RELATED PARTY</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outstanding promissory notes in the amount of $52,942 (December 31, 2014 - $52,942), of which $23,000 of promissory notes relate to amounts owed to an officer and a director of the Company. The promissory notes bear no interest charges and have no fixed repayment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Share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January, 2015, the Company entered into a Securities Purchase Agreement with certain investors for the sale of 7,320,000 units at a purchase price of $0.20 per unit, for a total purchase price of approximately $1,250,000, net of finders’ fee and offering expenses of approximately $214,000. Each unit consisting of</w:t>
      </w:r>
    </w:p>
    <w:p>
      <w:pPr>
        <w:jc w:val="both"/>
        <w:ind w:firstLine="8"/>
        <w:spacing w:after="0" w:line="252" w:lineRule="auto"/>
        <w:tabs>
          <w:tab w:leader="none" w:pos="221" w:val="left"/>
        </w:tabs>
        <w:numPr>
          <w:ilvl w:val="0"/>
          <w:numId w:val="1"/>
        </w:numPr>
        <w:rPr>
          <w:rFonts w:ascii="Arial" w:cs="Arial" w:eastAsia="Arial" w:hAnsi="Arial"/>
          <w:sz w:val="18"/>
          <w:szCs w:val="18"/>
          <w:color w:val="auto"/>
        </w:rPr>
      </w:pPr>
      <w:r>
        <w:rPr>
          <w:rFonts w:ascii="Arial" w:cs="Arial" w:eastAsia="Arial" w:hAnsi="Arial"/>
          <w:sz w:val="18"/>
          <w:szCs w:val="18"/>
          <w:color w:val="auto"/>
        </w:rPr>
        <w:t>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366,000 common shares with substantially the same terms as the January 2015 Warrants.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Series A warrants were issued with price reset features. The fair value of these warrants was determined to be $1,346,000 and recognized as a derivative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Series B, C, D &amp; E warrants was determined to be $4,635,000 and was included within equity.</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125,000 common shares with substantially the same terms as the March 2015 Warrants.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Series A warrants were issued with price reset features. The fair value of these warrants was determined to be $744,000 and recognized as a derivative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Series B, C, D &amp; E warrants was determined to be $2,588,000 and was included within equity.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 May 2015, the Company entered into a restructuring agreement with the investors of the January 2015 and March 2015 private placements, where:</w:t>
      </w:r>
    </w:p>
    <w:p>
      <w:pPr>
        <w:spacing w:after="0" w:line="264"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exercise price of the Series A warrants was changed from $1.50 per warrant to $0.10 per warrant,</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exercise price of Series B warrants was changed from $0.40 per warrant to $0.20 per warrant,</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warrant of Series B existing prior to the restructuring agreement was replaced with two warrants of such series,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exercise price of the Series C warrants was changed from $1.00 per warrant to $0.50 per warrant, and</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warrant of Series C existing prior to the restructuring agreement was replaced with two warrants of such series.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restructuring agreement, the Company issued an additional 12,320,000 Series B warrants and 12,320,000 Series C Warrants.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incremental fair value of Series A warrants due to repricing was determined to be $568,000 and recognized as a derivative liability with a corresponding inducement expense in the Statement of Operations.</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incremental fair value of Series B and Series C warrants due to repricing and increasing the number of warrants was determined to be $7,688,000. The fair value of these warrants was recognized as additional paid-in capital with a corresponding inducement expense in the Statement of Operations.</w:t>
      </w:r>
    </w:p>
    <w:p>
      <w:pPr>
        <w:spacing w:after="0" w:line="17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fair value was estimated immediately prior to the date of the restructuring agreement using the Black-Scholes option pricing model with the following weighted average assumptions:</w:t>
      </w:r>
    </w:p>
    <w:tbl>
      <w:tblPr>
        <w:tblLayout w:type="fixed"/>
        <w:tblInd w:w="0" w:type="dxa"/>
        <w:tblCellMar>
          <w:top w:w="0" w:type="dxa"/>
          <w:left w:w="0" w:type="dxa"/>
          <w:bottom w:w="0" w:type="dxa"/>
          <w:right w:w="0" w:type="dxa"/>
        </w:tblCellMar>
      </w:tblPr>
      <w:tr>
        <w:trPr>
          <w:trHeight w:val="199"/>
        </w:trPr>
        <w:tc>
          <w:tcPr>
            <w:tcW w:w="10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right"/>
              <w:ind w:right="260"/>
              <w:spacing w:after="0" w:line="200" w:lineRule="exact"/>
              <w:rPr>
                <w:sz w:val="20"/>
                <w:szCs w:val="20"/>
                <w:color w:val="auto"/>
              </w:rPr>
            </w:pPr>
            <w:r>
              <w:rPr>
                <w:rFonts w:ascii="Arial" w:cs="Arial" w:eastAsia="Arial" w:hAnsi="Arial"/>
                <w:sz w:val="18"/>
                <w:szCs w:val="18"/>
                <w:b w:val="1"/>
                <w:bCs w:val="1"/>
                <w:color w:val="auto"/>
              </w:rPr>
              <w:t>Weighted</w:t>
            </w: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Share Purchase Warrants</w:t>
            </w:r>
          </w:p>
        </w:tc>
        <w:tc>
          <w:tcPr>
            <w:tcW w:w="10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3"/>
              </w:rPr>
              <w:t>Average Inputs</w:t>
            </w:r>
          </w:p>
        </w:tc>
      </w:tr>
      <w:tr>
        <w:trPr>
          <w:trHeight w:val="241"/>
        </w:trPr>
        <w:tc>
          <w:tcPr>
            <w:tcW w:w="10020" w:type="dxa"/>
            <w:vAlign w:val="bottom"/>
          </w:tcPr>
          <w:p>
            <w:pPr>
              <w:spacing w:after="0"/>
              <w:rPr>
                <w:sz w:val="20"/>
                <w:szCs w:val="20"/>
                <w:color w:val="auto"/>
              </w:rPr>
            </w:pPr>
            <w:r>
              <w:rPr>
                <w:rFonts w:ascii="Arial" w:cs="Arial" w:eastAsia="Arial" w:hAnsi="Arial"/>
                <w:sz w:val="18"/>
                <w:szCs w:val="18"/>
                <w:b w:val="1"/>
                <w:bCs w:val="1"/>
                <w:color w:val="auto"/>
              </w:rPr>
              <w:t>Date of valuation</w:t>
            </w:r>
          </w:p>
        </w:tc>
        <w:tc>
          <w:tcPr>
            <w:tcW w:w="10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May 28, 2015</w:t>
            </w:r>
          </w:p>
        </w:tc>
      </w:tr>
      <w:tr>
        <w:trPr>
          <w:trHeight w:val="202"/>
        </w:trPr>
        <w:tc>
          <w:tcPr>
            <w:tcW w:w="10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Strike price</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0.40 –</w:t>
            </w:r>
          </w:p>
        </w:tc>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1"/>
              </w:rPr>
              <w:t>1.00</w:t>
            </w:r>
          </w:p>
        </w:tc>
        <w:tc>
          <w:tcPr>
            <w:tcW w:w="140" w:type="dxa"/>
            <w:vAlign w:val="bottom"/>
          </w:tcPr>
          <w:p>
            <w:pPr>
              <w:spacing w:after="0"/>
              <w:rPr>
                <w:sz w:val="17"/>
                <w:szCs w:val="17"/>
                <w:color w:val="auto"/>
              </w:rPr>
            </w:pPr>
          </w:p>
        </w:tc>
      </w:tr>
      <w:tr>
        <w:trPr>
          <w:trHeight w:val="176"/>
        </w:trPr>
        <w:tc>
          <w:tcPr>
            <w:tcW w:w="10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40"/>
              <w:spacing w:after="0" w:line="176" w:lineRule="exact"/>
              <w:rPr>
                <w:sz w:val="20"/>
                <w:szCs w:val="20"/>
                <w:color w:val="auto"/>
              </w:rPr>
            </w:pPr>
            <w:r>
              <w:rPr>
                <w:rFonts w:ascii="Arial" w:cs="Arial" w:eastAsia="Arial" w:hAnsi="Arial"/>
                <w:sz w:val="18"/>
                <w:szCs w:val="18"/>
                <w:color w:val="auto"/>
              </w:rPr>
              <w:t>127.00 –</w:t>
            </w:r>
          </w:p>
        </w:tc>
      </w:tr>
      <w:tr>
        <w:trPr>
          <w:trHeight w:val="256"/>
        </w:trPr>
        <w:tc>
          <w:tcPr>
            <w:tcW w:w="10020" w:type="dxa"/>
            <w:vAlign w:val="bottom"/>
          </w:tcPr>
          <w:p>
            <w:pPr>
              <w:spacing w:after="0"/>
              <w:rPr>
                <w:sz w:val="20"/>
                <w:szCs w:val="20"/>
                <w:color w:val="auto"/>
              </w:rPr>
            </w:pPr>
            <w:r>
              <w:rPr>
                <w:rFonts w:ascii="Arial" w:cs="Arial" w:eastAsia="Arial" w:hAnsi="Arial"/>
                <w:sz w:val="18"/>
                <w:szCs w:val="18"/>
                <w:color w:val="auto"/>
              </w:rPr>
              <w:t>Volatility (annual)</w:t>
            </w:r>
          </w:p>
        </w:tc>
        <w:tc>
          <w:tcPr>
            <w:tcW w:w="1380" w:type="dxa"/>
            <w:vAlign w:val="bottom"/>
            <w:gridSpan w:val="4"/>
          </w:tcPr>
          <w:p>
            <w:pPr>
              <w:jc w:val="right"/>
              <w:spacing w:after="0" w:line="256" w:lineRule="exact"/>
              <w:rPr>
                <w:sz w:val="20"/>
                <w:szCs w:val="20"/>
                <w:color w:val="auto"/>
              </w:rPr>
            </w:pPr>
            <w:r>
              <w:rPr>
                <w:rFonts w:ascii="Arial" w:cs="Arial" w:eastAsia="Arial" w:hAnsi="Arial"/>
                <w:sz w:val="16"/>
                <w:szCs w:val="16"/>
                <w:color w:val="auto"/>
              </w:rPr>
              <w:t>155.00</w:t>
            </w:r>
            <w:r>
              <w:rPr>
                <w:rFonts w:ascii="Arial" w:cs="Arial" w:eastAsia="Arial" w:hAnsi="Arial"/>
                <w:sz w:val="29"/>
                <w:szCs w:val="29"/>
                <w:color w:val="auto"/>
                <w:vertAlign w:val="superscript"/>
              </w:rPr>
              <w:t>%</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Risk-free rate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1.51%</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4.79</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10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2" w:name="page13"/>
    <w:bookmarkEnd w:id="12"/>
    <w:p>
      <w:pPr>
        <w:jc w:val="both"/>
        <w:ind w:right="20"/>
        <w:spacing w:after="0" w:line="258" w:lineRule="auto"/>
        <w:rPr>
          <w:sz w:val="20"/>
          <w:szCs w:val="20"/>
          <w:color w:val="auto"/>
        </w:rPr>
      </w:pPr>
      <w:r>
        <w:rPr>
          <w:rFonts w:ascii="Arial" w:cs="Arial" w:eastAsia="Arial" w:hAnsi="Arial"/>
          <w:sz w:val="18"/>
          <w:szCs w:val="18"/>
          <w:color w:val="auto"/>
        </w:rPr>
        <w:t>The fair value was estimated immediately after, on the date of the restructuring agreement, using the Black-Scholes option pricing model with the following weighted average assumptions:</w:t>
      </w:r>
    </w:p>
    <w:tbl>
      <w:tblPr>
        <w:tblLayout w:type="fixed"/>
        <w:tblInd w:w="0" w:type="dxa"/>
        <w:tblCellMar>
          <w:top w:w="0" w:type="dxa"/>
          <w:left w:w="0" w:type="dxa"/>
          <w:bottom w:w="0" w:type="dxa"/>
          <w:right w:w="0" w:type="dxa"/>
        </w:tblCellMar>
      </w:tblPr>
      <w:tr>
        <w:trPr>
          <w:trHeight w:val="199"/>
        </w:trPr>
        <w:tc>
          <w:tcPr>
            <w:tcW w:w="10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right"/>
              <w:ind w:right="260"/>
              <w:spacing w:after="0" w:line="200" w:lineRule="exact"/>
              <w:rPr>
                <w:sz w:val="20"/>
                <w:szCs w:val="20"/>
                <w:color w:val="auto"/>
              </w:rPr>
            </w:pPr>
            <w:r>
              <w:rPr>
                <w:rFonts w:ascii="Arial" w:cs="Arial" w:eastAsia="Arial" w:hAnsi="Arial"/>
                <w:sz w:val="18"/>
                <w:szCs w:val="18"/>
                <w:b w:val="1"/>
                <w:bCs w:val="1"/>
                <w:color w:val="auto"/>
              </w:rPr>
              <w:t>Weighted</w:t>
            </w: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Share Purchase Warrants</w:t>
            </w:r>
          </w:p>
        </w:tc>
        <w:tc>
          <w:tcPr>
            <w:tcW w:w="10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3"/>
              </w:rPr>
              <w:t>Average Inputs</w:t>
            </w:r>
          </w:p>
        </w:tc>
      </w:tr>
      <w:tr>
        <w:trPr>
          <w:trHeight w:val="241"/>
        </w:trPr>
        <w:tc>
          <w:tcPr>
            <w:tcW w:w="10020" w:type="dxa"/>
            <w:vAlign w:val="bottom"/>
          </w:tcPr>
          <w:p>
            <w:pPr>
              <w:spacing w:after="0"/>
              <w:rPr>
                <w:sz w:val="20"/>
                <w:szCs w:val="20"/>
                <w:color w:val="auto"/>
              </w:rPr>
            </w:pPr>
            <w:r>
              <w:rPr>
                <w:rFonts w:ascii="Arial" w:cs="Arial" w:eastAsia="Arial" w:hAnsi="Arial"/>
                <w:sz w:val="18"/>
                <w:szCs w:val="18"/>
                <w:b w:val="1"/>
                <w:bCs w:val="1"/>
                <w:color w:val="auto"/>
              </w:rPr>
              <w:t>Date of valuation</w:t>
            </w:r>
          </w:p>
        </w:tc>
        <w:tc>
          <w:tcPr>
            <w:tcW w:w="10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May 28, 2015</w:t>
            </w:r>
          </w:p>
        </w:tc>
      </w:tr>
      <w:tr>
        <w:trPr>
          <w:trHeight w:val="202"/>
        </w:trPr>
        <w:tc>
          <w:tcPr>
            <w:tcW w:w="10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Strike price</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0.20 –</w:t>
            </w:r>
          </w:p>
        </w:tc>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1"/>
              </w:rPr>
              <w:t>0.50</w:t>
            </w:r>
          </w:p>
        </w:tc>
        <w:tc>
          <w:tcPr>
            <w:tcW w:w="140" w:type="dxa"/>
            <w:vAlign w:val="bottom"/>
          </w:tcPr>
          <w:p>
            <w:pPr>
              <w:spacing w:after="0"/>
              <w:rPr>
                <w:sz w:val="17"/>
                <w:szCs w:val="17"/>
                <w:color w:val="auto"/>
              </w:rPr>
            </w:pPr>
          </w:p>
        </w:tc>
      </w:tr>
      <w:tr>
        <w:trPr>
          <w:trHeight w:val="176"/>
        </w:trPr>
        <w:tc>
          <w:tcPr>
            <w:tcW w:w="10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40"/>
              <w:spacing w:after="0" w:line="176" w:lineRule="exact"/>
              <w:rPr>
                <w:sz w:val="20"/>
                <w:szCs w:val="20"/>
                <w:color w:val="auto"/>
              </w:rPr>
            </w:pPr>
            <w:r>
              <w:rPr>
                <w:rFonts w:ascii="Arial" w:cs="Arial" w:eastAsia="Arial" w:hAnsi="Arial"/>
                <w:sz w:val="18"/>
                <w:szCs w:val="18"/>
                <w:color w:val="auto"/>
              </w:rPr>
              <w:t>127.00 –</w:t>
            </w:r>
          </w:p>
        </w:tc>
      </w:tr>
      <w:tr>
        <w:trPr>
          <w:trHeight w:val="256"/>
        </w:trPr>
        <w:tc>
          <w:tcPr>
            <w:tcW w:w="10020" w:type="dxa"/>
            <w:vAlign w:val="bottom"/>
          </w:tcPr>
          <w:p>
            <w:pPr>
              <w:spacing w:after="0"/>
              <w:rPr>
                <w:sz w:val="20"/>
                <w:szCs w:val="20"/>
                <w:color w:val="auto"/>
              </w:rPr>
            </w:pPr>
            <w:r>
              <w:rPr>
                <w:rFonts w:ascii="Arial" w:cs="Arial" w:eastAsia="Arial" w:hAnsi="Arial"/>
                <w:sz w:val="18"/>
                <w:szCs w:val="18"/>
                <w:color w:val="auto"/>
              </w:rPr>
              <w:t>Volatility (annual)</w:t>
            </w:r>
          </w:p>
        </w:tc>
        <w:tc>
          <w:tcPr>
            <w:tcW w:w="1380" w:type="dxa"/>
            <w:vAlign w:val="bottom"/>
            <w:gridSpan w:val="4"/>
          </w:tcPr>
          <w:p>
            <w:pPr>
              <w:jc w:val="right"/>
              <w:spacing w:after="0" w:line="256" w:lineRule="exact"/>
              <w:rPr>
                <w:sz w:val="20"/>
                <w:szCs w:val="20"/>
                <w:color w:val="auto"/>
              </w:rPr>
            </w:pPr>
            <w:r>
              <w:rPr>
                <w:rFonts w:ascii="Arial" w:cs="Arial" w:eastAsia="Arial" w:hAnsi="Arial"/>
                <w:sz w:val="16"/>
                <w:szCs w:val="16"/>
                <w:color w:val="auto"/>
              </w:rPr>
              <w:t>155.00</w:t>
            </w:r>
            <w:r>
              <w:rPr>
                <w:rFonts w:ascii="Arial" w:cs="Arial" w:eastAsia="Arial" w:hAnsi="Arial"/>
                <w:sz w:val="29"/>
                <w:szCs w:val="29"/>
                <w:color w:val="auto"/>
                <w:vertAlign w:val="superscript"/>
              </w:rPr>
              <w:t>%</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Risk-free rate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1.51%</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4.79</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10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2015, a warrant holder exercised 5,000,000 of Series C warrants at $0.50 per warrant for a total of $2,500,000.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2015, warrant holders exercised 24,639,995 of Series B warrants at $0.20 per warrant for a total of $4,928,000.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September 30, 2015 and changes during the period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9"/>
              </w:rPr>
              <w:t>Weighted</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Remaining</w:t>
            </w:r>
          </w:p>
        </w:tc>
      </w:tr>
      <w:tr>
        <w:trPr>
          <w:trHeight w:val="237"/>
        </w:trPr>
        <w:tc>
          <w:tcPr>
            <w:tcW w:w="20" w:type="dxa"/>
            <w:vAlign w:val="bottom"/>
          </w:tcPr>
          <w:p>
            <w:pPr>
              <w:spacing w:after="0"/>
              <w:rPr>
                <w:sz w:val="20"/>
                <w:szCs w:val="20"/>
                <w:color w:val="auto"/>
              </w:rPr>
            </w:pPr>
          </w:p>
        </w:tc>
        <w:tc>
          <w:tcPr>
            <w:tcW w:w="7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20"/>
                <w:szCs w:val="20"/>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2014</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2,659,417</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Issued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86,730,975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Exercised</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(29,639,995)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Extinguished or expired</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(203,900)</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Borders>
              <w:bottom w:val="single" w:sz="8" w:color="auto"/>
            </w:tcBorders>
          </w:tcPr>
          <w:p>
            <w:pPr>
              <w:spacing w:after="0"/>
              <w:rPr>
                <w:sz w:val="18"/>
                <w:szCs w:val="18"/>
                <w:color w:val="auto"/>
              </w:rPr>
            </w:pPr>
          </w:p>
        </w:tc>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2015</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59,546,497</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2015 the Company granted 400,000 stock options with a weighted average exercise price of $0.17. The fair value of the options was estimated to be $62,000 or $0.16. The weighted average inputs used to value the options were an expected life of 5 years, volatility of 155%, risk-free interest rate of 1.54% and dividend yield of 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costs of $21,000 are expected to be recognized over the next 1.4 years.</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July, 2015, the Company issued 118,450 shares of common stock with a fair value of $21,913 to its counsel for legal services rendered through January 21, 2015.</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August, 2015, the Company issued 50,000 shares of common stock with fair value of $26,474 as full settlement to a marketing consultant for services provided to the Company in 2014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Share purchase options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as of September 30, 2015 and changes during the period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89"/>
              </w:rPr>
              <w:t>Weighted</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Intrinsic Value</w:t>
            </w:r>
          </w:p>
        </w:tc>
        <w:tc>
          <w:tcPr>
            <w:tcW w:w="100" w:type="dxa"/>
            <w:vAlign w:val="bottom"/>
          </w:tcPr>
          <w:p>
            <w:pPr>
              <w:spacing w:after="0"/>
              <w:rPr>
                <w:sz w:val="20"/>
                <w:szCs w:val="20"/>
                <w:color w:val="auto"/>
              </w:rPr>
            </w:pPr>
          </w:p>
        </w:tc>
      </w:tr>
      <w:tr>
        <w:trPr>
          <w:trHeight w:val="418"/>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Outstanding at January 1, 2014</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65,430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tcPr>
          <w:p>
            <w:pPr>
              <w:ind w:left="80"/>
              <w:spacing w:after="0"/>
              <w:rPr>
                <w:sz w:val="20"/>
                <w:szCs w:val="20"/>
                <w:color w:val="auto"/>
              </w:rPr>
            </w:pPr>
            <w:r>
              <w:rPr>
                <w:rFonts w:ascii="Arial" w:cs="Arial" w:eastAsia="Arial" w:hAnsi="Arial"/>
                <w:sz w:val="18"/>
                <w:szCs w:val="18"/>
                <w:color w:val="auto"/>
              </w:rPr>
              <w:t>Issued</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Arial" w:cs="Arial" w:eastAsia="Arial" w:hAnsi="Arial"/>
                <w:sz w:val="18"/>
                <w:szCs w:val="18"/>
                <w:color w:val="auto"/>
              </w:rPr>
              <w:t>Cancelled/Forfeited</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18"/>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Outstanding at January 1, 2015</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65,430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Arial" w:cs="Arial" w:eastAsia="Arial" w:hAnsi="Arial"/>
                <w:sz w:val="18"/>
                <w:szCs w:val="18"/>
                <w:color w:val="auto"/>
              </w:rPr>
              <w:t>Issued</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182,000</w:t>
            </w:r>
          </w:p>
        </w:tc>
      </w:tr>
      <w:tr>
        <w:trPr>
          <w:trHeight w:val="216"/>
        </w:trPr>
        <w:tc>
          <w:tcPr>
            <w:tcW w:w="20" w:type="dxa"/>
            <w:vAlign w:val="bottom"/>
            <w:tcBorders>
              <w:bottom w:val="single" w:sz="8" w:color="auto"/>
            </w:tcBorders>
          </w:tcPr>
          <w:p>
            <w:pPr>
              <w:spacing w:after="0"/>
              <w:rPr>
                <w:sz w:val="18"/>
                <w:szCs w:val="18"/>
                <w:color w:val="auto"/>
              </w:rPr>
            </w:pPr>
          </w:p>
        </w:tc>
        <w:tc>
          <w:tcPr>
            <w:tcW w:w="5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Outstanding at September 30, 2015</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465,430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182,000</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Exercisable at September 30, 2015</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238,810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Company’s unvested options as of September 30, 2015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Weighted</w:t>
            </w:r>
          </w:p>
        </w:tc>
        <w:tc>
          <w:tcPr>
            <w:tcW w:w="100" w:type="dxa"/>
            <w:vAlign w:val="bottom"/>
            <w:tcBorders>
              <w:top w:val="single" w:sz="8" w:color="auto"/>
            </w:tcBorders>
          </w:tcPr>
          <w:p>
            <w:pPr>
              <w:spacing w:after="0"/>
              <w:rPr>
                <w:sz w:val="19"/>
                <w:szCs w:val="19"/>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Grant-Date</w:t>
            </w:r>
          </w:p>
        </w:tc>
        <w:tc>
          <w:tcPr>
            <w:tcW w:w="100" w:type="dxa"/>
            <w:vAlign w:val="bottom"/>
          </w:tcPr>
          <w:p>
            <w:pPr>
              <w:spacing w:after="0"/>
              <w:rPr>
                <w:sz w:val="18"/>
                <w:szCs w:val="18"/>
                <w:color w:val="auto"/>
              </w:rPr>
            </w:pPr>
          </w:p>
        </w:tc>
      </w:tr>
      <w:tr>
        <w:trPr>
          <w:trHeight w:val="237"/>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1420"/>
          </w:cols>
          <w:pgMar w:left="240" w:top="756" w:right="239" w:bottom="1440" w:gutter="0" w:footer="0" w:header="0"/>
        </w:sectPr>
      </w:pPr>
    </w:p>
    <w:p>
      <w:pPr>
        <w:spacing w:after="0"/>
        <w:rPr>
          <w:sz w:val="20"/>
          <w:szCs w:val="20"/>
          <w:color w:val="auto"/>
        </w:rPr>
      </w:pPr>
      <w:r>
        <w:rPr>
          <w:rFonts w:ascii="Arial" w:cs="Arial" w:eastAsia="Arial" w:hAnsi="Arial"/>
          <w:sz w:val="16"/>
          <w:szCs w:val="16"/>
          <w:b w:val="1"/>
          <w:bCs w:val="1"/>
          <w:color w:val="auto"/>
        </w:rPr>
        <w:t>Unvested, December 31, 2014</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5143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434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Unvested,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5143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43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55143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16"/>
        </w:trPr>
        <w:tc>
          <w:tcPr>
            <w:tcW w:w="114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16"/>
        </w:trPr>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(173,658)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37"/>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140" w:type="dxa"/>
            <w:vAlign w:val="bottom"/>
          </w:tcPr>
          <w:p>
            <w:pPr>
              <w:jc w:val="right"/>
              <w:spacing w:after="0"/>
              <w:rPr>
                <w:sz w:val="20"/>
                <w:szCs w:val="20"/>
                <w:color w:val="auto"/>
              </w:rPr>
            </w:pPr>
            <w:r>
              <w:rPr>
                <w:rFonts w:ascii="Arial" w:cs="Arial" w:eastAsia="Arial" w:hAnsi="Arial"/>
                <w:sz w:val="18"/>
                <w:szCs w:val="18"/>
                <w:color w:val="auto"/>
              </w:rPr>
              <w:t>226,620</w:t>
            </w:r>
          </w:p>
        </w:tc>
        <w:tc>
          <w:tcPr>
            <w:tcW w:w="140" w:type="dxa"/>
            <w:vAlign w:val="bottom"/>
          </w:tcPr>
          <w:p>
            <w:pPr>
              <w:spacing w:after="0"/>
              <w:rPr>
                <w:sz w:val="24"/>
                <w:szCs w:val="24"/>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75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ind w:right="340" w:firstLine="8"/>
        <w:spacing w:after="0" w:line="277"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November 6, 2015, the Board of Directors approved an amendment to the Company’s 2014 Omnibus Stock Ownership Plan which provided for an increase in the number of shares reserved for issuance under the Plan by 5 million shares to 7 million shares.</w:t>
      </w:r>
    </w:p>
    <w:p>
      <w:pPr>
        <w:spacing w:after="0" w:line="197" w:lineRule="exact"/>
        <w:rPr>
          <w:rFonts w:ascii="Arial" w:cs="Arial" w:eastAsia="Arial" w:hAnsi="Arial"/>
          <w:sz w:val="18"/>
          <w:szCs w:val="18"/>
          <w:color w:val="auto"/>
        </w:rPr>
      </w:pPr>
    </w:p>
    <w:p>
      <w:pPr>
        <w:ind w:right="40" w:firstLine="8"/>
        <w:spacing w:after="0" w:line="272"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November 12, 2015, the Company entered into a new employment agreement with Dr. Glynn Wilson, the Company’s Chief Executive Officer, President and Chairman. The initial term of the agreement ends November 11, 2017, but it will automatically be extended for 12-months unless terminated by the Company or Dr. Wilson by written notice to the other not later than 12 months prior to the end of such initial term. It will thereafter be further extended for an additional 12 months after the end of each such extended term unless terminated by the Company or Dr. Wilson by written notice no later than 90 days prior to the end of such term, subject to early termination for cause or good reason by Dr. Wilson. Under the agreement, Dr. Wilson’s annual base salary is to be $280,000, and he is entitled to a performance-based bonus ranging of up to 50% of his base salary based on goals and other conditions as the Board determines on an annual basis, which may be paid in cash or equity awards as the Board determines.</w:t>
      </w:r>
    </w:p>
    <w:p>
      <w:pPr>
        <w:spacing w:after="0" w:line="20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connection with entering into the new agreement, Dr. Wilson will receive equity awards under the Company’s 2014 Omnibus Stock Ownership Plan consisting of (i) an award of 315,000 shares of unregistered common stock, which immediately vest, and (ii) an award of stock options to purchase 2 million shares of Company common stock, prior to November 12, 2025, for $0.605 per share (the closing price of the common stock on November 12, 2015). One-half of the stock options will be immediately vested, and the remaining 1 million shares will vest ratably over the following 24 months.</w:t>
      </w:r>
    </w:p>
    <w:p>
      <w:pPr>
        <w:spacing w:after="0" w:line="198" w:lineRule="exact"/>
        <w:rPr>
          <w:sz w:val="20"/>
          <w:szCs w:val="20"/>
          <w:color w:val="auto"/>
        </w:rPr>
      </w:pPr>
    </w:p>
    <w:p>
      <w:pPr>
        <w:ind w:right="20" w:firstLine="8"/>
        <w:spacing w:after="0" w:line="257"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November 12, 2015, the Board of Directors approved awards of stock options to acquire 150,000 shares of common stock to each of Sherry Grisewood and Mark Reddish. All of such options are fully vested. In addition, the Board approved awards of stock options to four individuals (two employees and two consultants) to purchase an aggregate of 690,000 shares of common stock. Of the options granted to the employees and consultants, 290,000 are immediately vested, and the remainder vest over periods of between one and three years. All of the stock options have a 10-year term, and the exercise price is $0.605 per share, the closing price of the common stock on the date of grant.</w:t>
      </w:r>
    </w:p>
    <w:p>
      <w:pPr>
        <w:spacing w:after="0" w:line="215" w:lineRule="exact"/>
        <w:rPr>
          <w:rFonts w:ascii="Arial" w:cs="Arial" w:eastAsia="Arial" w:hAnsi="Arial"/>
          <w:sz w:val="18"/>
          <w:szCs w:val="18"/>
          <w:color w:val="auto"/>
        </w:rPr>
      </w:pPr>
    </w:p>
    <w:p>
      <w:pPr>
        <w:ind w:right="400" w:firstLine="8"/>
        <w:spacing w:after="0" w:line="277"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Between October 1, 2015 and November 12, 2015, holders of Series C Warrants exercised 1,728,000 of Series C Warrants registered under our recent registration statements on Form S-1, resulting in proceeds of $864,000 to the Company.</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type w:val="continuous"/>
        </w:sectPr>
      </w:pPr>
    </w:p>
    <w:bookmarkStart w:id="14" w:name="page15"/>
    <w:bookmarkEnd w:id="14"/>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following should be read in conjunction with our unaudited consolidated interim financial statements and related notes for the three and nine months ended September 30, 2015 included in this quarterly report, as well as our Annual Report on Form 10-K for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TapImmune is an immune-oncology company specializing in the development of innovative peptide and gene-based immunotherapeutics and vaccines for the treatment of cancer. The Company combines a set of proprietary technologies to improve the ability of the cellular immune system to destroy diseased cells. These are peptide antigen technologies and DNA expression technologies, Polystart™ and TAP.</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enhance shareholder value and taking into account development timelines, the Company plans to focus on advancing its clinical programs including our Folate Receptor Alpha program for breast and ovarian and our HER2/neu peptide antigen program into Phase II clinical trials. In parallel, we plan to complete the preclinical development of our Polystart™ technology and to continue to develop the TAP-based franchise as an integral component of our prime-and-boost vaccine methodology.</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Immuno-oncology has become the most rapidly growing sector in the pharmaceutical and biotech industry. The approval and success of checkpoint inhibitors Yervoy and Opdivo (Bristol Myers Squibb) and Keytruda (Merck) together with the development of CAR T-cell therapies (Juno, Kite)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Clinic</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Folate Receptor Alpha is expressed in over 80% of triple negative breast cancers and in addition, over 90% of ovarian cancers, for which the only treatment options are surgery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 negative breast cancer patients newly diagnosed every year.</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24 patient Phase I clinical trial has been completed. The vaccine is well tolerated and safe and 20 out of 21 evaluable patients showed positive immune responses providing a strong rationale rational for progressing to phase II trials. GMP manufacturing for Phase II trials is progressing well towards a commercial formulation and final analyses of clinical plans are near completion. On July 27, 2015, TapImmune exercised its option agreement with Mayo Clinic with the signing of a worldwide exclusive license agreement to commercialize a proprietary folate receptor alpha vaccine technology for all cancer indications. As part of this Agreement, the IND from for the folate receptor alpha Phase I trial was transferred from Mayo to TapImmune for amendment for the Company’s Phase II Clinical Trials on our lead product.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On September 15, 2015, we announced that our collaborators at the Mayo Clinic had been awarded a grant of $13.3 million from the U.S. Department of Defense. This grant, commencing September 15, 2015, will cover the costs for a 280 patient Phase II Clinical Trial of Folate Receptor Alpha Vaccine in patients with Triple Negative Breast Cancer. TapImmune will work closely with Mayo Clinic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HER2/neu+ Breast Cancer – Mayo Clinic</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Patient dosing has been completed. Final safety analysis on all the patients treated is complete and shown to be safe. In addition, 19 out of 20 evaluable patients showed robust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Polystart™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converted the previously filed U.S. Provisional Patent Application on Polystart™ into a full Patent Application, and will extend technology constructs as boost strategies for the current clinical programs in breast and ovarian cancer.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State of the Company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is a clinical-stage immunotherapy company specializing in the development of innovative peptide and gene-based immunotherapeutics and vaccines for the treatment of cancer. The Company now plans to conduct multiple Phase II clinical trials on its vaccines. The largest of these studies in triple-negative breast cancer will be totally funded by a $13.3 million grant from the US Department of Defense to our collaborators at the Mayo Clinic in Jacksonville, FL. We believe that our development pipeline is strong and provides us the opportunity to continue to expand on collaborations with leading institutions and corporations.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third quarter of 2015, we strengthened our balance sheet by raising additional $2.5 million in working capital, giving us confidence in our ability to continue developing our products on the path to commercialization. The structure of this financing gives us additional opportunities to raise additional capital through the exercise of short-term and long-term warrants. The strength of our science and development approaches is becoming more widely appreciated, particularly as our clinical program has now generated positive interim data on both clinical programs in Breast and Ovarian Cancer. We continue discussions with a major pharmaceutical organization and a leading US cancer institute on a Phase II clinical trial in ovarian cancer using our folate receptor alpha vaccine in combination with a checkpoint inhibitor.</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be focused on our entry into Phase II Triple Negative Cancer Trials including application for Fast Track &amp; Orphan Drug Status as well as planning for Phase II HER2/neu Breast Cancer Trials.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also continue to prosecute our PolyStart™ patent filings and develop new constructs to facilitate collaborative efforts in our current clinical indications and those where others have already indicated interest in combination therapies.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will continue to work to strengthen our balance sheet in an effort to meet the required benchmarks for an uplisting to the NASDAQ. To that end, we are also anticipating the result of grant applications submitted early this year.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TapImmune to capitalize on the acceptance of immunotherapy as a leading therapeutic strategy in cancer and infectious disease resulting in exploding valuations in the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Pipeline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a pipeline of potential immunotherapies under development. Phase I clinical programs on HER2/neu and breast and ovarian cancer have been completed and strong immune responses in over 90% of patients treated has provided the rationale and catalyst to advance these programs to Phase II clinical trials starting at the end of 2015. These are major inflection and valuation events, and we believe that, in light of these assets, the Company is significantly undervalued. Over the past year a number of highly visible transactions and billion dollar acquisitions have taken place that validate the work we are doing. We believe that, if our treatment successfully reaches commercialization, our treatment is applicable to 50% of the HER2/neu Breast Cancer market, which is a $21 billion annual market. We further believe that if our Ovarian Cancer treatment reaches commercialization, it will be applicable to 95% of the market which Decision Resources, one of the world’s leading research firms for pharmaceuticals and healthcare, believes will triple in the next 10 years to at least $1.5 billion annually.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6" w:name="page17"/>
    <w:bookmarkEnd w:id="16"/>
    <w:p>
      <w:pPr>
        <w:jc w:val="both"/>
        <w:spacing w:after="0" w:line="297" w:lineRule="auto"/>
        <w:rPr>
          <w:sz w:val="20"/>
          <w:szCs w:val="20"/>
          <w:color w:val="auto"/>
        </w:rPr>
      </w:pPr>
      <w:r>
        <w:rPr>
          <w:rFonts w:ascii="Arial" w:cs="Arial" w:eastAsia="Arial" w:hAnsi="Arial"/>
          <w:sz w:val="16"/>
          <w:szCs w:val="16"/>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 With respect to validation of our technologies, it is important to note that the majority of our technologies have been published in leading peer-reviewed journals and we believe that the recent grant award from the US Department of Defense to the Mayo Clinic is a strong validation of our approach.</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list of publications on our TAP technology can be found on our website (www.tapimmune.com). Publication of our data on PolyStart will occur after current patent filings have been completed.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 TapImmune has four patent estates, details of which can be found on our website: </w:t>
      </w:r>
      <w:r>
        <w:rPr>
          <w:rFonts w:ascii="Arial" w:cs="Arial" w:eastAsia="Arial" w:hAnsi="Arial"/>
          <w:sz w:val="18"/>
          <w:szCs w:val="18"/>
          <w:u w:val="single" w:color="auto"/>
          <w:color w:val="0000FF"/>
        </w:rPr>
        <w:t>www.tapimmune.com</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 pathway to successful product development takes time, we believe we have put in place significant resources in technical and corporate fundamentals for success. The strength of our product pipeline and access to leading scientists and institutions gives us a unique opportunity to make a major contribution to global health care.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checkpoint inhibitors and adoptive T-cell therapy and multiple approaches reaching Phase II and Phase III status.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antigen based immunotherapeutics, Polystart™ and/or TAP expression systems.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 such as CAR-T and PD1 inhibitors for example.</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Consistent with our corporate development and advancement of clinical trials we are starting to make a number of key management and advisory appointments. Patrick Yeramian M.D. our Consultant Medical Director has been appointed Vice President and Chief Medical Officer. Dr. Stacy Suber, our Consultant Regulatory Director, is our contact with the FDA for our IND filings. In addition, Dr. John Bonfiglio, a Corporate Strategic Advisor has been appointed to our Board of Directors.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technology and product pipeline side, management believes that the company is fundamentally strong and poised to be a leading company in a highly attractive, multi-billion dollar and expanding market, a position reinforced by our recruitment of top-class managers, advisors and investors who all share our vision.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2015 Compared to Three Months Ended September 30, 2014</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a net income of $2,484,000 or $0.05 basic and $0.03 diluted income per share during the three months ended September 30, 2015 compared to a net loss of $1,568,000 or ($0.09) per share for the three months ended September 30, 2014. The net income recognized in the three months ended September 30, 2015 was exclusively due to the changes in the fair value of derivative liabilities as described below.</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increased to $1,738,000 during the three months ended September 30, 2015 compared to $1,384,000 in the prior period. Significant changes in operating expenses are outlined as follows:</w:t>
      </w:r>
    </w:p>
    <w:p>
      <w:pPr>
        <w:spacing w:after="0" w:line="197" w:lineRule="exact"/>
        <w:rPr>
          <w:sz w:val="20"/>
          <w:szCs w:val="20"/>
          <w:color w:val="auto"/>
        </w:rPr>
      </w:pPr>
    </w:p>
    <w:p>
      <w:pPr>
        <w:jc w:val="both"/>
        <w:ind w:left="340" w:hanging="143"/>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decreased to $969,000 during the three months ended September 30, 2015 from $1,351,000 during the prior period. The decrease was primarily due to lower non-cash consulting fees offset by higher investor relations and salaries expense during the three months ended September 30, 2015 compared to the prior period. The decrease in non-cash consulting fees from the prior year was due to the Company curtailing its business development activities in the current year.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7" w:name="page18"/>
    <w:bookmarkEnd w:id="17"/>
    <w:p>
      <w:pPr>
        <w:jc w:val="both"/>
        <w:ind w:left="340" w:hanging="143"/>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and development costs during the three months ended September 30, 2015 were $769,000 compared to $33,000 during the prior period. This was due to the Company exercising its option to acquire a license from Mayo Foundation for Medical Education and Research for $350,000 and increased in in-house research and consulting activity in the current period.</w:t>
      </w:r>
    </w:p>
    <w:p>
      <w:pPr>
        <w:spacing w:after="0" w:line="208" w:lineRule="exact"/>
        <w:rPr>
          <w:rFonts w:ascii="Arial" w:cs="Arial" w:eastAsia="Arial" w:hAnsi="Arial"/>
          <w:sz w:val="18"/>
          <w:szCs w:val="18"/>
          <w:color w:val="auto"/>
        </w:rPr>
      </w:pPr>
    </w:p>
    <w:p>
      <w:pPr>
        <w:jc w:val="both"/>
        <w:ind w:left="340" w:hanging="143"/>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changes in fair value of derivative liabilities for the three months ended September 30, 2015 was $4,247,000 as compared to $(74,000) for the three months ended September 30, 2014. The variance is due to the revaluation of the Series A warrants issued by us in January and March 2015. We revalue the derivative liabilities at each balance sheet date to fair value. The fair value is determined using Black-Scholes valuation model using various assumptions. The most significant change in the assumptions was the difference in the strike price used at September 30, 2015 of $0.62 compared to $0.96 at June 30, 2015. Due to the significant change in the strike price, the fair value of the derivative liabilities decreased by $4,247,000 with a corresponding gain in the consolidated statement of operations. None of the warrants recognized as derivative liabilities were exercised during the quarter.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Compared to Nine Months Ended September 30, 2014</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recorded a net loss of $16,943,000 or ($0.46) per share during the nine months ended September 30, 2015 compared to $30,147,000 or ($2.27) per share for the nine months ended September 30, 2014.</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costs increased to $3,904,000 during the nine months ended September 30, 2015 compared to $2,977,000 in the prior period. Significant changes in operating expenses are outlined as follows:</w:t>
      </w:r>
    </w:p>
    <w:p>
      <w:pPr>
        <w:spacing w:after="0" w:line="197" w:lineRule="exact"/>
        <w:rPr>
          <w:sz w:val="20"/>
          <w:szCs w:val="20"/>
          <w:color w:val="auto"/>
        </w:rPr>
      </w:pPr>
    </w:p>
    <w:p>
      <w:pPr>
        <w:jc w:val="both"/>
        <w:ind w:left="660" w:hanging="139"/>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decreased to $2,324,000 during the nine months ended September 30, 2015 from $2,899,000 during the prior period. The decrease was primarily due to decrease in non-cash consulting fees paid as stock-based compensation during the nine months ended September 30, 2015 compared to the prior period. The decrease in non-cash consulting fees from the prior year was due to the Company curtailing its business development activities in the current year.</w:t>
      </w:r>
    </w:p>
    <w:p>
      <w:pPr>
        <w:spacing w:after="0" w:line="213" w:lineRule="exact"/>
        <w:rPr>
          <w:rFonts w:ascii="Arial" w:cs="Arial" w:eastAsia="Arial" w:hAnsi="Arial"/>
          <w:sz w:val="18"/>
          <w:szCs w:val="18"/>
          <w:color w:val="auto"/>
        </w:rPr>
      </w:pPr>
    </w:p>
    <w:p>
      <w:pPr>
        <w:jc w:val="both"/>
        <w:ind w:left="660" w:hanging="139"/>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Research and development costs during the nine months ended September 30, 2015 were $1,580,000 compared to $78,000 during the prior period. This was due to the Company exercising its option to acquire a license from Mayo Foundation for Medical Education and Research for $350,000 as part of an agreement entered into in March 2014 and increased in in-house research and consulting activity in the current period.</w:t>
      </w:r>
    </w:p>
    <w:p>
      <w:pPr>
        <w:spacing w:after="0" w:line="192" w:lineRule="exact"/>
        <w:rPr>
          <w:rFonts w:ascii="Arial" w:cs="Arial" w:eastAsia="Arial" w:hAnsi="Arial"/>
          <w:sz w:val="17"/>
          <w:szCs w:val="17"/>
          <w:color w:val="auto"/>
        </w:rPr>
      </w:pPr>
    </w:p>
    <w:p>
      <w:pPr>
        <w:jc w:val="both"/>
        <w:ind w:left="660" w:hanging="139"/>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changes in fair value of derivative liabilities for the nine months ended September 30, 2015 was $(4,759,000) as compared to $243,000 for the nine months ended September 30, 2014. The variance in the current period is due to the revaluation of the Series A warrants issued by us in January and March 2015. We revalue the derivative liabilities at each balance sheet date to fair value. None of the warrants recognized as derivative liabilities were exercised during the nine months ended September 30,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September 30, 2015 and December 31, 2014: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418"/>
        </w:trPr>
        <w:tc>
          <w:tcPr>
            <w:tcW w:w="8700" w:type="dxa"/>
            <w:vAlign w:val="bottom"/>
          </w:tcPr>
          <w:p>
            <w:pPr>
              <w:ind w:left="180"/>
              <w:spacing w:after="0"/>
              <w:rPr>
                <w:sz w:val="20"/>
                <w:szCs w:val="20"/>
                <w:color w:val="auto"/>
              </w:rPr>
            </w:pPr>
            <w:r>
              <w:rPr>
                <w:rFonts w:ascii="Arial" w:cs="Arial" w:eastAsia="Arial" w:hAnsi="Arial"/>
                <w:sz w:val="18"/>
                <w:szCs w:val="18"/>
                <w:color w:val="auto"/>
              </w:rPr>
              <w:t>Cash reserves</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6,087,000</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142,000</w:t>
            </w:r>
          </w:p>
        </w:tc>
      </w:tr>
      <w:tr>
        <w:trPr>
          <w:trHeight w:val="230"/>
        </w:trPr>
        <w:tc>
          <w:tcPr>
            <w:tcW w:w="8700" w:type="dxa"/>
            <w:vAlign w:val="bottom"/>
          </w:tcPr>
          <w:p>
            <w:pPr>
              <w:ind w:left="180"/>
              <w:spacing w:after="0"/>
              <w:rPr>
                <w:sz w:val="20"/>
                <w:szCs w:val="20"/>
                <w:color w:val="auto"/>
              </w:rPr>
            </w:pPr>
            <w:r>
              <w:rPr>
                <w:rFonts w:ascii="Arial" w:cs="Arial" w:eastAsia="Arial" w:hAnsi="Arial"/>
                <w:sz w:val="18"/>
                <w:szCs w:val="18"/>
                <w:color w:val="auto"/>
              </w:rPr>
              <w:t>Working capital (deficit)</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(2,621,000)</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(1,024,000)</w:t>
            </w:r>
          </w:p>
        </w:tc>
      </w:tr>
      <w:tr>
        <w:trPr>
          <w:trHeight w:val="21"/>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Subject to the availability of additional financing, we intend to spend approximately $7,500,000 over the next twelve months in carrying out our plan of operations. At September 30, 2015, we had $6,087,000 of cash on hand and a working capital deficit of $2,621,000. During the nine months ended September 2015, we raised approximately $2 million in private and brokered placements and another $7.43 million in cash proceeds from the exercise of warrants.</w:t>
      </w:r>
    </w:p>
    <w:p>
      <w:pPr>
        <w:spacing w:after="0" w:line="174"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during the nine months ended September 30, 2015 was $3,492,000 compared to $1,518,000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during the nine months ended September 30, 2015 was $9,438,000 compared to $2,083,000 during the prior period. Current period financing consisted of proceeds from private placements and warrant exercises while prior period financing relates to proceeds from convertible notes.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2015, we anticipate that we will need significant financing to enable us to meet our anticipated expenditures for the next twelve months, which are expected to be in the range of $7,500,000 for the funding of multiple small Phase 2 clinical trials. We believe that this will be achieved through the exercise of warrants from our January and March Financings in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7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Chief Executive Officer and Chief Financial Officer has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nine months ended September 30, 2015 that have materially affected, or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Litigation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2012, we issued what is now equal to 112,000 shares of our common stock to two consultants. We contested the validity of the issuances of this common stock based on our belief that the consultants did not perform the services agreed to under their respective consulting agreements. While we initially were able to delay the sale of the contested shares, we were not successful in clawing back the contested shares. A claim for perceived damages from Michael Gardner (one of the consultants) suffered as a result of our contesting the issuance under the consulting agreements has been filed in the Supreme Court of New York. He has based his claim for damages on the difference between market price at the time we were able to delay the sale of his shares and the market price at the time of the sale of all of his shares. As the result of a judicial decision in New York he received a bond payment of ($100,000) that the Company had used to secure a temporary restraining order against the issuance of stock to him.</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Litigation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of our suppliers, Fischer Scientific was awarded a judgment against us for $51,000 which is equal to the amount owed to them. We intend on settling that matter in the fourth quarter of 2015.</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issued any unregistered equity securities that we have not previously reported in a current or periodic report filed with the US Securities and Exchange Commission.</w:t>
      </w:r>
    </w:p>
    <w:p>
      <w:pPr>
        <w:spacing w:after="0" w:line="19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of Consulting Agreement with Dr. John Bonfiglio</w:t>
      </w:r>
    </w:p>
    <w:p>
      <w:pPr>
        <w:spacing w:after="0" w:line="225" w:lineRule="exact"/>
        <w:rPr>
          <w:sz w:val="20"/>
          <w:szCs w:val="20"/>
          <w:color w:val="auto"/>
        </w:rPr>
      </w:pPr>
    </w:p>
    <w:p>
      <w:pPr>
        <w:jc w:val="both"/>
        <w:ind w:firstLine="758"/>
        <w:spacing w:after="0" w:line="264" w:lineRule="auto"/>
        <w:rPr>
          <w:sz w:val="20"/>
          <w:szCs w:val="20"/>
          <w:color w:val="auto"/>
        </w:rPr>
      </w:pPr>
      <w:r>
        <w:rPr>
          <w:rFonts w:ascii="Arial" w:cs="Arial" w:eastAsia="Arial" w:hAnsi="Arial"/>
          <w:sz w:val="18"/>
          <w:szCs w:val="18"/>
          <w:color w:val="auto"/>
        </w:rPr>
        <w:t>Due to increasing requirements for Dr. John Bonfiglio’s consulting services by the Company, in June, 2015, the Consulting Agreement, dated February 10, 2015, between the Company and Dr. Bonfiglio was amended to provide for consulting fees of $15,000 per month and services up to 120 hours per month. Dr. Bonfiglio also serves as member of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Amendment of the 2014 Omnibus Stock Ownership Plan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On November 6, 2015, the Board of Directors approved an amendment to the Company’s 2014 Omnibus Stock Ownership Plan which provided:</w:t>
      </w:r>
    </w:p>
    <w:p>
      <w:pPr>
        <w:spacing w:after="0" w:line="264" w:lineRule="exact"/>
        <w:rPr>
          <w:sz w:val="20"/>
          <w:szCs w:val="20"/>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an increase the number of shares reserved for issuance under the Plan by 5 million shares to 7 million shares;</w:t>
      </w:r>
    </w:p>
    <w:p>
      <w:pPr>
        <w:spacing w:after="0" w:line="252" w:lineRule="exact"/>
        <w:rPr>
          <w:rFonts w:ascii="Arial" w:cs="Arial" w:eastAsia="Arial" w:hAnsi="Arial"/>
          <w:sz w:val="18"/>
          <w:szCs w:val="18"/>
          <w:color w:val="auto"/>
        </w:rPr>
      </w:pPr>
    </w:p>
    <w:p>
      <w:pPr>
        <w:ind w:left="660" w:hanging="139"/>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Board and Committee administering the Plan with full discretion under Section 6(f) on the vesting period for Service-Vesting Awards under the Plan, including the grant of Awards with less than the Minimum Vesting Requirement (as such terms are defined in the Plan), and</w:t>
      </w:r>
    </w:p>
    <w:p>
      <w:pPr>
        <w:spacing w:after="0" w:line="173" w:lineRule="exact"/>
        <w:rPr>
          <w:rFonts w:ascii="Arial" w:cs="Arial" w:eastAsia="Arial" w:hAnsi="Arial"/>
          <w:sz w:val="17"/>
          <w:szCs w:val="17"/>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and Committee administering the Plan with the ability to grant stock bonuses to executive officers under Section 6(c).</w:t>
      </w:r>
    </w:p>
    <w:p>
      <w:pPr>
        <w:spacing w:after="0" w:line="225" w:lineRule="exact"/>
        <w:rPr>
          <w:sz w:val="20"/>
          <w:szCs w:val="20"/>
          <w:color w:val="auto"/>
        </w:rPr>
      </w:pPr>
    </w:p>
    <w:p>
      <w:pPr>
        <w:jc w:val="both"/>
        <w:ind w:firstLine="677"/>
        <w:spacing w:after="0" w:line="226" w:lineRule="auto"/>
        <w:rPr>
          <w:sz w:val="20"/>
          <w:szCs w:val="20"/>
          <w:color w:val="auto"/>
        </w:rPr>
      </w:pPr>
      <w:r>
        <w:rPr>
          <w:rFonts w:ascii="Arial" w:cs="Arial" w:eastAsia="Arial" w:hAnsi="Arial"/>
          <w:sz w:val="18"/>
          <w:szCs w:val="18"/>
          <w:color w:val="auto"/>
        </w:rPr>
        <w:t>A copy of the 2014 Plan, the first amendment to the Plan (adopted in February 2015), and the November 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amendment to the Plan, as well as the forms of stock option award agreements and a restricted share award agreement to be used under the Plan, are included as exhibits to this Report on Form 10-Q.</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with Dr. Glynn Wilson</w:t>
      </w:r>
    </w:p>
    <w:p>
      <w:pPr>
        <w:spacing w:after="0" w:line="225" w:lineRule="exact"/>
        <w:rPr>
          <w:sz w:val="20"/>
          <w:szCs w:val="20"/>
          <w:color w:val="auto"/>
        </w:rPr>
      </w:pPr>
    </w:p>
    <w:p>
      <w:pPr>
        <w:jc w:val="both"/>
        <w:ind w:right="140" w:firstLine="666"/>
        <w:spacing w:after="0" w:line="264" w:lineRule="auto"/>
        <w:rPr>
          <w:sz w:val="20"/>
          <w:szCs w:val="20"/>
          <w:color w:val="auto"/>
        </w:rPr>
      </w:pPr>
      <w:r>
        <w:rPr>
          <w:rFonts w:ascii="Arial" w:cs="Arial" w:eastAsia="Arial" w:hAnsi="Arial"/>
          <w:sz w:val="18"/>
          <w:szCs w:val="18"/>
          <w:color w:val="auto"/>
        </w:rPr>
        <w:t>On November 12, 2015, the Company entered into a new employment agreement with Dr. Glynn Wilson, the Company’s Chief Executive Officer, President and Chairman, the material terms and conditions of which are summarized below. A copy of the agreement is included as an exhibit to this Report on Form 10-Q.</w:t>
      </w:r>
    </w:p>
    <w:p>
      <w:pPr>
        <w:spacing w:after="0" w:line="181" w:lineRule="exact"/>
        <w:rPr>
          <w:sz w:val="20"/>
          <w:szCs w:val="20"/>
          <w:color w:val="auto"/>
        </w:rPr>
      </w:pPr>
    </w:p>
    <w:p>
      <w:pPr>
        <w:ind w:right="40" w:firstLine="663"/>
        <w:spacing w:after="0" w:line="272" w:lineRule="auto"/>
        <w:rPr>
          <w:sz w:val="20"/>
          <w:szCs w:val="20"/>
          <w:color w:val="auto"/>
        </w:rPr>
      </w:pPr>
      <w:r>
        <w:rPr>
          <w:rFonts w:ascii="Arial" w:cs="Arial" w:eastAsia="Arial" w:hAnsi="Arial"/>
          <w:sz w:val="17"/>
          <w:szCs w:val="17"/>
          <w:color w:val="auto"/>
        </w:rPr>
        <w:t>The employment agreement provides that Dr. Wilson will serve as the Chief Executive Officer, President and Chairman of the Company. The initial term of the agreement ends November 11, 2017, but it will automatically be extended for 12-months unless terminated by the Company or Dr. Wilson by written notice to the other not later than 12 months prior to the end of such initial term. It will thereafter be further extended for an additional 12 months after the end of each such extended term unless terminated by the Company or Dr. Wilson by written notice no later than 90 days prior to the end of such term, subject to early termination for cause or good reason by Dr. Wilson. Under the agreement, Dr. Wilson’s annual base salary is to be $280,000, and he is entitled to a performance-based bonus ranging of up to 50% of his base salary based on goals and other conditions as the Board determines on an annual basis, which may be paid in cash or equity awards as the Board determines.</w:t>
      </w:r>
    </w:p>
    <w:p>
      <w:pPr>
        <w:spacing w:after="0" w:line="178" w:lineRule="exact"/>
        <w:rPr>
          <w:sz w:val="20"/>
          <w:szCs w:val="20"/>
          <w:color w:val="auto"/>
        </w:rPr>
      </w:pPr>
    </w:p>
    <w:p>
      <w:pPr>
        <w:jc w:val="both"/>
        <w:ind w:right="120" w:firstLine="666"/>
        <w:spacing w:after="0" w:line="264" w:lineRule="auto"/>
        <w:rPr>
          <w:sz w:val="20"/>
          <w:szCs w:val="20"/>
          <w:color w:val="auto"/>
        </w:rPr>
      </w:pPr>
      <w:r>
        <w:rPr>
          <w:rFonts w:ascii="Arial" w:cs="Arial" w:eastAsia="Arial" w:hAnsi="Arial"/>
          <w:sz w:val="18"/>
          <w:szCs w:val="18"/>
          <w:color w:val="auto"/>
        </w:rPr>
        <w:t>Dr. Wilson will be entitled to 21 days paid vacation per calendar year plus such sick leave as he may reasonably and actually require, and he will be entitled to participate in all group insurance, vacation, retirement and other employee benefits established by Company for its full time employees generally, on terms comparable to those provided to such employees from time to time by the Company.</w:t>
      </w:r>
    </w:p>
    <w:p>
      <w:pPr>
        <w:spacing w:after="0" w:line="181" w:lineRule="exact"/>
        <w:rPr>
          <w:sz w:val="20"/>
          <w:szCs w:val="20"/>
          <w:color w:val="auto"/>
        </w:rPr>
      </w:pPr>
    </w:p>
    <w:p>
      <w:pPr>
        <w:ind w:right="240" w:firstLine="666"/>
        <w:spacing w:after="0" w:line="302" w:lineRule="auto"/>
        <w:rPr>
          <w:sz w:val="20"/>
          <w:szCs w:val="20"/>
          <w:color w:val="auto"/>
        </w:rPr>
      </w:pPr>
      <w:r>
        <w:rPr>
          <w:rFonts w:ascii="Arial" w:cs="Arial" w:eastAsia="Arial" w:hAnsi="Arial"/>
          <w:sz w:val="16"/>
          <w:szCs w:val="16"/>
          <w:color w:val="auto"/>
        </w:rPr>
        <w:t>In connection with entering into the new agreement, Dr. Wilson will receive equity awards under the Company’s 2014 Omnibus Stock Ownership Plan consisting of (i) an award of 315,000 shares of unregistered common stock, which immediately vest, and (ii) an award of stock options to purchase 2 million shares of Company common stock, prior to November 12, 2025, for $0.605 per share (the closing price of the common stock on November 12, 2015). One-half of the stock options will be immediately vested, and the remaining 1 million shares will vest ratably over the following 24 months.</w:t>
      </w:r>
    </w:p>
    <w:p>
      <w:pPr>
        <w:spacing w:after="0" w:line="181"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If the agreement is terminated by the Company without cause (as defined in the agreement), or if the agreement is terminated by Dr. Wilson for good reason (as defined in the agreement), the Company is required to pay Dr. Wilson a severance payment in an amount equal to 2/3 of his annual base salary, plus any amount of his annual performance bonus that was earned as of the date of termination but not yet paid.</w:t>
      </w:r>
    </w:p>
    <w:p>
      <w:pPr>
        <w:spacing w:after="0" w:line="166" w:lineRule="exact"/>
        <w:rPr>
          <w:sz w:val="20"/>
          <w:szCs w:val="20"/>
          <w:color w:val="auto"/>
        </w:rPr>
      </w:pPr>
    </w:p>
    <w:p>
      <w:pPr>
        <w:jc w:val="both"/>
        <w:ind w:firstLine="760"/>
        <w:spacing w:after="0" w:line="254" w:lineRule="auto"/>
        <w:rPr>
          <w:sz w:val="20"/>
          <w:szCs w:val="20"/>
          <w:color w:val="auto"/>
        </w:rPr>
      </w:pPr>
      <w:r>
        <w:rPr>
          <w:rFonts w:ascii="Arial" w:cs="Arial" w:eastAsia="Arial" w:hAnsi="Arial"/>
          <w:sz w:val="18"/>
          <w:szCs w:val="18"/>
          <w:color w:val="auto"/>
        </w:rPr>
        <w:t>If the agreement is terminated either by the Company without cause or by Dr. Wilson for good reason during the period of ninety (90) days following a change in control (as defined in the agreement), then in lieu of the severance payment described above, the Company is required to pay Dr. Wilson severance equal to the sum of (i) 2/3 of his annual base salary and (ii) his Annual Performance Bonus for the year which includes the effective date of the change in control, payable at the target level of performance. In addition, the Company will also be required to pay Dr. Wilson the amount of any annual performance bonus that, as of the date of termination, has been earned by him but not yet paid. If Dr. Wilson holds any stock options or other stock awards granted under the Company’s equity plans which are not fully vested at the time his employment with the Company is terminated either by the Company without Cause or by him for good reason during the period of ninety (90) days following a change in control, such equity awards shall become fully vested as of the termination date.</w:t>
      </w:r>
    </w:p>
    <w:p>
      <w:pPr>
        <w:spacing w:after="0" w:line="192" w:lineRule="exact"/>
        <w:rPr>
          <w:sz w:val="20"/>
          <w:szCs w:val="20"/>
          <w:color w:val="auto"/>
        </w:rPr>
      </w:pPr>
    </w:p>
    <w:p>
      <w:pPr>
        <w:ind w:right="40" w:firstLine="663"/>
        <w:spacing w:after="0" w:line="342" w:lineRule="auto"/>
        <w:rPr>
          <w:sz w:val="20"/>
          <w:szCs w:val="20"/>
          <w:color w:val="auto"/>
        </w:rPr>
      </w:pPr>
      <w:r>
        <w:rPr>
          <w:rFonts w:ascii="Arial" w:cs="Arial" w:eastAsia="Arial" w:hAnsi="Arial"/>
          <w:sz w:val="16"/>
          <w:szCs w:val="16"/>
          <w:color w:val="auto"/>
        </w:rPr>
        <w:t>The agreement provides that Dr. Wilson may not solicit any of the Company’s employees or compete directly or indirectly with the Company during the term of the agreement and for one year after its expiration anywhere in the United States. The agreement contains customary confidentiality provisions.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Awards to Non-employee Directors, employees and consultants</w:t>
      </w:r>
    </w:p>
    <w:p>
      <w:pPr>
        <w:spacing w:after="0" w:line="225" w:lineRule="exact"/>
        <w:rPr>
          <w:sz w:val="20"/>
          <w:szCs w:val="20"/>
          <w:color w:val="auto"/>
        </w:rPr>
      </w:pPr>
    </w:p>
    <w:p>
      <w:pPr>
        <w:ind w:firstLine="666"/>
        <w:spacing w:after="0" w:line="255" w:lineRule="auto"/>
        <w:rPr>
          <w:sz w:val="20"/>
          <w:szCs w:val="20"/>
          <w:color w:val="auto"/>
        </w:rPr>
      </w:pPr>
      <w:r>
        <w:rPr>
          <w:rFonts w:ascii="Arial" w:cs="Arial" w:eastAsia="Arial" w:hAnsi="Arial"/>
          <w:sz w:val="18"/>
          <w:szCs w:val="18"/>
          <w:color w:val="auto"/>
        </w:rPr>
        <w:t>On November 12, 2015, the Board of Directors approved awards of stock options to acquire 150,000 shares of common stock to each of Sherry Grisewood and Mark Reddish, who serve as members of the Board of Directors, for their long service and contributions to the Company and the Board. All of such options are fully vested. In addition, the Board approved awards of stock options to four individuals (two employees and two consultants) to purchase an aggregate of 690,000 shares of common stock. Of the options granted to the employees and consultants, 290,000 are immediately vested, and the remainder vest over periods of between one and three years. All of the stock options have a 10-year term, and the exercise price is $0.605 per share, the closing price of the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599" w:gutter="0" w:footer="0" w:header="0"/>
        </w:sectPr>
      </w:pPr>
    </w:p>
    <w:bookmarkStart w:id="21" w:name="page22"/>
    <w:bookmarkEnd w:id="21"/>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b w:val="1"/>
                <w:bCs w:val="1"/>
                <w:color w:val="auto"/>
              </w:rPr>
              <w:t>Exhibit Number</w:t>
            </w:r>
          </w:p>
        </w:tc>
        <w:tc>
          <w:tcPr>
            <w:tcW w:w="91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Description of Exhibit</w:t>
            </w:r>
          </w:p>
        </w:tc>
      </w:tr>
      <w:tr>
        <w:trPr>
          <w:trHeight w:val="202"/>
        </w:trPr>
        <w:tc>
          <w:tcPr>
            <w:tcW w:w="2240" w:type="dxa"/>
            <w:vAlign w:val="bottom"/>
          </w:tcPr>
          <w:p>
            <w:pPr>
              <w:jc w:val="center"/>
              <w:ind w:left="550"/>
              <w:spacing w:after="0" w:line="201" w:lineRule="exact"/>
              <w:rPr>
                <w:sz w:val="20"/>
                <w:szCs w:val="20"/>
                <w:color w:val="auto"/>
              </w:rPr>
            </w:pPr>
            <w:r>
              <w:rPr>
                <w:rFonts w:ascii="Arial" w:cs="Arial" w:eastAsia="Arial" w:hAnsi="Arial"/>
                <w:sz w:val="18"/>
                <w:szCs w:val="18"/>
                <w:color w:val="auto"/>
                <w:w w:val="95"/>
              </w:rPr>
              <w:t>10.1*</w:t>
            </w:r>
          </w:p>
        </w:tc>
        <w:tc>
          <w:tcPr>
            <w:tcW w:w="9180" w:type="dxa"/>
            <w:vAlign w:val="bottom"/>
          </w:tcPr>
          <w:p>
            <w:pPr>
              <w:ind w:left="200"/>
              <w:spacing w:after="0" w:line="201" w:lineRule="exact"/>
              <w:rPr>
                <w:sz w:val="20"/>
                <w:szCs w:val="20"/>
                <w:color w:val="auto"/>
              </w:rPr>
            </w:pPr>
            <w:r>
              <w:rPr>
                <w:rFonts w:ascii="Arial" w:cs="Arial" w:eastAsia="Arial" w:hAnsi="Arial"/>
                <w:sz w:val="18"/>
                <w:szCs w:val="18"/>
                <w:color w:val="auto"/>
              </w:rPr>
              <w:t>2014 Omnibus Stock Ownership Plan</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10.2*</w:t>
            </w:r>
          </w:p>
        </w:tc>
        <w:tc>
          <w:tcPr>
            <w:tcW w:w="9180" w:type="dxa"/>
            <w:vAlign w:val="bottom"/>
          </w:tcPr>
          <w:p>
            <w:pPr>
              <w:ind w:left="200"/>
              <w:spacing w:after="0"/>
              <w:rPr>
                <w:sz w:val="20"/>
                <w:szCs w:val="20"/>
                <w:color w:val="auto"/>
              </w:rPr>
            </w:pPr>
            <w:r>
              <w:rPr>
                <w:rFonts w:ascii="Arial" w:cs="Arial" w:eastAsia="Arial" w:hAnsi="Arial"/>
                <w:sz w:val="18"/>
                <w:szCs w:val="18"/>
                <w:color w:val="auto"/>
              </w:rPr>
              <w:t>Amendment to 2014 Omnibus Stock Ownership Plan (February 10, 2015)</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10.3*</w:t>
            </w:r>
          </w:p>
        </w:tc>
        <w:tc>
          <w:tcPr>
            <w:tcW w:w="9180" w:type="dxa"/>
            <w:vAlign w:val="bottom"/>
          </w:tcPr>
          <w:p>
            <w:pPr>
              <w:ind w:left="200"/>
              <w:spacing w:after="0"/>
              <w:rPr>
                <w:sz w:val="20"/>
                <w:szCs w:val="20"/>
                <w:color w:val="auto"/>
              </w:rPr>
            </w:pPr>
            <w:r>
              <w:rPr>
                <w:rFonts w:ascii="Arial" w:cs="Arial" w:eastAsia="Arial" w:hAnsi="Arial"/>
                <w:sz w:val="18"/>
                <w:szCs w:val="18"/>
                <w:color w:val="auto"/>
              </w:rPr>
              <w:t>Amendment to 2014 Omnibus Stock Ownership Plan (November 6, 2015)</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10.4*</w:t>
            </w:r>
          </w:p>
        </w:tc>
        <w:tc>
          <w:tcPr>
            <w:tcW w:w="9180" w:type="dxa"/>
            <w:vAlign w:val="bottom"/>
          </w:tcPr>
          <w:p>
            <w:pPr>
              <w:ind w:left="200"/>
              <w:spacing w:after="0"/>
              <w:rPr>
                <w:sz w:val="20"/>
                <w:szCs w:val="20"/>
                <w:color w:val="auto"/>
              </w:rPr>
            </w:pPr>
            <w:r>
              <w:rPr>
                <w:rFonts w:ascii="Arial" w:cs="Arial" w:eastAsia="Arial" w:hAnsi="Arial"/>
                <w:sz w:val="18"/>
                <w:szCs w:val="18"/>
                <w:color w:val="auto"/>
              </w:rPr>
              <w:t>Form of Stock Option Award Agreement – Key Employee</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10.5*</w:t>
            </w:r>
          </w:p>
        </w:tc>
        <w:tc>
          <w:tcPr>
            <w:tcW w:w="9180" w:type="dxa"/>
            <w:vAlign w:val="bottom"/>
          </w:tcPr>
          <w:p>
            <w:pPr>
              <w:ind w:left="200"/>
              <w:spacing w:after="0"/>
              <w:rPr>
                <w:sz w:val="20"/>
                <w:szCs w:val="20"/>
                <w:color w:val="auto"/>
              </w:rPr>
            </w:pPr>
            <w:r>
              <w:rPr>
                <w:rFonts w:ascii="Arial" w:cs="Arial" w:eastAsia="Arial" w:hAnsi="Arial"/>
                <w:sz w:val="18"/>
                <w:szCs w:val="18"/>
                <w:color w:val="auto"/>
              </w:rPr>
              <w:t>Form of Stock Option Award Agreement – Non-employee Director</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10.6*</w:t>
            </w:r>
          </w:p>
        </w:tc>
        <w:tc>
          <w:tcPr>
            <w:tcW w:w="9180" w:type="dxa"/>
            <w:vAlign w:val="bottom"/>
          </w:tcPr>
          <w:p>
            <w:pPr>
              <w:ind w:left="200"/>
              <w:spacing w:after="0"/>
              <w:rPr>
                <w:sz w:val="20"/>
                <w:szCs w:val="20"/>
                <w:color w:val="auto"/>
              </w:rPr>
            </w:pPr>
            <w:r>
              <w:rPr>
                <w:rFonts w:ascii="Arial" w:cs="Arial" w:eastAsia="Arial" w:hAnsi="Arial"/>
                <w:sz w:val="18"/>
                <w:szCs w:val="18"/>
                <w:color w:val="auto"/>
              </w:rPr>
              <w:t>Form of Stock Option Award Agreement – Consultant</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10.7*</w:t>
            </w:r>
          </w:p>
        </w:tc>
        <w:tc>
          <w:tcPr>
            <w:tcW w:w="9180" w:type="dxa"/>
            <w:vAlign w:val="bottom"/>
          </w:tcPr>
          <w:p>
            <w:pPr>
              <w:ind w:left="200"/>
              <w:spacing w:after="0"/>
              <w:rPr>
                <w:sz w:val="20"/>
                <w:szCs w:val="20"/>
                <w:color w:val="auto"/>
              </w:rPr>
            </w:pPr>
            <w:r>
              <w:rPr>
                <w:rFonts w:ascii="Arial" w:cs="Arial" w:eastAsia="Arial" w:hAnsi="Arial"/>
                <w:sz w:val="18"/>
                <w:szCs w:val="18"/>
                <w:color w:val="auto"/>
              </w:rPr>
              <w:t>Form of Restricted Stock Award Agreement – Consultant</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10.8*</w:t>
            </w:r>
          </w:p>
        </w:tc>
        <w:tc>
          <w:tcPr>
            <w:tcW w:w="9180" w:type="dxa"/>
            <w:vAlign w:val="bottom"/>
          </w:tcPr>
          <w:p>
            <w:pPr>
              <w:ind w:left="200"/>
              <w:spacing w:after="0"/>
              <w:rPr>
                <w:sz w:val="20"/>
                <w:szCs w:val="20"/>
                <w:color w:val="auto"/>
              </w:rPr>
            </w:pPr>
            <w:r>
              <w:rPr>
                <w:rFonts w:ascii="Arial" w:cs="Arial" w:eastAsia="Arial" w:hAnsi="Arial"/>
                <w:sz w:val="18"/>
                <w:szCs w:val="18"/>
                <w:color w:val="auto"/>
              </w:rPr>
              <w:t>Employment Agreement between TapImmune, Inc. and Dr. Glynn Wilson, dated November 12, 2015</w:t>
            </w:r>
          </w:p>
        </w:tc>
      </w:tr>
      <w:tr>
        <w:trPr>
          <w:trHeight w:val="216"/>
        </w:trPr>
        <w:tc>
          <w:tcPr>
            <w:tcW w:w="2240" w:type="dxa"/>
            <w:vAlign w:val="bottom"/>
          </w:tcPr>
          <w:p>
            <w:pPr>
              <w:jc w:val="center"/>
              <w:ind w:left="530"/>
              <w:spacing w:after="0"/>
              <w:rPr>
                <w:sz w:val="20"/>
                <w:szCs w:val="20"/>
                <w:color w:val="auto"/>
              </w:rPr>
            </w:pPr>
            <w:r>
              <w:rPr>
                <w:rFonts w:ascii="Arial" w:cs="Arial" w:eastAsia="Arial" w:hAnsi="Arial"/>
                <w:sz w:val="18"/>
                <w:szCs w:val="18"/>
                <w:color w:val="auto"/>
                <w:w w:val="89"/>
              </w:rPr>
              <w:t>14</w:t>
            </w:r>
          </w:p>
        </w:tc>
        <w:tc>
          <w:tcPr>
            <w:tcW w:w="9180" w:type="dxa"/>
            <w:vAlign w:val="bottom"/>
          </w:tcPr>
          <w:p>
            <w:pPr>
              <w:ind w:left="200"/>
              <w:spacing w:after="0"/>
              <w:rPr>
                <w:sz w:val="20"/>
                <w:szCs w:val="20"/>
                <w:color w:val="auto"/>
              </w:rPr>
            </w:pPr>
            <w:r>
              <w:rPr>
                <w:rFonts w:ascii="Arial" w:cs="Arial" w:eastAsia="Arial" w:hAnsi="Arial"/>
                <w:sz w:val="18"/>
                <w:szCs w:val="18"/>
                <w:color w:val="auto"/>
              </w:rPr>
              <w:t>Code of Ethics and Business Conduct</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1"/>
              </w:rPr>
              <w:t>31.1</w:t>
            </w:r>
          </w:p>
        </w:tc>
        <w:tc>
          <w:tcPr>
            <w:tcW w:w="9180" w:type="dxa"/>
            <w:vAlign w:val="bottom"/>
          </w:tcPr>
          <w:p>
            <w:pPr>
              <w:ind w:left="200"/>
              <w:spacing w:after="0"/>
              <w:rPr>
                <w:sz w:val="20"/>
                <w:szCs w:val="20"/>
                <w:color w:val="auto"/>
              </w:rPr>
            </w:pPr>
            <w:r>
              <w:rPr>
                <w:rFonts w:ascii="Arial" w:cs="Arial" w:eastAsia="Arial" w:hAnsi="Arial"/>
                <w:sz w:val="18"/>
                <w:szCs w:val="18"/>
                <w:color w:val="auto"/>
                <w:w w:val="96"/>
              </w:rPr>
              <w:t>Certification of Principal Executive Officer and Acting Principal Accounting Officer Pursuant to Rule 13a-14(a) or 15d-</w:t>
            </w:r>
          </w:p>
        </w:tc>
      </w:tr>
      <w:tr>
        <w:trPr>
          <w:trHeight w:val="216"/>
        </w:trPr>
        <w:tc>
          <w:tcPr>
            <w:tcW w:w="224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14(a) of the Securities Exchange Act of 1933, as amended.</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1"/>
              </w:rPr>
              <w:t>32.1</w:t>
            </w:r>
          </w:p>
        </w:tc>
        <w:tc>
          <w:tcPr>
            <w:tcW w:w="9180" w:type="dxa"/>
            <w:vAlign w:val="bottom"/>
          </w:tcPr>
          <w:p>
            <w:pPr>
              <w:ind w:left="200"/>
              <w:spacing w:after="0"/>
              <w:rPr>
                <w:sz w:val="20"/>
                <w:szCs w:val="20"/>
                <w:color w:val="auto"/>
              </w:rPr>
            </w:pPr>
            <w:r>
              <w:rPr>
                <w:rFonts w:ascii="Arial" w:cs="Arial" w:eastAsia="Arial" w:hAnsi="Arial"/>
                <w:sz w:val="18"/>
                <w:szCs w:val="18"/>
                <w:color w:val="auto"/>
                <w:w w:val="92"/>
              </w:rPr>
              <w:t>Certification of Principal Executive Officer and Acting Principal Accounting Officer pursuant to 18 U.S.C. 1350 as adopted</w:t>
            </w:r>
          </w:p>
        </w:tc>
      </w:tr>
      <w:tr>
        <w:trPr>
          <w:trHeight w:val="230"/>
        </w:trPr>
        <w:tc>
          <w:tcPr>
            <w:tcW w:w="224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pursuant to Section 906 of the Sarbanes-Oxley Act of 2002.</w:t>
            </w:r>
          </w:p>
        </w:tc>
      </w:tr>
    </w:tbl>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00" w:lineRule="exact"/>
        <w:rPr>
          <w:sz w:val="20"/>
          <w:szCs w:val="20"/>
          <w:color w:val="auto"/>
        </w:rPr>
      </w:pP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Glynn Wilson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Chief Executive Officer, Principal Executive Officer and 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November 16,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PLAN</w:t>
      </w:r>
    </w:p>
    <w:p>
      <w:pPr>
        <w:spacing w:after="0" w:line="2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TapImmune Inc., a Nevada corporation (the “Company”), established the Corporation’s 2014 Omnibus Stock Ownership Plan. The Plan was adopted by the Company’s Board of Directors on March 19, 2014 and became effective as of that date, and it permits the grant of stock options, stock bonuses, dividend equivalents, restricted stock units and other stock-based awards. The Plan replaces the Company’s 2009 Stock Incentive Plan, and applies to all Awards (as hereinafter defined) granted on or after March 19, 2014, subject to variations as required to comply with local laws and regulations applicable outside the United States.</w:t>
      </w:r>
    </w:p>
    <w:p>
      <w:pPr>
        <w:spacing w:after="0" w:line="211"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purpose of this Plan is to advance the interest of the Company by encouraging and enabling the acquisition of a larger personal financial interest in the Company by those Employees and non-Employee directors upon whose judgment and efforts the Company is largely dependent for the successful conduct of its operations. It is anticipated that the acquisition of such financial interest and Stock ownership will stimulate the efforts of such Employees and directors on behalf of the Company, strengthen their desire to continue in the service of the Company, and encourage shareholder and entrepreneurial perspectives through Stock ownership. It is also anticipated that the opportunity to obtain such financial interest and Stock ownership will prove attractive to promising new Employees and will assist the Company in attracting such Employees.</w:t>
      </w:r>
    </w:p>
    <w:p>
      <w:pPr>
        <w:spacing w:after="0" w:line="201"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As used in this Plan, the terms set forth below shall have the following meanings (such meanings to be equally applicable to both the singular and plural forms of the terms defined):</w:t>
      </w:r>
    </w:p>
    <w:p>
      <w:pPr>
        <w:spacing w:after="0" w:line="197" w:lineRule="exact"/>
        <w:rPr>
          <w:sz w:val="20"/>
          <w:szCs w:val="20"/>
          <w:color w:val="auto"/>
        </w:rPr>
      </w:pPr>
    </w:p>
    <w:p>
      <w:pPr>
        <w:ind w:right="680" w:firstLine="324"/>
        <w:spacing w:after="0" w:line="258" w:lineRule="auto"/>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any stock options, restricted stock units, stock bonuses, dividend equivalents and other stock-based awards granted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In addition, for purposes of Section 3(d) only, “Award” means any award granted under any Prior Plan.</w:t>
      </w:r>
    </w:p>
    <w:p>
      <w:pPr>
        <w:spacing w:after="0" w:line="1" w:lineRule="exact"/>
        <w:rPr>
          <w:sz w:val="20"/>
          <w:szCs w:val="20"/>
          <w:color w:val="auto"/>
        </w:rPr>
      </w:pPr>
    </w:p>
    <w:p>
      <w:pPr>
        <w:ind w:left="340" w:right="3820"/>
        <w:spacing w:after="0" w:line="261" w:lineRule="auto"/>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has the meaning specified in Section 4(c)(iv).</w:t>
      </w:r>
      <w:r>
        <w:rPr>
          <w:rFonts w:ascii="Arial" w:cs="Arial" w:eastAsia="Arial" w:hAnsi="Arial"/>
          <w:sz w:val="18"/>
          <w:szCs w:val="18"/>
          <w:i w:val="1"/>
          <w:iCs w:val="1"/>
          <w:color w:val="auto"/>
        </w:rPr>
        <w:t xml:space="preserve"> (c)</w:t>
      </w: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 the Company.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has the meaning specified in Section 2(g)(iii).</w:t>
      </w:r>
    </w:p>
    <w:p>
      <w:pPr>
        <w:spacing w:after="0" w:line="25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on which the principal securities exchange on which the shares of the Company's common stock are then listed</w:t>
      </w:r>
      <w:r>
        <w:rPr>
          <w:rFonts w:ascii="Arial" w:cs="Arial" w:eastAsia="Arial" w:hAnsi="Arial"/>
          <w:sz w:val="18"/>
          <w:szCs w:val="18"/>
          <w:i w:val="1"/>
          <w:iCs w:val="1"/>
          <w:color w:val="auto"/>
        </w:rPr>
        <w:t xml:space="preserve"> </w:t>
      </w:r>
      <w:r>
        <w:rPr>
          <w:rFonts w:ascii="Arial" w:cs="Arial" w:eastAsia="Arial" w:hAnsi="Arial"/>
          <w:sz w:val="18"/>
          <w:szCs w:val="18"/>
          <w:color w:val="auto"/>
        </w:rPr>
        <w:t>or admitted to trading is open.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w:t>
      </w: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means the Grantee's commission of any act or acts involving dishonesty, fraud, illegality or moral turpitude.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w:t>
      </w: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the happening of any of the following events:</w:t>
      </w:r>
    </w:p>
    <w:p>
      <w:pPr>
        <w:spacing w:after="0" w:line="252" w:lineRule="exact"/>
        <w:rPr>
          <w:sz w:val="20"/>
          <w:szCs w:val="20"/>
          <w:color w:val="auto"/>
        </w:rPr>
      </w:pPr>
    </w:p>
    <w:p>
      <w:pPr>
        <w:ind w:right="80" w:firstLine="972"/>
        <w:spacing w:after="0" w:line="286" w:lineRule="auto"/>
        <w:rPr>
          <w:sz w:val="20"/>
          <w:szCs w:val="20"/>
          <w:color w:val="auto"/>
        </w:rPr>
      </w:pPr>
      <w:r>
        <w:rPr>
          <w:rFonts w:ascii="Arial" w:cs="Arial" w:eastAsia="Arial" w:hAnsi="Arial"/>
          <w:sz w:val="16"/>
          <w:szCs w:val="16"/>
          <w:color w:val="auto"/>
        </w:rPr>
        <w:t>(i)the acquisition by any Person of “beneficial ownership” (within the meaning of Rule 13d-3 promulgated under the 1934 Act) of 20% or more of either (A) the then-outstanding shares of Stock (“Outstanding Company Common Stock”) or (B) the combined voting power of the then-outstanding voting securities of the Company entitled to vote generally in the election of directors (the “Outstanding Company Voting Securities”); provided, however, that, for purposes of this Section 2(g)(i), the following acquisitions shall not constitute a Change in Control: (1) any acquisition directly from the Company,</w:t>
      </w:r>
    </w:p>
    <w:p>
      <w:pPr>
        <w:spacing w:after="0" w:line="2" w:lineRule="exact"/>
        <w:rPr>
          <w:sz w:val="20"/>
          <w:szCs w:val="20"/>
          <w:color w:val="auto"/>
        </w:rPr>
      </w:pPr>
    </w:p>
    <w:p>
      <w:pPr>
        <w:ind w:right="440" w:firstLine="8"/>
        <w:spacing w:after="0" w:line="323"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acquisition by the Company, (3) any acquisition by any Employee benefit plan (or related trust) sponsored or maintained by the Company or any entity controlled by the Company or (4) any acquisition by any entity pursuant to a transaction that complies with Sections 2(g)(iii)(A), (B) and (C);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4" w:name="page25"/>
    <w:bookmarkEnd w:id="24"/>
    <w:p>
      <w:pPr>
        <w:ind w:right="240" w:firstLine="972"/>
        <w:spacing w:after="0" w:line="255" w:lineRule="auto"/>
        <w:rPr>
          <w:sz w:val="20"/>
          <w:szCs w:val="20"/>
          <w:color w:val="auto"/>
        </w:rPr>
      </w:pPr>
      <w:r>
        <w:rPr>
          <w:rFonts w:ascii="Arial" w:cs="Arial" w:eastAsia="Arial" w:hAnsi="Arial"/>
          <w:sz w:val="18"/>
          <w:szCs w:val="18"/>
          <w:color w:val="auto"/>
        </w:rPr>
        <w:t>(ii)individuals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20" w:lineRule="exact"/>
        <w:rPr>
          <w:sz w:val="20"/>
          <w:szCs w:val="20"/>
          <w:color w:val="auto"/>
        </w:rPr>
      </w:pPr>
    </w:p>
    <w:p>
      <w:pPr>
        <w:ind w:firstLine="972"/>
        <w:spacing w:after="0" w:line="286" w:lineRule="auto"/>
        <w:rPr>
          <w:sz w:val="20"/>
          <w:szCs w:val="20"/>
          <w:color w:val="auto"/>
        </w:rPr>
      </w:pPr>
      <w:r>
        <w:rPr>
          <w:rFonts w:ascii="Arial" w:cs="Arial" w:eastAsia="Arial" w:hAnsi="Arial"/>
          <w:sz w:val="16"/>
          <w:szCs w:val="16"/>
          <w:color w:val="auto"/>
        </w:rPr>
        <w:t>(iii)consummation of a reorganization, merger, statutory share exchange or consolidation or similar corporate transaction involving the Company and/or any entity controlled by the Company, or a sale or other disposition of all or substantially all of the assets of the Company, or the acquisition of assets or stock of another entity by the Company or any entity controlled by the Company (each, a “Business Combination”), in each case, unless, following such Business Combination, (A) all or substantially all of the individuals and entities that were the beneficial owners of the Outstanding Company Common Stock and Outstanding Company Voting Securities immediately prior to such Business Combination beneficially own, directly or indirectly, more than 60% of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entity resulting from such Business Combination or any employee benefit plan (or related trust) of the Company or such entity resulting from such Business Combination) beneficially owns, directly or indirectly, 40%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entity resulting from such Business Combination were members of the Incumbent Board at the time of the execution of the initial agreement, or of the action of the Board, providing for such Business Combination; or</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(iv)approval by the shareholders of the Company of a complete liquidation or dissolution of the Company.</w:t>
      </w:r>
    </w:p>
    <w:p>
      <w:pPr>
        <w:spacing w:after="0" w:line="25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(h)</w:t>
      </w: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U.S. Internal Revenue Code of 1986, as amended, and regulations and rulings thereunder. References to a particular section of, or</w:t>
      </w:r>
      <w:r>
        <w:rPr>
          <w:rFonts w:ascii="Arial" w:cs="Arial" w:eastAsia="Arial" w:hAnsi="Arial"/>
          <w:sz w:val="18"/>
          <w:szCs w:val="18"/>
          <w:i w:val="1"/>
          <w:iCs w:val="1"/>
          <w:color w:val="auto"/>
        </w:rPr>
        <w:t xml:space="preserve"> </w:t>
      </w:r>
      <w:r>
        <w:rPr>
          <w:rFonts w:ascii="Arial" w:cs="Arial" w:eastAsia="Arial" w:hAnsi="Arial"/>
          <w:sz w:val="18"/>
          <w:szCs w:val="18"/>
          <w:color w:val="auto"/>
        </w:rPr>
        <w:t>rule under, the Code shall include references to successor provisions.</w:t>
      </w:r>
    </w:p>
    <w:p>
      <w:pPr>
        <w:spacing w:after="0" w:line="197" w:lineRule="exact"/>
        <w:rPr>
          <w:sz w:val="20"/>
          <w:szCs w:val="20"/>
          <w:color w:val="auto"/>
        </w:rPr>
      </w:pPr>
    </w:p>
    <w:p>
      <w:pPr>
        <w:ind w:left="340" w:right="3740"/>
        <w:spacing w:after="0" w:line="277" w:lineRule="auto"/>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has the meaning specified in Section 4(a).</w:t>
      </w:r>
      <w:r>
        <w:rPr>
          <w:rFonts w:ascii="Arial" w:cs="Arial" w:eastAsia="Arial" w:hAnsi="Arial"/>
          <w:sz w:val="18"/>
          <w:szCs w:val="18"/>
          <w:i w:val="1"/>
          <w:iCs w:val="1"/>
          <w:color w:val="auto"/>
        </w:rPr>
        <w:t xml:space="preserve"> (j)</w:t>
      </w: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specified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paragraph.</w:t>
      </w:r>
    </w:p>
    <w:p>
      <w:pPr>
        <w:spacing w:after="0" w:line="197" w:lineRule="exact"/>
        <w:rPr>
          <w:sz w:val="20"/>
          <w:szCs w:val="20"/>
          <w:color w:val="auto"/>
        </w:rPr>
      </w:pPr>
    </w:p>
    <w:p>
      <w:pPr>
        <w:ind w:right="560" w:firstLine="324"/>
        <w:spacing w:after="0" w:line="259" w:lineRule="auto"/>
        <w:rPr>
          <w:sz w:val="20"/>
          <w:szCs w:val="20"/>
          <w:color w:val="auto"/>
        </w:rPr>
      </w:pPr>
      <w:r>
        <w:rPr>
          <w:rFonts w:ascii="Arial" w:cs="Arial" w:eastAsia="Arial" w:hAnsi="Arial"/>
          <w:sz w:val="18"/>
          <w:szCs w:val="18"/>
          <w:i w:val="1"/>
          <w:iCs w:val="1"/>
          <w:color w:val="auto"/>
        </w:rPr>
        <w:t>(k)</w:t>
      </w: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as it regards Employees, shall mean a mental or physical condition which, with or without reasonable accommodations, renders an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permanently unable or incompetent to carry out the job responsibilities he held or tasks to which he was assigned at the time the condition was incurred, with such determination to be made by the Committee on the basis of such medical and other competent evidence as the Committee in its sole discretion shall deem relevant.</w:t>
      </w:r>
    </w:p>
    <w:p>
      <w:pPr>
        <w:spacing w:after="0" w:line="21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as it regards non-Employee directors and senior directors means a physical or mental condition that prevents the director from performing his or her duties as a member of the Board or a senior director, as applicable, and that is expected to be permanent or for an indefinite duration exceeding one year.</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w:t>
      </w:r>
      <w:r>
        <w:rPr>
          <w:rFonts w:ascii="Arial" w:cs="Arial" w:eastAsia="Arial" w:hAnsi="Arial"/>
          <w:sz w:val="18"/>
          <w:szCs w:val="18"/>
          <w:color w:val="auto"/>
        </w:rPr>
        <w:t>“</w:t>
      </w:r>
      <w:r>
        <w:rPr>
          <w:rFonts w:ascii="Arial" w:cs="Arial" w:eastAsia="Arial" w:hAnsi="Arial"/>
          <w:sz w:val="18"/>
          <w:szCs w:val="18"/>
          <w:i w:val="1"/>
          <w:iCs w:val="1"/>
          <w:color w:val="auto"/>
        </w:rPr>
        <w:t>Dividend equivalent</w:t>
      </w:r>
      <w:r>
        <w:rPr>
          <w:rFonts w:ascii="Arial" w:cs="Arial" w:eastAsia="Arial" w:hAnsi="Arial"/>
          <w:sz w:val="18"/>
          <w:szCs w:val="18"/>
          <w:color w:val="auto"/>
        </w:rPr>
        <w:t>” means an Award made pursuant to Section 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5" w:name="page26"/>
    <w:bookmarkEnd w:id="25"/>
    <w:p>
      <w:pPr>
        <w:ind w:firstLine="324"/>
        <w:spacing w:after="0" w:line="272" w:lineRule="auto"/>
        <w:rPr>
          <w:sz w:val="20"/>
          <w:szCs w:val="20"/>
          <w:color w:val="auto"/>
        </w:rPr>
      </w:pPr>
      <w:r>
        <w:rPr>
          <w:rFonts w:ascii="Arial" w:cs="Arial" w:eastAsia="Arial" w:hAnsi="Arial"/>
          <w:sz w:val="17"/>
          <w:szCs w:val="17"/>
          <w:i w:val="1"/>
          <w:iCs w:val="1"/>
          <w:color w:val="auto"/>
        </w:rPr>
        <w:t>(m)</w:t>
      </w:r>
      <w:r>
        <w:rPr>
          <w:rFonts w:ascii="Arial" w:cs="Arial" w:eastAsia="Arial" w:hAnsi="Arial"/>
          <w:sz w:val="17"/>
          <w:szCs w:val="17"/>
          <w:color w:val="auto"/>
        </w:rPr>
        <w:t>“</w:t>
      </w:r>
      <w:r>
        <w:rPr>
          <w:rFonts w:ascii="Arial" w:cs="Arial" w:eastAsia="Arial" w:hAnsi="Arial"/>
          <w:sz w:val="17"/>
          <w:szCs w:val="17"/>
          <w:i w:val="1"/>
          <w:iCs w:val="1"/>
          <w:color w:val="auto"/>
        </w:rPr>
        <w:t>Employee</w:t>
      </w:r>
      <w:r>
        <w:rPr>
          <w:rFonts w:ascii="Arial" w:cs="Arial" w:eastAsia="Arial" w:hAnsi="Arial"/>
          <w:sz w:val="17"/>
          <w:szCs w:val="17"/>
          <w:color w:val="auto"/>
        </w:rPr>
        <w:t>” means any individual designated as an employee of the Company, its Affiliate, and/or its Subsidiaries who is on the current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records thereof; an Employee shall not include any individual during any period he or she is classified or treated by the Company, Affiliate, and/or Subsidiary as an independent contractor, a consultant, or any employee of an employment, consulting, or temporary agency or any other entity other than the Company, Affiliate, and/or Subsidiary, without regard to whether such individual is subsequently determined to have been, or is subsequently retroactively reclassified as a common-law employee of the Company, Affiliate, and/or Subsidiary during such period. </w:t>
      </w:r>
      <w:r>
        <w:rPr>
          <w:rFonts w:ascii="Arial" w:cs="Arial" w:eastAsia="Arial" w:hAnsi="Arial"/>
          <w:sz w:val="17"/>
          <w:szCs w:val="17"/>
          <w:i w:val="1"/>
          <w:iCs w:val="1"/>
          <w:color w:val="auto"/>
        </w:rPr>
        <w:t>“Employment”</w:t>
      </w:r>
      <w:r>
        <w:rPr>
          <w:rFonts w:ascii="Arial" w:cs="Arial" w:eastAsia="Arial" w:hAnsi="Arial"/>
          <w:sz w:val="17"/>
          <w:szCs w:val="17"/>
          <w:color w:val="auto"/>
        </w:rPr>
        <w:t>shall have the correlative meaning. The Committee in its discretion may, in the applicable Award Agreement, adopt a different definition of “Employee” and “Employment” for Awards granted to Grantees working outside the United States.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w:t>
      </w: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March 19, 2014.</w:t>
      </w:r>
    </w:p>
    <w:p>
      <w:pPr>
        <w:spacing w:after="0" w:line="25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i w:val="1"/>
          <w:iCs w:val="1"/>
          <w:color w:val="auto"/>
        </w:rPr>
        <w:t>(o)</w:t>
      </w: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of any security of the Company means, as of any applicable date, the closing price of the security at the close of normal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hours on the New York Stock Exchange, or, if no such sale of the security shall have occurred on such date, on the next preceding date on which there was such a sale.</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w:t>
      </w:r>
      <w:r>
        <w:rPr>
          <w:rFonts w:ascii="Arial" w:cs="Arial" w:eastAsia="Arial" w:hAnsi="Arial"/>
          <w:sz w:val="18"/>
          <w:szCs w:val="18"/>
          <w:color w:val="auto"/>
        </w:rPr>
        <w:t>“</w:t>
      </w:r>
      <w:r>
        <w:rPr>
          <w:rFonts w:ascii="Arial" w:cs="Arial" w:eastAsia="Arial" w:hAnsi="Arial"/>
          <w:sz w:val="18"/>
          <w:szCs w:val="18"/>
          <w:i w:val="1"/>
          <w:iCs w:val="1"/>
          <w:color w:val="auto"/>
        </w:rPr>
        <w:t>Foreign Equity Incentive Plan</w:t>
      </w:r>
      <w:r>
        <w:rPr>
          <w:rFonts w:ascii="Arial" w:cs="Arial" w:eastAsia="Arial" w:hAnsi="Arial"/>
          <w:sz w:val="18"/>
          <w:szCs w:val="18"/>
          <w:color w:val="auto"/>
        </w:rPr>
        <w:t>” has the meaning specified in Section 14.</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w:t>
      </w: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has the meaning specified in Section 6(a)(i).</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w:t>
      </w:r>
      <w:r>
        <w:rPr>
          <w:rFonts w:ascii="Arial" w:cs="Arial" w:eastAsia="Arial" w:hAnsi="Arial"/>
          <w:sz w:val="18"/>
          <w:szCs w:val="18"/>
          <w:color w:val="auto"/>
        </w:rPr>
        <w:t>“</w:t>
      </w:r>
      <w:r>
        <w:rPr>
          <w:rFonts w:ascii="Arial" w:cs="Arial" w:eastAsia="Arial" w:hAnsi="Arial"/>
          <w:sz w:val="18"/>
          <w:szCs w:val="18"/>
          <w:i w:val="1"/>
          <w:iCs w:val="1"/>
          <w:color w:val="auto"/>
        </w:rPr>
        <w:t>Grantee</w:t>
      </w:r>
      <w:r>
        <w:rPr>
          <w:rFonts w:ascii="Arial" w:cs="Arial" w:eastAsia="Arial" w:hAnsi="Arial"/>
          <w:sz w:val="18"/>
          <w:szCs w:val="18"/>
          <w:color w:val="auto"/>
        </w:rPr>
        <w:t>” means an individual who has been granted an Award.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w:t>
      </w:r>
      <w:r>
        <w:rPr>
          <w:rFonts w:ascii="Arial" w:cs="Arial" w:eastAsia="Arial" w:hAnsi="Arial"/>
          <w:sz w:val="18"/>
          <w:szCs w:val="18"/>
          <w:i w:val="1"/>
          <w:iCs w:val="1"/>
          <w:color w:val="auto"/>
        </w:rPr>
        <w:t>including</w:t>
      </w:r>
      <w:r>
        <w:rPr>
          <w:rFonts w:ascii="Arial" w:cs="Arial" w:eastAsia="Arial" w:hAnsi="Arial"/>
          <w:sz w:val="18"/>
          <w:szCs w:val="18"/>
          <w:color w:val="auto"/>
        </w:rPr>
        <w:t>” or “</w:t>
      </w:r>
      <w:r>
        <w:rPr>
          <w:rFonts w:ascii="Arial" w:cs="Arial" w:eastAsia="Arial" w:hAnsi="Arial"/>
          <w:sz w:val="18"/>
          <w:szCs w:val="18"/>
          <w:i w:val="1"/>
          <w:iCs w:val="1"/>
          <w:color w:val="auto"/>
        </w:rPr>
        <w:t>includes</w:t>
      </w:r>
      <w:r>
        <w:rPr>
          <w:rFonts w:ascii="Arial" w:cs="Arial" w:eastAsia="Arial" w:hAnsi="Arial"/>
          <w:sz w:val="18"/>
          <w:szCs w:val="18"/>
          <w:color w:val="auto"/>
        </w:rPr>
        <w:t>” means “including, without limitation,” or “includes, without limitation.”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w:t>
      </w:r>
      <w:r>
        <w:rPr>
          <w:rFonts w:ascii="Arial" w:cs="Arial" w:eastAsia="Arial" w:hAnsi="Arial"/>
          <w:sz w:val="18"/>
          <w:szCs w:val="18"/>
          <w:color w:val="auto"/>
        </w:rPr>
        <w:t>“</w:t>
      </w:r>
      <w:r>
        <w:rPr>
          <w:rFonts w:ascii="Arial" w:cs="Arial" w:eastAsia="Arial" w:hAnsi="Arial"/>
          <w:sz w:val="18"/>
          <w:szCs w:val="18"/>
          <w:i w:val="1"/>
          <w:iCs w:val="1"/>
          <w:color w:val="auto"/>
        </w:rPr>
        <w:t>Incumbent Board</w:t>
      </w:r>
      <w:r>
        <w:rPr>
          <w:rFonts w:ascii="Arial" w:cs="Arial" w:eastAsia="Arial" w:hAnsi="Arial"/>
          <w:sz w:val="18"/>
          <w:szCs w:val="18"/>
          <w:color w:val="auto"/>
        </w:rPr>
        <w:t>” has the meaning specified in Section 2(g)(ii).</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w:t>
      </w:r>
      <w:r>
        <w:rPr>
          <w:rFonts w:ascii="Arial" w:cs="Arial" w:eastAsia="Arial" w:hAnsi="Arial"/>
          <w:sz w:val="18"/>
          <w:szCs w:val="18"/>
          <w:color w:val="auto"/>
        </w:rPr>
        <w:t>“</w:t>
      </w:r>
      <w:r>
        <w:rPr>
          <w:rFonts w:ascii="Arial" w:cs="Arial" w:eastAsia="Arial" w:hAnsi="Arial"/>
          <w:sz w:val="18"/>
          <w:szCs w:val="18"/>
          <w:i w:val="1"/>
          <w:iCs w:val="1"/>
          <w:color w:val="auto"/>
        </w:rPr>
        <w:t>Minimum Consideration</w:t>
      </w:r>
      <w:r>
        <w:rPr>
          <w:rFonts w:ascii="Arial" w:cs="Arial" w:eastAsia="Arial" w:hAnsi="Arial"/>
          <w:sz w:val="18"/>
          <w:szCs w:val="18"/>
          <w:color w:val="auto"/>
        </w:rPr>
        <w:t>” means $.01 per share or such larger amount determined pursuant to resolution of the Board to be “capital”.</w:t>
      </w:r>
    </w:p>
    <w:p>
      <w:pPr>
        <w:spacing w:after="0" w:line="25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(v)</w:t>
      </w:r>
      <w:r>
        <w:rPr>
          <w:rFonts w:ascii="Arial" w:cs="Arial" w:eastAsia="Arial" w:hAnsi="Arial"/>
          <w:sz w:val="18"/>
          <w:szCs w:val="18"/>
          <w:color w:val="auto"/>
        </w:rPr>
        <w:t>“</w:t>
      </w:r>
      <w:r>
        <w:rPr>
          <w:rFonts w:ascii="Arial" w:cs="Arial" w:eastAsia="Arial" w:hAnsi="Arial"/>
          <w:sz w:val="18"/>
          <w:szCs w:val="18"/>
          <w:i w:val="1"/>
          <w:iCs w:val="1"/>
          <w:color w:val="auto"/>
        </w:rPr>
        <w:t>Minimum Vesting Requirement</w:t>
      </w:r>
      <w:r>
        <w:rPr>
          <w:rFonts w:ascii="Arial" w:cs="Arial" w:eastAsia="Arial" w:hAnsi="Arial"/>
          <w:sz w:val="18"/>
          <w:szCs w:val="18"/>
          <w:color w:val="auto"/>
        </w:rPr>
        <w:t>” means that Awards subject to the Minimum Vesting Requirement shall not become nonforfeitable prior to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 Grant Date, subject to Sections 12, 13 and 21.</w:t>
      </w:r>
    </w:p>
    <w:p>
      <w:pPr>
        <w:spacing w:after="0" w:line="19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(w)</w:t>
      </w:r>
      <w:r>
        <w:rPr>
          <w:rFonts w:ascii="Arial" w:cs="Arial" w:eastAsia="Arial" w:hAnsi="Arial"/>
          <w:sz w:val="18"/>
          <w:szCs w:val="18"/>
          <w:color w:val="auto"/>
        </w:rPr>
        <w:t>“</w:t>
      </w:r>
      <w:r>
        <w:rPr>
          <w:rFonts w:ascii="Arial" w:cs="Arial" w:eastAsia="Arial" w:hAnsi="Arial"/>
          <w:sz w:val="18"/>
          <w:szCs w:val="18"/>
          <w:i w:val="1"/>
          <w:iCs w:val="1"/>
          <w:color w:val="auto"/>
        </w:rPr>
        <w:t>1934 Act</w:t>
      </w:r>
      <w:r>
        <w:rPr>
          <w:rFonts w:ascii="Arial" w:cs="Arial" w:eastAsia="Arial" w:hAnsi="Arial"/>
          <w:sz w:val="18"/>
          <w:szCs w:val="18"/>
          <w:color w:val="auto"/>
        </w:rPr>
        <w:t>” means the Securities Exchange Act of 1934, as amended, and regulations and rulings thereunder. References to a particular section of, or</w:t>
      </w:r>
      <w:r>
        <w:rPr>
          <w:rFonts w:ascii="Arial" w:cs="Arial" w:eastAsia="Arial" w:hAnsi="Arial"/>
          <w:sz w:val="18"/>
          <w:szCs w:val="18"/>
          <w:i w:val="1"/>
          <w:iCs w:val="1"/>
          <w:color w:val="auto"/>
        </w:rPr>
        <w:t xml:space="preserve"> </w:t>
      </w:r>
      <w:r>
        <w:rPr>
          <w:rFonts w:ascii="Arial" w:cs="Arial" w:eastAsia="Arial" w:hAnsi="Arial"/>
          <w:sz w:val="18"/>
          <w:szCs w:val="18"/>
          <w:color w:val="auto"/>
        </w:rPr>
        <w:t>rule under, the 1934 Act shall include references to successor provisions.</w:t>
      </w:r>
    </w:p>
    <w:p>
      <w:pPr>
        <w:spacing w:after="0" w:line="197" w:lineRule="exact"/>
        <w:rPr>
          <w:sz w:val="20"/>
          <w:szCs w:val="20"/>
          <w:color w:val="auto"/>
        </w:rPr>
      </w:pPr>
    </w:p>
    <w:p>
      <w:pPr>
        <w:ind w:left="340" w:right="900"/>
        <w:spacing w:after="0" w:line="259" w:lineRule="auto"/>
        <w:rPr>
          <w:sz w:val="20"/>
          <w:szCs w:val="20"/>
          <w:color w:val="auto"/>
        </w:rPr>
      </w:pPr>
      <w:r>
        <w:rPr>
          <w:rFonts w:ascii="Arial" w:cs="Arial" w:eastAsia="Arial" w:hAnsi="Arial"/>
          <w:sz w:val="18"/>
          <w:szCs w:val="18"/>
          <w:i w:val="1"/>
          <w:iCs w:val="1"/>
          <w:color w:val="auto"/>
        </w:rPr>
        <w:t>(x)</w:t>
      </w: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member of the Board who is not an Employee of the Company.</w:t>
      </w:r>
      <w:r>
        <w:rPr>
          <w:rFonts w:ascii="Arial" w:cs="Arial" w:eastAsia="Arial" w:hAnsi="Arial"/>
          <w:sz w:val="18"/>
          <w:szCs w:val="18"/>
          <w:i w:val="1"/>
          <w:iCs w:val="1"/>
          <w:color w:val="auto"/>
        </w:rPr>
        <w:t xml:space="preserve"> (y)</w:t>
      </w:r>
      <w:r>
        <w:rPr>
          <w:rFonts w:ascii="Arial" w:cs="Arial" w:eastAsia="Arial" w:hAnsi="Arial"/>
          <w:sz w:val="18"/>
          <w:szCs w:val="18"/>
          <w:color w:val="auto"/>
        </w:rPr>
        <w:t>“</w:t>
      </w:r>
      <w:r>
        <w:rPr>
          <w:rFonts w:ascii="Arial" w:cs="Arial" w:eastAsia="Arial" w:hAnsi="Arial"/>
          <w:sz w:val="18"/>
          <w:szCs w:val="18"/>
          <w:i w:val="1"/>
          <w:iCs w:val="1"/>
          <w:color w:val="auto"/>
        </w:rPr>
        <w:t>Option Price</w:t>
      </w:r>
      <w:r>
        <w:rPr>
          <w:rFonts w:ascii="Arial" w:cs="Arial" w:eastAsia="Arial" w:hAnsi="Arial"/>
          <w:sz w:val="18"/>
          <w:szCs w:val="18"/>
          <w:color w:val="auto"/>
        </w:rPr>
        <w:t>” means the per-share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purchase price of Stock subject to a stock option. </w:t>
      </w:r>
      <w:r>
        <w:rPr>
          <w:rFonts w:ascii="Arial" w:cs="Arial" w:eastAsia="Arial" w:hAnsi="Arial"/>
          <w:sz w:val="18"/>
          <w:szCs w:val="18"/>
          <w:i w:val="1"/>
          <w:iCs w:val="1"/>
          <w:color w:val="auto"/>
        </w:rPr>
        <w:t>(z)</w:t>
      </w:r>
      <w:r>
        <w:rPr>
          <w:rFonts w:ascii="Arial" w:cs="Arial" w:eastAsia="Arial" w:hAnsi="Arial"/>
          <w:sz w:val="18"/>
          <w:szCs w:val="18"/>
          <w:color w:val="auto"/>
        </w:rPr>
        <w:t>“</w:t>
      </w:r>
      <w:r>
        <w:rPr>
          <w:rFonts w:ascii="Arial" w:cs="Arial" w:eastAsia="Arial" w:hAnsi="Arial"/>
          <w:sz w:val="18"/>
          <w:szCs w:val="18"/>
          <w:i w:val="1"/>
          <w:iCs w:val="1"/>
          <w:color w:val="auto"/>
        </w:rPr>
        <w:t>other stock-based award</w:t>
      </w:r>
      <w:r>
        <w:rPr>
          <w:rFonts w:ascii="Arial" w:cs="Arial" w:eastAsia="Arial" w:hAnsi="Arial"/>
          <w:sz w:val="18"/>
          <w:szCs w:val="18"/>
          <w:color w:val="auto"/>
        </w:rPr>
        <w:t xml:space="preserve">” means an Award made pursuant to Section 6(f). </w:t>
      </w:r>
      <w:r>
        <w:rPr>
          <w:rFonts w:ascii="Arial" w:cs="Arial" w:eastAsia="Arial" w:hAnsi="Arial"/>
          <w:sz w:val="18"/>
          <w:szCs w:val="18"/>
          <w:i w:val="1"/>
          <w:iCs w:val="1"/>
          <w:color w:val="auto"/>
        </w:rPr>
        <w:t>(aa)</w:t>
      </w:r>
      <w:r>
        <w:rPr>
          <w:rFonts w:ascii="Arial" w:cs="Arial" w:eastAsia="Arial" w:hAnsi="Arial"/>
          <w:sz w:val="18"/>
          <w:szCs w:val="18"/>
          <w:color w:val="auto"/>
        </w:rPr>
        <w:t>“</w:t>
      </w:r>
      <w:r>
        <w:rPr>
          <w:rFonts w:ascii="Arial" w:cs="Arial" w:eastAsia="Arial" w:hAnsi="Arial"/>
          <w:sz w:val="18"/>
          <w:szCs w:val="18"/>
          <w:i w:val="1"/>
          <w:iCs w:val="1"/>
          <w:color w:val="auto"/>
        </w:rPr>
        <w:t>Outstanding Company Common Stock</w:t>
      </w:r>
      <w:r>
        <w:rPr>
          <w:rFonts w:ascii="Arial" w:cs="Arial" w:eastAsia="Arial" w:hAnsi="Arial"/>
          <w:sz w:val="18"/>
          <w:szCs w:val="18"/>
          <w:color w:val="auto"/>
        </w:rPr>
        <w:t>” has the meaning specified in Section 2(g)(i).</w:t>
      </w:r>
      <w:r>
        <w:rPr>
          <w:rFonts w:ascii="Arial" w:cs="Arial" w:eastAsia="Arial" w:hAnsi="Arial"/>
          <w:sz w:val="18"/>
          <w:szCs w:val="18"/>
          <w:i w:val="1"/>
          <w:iCs w:val="1"/>
          <w:color w:val="auto"/>
        </w:rPr>
        <w:t xml:space="preserve"> (bb)</w:t>
      </w:r>
      <w:r>
        <w:rPr>
          <w:rFonts w:ascii="Arial" w:cs="Arial" w:eastAsia="Arial" w:hAnsi="Arial"/>
          <w:sz w:val="18"/>
          <w:szCs w:val="18"/>
          <w:color w:val="auto"/>
        </w:rPr>
        <w:t>“</w:t>
      </w:r>
      <w:r>
        <w:rPr>
          <w:rFonts w:ascii="Arial" w:cs="Arial" w:eastAsia="Arial" w:hAnsi="Arial"/>
          <w:sz w:val="18"/>
          <w:szCs w:val="18"/>
          <w:i w:val="1"/>
          <w:iCs w:val="1"/>
          <w:color w:val="auto"/>
        </w:rPr>
        <w:t>Outstanding Company Voting Securities</w:t>
      </w:r>
      <w:r>
        <w:rPr>
          <w:rFonts w:ascii="Arial" w:cs="Arial" w:eastAsia="Arial" w:hAnsi="Arial"/>
          <w:sz w:val="18"/>
          <w:szCs w:val="18"/>
          <w:color w:val="auto"/>
        </w:rPr>
        <w:t>” has the meaning specified in Section 2(g)(i).</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(cc)</w:t>
      </w: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w:t>
      </w:r>
      <w:r>
        <w:rPr>
          <w:rFonts w:ascii="Arial" w:cs="Arial" w:eastAsia="Arial" w:hAnsi="Arial"/>
          <w:sz w:val="18"/>
          <w:szCs w:val="18"/>
          <w:i w:val="1"/>
          <w:iCs w:val="1"/>
          <w:color w:val="auto"/>
        </w:rPr>
        <w:t>individual</w:t>
      </w:r>
      <w:r>
        <w:rPr>
          <w:rFonts w:ascii="Arial" w:cs="Arial" w:eastAsia="Arial" w:hAnsi="Arial"/>
          <w:sz w:val="18"/>
          <w:szCs w:val="18"/>
          <w:color w:val="auto"/>
        </w:rPr>
        <w:t>,” “</w:t>
      </w:r>
      <w:r>
        <w:rPr>
          <w:rFonts w:ascii="Arial" w:cs="Arial" w:eastAsia="Arial" w:hAnsi="Arial"/>
          <w:sz w:val="18"/>
          <w:szCs w:val="18"/>
          <w:i w:val="1"/>
          <w:iCs w:val="1"/>
          <w:color w:val="auto"/>
        </w:rPr>
        <w:t>entity</w:t>
      </w:r>
      <w:r>
        <w:rPr>
          <w:rFonts w:ascii="Arial" w:cs="Arial" w:eastAsia="Arial" w:hAnsi="Arial"/>
          <w:sz w:val="18"/>
          <w:szCs w:val="18"/>
          <w:color w:val="auto"/>
        </w:rPr>
        <w:t>” or “</w:t>
      </w:r>
      <w:r>
        <w:rPr>
          <w:rFonts w:ascii="Arial" w:cs="Arial" w:eastAsia="Arial" w:hAnsi="Arial"/>
          <w:sz w:val="18"/>
          <w:szCs w:val="18"/>
          <w:i w:val="1"/>
          <w:iCs w:val="1"/>
          <w:color w:val="auto"/>
        </w:rPr>
        <w:t>group</w:t>
      </w:r>
      <w:r>
        <w:rPr>
          <w:rFonts w:ascii="Arial" w:cs="Arial" w:eastAsia="Arial" w:hAnsi="Arial"/>
          <w:sz w:val="18"/>
          <w:szCs w:val="18"/>
          <w:color w:val="auto"/>
        </w:rPr>
        <w:t>,” within the meaning of Section 13(d)(3) or 14(d)(2) of the 1934 Act.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(dd)</w:t>
      </w:r>
      <w:r>
        <w:rPr>
          <w:rFonts w:ascii="Arial" w:cs="Arial" w:eastAsia="Arial" w:hAnsi="Arial"/>
          <w:sz w:val="18"/>
          <w:szCs w:val="18"/>
          <w:color w:val="auto"/>
        </w:rPr>
        <w:t>“</w:t>
      </w:r>
      <w:r>
        <w:rPr>
          <w:rFonts w:ascii="Arial" w:cs="Arial" w:eastAsia="Arial" w:hAnsi="Arial"/>
          <w:sz w:val="18"/>
          <w:szCs w:val="18"/>
          <w:i w:val="1"/>
          <w:iCs w:val="1"/>
          <w:color w:val="auto"/>
        </w:rPr>
        <w:t>Prior Plan</w:t>
      </w:r>
      <w:r>
        <w:rPr>
          <w:rFonts w:ascii="Arial" w:cs="Arial" w:eastAsia="Arial" w:hAnsi="Arial"/>
          <w:sz w:val="18"/>
          <w:szCs w:val="18"/>
          <w:color w:val="auto"/>
        </w:rPr>
        <w:t>” means the Company’s 2009 Stock Incentive Plan.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(ee)</w:t>
      </w:r>
      <w:r>
        <w:rPr>
          <w:rFonts w:ascii="Arial" w:cs="Arial" w:eastAsia="Arial" w:hAnsi="Arial"/>
          <w:sz w:val="16"/>
          <w:szCs w:val="16"/>
          <w:color w:val="auto"/>
        </w:rPr>
        <w:t>“</w:t>
      </w:r>
      <w:r>
        <w:rPr>
          <w:rFonts w:ascii="Arial" w:cs="Arial" w:eastAsia="Arial" w:hAnsi="Arial"/>
          <w:sz w:val="16"/>
          <w:szCs w:val="16"/>
          <w:i w:val="1"/>
          <w:iCs w:val="1"/>
          <w:color w:val="auto"/>
        </w:rPr>
        <w:t>Qualified Performance-Based Award</w:t>
      </w:r>
      <w:r>
        <w:rPr>
          <w:rFonts w:ascii="Arial" w:cs="Arial" w:eastAsia="Arial" w:hAnsi="Arial"/>
          <w:sz w:val="16"/>
          <w:szCs w:val="16"/>
          <w:color w:val="auto"/>
        </w:rPr>
        <w:t>” means any Award that is intended to qualify for the Section 162(m) Exemption, as provided in Section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26" w:name="page27"/>
    <w:bookmarkEnd w:id="26"/>
    <w:p>
      <w:pPr>
        <w:ind w:left="340" w:right="20"/>
        <w:spacing w:after="0" w:line="255" w:lineRule="auto"/>
        <w:rPr>
          <w:sz w:val="20"/>
          <w:szCs w:val="20"/>
          <w:color w:val="auto"/>
        </w:rPr>
      </w:pPr>
      <w:r>
        <w:rPr>
          <w:rFonts w:ascii="Arial" w:cs="Arial" w:eastAsia="Arial" w:hAnsi="Arial"/>
          <w:sz w:val="18"/>
          <w:szCs w:val="18"/>
          <w:i w:val="1"/>
          <w:iCs w:val="1"/>
          <w:color w:val="auto"/>
        </w:rPr>
        <w:t>(ff)</w:t>
      </w:r>
      <w:r>
        <w:rPr>
          <w:rFonts w:ascii="Arial" w:cs="Arial" w:eastAsia="Arial" w:hAnsi="Arial"/>
          <w:sz w:val="18"/>
          <w:szCs w:val="18"/>
          <w:color w:val="auto"/>
        </w:rPr>
        <w:t>“</w:t>
      </w:r>
      <w:r>
        <w:rPr>
          <w:rFonts w:ascii="Arial" w:cs="Arial" w:eastAsia="Arial" w:hAnsi="Arial"/>
          <w:sz w:val="18"/>
          <w:szCs w:val="18"/>
          <w:i w:val="1"/>
          <w:iCs w:val="1"/>
          <w:color w:val="auto"/>
        </w:rPr>
        <w:t>Qualified Performance Goal</w:t>
      </w:r>
      <w:r>
        <w:rPr>
          <w:rFonts w:ascii="Arial" w:cs="Arial" w:eastAsia="Arial" w:hAnsi="Arial"/>
          <w:sz w:val="18"/>
          <w:szCs w:val="18"/>
          <w:color w:val="auto"/>
        </w:rPr>
        <w:t>” means a performance goal established by the Committee in connection with the grant of a Qualified Performance-Based Award, which (i) is based on the attainment of specified levels of one ormore Specified Performance Goals, and (ii) is set by the Committee within the time period prescribed by Section 162(m) of the Code; provided, that in the case of a stock option or stock appreciation right, the Qualified Performance Goal shall be considered to have been established without special action by the Committee, by virtue of the fact that the Stock subject to such Award must increase in value over its Fair Market Value on the Grant Date (or over a higher value) in order for the Grantee to realize any compensation from exercising the stock option or stock appreciation right.</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(gg)</w:t>
      </w: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w:t>
      </w:r>
      <w:r>
        <w:rPr>
          <w:rFonts w:ascii="Arial" w:cs="Arial" w:eastAsia="Arial" w:hAnsi="Arial"/>
          <w:sz w:val="18"/>
          <w:szCs w:val="18"/>
          <w:i w:val="1"/>
          <w:iCs w:val="1"/>
          <w:color w:val="auto"/>
        </w:rPr>
        <w:t xml:space="preserve"> or </w:t>
      </w:r>
      <w:r>
        <w:rPr>
          <w:rFonts w:ascii="Arial" w:cs="Arial" w:eastAsia="Arial" w:hAnsi="Arial"/>
          <w:sz w:val="18"/>
          <w:szCs w:val="18"/>
          <w:color w:val="auto"/>
        </w:rPr>
        <w:t>“</w:t>
      </w:r>
      <w:r>
        <w:rPr>
          <w:rFonts w:ascii="Arial" w:cs="Arial" w:eastAsia="Arial" w:hAnsi="Arial"/>
          <w:sz w:val="18"/>
          <w:szCs w:val="18"/>
          <w:i w:val="1"/>
          <w:iCs w:val="1"/>
          <w:color w:val="auto"/>
        </w:rPr>
        <w:t>RSU</w:t>
      </w:r>
      <w:r>
        <w:rPr>
          <w:rFonts w:ascii="Arial" w:cs="Arial" w:eastAsia="Arial" w:hAnsi="Arial"/>
          <w:sz w:val="18"/>
          <w:szCs w:val="18"/>
          <w:color w:val="auto"/>
        </w:rPr>
        <w:t>” means an Award made pursuant to Section 6(e).</w:t>
      </w:r>
    </w:p>
    <w:p>
      <w:pPr>
        <w:spacing w:after="0" w:line="25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(hh)</w:t>
      </w:r>
      <w:r>
        <w:rPr>
          <w:rFonts w:ascii="Arial" w:cs="Arial" w:eastAsia="Arial" w:hAnsi="Arial"/>
          <w:sz w:val="18"/>
          <w:szCs w:val="18"/>
          <w:color w:val="auto"/>
        </w:rPr>
        <w:t>“</w:t>
      </w:r>
      <w:r>
        <w:rPr>
          <w:rFonts w:ascii="Arial" w:cs="Arial" w:eastAsia="Arial" w:hAnsi="Arial"/>
          <w:sz w:val="18"/>
          <w:szCs w:val="18"/>
          <w:i w:val="1"/>
          <w:iCs w:val="1"/>
          <w:color w:val="auto"/>
        </w:rPr>
        <w:t>Section 16 Grantee</w:t>
      </w:r>
      <w:r>
        <w:rPr>
          <w:rFonts w:ascii="Arial" w:cs="Arial" w:eastAsia="Arial" w:hAnsi="Arial"/>
          <w:sz w:val="18"/>
          <w:szCs w:val="18"/>
          <w:color w:val="auto"/>
        </w:rPr>
        <w:t>” means an individual subject to potential liability under Section 16(b) of the 1934 Act with respect to transactions involving</w:t>
      </w:r>
      <w:r>
        <w:rPr>
          <w:rFonts w:ascii="Arial" w:cs="Arial" w:eastAsia="Arial" w:hAnsi="Arial"/>
          <w:sz w:val="18"/>
          <w:szCs w:val="18"/>
          <w:i w:val="1"/>
          <w:iCs w:val="1"/>
          <w:color w:val="auto"/>
        </w:rPr>
        <w:t xml:space="preserve"> </w:t>
      </w:r>
      <w:r>
        <w:rPr>
          <w:rFonts w:ascii="Arial" w:cs="Arial" w:eastAsia="Arial" w:hAnsi="Arial"/>
          <w:sz w:val="18"/>
          <w:szCs w:val="18"/>
          <w:color w:val="auto"/>
        </w:rPr>
        <w:t>equity securities of the Company.</w:t>
      </w:r>
    </w:p>
    <w:p>
      <w:pPr>
        <w:spacing w:after="0" w:line="19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i w:val="1"/>
          <w:iCs w:val="1"/>
          <w:color w:val="auto"/>
        </w:rPr>
        <w:t>(ii)</w:t>
      </w:r>
      <w:r>
        <w:rPr>
          <w:rFonts w:ascii="Arial" w:cs="Arial" w:eastAsia="Arial" w:hAnsi="Arial"/>
          <w:sz w:val="18"/>
          <w:szCs w:val="18"/>
          <w:color w:val="auto"/>
        </w:rPr>
        <w:t>“</w:t>
      </w:r>
      <w:r>
        <w:rPr>
          <w:rFonts w:ascii="Arial" w:cs="Arial" w:eastAsia="Arial" w:hAnsi="Arial"/>
          <w:sz w:val="18"/>
          <w:szCs w:val="18"/>
          <w:i w:val="1"/>
          <w:iCs w:val="1"/>
          <w:color w:val="auto"/>
        </w:rPr>
        <w:t>Section 162(m) Exemption</w:t>
      </w:r>
      <w:r>
        <w:rPr>
          <w:rFonts w:ascii="Arial" w:cs="Arial" w:eastAsia="Arial" w:hAnsi="Arial"/>
          <w:sz w:val="18"/>
          <w:szCs w:val="18"/>
          <w:color w:val="auto"/>
        </w:rPr>
        <w:t>” means the exemption from the limitation on deductibility imposed by Section 162(m) of the Code that is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162(m)(4)(C) of the Code.</w:t>
      </w:r>
    </w:p>
    <w:p>
      <w:pPr>
        <w:spacing w:after="0" w:line="19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(jj)</w:t>
      </w:r>
      <w:r>
        <w:rPr>
          <w:rFonts w:ascii="Arial" w:cs="Arial" w:eastAsia="Arial" w:hAnsi="Arial"/>
          <w:sz w:val="18"/>
          <w:szCs w:val="18"/>
          <w:color w:val="auto"/>
        </w:rPr>
        <w:t>“</w:t>
      </w:r>
      <w:r>
        <w:rPr>
          <w:rFonts w:ascii="Arial" w:cs="Arial" w:eastAsia="Arial" w:hAnsi="Arial"/>
          <w:sz w:val="18"/>
          <w:szCs w:val="18"/>
          <w:i w:val="1"/>
          <w:iCs w:val="1"/>
          <w:color w:val="auto"/>
        </w:rPr>
        <w:t>Service-Vesting Award</w:t>
      </w:r>
      <w:r>
        <w:rPr>
          <w:rFonts w:ascii="Arial" w:cs="Arial" w:eastAsia="Arial" w:hAnsi="Arial"/>
          <w:sz w:val="18"/>
          <w:szCs w:val="18"/>
          <w:color w:val="auto"/>
        </w:rPr>
        <w:t>” means an Award, the vesting of which is contingent solely on the continued service of the Grantee as an Employee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Subsidiaries or as a non-Employee director of the Company.</w:t>
      </w:r>
    </w:p>
    <w:p>
      <w:pPr>
        <w:spacing w:after="0" w:line="19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(kk)</w:t>
      </w:r>
      <w:r>
        <w:rPr>
          <w:rFonts w:ascii="Arial" w:cs="Arial" w:eastAsia="Arial" w:hAnsi="Arial"/>
          <w:sz w:val="18"/>
          <w:szCs w:val="18"/>
          <w:color w:val="auto"/>
        </w:rPr>
        <w:t>“</w:t>
      </w:r>
      <w:r>
        <w:rPr>
          <w:rFonts w:ascii="Arial" w:cs="Arial" w:eastAsia="Arial" w:hAnsi="Arial"/>
          <w:sz w:val="18"/>
          <w:szCs w:val="18"/>
          <w:i w:val="1"/>
          <w:iCs w:val="1"/>
          <w:color w:val="auto"/>
        </w:rPr>
        <w:t>Specified Performance Goal</w:t>
      </w:r>
      <w:r>
        <w:rPr>
          <w:rFonts w:ascii="Arial" w:cs="Arial" w:eastAsia="Arial" w:hAnsi="Arial"/>
          <w:sz w:val="18"/>
          <w:szCs w:val="18"/>
          <w:color w:val="auto"/>
        </w:rPr>
        <w:t>” means any of the following measures as applied to the Company as a whole or to any Subsidiary, division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unit of the Company: revenue; operating income; net income; basic or diluted earnings per share; return on revenue; return on assets; return on equity; return on total capital; total shareholder return; or any other measure of financial performance that can be determined pursuant to U.S. generally accepted accounting principles.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(ll)</w:t>
      </w: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common stock of the Company, par value $.01 per share.</w:t>
      </w:r>
    </w:p>
    <w:p>
      <w:pPr>
        <w:spacing w:after="0" w:line="252"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i w:val="1"/>
          <w:iCs w:val="1"/>
          <w:color w:val="auto"/>
        </w:rPr>
        <w:t>(mm)</w:t>
      </w: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any entity in which the Company directly or through intervening subsidiaries owns 50% or more of the total combined voting</w:t>
      </w:r>
      <w:r>
        <w:rPr>
          <w:rFonts w:ascii="Arial" w:cs="Arial" w:eastAsia="Arial" w:hAnsi="Arial"/>
          <w:sz w:val="17"/>
          <w:szCs w:val="17"/>
          <w:i w:val="1"/>
          <w:iCs w:val="1"/>
          <w:color w:val="auto"/>
        </w:rPr>
        <w:t xml:space="preserve"> </w:t>
      </w:r>
      <w:r>
        <w:rPr>
          <w:rFonts w:ascii="Arial" w:cs="Arial" w:eastAsia="Arial" w:hAnsi="Arial"/>
          <w:sz w:val="17"/>
          <w:szCs w:val="17"/>
          <w:color w:val="auto"/>
        </w:rPr>
        <w:t>power or value of all classes of stock, or, in the case of an unincorporated entity, a 50% or more interest in the capital and profits.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(nn)</w:t>
      </w:r>
      <w:r>
        <w:rPr>
          <w:rFonts w:ascii="Arial" w:cs="Arial" w:eastAsia="Arial" w:hAnsi="Arial"/>
          <w:sz w:val="18"/>
          <w:szCs w:val="18"/>
          <w:color w:val="auto"/>
        </w:rPr>
        <w:t>“</w:t>
      </w:r>
      <w:r>
        <w:rPr>
          <w:rFonts w:ascii="Arial" w:cs="Arial" w:eastAsia="Arial" w:hAnsi="Arial"/>
          <w:sz w:val="18"/>
          <w:szCs w:val="18"/>
          <w:i w:val="1"/>
          <w:iCs w:val="1"/>
          <w:color w:val="auto"/>
        </w:rPr>
        <w:t>Termination of Directorship</w:t>
      </w:r>
      <w:r>
        <w:rPr>
          <w:rFonts w:ascii="Arial" w:cs="Arial" w:eastAsia="Arial" w:hAnsi="Arial"/>
          <w:sz w:val="18"/>
          <w:szCs w:val="18"/>
          <w:color w:val="auto"/>
        </w:rPr>
        <w:t>” means the first date upon which a non-Employee director is not a member of the Board.</w:t>
      </w:r>
    </w:p>
    <w:p>
      <w:pPr>
        <w:spacing w:after="0" w:line="252" w:lineRule="exact"/>
        <w:rPr>
          <w:sz w:val="20"/>
          <w:szCs w:val="20"/>
          <w:color w:val="auto"/>
        </w:rPr>
      </w:pPr>
    </w:p>
    <w:p>
      <w:pPr>
        <w:ind w:right="720" w:firstLine="332"/>
        <w:spacing w:after="0" w:line="277" w:lineRule="auto"/>
        <w:tabs>
          <w:tab w:leader="none" w:pos="669" w:val="left"/>
        </w:tabs>
        <w:numPr>
          <w:ilvl w:val="1"/>
          <w:numId w:val="12"/>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of a Grantee means the termination of the Grantee's Employment with the Company and the Subsidiaries, as determined by the Company.</w:t>
      </w:r>
    </w:p>
    <w:p>
      <w:pPr>
        <w:spacing w:after="0" w:line="193" w:lineRule="exact"/>
        <w:rPr>
          <w:rFonts w:ascii="Arial" w:cs="Arial" w:eastAsia="Arial" w:hAnsi="Arial"/>
          <w:sz w:val="18"/>
          <w:szCs w:val="18"/>
          <w:i w:val="1"/>
          <w:iCs w:val="1"/>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Scope of this Plan</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As of March 18, 2014, no shares were available for future grant under Prior Plans. If this Plan is approved, those shares, an additional 2 million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shares returned to the Prior Plans as described in (d) below, will become available for future grants under this Plan, up to a total number of shares of Stock delivered to Grantees pursuant to this Plan of Two million, subject to the other provisions of this Section 3 and to adjustment as provided in Section 22. Such shares may be treasury shares or newly-issued shares or both, as may be determined from time to time by the Board or by the Committee appointed pursuant to Section 4.</w:t>
      </w:r>
    </w:p>
    <w:p>
      <w:pPr>
        <w:spacing w:after="0" w:line="215" w:lineRule="exact"/>
        <w:rPr>
          <w:sz w:val="20"/>
          <w:szCs w:val="20"/>
          <w:color w:val="auto"/>
        </w:rPr>
      </w:pPr>
    </w:p>
    <w:p>
      <w:pPr>
        <w:jc w:val="both"/>
        <w:ind w:right="180" w:firstLine="324"/>
        <w:spacing w:after="0" w:line="297" w:lineRule="auto"/>
        <w:rPr>
          <w:sz w:val="20"/>
          <w:szCs w:val="20"/>
          <w:color w:val="auto"/>
        </w:rPr>
      </w:pPr>
      <w:r>
        <w:rPr>
          <w:rFonts w:ascii="Arial" w:cs="Arial" w:eastAsia="Arial" w:hAnsi="Arial"/>
          <w:sz w:val="16"/>
          <w:szCs w:val="16"/>
          <w:i w:val="1"/>
          <w:iCs w:val="1"/>
          <w:color w:val="auto"/>
        </w:rPr>
        <w:t>(b)</w:t>
      </w:r>
      <w:r>
        <w:rPr>
          <w:rFonts w:ascii="Arial" w:cs="Arial" w:eastAsia="Arial" w:hAnsi="Arial"/>
          <w:sz w:val="16"/>
          <w:szCs w:val="16"/>
          <w:color w:val="auto"/>
        </w:rPr>
        <w:t>Subject to adjustment as provided in Section 22, the maximum number of shares of Stock for which stock options and stock appreciation rights may</w:t>
      </w:r>
      <w:r>
        <w:rPr>
          <w:rFonts w:ascii="Arial" w:cs="Arial" w:eastAsia="Arial" w:hAnsi="Arial"/>
          <w:sz w:val="16"/>
          <w:szCs w:val="16"/>
          <w:i w:val="1"/>
          <w:iCs w:val="1"/>
          <w:color w:val="auto"/>
        </w:rPr>
        <w:t xml:space="preserve"> </w:t>
      </w:r>
      <w:r>
        <w:rPr>
          <w:rFonts w:ascii="Arial" w:cs="Arial" w:eastAsia="Arial" w:hAnsi="Arial"/>
          <w:sz w:val="16"/>
          <w:szCs w:val="16"/>
          <w:color w:val="auto"/>
        </w:rPr>
        <w:t>be granted to any Grantee in any one-year period shall be at the discretion of the Board of Directors, and the maximum number of shares of Stock that may be granted to any Grantee in any one-year period in the form of restricted stock, and other stock-based awards, in each case that are Qualified Performance-based Awards, shall be at the discretion of the Board of Directors. Subject to the other provisions of this Section 3 and subject to adjustment as provided in Section 22, not more than 15% of the total outstanding shares of the Company may be granted as Bonus Shares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7" w:name="page28"/>
    <w:bookmarkEnd w:id="27"/>
    <w:p>
      <w:pPr>
        <w:ind w:right="140" w:firstLine="324"/>
        <w:spacing w:after="0" w:line="257" w:lineRule="auto"/>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If and to the extent an Award granted under this Plan shall, after the Effective Date, expire or terminate for any reason without having been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in full, or shall be forfeited or settled for cash, the shares of Stock (including restricted stock) associated with the expired, terminated or forfeited portion of such Award shall become available for other Awards. In no event shall the number of shares of Stock considered to be delivered pursuant to the exercise of a stock appreciation right include the shares that represent the grant or exercise price thereof, which shares are not delivered to the Grantee upon exercise.</w:t>
      </w:r>
    </w:p>
    <w:p>
      <w:pPr>
        <w:spacing w:after="0" w:line="21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(d)If and to the extent an Award granted under a Prior Plan shall, after the Effective Date, expire or terminate for any reason without having been exercised in full, or shall be forfeited or settled for cash, the shares of Stock (including restricted stock) associated with the expired, terminated or forfeited portion of such Award shall become available for Awards under this Plan. If, after the Effective Date, a Grantee uses shares of Stock owned by the Grantee (by either actual delivery or by attestation) to pay the Option Price of any stock option granted under this Plan or a Prior Plan or to satisfy any tax-withholding obligation with respect to an Award granted under this Plan or a Prior Plan, the number of shares of Stock delivered or attested to shall be added to the number of shares of Stock available for delivery under this Plan. To the extent any shares of Stock subject to a stock option granted under this Plan are withheld, after the Effective Date, to satisfy the Option Price of that stock option, or any shares of Stock subject to an Award granted under this Plan are withheld to satisfy any tax-withholding obligation, such shares shall not be deemed to have been delivered for purposes of determining the maximum number of shares of Stock available for delivery under this Plan. To the extent any shares of Stock subject to an Award granted under a Prior Plan are withheld, after the Effective Date, to satisfy any tax-withholding obligation, such shares shall be added to the maximum number of shares of Stock available for delivery under this Plan. Notwithstanding the foregoing, no shares of Stock that become available for Awards granted under this Plan pursuant to the foregoing provisions of this Section 3(d) shall be available for grants of incentive stock options pursuant to Section 6(f).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Administration</w:t>
      </w:r>
    </w:p>
    <w:p>
      <w:pPr>
        <w:spacing w:after="0" w:line="256"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(a)Subject to Section 4(b), this Plan shall be administered by a committee appointed by the Board (the “Committee”). All members of the Committee shall be “outside directors” (as defined or interpreted for purposes of the Section 162(m) Exemption). The composition of the Committee also shall be subject to such limitations as the Board deems appropriate to permit transactions in Stock pursuant to this Plan to be exempt from liability under Rule 16b-3 under the 1934 Act and to satisfy the “independence” requirements of any national securities exchange on which the Stock is listed.</w:t>
      </w:r>
    </w:p>
    <w:p>
      <w:pPr>
        <w:spacing w:after="0" w:line="18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(b)The Board may, in its discretion, reserve to itself any or all of the authority and responsibility of the Committee. To the extent that the Board has reserved to itself the authority and responsibility of the Committee or that the Board has not appointed a Commitee, all references to the Committee in this Plan shall be deemed to refer to the Board.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(c)The Committee shall have full and final authority, in its discretion, but subject to the express provisions of this Plan (including without limitation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23(e)), as follows:</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(i)to grant Awards,</w:t>
      </w:r>
    </w:p>
    <w:p>
      <w:pPr>
        <w:spacing w:after="0" w:line="252" w:lineRule="exact"/>
        <w:rPr>
          <w:sz w:val="20"/>
          <w:szCs w:val="20"/>
          <w:color w:val="auto"/>
        </w:rPr>
      </w:pPr>
    </w:p>
    <w:p>
      <w:pPr>
        <w:ind w:right="100" w:firstLine="972"/>
        <w:spacing w:after="0" w:line="277" w:lineRule="auto"/>
        <w:rPr>
          <w:sz w:val="20"/>
          <w:szCs w:val="20"/>
          <w:color w:val="auto"/>
        </w:rPr>
      </w:pPr>
      <w:r>
        <w:rPr>
          <w:rFonts w:ascii="Arial" w:cs="Arial" w:eastAsia="Arial" w:hAnsi="Arial"/>
          <w:sz w:val="18"/>
          <w:szCs w:val="18"/>
          <w:color w:val="auto"/>
        </w:rPr>
        <w:t>(ii)to determine (A) when Awards may be granted, and (B) whether or not specific Awards shall be identified with other specific Awards, and, if so, whether they shall be exercisable cumulatively with or alternatively to such other specific Awards,</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(iii)to interpret this Plan,</w:t>
      </w:r>
    </w:p>
    <w:p>
      <w:pPr>
        <w:spacing w:after="0" w:line="252" w:lineRule="exact"/>
        <w:rPr>
          <w:sz w:val="20"/>
          <w:szCs w:val="20"/>
          <w:color w:val="auto"/>
        </w:rPr>
      </w:pPr>
    </w:p>
    <w:p>
      <w:pPr>
        <w:ind w:right="180" w:firstLine="972"/>
        <w:spacing w:after="0" w:line="257" w:lineRule="auto"/>
        <w:rPr>
          <w:sz w:val="20"/>
          <w:szCs w:val="20"/>
          <w:color w:val="auto"/>
        </w:rPr>
      </w:pPr>
      <w:r>
        <w:rPr>
          <w:rFonts w:ascii="Arial" w:cs="Arial" w:eastAsia="Arial" w:hAnsi="Arial"/>
          <w:sz w:val="18"/>
          <w:szCs w:val="18"/>
          <w:color w:val="auto"/>
        </w:rPr>
        <w:t>(iv)to determine all terms and provisions of all Awards, including without limitation any restrictions or conditions (including specifying such performance criteria as the Committee deems appropriate, and imposing restrictions with respect to Stock acquired upon exercise of a stock option, which restrictions may continue beyond the Grantee's Termination of Employment or Termination of Directorship, as applicable), which shall be set forth in a written (including in an electronic form) agreement for each Award (the “Award Agreements”), which need not be identical, and, with the consent of the Grantee, to modify any such Award Agreement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60" w:right="359" w:bottom="1440" w:gutter="0" w:footer="0" w:header="0"/>
        </w:sectPr>
      </w:pPr>
    </w:p>
    <w:bookmarkStart w:id="28" w:name="page29"/>
    <w:bookmarkEnd w:id="28"/>
    <w:p>
      <w:pPr>
        <w:ind w:left="980"/>
        <w:spacing w:after="0"/>
        <w:rPr>
          <w:sz w:val="20"/>
          <w:szCs w:val="20"/>
          <w:color w:val="auto"/>
        </w:rPr>
      </w:pPr>
      <w:r>
        <w:rPr>
          <w:rFonts w:ascii="Arial" w:cs="Arial" w:eastAsia="Arial" w:hAnsi="Arial"/>
          <w:sz w:val="18"/>
          <w:szCs w:val="18"/>
          <w:color w:val="auto"/>
        </w:rPr>
        <w:t>(v)to adopt or to authorize foreign Subsidiaries to adopt Foreign Equity Incentive Plans as provided 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14,</w:t>
      </w:r>
    </w:p>
    <w:p>
      <w:pPr>
        <w:spacing w:after="0" w:line="252" w:lineRule="exact"/>
        <w:rPr>
          <w:sz w:val="20"/>
          <w:szCs w:val="20"/>
          <w:color w:val="auto"/>
        </w:rPr>
      </w:pPr>
    </w:p>
    <w:p>
      <w:pPr>
        <w:ind w:right="140" w:firstLine="972"/>
        <w:spacing w:after="0" w:line="259" w:lineRule="auto"/>
        <w:rPr>
          <w:sz w:val="20"/>
          <w:szCs w:val="20"/>
          <w:color w:val="auto"/>
        </w:rPr>
      </w:pPr>
      <w:r>
        <w:rPr>
          <w:rFonts w:ascii="Arial" w:cs="Arial" w:eastAsia="Arial" w:hAnsi="Arial"/>
          <w:sz w:val="18"/>
          <w:szCs w:val="18"/>
          <w:color w:val="auto"/>
        </w:rPr>
        <w:t>(vi)to delegate any or all of its duties and responsibilities under this Plan to any individual or group of individuals it deems appropriate, except its duties and responsibilities with respect to Section 16 Grantees and with respect to Qualified Performance-Based Awards, and (A) the acts of such delegates shall be treated hereunder as acts of the Committee and (B) such delegates shall report to the Committee regarding the delegated duties and responsibilities,</w:t>
      </w:r>
    </w:p>
    <w:p>
      <w:pPr>
        <w:spacing w:after="0" w:line="214" w:lineRule="exact"/>
        <w:rPr>
          <w:sz w:val="20"/>
          <w:szCs w:val="20"/>
          <w:color w:val="auto"/>
        </w:rPr>
      </w:pPr>
    </w:p>
    <w:p>
      <w:pPr>
        <w:ind w:firstLine="972"/>
        <w:spacing w:after="0" w:line="264" w:lineRule="auto"/>
        <w:rPr>
          <w:sz w:val="20"/>
          <w:szCs w:val="20"/>
          <w:color w:val="auto"/>
        </w:rPr>
      </w:pPr>
      <w:r>
        <w:rPr>
          <w:rFonts w:ascii="Arial" w:cs="Arial" w:eastAsia="Arial" w:hAnsi="Arial"/>
          <w:sz w:val="18"/>
          <w:szCs w:val="18"/>
          <w:color w:val="auto"/>
        </w:rPr>
        <w:t>(vii)to accelerate the exercisability of, and to accelerate or waive any or all of the restrictions and conditions applicable to, any Award or any group of Awards, other than the Minimum Vesting Requirement, for any reason, solely to the extent that any such acceleration or waiver would not cause any tax to become due under Section 409A of the Code,</w:t>
      </w:r>
    </w:p>
    <w:p>
      <w:pPr>
        <w:spacing w:after="0" w:line="208" w:lineRule="exact"/>
        <w:rPr>
          <w:sz w:val="20"/>
          <w:szCs w:val="20"/>
          <w:color w:val="auto"/>
        </w:rPr>
      </w:pPr>
    </w:p>
    <w:p>
      <w:pPr>
        <w:ind w:right="40" w:firstLine="972"/>
        <w:spacing w:after="0" w:line="277" w:lineRule="auto"/>
        <w:rPr>
          <w:sz w:val="20"/>
          <w:szCs w:val="20"/>
          <w:color w:val="auto"/>
        </w:rPr>
      </w:pPr>
      <w:r>
        <w:rPr>
          <w:rFonts w:ascii="Arial" w:cs="Arial" w:eastAsia="Arial" w:hAnsi="Arial"/>
          <w:sz w:val="18"/>
          <w:szCs w:val="18"/>
          <w:color w:val="auto"/>
        </w:rPr>
        <w:t>(viii)subject to Section 6(a)(ii), to extend the time during which any Award or group of Awards may be exercised or earned, solely to the extent that any such extension would not cause any tax to become due under Section 409A of the Code,</w:t>
      </w:r>
    </w:p>
    <w:p>
      <w:pPr>
        <w:spacing w:after="0" w:line="197" w:lineRule="exact"/>
        <w:rPr>
          <w:sz w:val="20"/>
          <w:szCs w:val="20"/>
          <w:color w:val="auto"/>
        </w:rPr>
      </w:pPr>
    </w:p>
    <w:p>
      <w:pPr>
        <w:ind w:right="320" w:firstLine="972"/>
        <w:spacing w:after="0" w:line="308" w:lineRule="auto"/>
        <w:rPr>
          <w:sz w:val="20"/>
          <w:szCs w:val="20"/>
          <w:color w:val="auto"/>
        </w:rPr>
      </w:pPr>
      <w:r>
        <w:rPr>
          <w:rFonts w:ascii="Arial" w:cs="Arial" w:eastAsia="Arial" w:hAnsi="Arial"/>
          <w:sz w:val="17"/>
          <w:szCs w:val="17"/>
          <w:color w:val="auto"/>
        </w:rPr>
        <w:t>(ix)to make such adjustments or modifications to Awards granted to or held by Grantees working outside the United States as are necessary and advisable to fulfill the purposes of this Plan or to accommodate the specific requirements of local laws, procedures or practices,</w:t>
      </w:r>
    </w:p>
    <w:p>
      <w:pPr>
        <w:spacing w:after="0" w:line="174" w:lineRule="exact"/>
        <w:rPr>
          <w:sz w:val="20"/>
          <w:szCs w:val="20"/>
          <w:color w:val="auto"/>
        </w:rPr>
      </w:pPr>
    </w:p>
    <w:p>
      <w:pPr>
        <w:jc w:val="both"/>
        <w:ind w:right="380" w:firstLine="972"/>
        <w:spacing w:after="0" w:line="264" w:lineRule="auto"/>
        <w:rPr>
          <w:sz w:val="20"/>
          <w:szCs w:val="20"/>
          <w:color w:val="auto"/>
        </w:rPr>
      </w:pPr>
      <w:r>
        <w:rPr>
          <w:rFonts w:ascii="Arial" w:cs="Arial" w:eastAsia="Arial" w:hAnsi="Arial"/>
          <w:sz w:val="18"/>
          <w:szCs w:val="18"/>
          <w:color w:val="auto"/>
        </w:rPr>
        <w:t>(x)to impose such additional conditions, restrictions and limitations upon the grant, exercise or retention of Awards as the Committee may, before or concurrently with the grant thereof, deem appropriate, including requiring simultaneous exercise of related identified Awards and limiting the percentage of Awards that may from time to time be exercised by a Grantee,</w:t>
      </w:r>
    </w:p>
    <w:p>
      <w:pPr>
        <w:spacing w:after="0" w:line="20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(xi)notwithstanding Section 8, to prescribe rules and regulations concerning the transferability of 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Awards, and</w:t>
      </w:r>
    </w:p>
    <w:p>
      <w:pPr>
        <w:spacing w:after="0" w:line="252" w:lineRule="exact"/>
        <w:rPr>
          <w:sz w:val="20"/>
          <w:szCs w:val="20"/>
          <w:color w:val="auto"/>
        </w:rPr>
      </w:pPr>
    </w:p>
    <w:p>
      <w:pPr>
        <w:ind w:right="740" w:firstLine="972"/>
        <w:spacing w:after="0" w:line="277" w:lineRule="auto"/>
        <w:rPr>
          <w:sz w:val="20"/>
          <w:szCs w:val="20"/>
          <w:color w:val="auto"/>
        </w:rPr>
      </w:pPr>
      <w:r>
        <w:rPr>
          <w:rFonts w:ascii="Arial" w:cs="Arial" w:eastAsia="Arial" w:hAnsi="Arial"/>
          <w:sz w:val="18"/>
          <w:szCs w:val="18"/>
          <w:color w:val="auto"/>
        </w:rPr>
        <w:t>(xii)to make all other decisions and determinations that may be required pursuant to the Plan or as the Committee deems necessary or advisable to administer the Plan.</w:t>
      </w:r>
    </w:p>
    <w:p>
      <w:pPr>
        <w:spacing w:after="0" w:line="197"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The determination of the Committee on all matters relating to this Plan or any Award Agreement shall be made in its sole discretion, and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conclusive and final. No member of the Committee shall be liable for any action or determination made in good faith with respect to this Plan or any Award.</w:t>
      </w:r>
    </w:p>
    <w:p>
      <w:pPr>
        <w:spacing w:after="0" w:line="204"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Awards may be granted to any Employee (including any officer) of the Company or any of its domestic Subsidiaries, any Employee, officer or director of any of the Company's foreign Subsidiaries and to any non-Employee director of the Company. In selecting the individuals to whom Awards may be granted, as well as in determining the number of shares of Stock subject to, and the other terms and conditions applicable to, each Award, the Committee shall take into consideration such factors as it deems relevant in promoting the purposes of this Plan.</w:t>
      </w:r>
    </w:p>
    <w:p>
      <w:pPr>
        <w:spacing w:after="0" w:line="2"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to Grants </w:t>
      </w:r>
      <w:r>
        <w:rPr>
          <w:rFonts w:ascii="Arial" w:cs="Arial" w:eastAsia="Arial" w:hAnsi="Arial"/>
          <w:sz w:val="18"/>
          <w:szCs w:val="18"/>
          <w:i w:val="1"/>
          <w:iCs w:val="1"/>
          <w:color w:val="auto"/>
        </w:rPr>
        <w:t>(a)General conditions.</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(i)The “Grant Date” of an Award shall be the date on which the Committee grants the Award or such later date as specified in advance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Committee.</w:t>
      </w:r>
    </w:p>
    <w:p>
      <w:pPr>
        <w:spacing w:after="0" w:line="9" w:lineRule="exact"/>
        <w:rPr>
          <w:sz w:val="20"/>
          <w:szCs w:val="20"/>
          <w:color w:val="auto"/>
        </w:rPr>
      </w:pPr>
    </w:p>
    <w:p>
      <w:pPr>
        <w:ind w:left="980" w:right="900"/>
        <w:spacing w:after="0" w:line="261" w:lineRule="auto"/>
        <w:rPr>
          <w:sz w:val="20"/>
          <w:szCs w:val="20"/>
          <w:color w:val="auto"/>
        </w:rPr>
      </w:pPr>
      <w:r>
        <w:rPr>
          <w:rFonts w:ascii="Arial" w:cs="Arial" w:eastAsia="Arial" w:hAnsi="Arial"/>
          <w:sz w:val="18"/>
          <w:szCs w:val="18"/>
          <w:color w:val="auto"/>
        </w:rPr>
        <w:t>(ii)The term of each Award shall be a period not longer than 10 years from the Grant Date. (iii)A Grantee may, if otherwise eligible, be granted additional Awards in any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60" w:right="319" w:bottom="1440" w:gutter="0" w:footer="0" w:header="0"/>
        </w:sectPr>
      </w:pPr>
    </w:p>
    <w:bookmarkStart w:id="29" w:name="page30"/>
    <w:bookmarkEnd w:id="29"/>
    <w:p>
      <w:pPr>
        <w:ind w:right="160" w:firstLine="324"/>
        <w:spacing w:after="0" w:line="271" w:lineRule="auto"/>
        <w:rPr>
          <w:sz w:val="20"/>
          <w:szCs w:val="20"/>
          <w:color w:val="auto"/>
        </w:rPr>
      </w:pPr>
      <w:r>
        <w:rPr>
          <w:rFonts w:ascii="Arial" w:cs="Arial" w:eastAsia="Arial" w:hAnsi="Arial"/>
          <w:sz w:val="17"/>
          <w:szCs w:val="17"/>
          <w:i w:val="1"/>
          <w:iCs w:val="1"/>
          <w:color w:val="auto"/>
        </w:rPr>
        <w:t>(b)Grant of Stock Options and Option Price</w:t>
      </w:r>
      <w:r>
        <w:rPr>
          <w:rFonts w:ascii="Arial" w:cs="Arial" w:eastAsia="Arial" w:hAnsi="Arial"/>
          <w:sz w:val="17"/>
          <w:szCs w:val="17"/>
          <w:color w:val="auto"/>
        </w:rPr>
        <w:t>. A stock option represents the right to purchase a share of Stock at a predetermined Option Price. No later</w:t>
      </w:r>
      <w:r>
        <w:rPr>
          <w:rFonts w:ascii="Arial" w:cs="Arial" w:eastAsia="Arial" w:hAnsi="Arial"/>
          <w:sz w:val="17"/>
          <w:szCs w:val="17"/>
          <w:i w:val="1"/>
          <w:iCs w:val="1"/>
          <w:color w:val="auto"/>
        </w:rPr>
        <w:t xml:space="preserve"> </w:t>
      </w:r>
      <w:r>
        <w:rPr>
          <w:rFonts w:ascii="Arial" w:cs="Arial" w:eastAsia="Arial" w:hAnsi="Arial"/>
          <w:sz w:val="17"/>
          <w:szCs w:val="17"/>
          <w:color w:val="auto"/>
        </w:rPr>
        <w:t>than the Grant Date of any stock option, the Committee shall establish the Option Price of such stock option. The per-share Option Price of a stock option shall not be less than 100% of the Fair Market Value of a share of the Stock on the Grant Date. Such Option Price shall be subject to adjustment as provided in Section 22. The applicable Award Agreement may provide that the stock option shall be exercisable for restricted stock. The Committee shall not without the approval of the Company's shareholders, other than pursuant to Section 22, (i) reduce the per-share Option Price of a stock option after it is granted, (ii) cancel a stock option when the per-share Option Price exceeds the Fair Market Value of a share of the Stock in exchange for cash or another Award (other than in connection with a Change in Control), or (iii) take any other action with respect to a stock option that would be treated as a repricing under the rules and regulations of the New York Stock Exchange.</w:t>
      </w:r>
    </w:p>
    <w:p>
      <w:pPr>
        <w:spacing w:after="0" w:line="206" w:lineRule="exact"/>
        <w:rPr>
          <w:sz w:val="20"/>
          <w:szCs w:val="20"/>
          <w:color w:val="auto"/>
        </w:rPr>
      </w:pPr>
    </w:p>
    <w:p>
      <w:pPr>
        <w:ind w:right="1060" w:firstLine="324"/>
        <w:spacing w:after="0" w:line="277" w:lineRule="auto"/>
        <w:rPr>
          <w:sz w:val="20"/>
          <w:szCs w:val="20"/>
          <w:color w:val="auto"/>
        </w:rPr>
      </w:pPr>
      <w:r>
        <w:rPr>
          <w:rFonts w:ascii="Arial" w:cs="Arial" w:eastAsia="Arial" w:hAnsi="Arial"/>
          <w:sz w:val="18"/>
          <w:szCs w:val="18"/>
          <w:i w:val="1"/>
          <w:iCs w:val="1"/>
          <w:color w:val="auto"/>
        </w:rPr>
        <w:t>(c)Grant of Stock Bonuses</w:t>
      </w:r>
      <w:r>
        <w:rPr>
          <w:rFonts w:ascii="Arial" w:cs="Arial" w:eastAsia="Arial" w:hAnsi="Arial"/>
          <w:sz w:val="18"/>
          <w:szCs w:val="18"/>
          <w:color w:val="auto"/>
        </w:rPr>
        <w:t>. The Committee may, in its discretion, grant shares of Stock to any Employee eligible under Section 5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other than executive officers of the Company.</w:t>
      </w:r>
    </w:p>
    <w:p>
      <w:pPr>
        <w:spacing w:after="0" w:line="197"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i w:val="1"/>
          <w:iCs w:val="1"/>
          <w:color w:val="auto"/>
        </w:rPr>
        <w:t>(d)Grant of Dividend Equivalents</w:t>
      </w:r>
      <w:r>
        <w:rPr>
          <w:rFonts w:ascii="Arial" w:cs="Arial" w:eastAsia="Arial" w:hAnsi="Arial"/>
          <w:sz w:val="18"/>
          <w:szCs w:val="18"/>
          <w:color w:val="auto"/>
        </w:rPr>
        <w:t>. The Committee may, in its discretion, grant dividend equivalents, which represent the right to receive cash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or shares of Stock measured by the dividends payable with respect to specific shares of Stock or a specified number of shares of Stock. Dividend equivalents may be granted as part of another type of Award, and shall be subject to such terms and conditions as the Committee shall determine; provided, that the Committee shall not provide for payment of dividend equivalents in a manner that would cause any tax to become due under Section 409A of the Code.</w:t>
      </w:r>
    </w:p>
    <w:p>
      <w:pPr>
        <w:spacing w:after="0" w:line="215" w:lineRule="exact"/>
        <w:rPr>
          <w:sz w:val="20"/>
          <w:szCs w:val="20"/>
          <w:color w:val="auto"/>
        </w:rPr>
      </w:pPr>
    </w:p>
    <w:p>
      <w:pPr>
        <w:ind w:right="460" w:firstLine="324"/>
        <w:spacing w:after="0" w:line="286" w:lineRule="auto"/>
        <w:rPr>
          <w:sz w:val="20"/>
          <w:szCs w:val="20"/>
          <w:color w:val="auto"/>
        </w:rPr>
      </w:pPr>
      <w:r>
        <w:rPr>
          <w:rFonts w:ascii="Arial" w:cs="Arial" w:eastAsia="Arial" w:hAnsi="Arial"/>
          <w:sz w:val="17"/>
          <w:szCs w:val="17"/>
          <w:i w:val="1"/>
          <w:iCs w:val="1"/>
          <w:color w:val="auto"/>
        </w:rPr>
        <w:t xml:space="preserve">(e)Grant of Restricted Stock Units (“RSUs”). </w:t>
      </w:r>
      <w:r>
        <w:rPr>
          <w:rFonts w:ascii="Arial" w:cs="Arial" w:eastAsia="Arial" w:hAnsi="Arial"/>
          <w:sz w:val="17"/>
          <w:szCs w:val="17"/>
          <w:color w:val="auto"/>
        </w:rPr>
        <w:t>The Committee may, in its discretion, grant RSUs, which Awards are denominated in, payable in, and</w:t>
      </w:r>
      <w:r>
        <w:rPr>
          <w:rFonts w:ascii="Arial" w:cs="Arial" w:eastAsia="Arial" w:hAnsi="Arial"/>
          <w:sz w:val="17"/>
          <w:szCs w:val="17"/>
          <w:i w:val="1"/>
          <w:iCs w:val="1"/>
          <w:color w:val="auto"/>
        </w:rPr>
        <w:t xml:space="preserve"> </w:t>
      </w:r>
      <w:r>
        <w:rPr>
          <w:rFonts w:ascii="Arial" w:cs="Arial" w:eastAsia="Arial" w:hAnsi="Arial"/>
          <w:sz w:val="17"/>
          <w:szCs w:val="17"/>
          <w:color w:val="auto"/>
        </w:rPr>
        <w:t>valued, in whole or in part, by reference to, shares of Stock. An RSU shall represent the right to receive a payment, in cash, shares of Stock or both (as determined by the Committee), and shall be subject to such terms and conditions as the Committee shall determine.</w:t>
      </w:r>
    </w:p>
    <w:p>
      <w:pPr>
        <w:spacing w:after="0" w:line="19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(f)Grant of Other Stock-Based Awards</w:t>
      </w:r>
      <w:r>
        <w:rPr>
          <w:rFonts w:ascii="Arial" w:cs="Arial" w:eastAsia="Arial" w:hAnsi="Arial"/>
          <w:sz w:val="17"/>
          <w:szCs w:val="17"/>
          <w:color w:val="auto"/>
        </w:rPr>
        <w:t>. The Committee may, in its discretion, grant other stock-based awards. These are Awards, other than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(not including incentive stock options), stock bonuses, dividend equivalents and restricted stock units that are denominated in, valued, in whole or in part, by reference to, or otherwise based on or related to, Stock. The purchase, exercise, exchange or conversion of other stock-based awards granted under this Section 6(f) shall be on such terms and conditions and by such methods as shall be specified by the Committee. If the value of any other stock-based award is based on the difference between the excess of the Fair Market Value, on the date such Fair Market Value is determined, over such Award's exercise or grant price, the exercise or grant price for such an Award will not be less than 100% of the Fair Market Value on the Grant Date. If the value of such an Award is based on the full value of a share of Stock, and the Award is a Service-Vesting Award, then such Award shall be subject to the Minimum Vesting Requirement. The Committee shall not without the approval of the Company's shareholders, other than pursuant to Section 22, (i) lower the exercise price of a stock appreciation right after it is granted, (ii) cancel a stock appreciation right when the exercise price exceeds the Fair Market Value of a share of the Stock in exchange for cash or another Award (other than in connection with a Change in Control), or (iii) take any other action with respect to a stock appreciation right that would be treated as a repricing under the rules and regulations of the rules of any national market or quotation system on which the Company</w:t>
      </w:r>
      <w:r>
        <w:rPr>
          <w:rFonts w:ascii="Arial" w:cs="Arial" w:eastAsia="Arial" w:hAnsi="Arial"/>
          <w:sz w:val="17"/>
          <w:szCs w:val="17"/>
          <w:i w:val="1"/>
          <w:iCs w:val="1"/>
          <w:color w:val="auto"/>
        </w:rPr>
        <w:t>’</w:t>
      </w:r>
      <w:r>
        <w:rPr>
          <w:rFonts w:ascii="Arial" w:cs="Arial" w:eastAsia="Arial" w:hAnsi="Arial"/>
          <w:sz w:val="17"/>
          <w:szCs w:val="17"/>
          <w:color w:val="auto"/>
        </w:rPr>
        <w:t>s shares of common stock are listed or quoted.</w:t>
      </w:r>
    </w:p>
    <w:p>
      <w:pPr>
        <w:spacing w:after="0" w:line="203"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Grantee's Agreement to Serve</w:t>
      </w:r>
    </w:p>
    <w:p>
      <w:pPr>
        <w:spacing w:after="0" w:line="25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Committee may, in its discretion, require each Grantee who is granted an Award to, execute such Grantee's Award Agreement, and to agree that such Grantee will remain in the employ of the Company or any of its Subsidiaries or remain as a non-Employee director, as applicable, for at least one year after the Grant Date. No obligation of the Company or any of its Subsidiaries as to the length of any Grantee's employment or service as a non-Employee director shall be implied by the terms of this Plan, any grant of an Award hereunder or any Award Agreement. The Company and its Subsidiaries reserve the same rights to terminate employment of any Grantee as existed before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0" w:name="page31"/>
    <w:bookmarkEnd w:id="30"/>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Award granted hereunder shall be assigned, encumbered, pledged, sold, transferred, or otherwise disposed of other than by will or the laws of descent and distribution; provided however, that unless otherwise determined by the Committee, a Grantee may designate in writing a beneficiary to exercise or hold, as applicable, his or her Award after such Grantee's death. In the case of a holder after the Grantee's death, an Award shall be transferable solely by will or by the laws of descent and distribution.</w:t>
      </w:r>
    </w:p>
    <w:p>
      <w:pPr>
        <w:spacing w:after="0" w:line="210"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Exercise</w:t>
      </w:r>
    </w:p>
    <w:p>
      <w:pPr>
        <w:spacing w:after="0" w:line="25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i w:val="1"/>
          <w:iCs w:val="1"/>
          <w:color w:val="auto"/>
        </w:rPr>
        <w:t>(a)Exercise of Stock Options</w:t>
      </w:r>
      <w:r>
        <w:rPr>
          <w:rFonts w:ascii="Arial" w:cs="Arial" w:eastAsia="Arial" w:hAnsi="Arial"/>
          <w:sz w:val="17"/>
          <w:szCs w:val="17"/>
          <w:color w:val="auto"/>
        </w:rPr>
        <w:t>. Subject to Sections 4(c)(vii), 12, 13 and 21 and such terms and conditions as the Committee may impose, each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exercisable as and when determined by the Committee; provided that, unless the Committee determines otherwise, each stock option shall be exercisable in one or more installments commencing not earlier than the first anniversary of the Grant Date of such stock option.</w:t>
      </w:r>
    </w:p>
    <w:p>
      <w:pPr>
        <w:spacing w:after="0" w:line="19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Each stock option shall be exercised by delivery of notice of intent to purchase a specific number of shares of Stock subject to such stock option. Such notice shall be in a manner specified by and satisfactory to the Company. The Option Price of any shares of Stock as to which a stock option shall be exercised shall be paid in full at the time of the exercise. Payment may, at the election of the Grantee, be made in any one or any combination of the following:</w:t>
      </w:r>
    </w:p>
    <w:p>
      <w:pPr>
        <w:spacing w:after="0" w:line="2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(i)cash,</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(ii)unless otherwise determined by the Committee, Stock owned by the Grantee, valued at its Fair Market Value at the time of exercise,</w:t>
      </w:r>
    </w:p>
    <w:p>
      <w:pPr>
        <w:spacing w:after="0" w:line="264" w:lineRule="exact"/>
        <w:rPr>
          <w:sz w:val="20"/>
          <w:szCs w:val="20"/>
          <w:color w:val="auto"/>
        </w:rPr>
      </w:pPr>
    </w:p>
    <w:p>
      <w:pPr>
        <w:ind w:right="580" w:firstLine="972"/>
        <w:spacing w:after="0" w:line="277" w:lineRule="auto"/>
        <w:rPr>
          <w:sz w:val="20"/>
          <w:szCs w:val="20"/>
          <w:color w:val="auto"/>
        </w:rPr>
      </w:pPr>
      <w:r>
        <w:rPr>
          <w:rFonts w:ascii="Arial" w:cs="Arial" w:eastAsia="Arial" w:hAnsi="Arial"/>
          <w:sz w:val="18"/>
          <w:szCs w:val="18"/>
          <w:color w:val="auto"/>
        </w:rPr>
        <w:t>(iii)with the approval of the Committee, shares of restricted stock held by the Grantee, each valued at the Fair Market Value of a share of Stock at the time of exercise, or</w:t>
      </w:r>
    </w:p>
    <w:p>
      <w:pPr>
        <w:spacing w:after="0" w:line="197" w:lineRule="exact"/>
        <w:rPr>
          <w:sz w:val="20"/>
          <w:szCs w:val="20"/>
          <w:color w:val="auto"/>
        </w:rPr>
      </w:pPr>
    </w:p>
    <w:p>
      <w:pPr>
        <w:ind w:right="380" w:firstLine="972"/>
        <w:spacing w:after="0" w:line="277" w:lineRule="auto"/>
        <w:rPr>
          <w:sz w:val="20"/>
          <w:szCs w:val="20"/>
          <w:color w:val="auto"/>
        </w:rPr>
      </w:pPr>
      <w:r>
        <w:rPr>
          <w:rFonts w:ascii="Arial" w:cs="Arial" w:eastAsia="Arial" w:hAnsi="Arial"/>
          <w:sz w:val="18"/>
          <w:szCs w:val="18"/>
          <w:color w:val="auto"/>
        </w:rPr>
        <w:t>(iv)unless otherwise determined by the Committee, through simultaneous sale through a broker of shares acquired on exercise, as permitted under Regulation T of the Board of Governors of the Federal Reserve System.</w:t>
      </w:r>
    </w:p>
    <w:p>
      <w:pPr>
        <w:spacing w:after="0" w:line="197"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If shares of Stock are used to pay the Option Price, such shares of Stock must have been held by the Grantee for more than six months prior to exercise of the stock option, unless otherwise determined by the Committee. Such payment may be made by actual delivery or attestation.</w:t>
      </w:r>
    </w:p>
    <w:p>
      <w:pPr>
        <w:spacing w:after="0" w:line="15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(b)Time of Exercise/Expiration</w:t>
      </w:r>
      <w:r>
        <w:rPr>
          <w:rFonts w:ascii="Arial" w:cs="Arial" w:eastAsia="Arial" w:hAnsi="Arial"/>
          <w:sz w:val="18"/>
          <w:szCs w:val="18"/>
          <w:color w:val="auto"/>
        </w:rPr>
        <w:t>. Notwithstanding anything to the contrary herein, in the event that the final date on which any stock option would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be exercisable in accordance with the provisions of this Plan (including without limitation Section 12 hereof) is not a Business Day, the last day on which such stock option may be exercised is the last Business Day immediately preceding such date.</w:t>
      </w:r>
    </w:p>
    <w:p>
      <w:pPr>
        <w:spacing w:after="0" w:line="204" w:lineRule="exact"/>
        <w:rPr>
          <w:sz w:val="20"/>
          <w:szCs w:val="20"/>
          <w:color w:val="auto"/>
        </w:rPr>
      </w:pPr>
    </w:p>
    <w:p>
      <w:pPr>
        <w:ind w:left="720" w:hanging="712"/>
        <w:spacing w:after="0"/>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under Section 83(b)</w:t>
      </w:r>
    </w:p>
    <w:p>
      <w:pPr>
        <w:spacing w:after="0" w:line="25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Committee may, on the Grant Date or any later date, prohibit a Grantee from making the election described below. If the Committee has not prohibited such Grantee from making such election, and the Grantee shall, in connection with the exercise of any stock option, or the grant of any share of restricted stock, make the election permitted under Section 83(b) of the Code (i.e., an election to include in such Grantee's gross income in the year of transfer the amounts specified in Section 83(b) of the Code), such Grantee shall notify the Company of such election within 10 days of filing notice of the election with the U.S. Internal Revenue Service, in addition to complying with any filing and notification required pursuant to regulations issued under the authority of Section 83(b)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31" w:name="page32"/>
    <w:bookmarkEnd w:id="31"/>
    <w:p>
      <w:pPr>
        <w:ind w:left="720" w:hanging="712"/>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25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Whenever, under this Plan, cash or Stock is to be delivered upon exercise or payment of an Award, or any other event occurs that results in taxation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 Grantee with respect to an Award, the Company shall be entitled to require (i) that the Grantee remit an amount sufficient to satisfy all U.S. federal, state and local withholding tax requirements related thereto, (ii) the withholding of such sums from compensation otherwise due to the Grantee or from any shares of Stock due to the Grantee under this Plan, (iii) any other method prescribed by the Committee from time to time or (iv) any combination of the foregoing.</w:t>
      </w:r>
    </w:p>
    <w:p>
      <w:pPr>
        <w:spacing w:after="0" w:line="21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If any disqualifying disposition (as defined in Section 421(b) of the Code) is made with respect to shares of Stock acquired under an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granted pursuant to this Plan or any election described in Section 10 is made, then the individual making such disqualifying disposition or election shall remit to the Company an amount sufficient to satisfy all U.S. federal, state and local withholding taxes thereby incurred; provided, that in lieu of or in addition to the foregoing, the Company shall have the right to withhold such sums from compensation otherwise due to the Grantee or from any shares of Stock due to the Grantee under this Plan.</w:t>
      </w:r>
    </w:p>
    <w:p>
      <w:pPr>
        <w:spacing w:after="0" w:line="21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Notwithstanding the foregoing, in no event shall the amount withheld or remitted in the form of shares of Stock due to a Grantee under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exceed the minimum required by applicable law, except in the case of amounts due to a Grantee working outside the United States where the amount withheld may exceed such minimum, provided that it is not in excess of the actual amount required to be withheld with respect to the Grantee under applicable tax law or regulations.</w:t>
      </w:r>
    </w:p>
    <w:p>
      <w:pPr>
        <w:spacing w:after="0" w:line="214"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i w:val="1"/>
          <w:iCs w:val="1"/>
          <w:color w:val="auto"/>
        </w:rPr>
        <w:t>(d)</w:t>
      </w:r>
      <w:r>
        <w:rPr>
          <w:rFonts w:ascii="Arial" w:cs="Arial" w:eastAsia="Arial" w:hAnsi="Arial"/>
          <w:sz w:val="17"/>
          <w:szCs w:val="17"/>
          <w:color w:val="auto"/>
        </w:rPr>
        <w:t>Although the Company may endeavor to qualify an Award for favorable tax treatment under the laws of the United States or jurisdictions outside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or to avoid adverse tax treatment, the Company makes no representation to that effect and expressly disavows any covenant to maintain favorable or avoid unfavorable tax treatment, notwithstanding anything contrary in this Plan and the Company will have no liability to a Grantee or any other party if a payment under an Award does not receive or maintain such favorable treatment or does not avoid such unfavorable treatment. The Company shall be unconstrained in its corporate activities without regard to the potential tax impact on Grantees.</w:t>
      </w:r>
    </w:p>
    <w:p>
      <w:pPr>
        <w:spacing w:after="0" w:line="196" w:lineRule="exact"/>
        <w:rPr>
          <w:sz w:val="20"/>
          <w:szCs w:val="20"/>
          <w:color w:val="auto"/>
        </w:rPr>
      </w:pPr>
    </w:p>
    <w:p>
      <w:pPr>
        <w:ind w:left="720" w:hanging="712"/>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5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The applicable Award Agreement shall specify the treatment of such Award upon the Grantee's Termination of Employment.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applicable Award Agreement, all unvested Awards shall forfeit upon the Grantee's Termination of Employment, and vested stock options shall remain exercisable until the 90th day following Termination of Employment.</w:t>
      </w:r>
    </w:p>
    <w:p>
      <w:pPr>
        <w:spacing w:after="0" w:line="208"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i w:val="1"/>
          <w:iCs w:val="1"/>
          <w:color w:val="auto"/>
        </w:rPr>
        <w:t>(b)Committee Discretion</w:t>
      </w:r>
      <w:r>
        <w:rPr>
          <w:rFonts w:ascii="Arial" w:cs="Arial" w:eastAsia="Arial" w:hAnsi="Arial"/>
          <w:sz w:val="16"/>
          <w:szCs w:val="16"/>
          <w:color w:val="auto"/>
        </w:rPr>
        <w:t>. Notwithstanding the foregoing, the Committee may determine that the consequences of a Termination of Employment for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 Award will differ from those in the applicable Grant Agreement after it is granted if the change is favorable to the Grantee, unless otherwise required to comply with applicable laws; provided, that the Committee shall have no authority (i) after the Grant Date, to extend the time to exercise unexercised stock options or stock appreciation rights to any date later than the 10th anniversary of the Grant Date (or, if earlier, the original expiration date of the Award) or (ii) otherwise to provide for terms of an Award that would cause any tax to become due under Section 409A of the Code.</w:t>
      </w:r>
    </w:p>
    <w:p>
      <w:pPr>
        <w:spacing w:after="0" w:line="181"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Directorship</w:t>
      </w:r>
    </w:p>
    <w:p>
      <w:pPr>
        <w:spacing w:after="0" w:line="25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(a)</w:t>
      </w:r>
      <w:r>
        <w:rPr>
          <w:rFonts w:ascii="Arial" w:cs="Arial" w:eastAsia="Arial" w:hAnsi="Arial"/>
          <w:sz w:val="17"/>
          <w:szCs w:val="17"/>
          <w:color w:val="auto"/>
        </w:rPr>
        <w:t>The applicable Award Agreement shall specify the treatment of such Award upon the Director's Termination of Directorship with the Company. Unless</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provided in the applicable Award Agreement, all unvested Awards shall forfeit upon the Director's Termination of Directorship.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2" w:name="page33"/>
    <w:bookmarkEnd w:id="32"/>
    <w:p>
      <w:pPr>
        <w:ind w:right="40" w:firstLine="324"/>
        <w:spacing w:after="0" w:line="276" w:lineRule="auto"/>
        <w:rPr>
          <w:sz w:val="20"/>
          <w:szCs w:val="20"/>
          <w:color w:val="auto"/>
        </w:rPr>
      </w:pPr>
      <w:r>
        <w:rPr>
          <w:rFonts w:ascii="Arial" w:cs="Arial" w:eastAsia="Arial" w:hAnsi="Arial"/>
          <w:sz w:val="17"/>
          <w:szCs w:val="17"/>
          <w:i w:val="1"/>
          <w:iCs w:val="1"/>
          <w:color w:val="auto"/>
        </w:rPr>
        <w:t>(b)Committee Discretion</w:t>
      </w:r>
      <w:r>
        <w:rPr>
          <w:rFonts w:ascii="Arial" w:cs="Arial" w:eastAsia="Arial" w:hAnsi="Arial"/>
          <w:sz w:val="17"/>
          <w:szCs w:val="17"/>
          <w:color w:val="auto"/>
        </w:rPr>
        <w:t>. Notwithstanding the foregoing, the Committee may determine that the consequences of Termination of Directorship for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particular Award will differ from those in the Applicable Award Agreement after the Award is granted, if the change is favorable to the Grantee; provided, that the Committee shall have no authority (i) after the Grant Date, to extend the time to exercise unexercised stock options or stock appreciation rights to any date later than the 10th anniversary of the Grant Date (or, if earlier, the original expiration date of the Award) or (ii) otherwise to provide for terms of an Award that would cause any tax to become due under Section 409A of the Code.</w:t>
      </w:r>
    </w:p>
    <w:p>
      <w:pPr>
        <w:spacing w:after="0" w:line="196" w:lineRule="exact"/>
        <w:rPr>
          <w:sz w:val="20"/>
          <w:szCs w:val="20"/>
          <w:color w:val="auto"/>
        </w:rPr>
      </w:pPr>
    </w:p>
    <w:p>
      <w:pPr>
        <w:ind w:left="720" w:hanging="712"/>
        <w:spacing w:after="0"/>
        <w:tabs>
          <w:tab w:leader="none" w:pos="7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of Foreign Subsidiaries</w:t>
      </w:r>
    </w:p>
    <w:p>
      <w:pPr>
        <w:spacing w:after="0" w:line="2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Committee may adopt or authorize any foreign Subsidiary to adopt a plan for granting Awards (a “Foreign Equity Incentive Plan”). All awards granted under such Foreign Equity Incentive Plans shall be treated as grants under this Plan. Such Foreign Equity Incentive Plans shall have such terms and provisions as the Committee permits not inconsistent with the provisions of this Plan.</w:t>
      </w:r>
    </w:p>
    <w:p>
      <w:pPr>
        <w:spacing w:after="0" w:line="204" w:lineRule="exact"/>
        <w:rPr>
          <w:sz w:val="20"/>
          <w:szCs w:val="20"/>
          <w:color w:val="auto"/>
        </w:rPr>
      </w:pPr>
    </w:p>
    <w:p>
      <w:pPr>
        <w:ind w:left="720" w:hanging="712"/>
        <w:spacing w:after="0"/>
        <w:tabs>
          <w:tab w:leader="none" w:pos="7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 Matters</w:t>
      </w:r>
    </w:p>
    <w:p>
      <w:pPr>
        <w:spacing w:after="0" w:line="256"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(a)If the Committee deems it necessary to comply with the Securities Act of 1933, as amended, and the regulations and rulings thereunder, the Committee may require a written investment intent representation by the Grantee and may require that a restrictive legend be affixed to certificates for shares of Stock.</w:t>
      </w:r>
    </w:p>
    <w:p>
      <w:pPr>
        <w:spacing w:after="0" w:line="20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(b)If, based upon the opinion of counsel for the Company, the Committee determines that the exercise or nonforfeitability of, or delivery of benefits pursuant to, any Award would violate any applicable provision of (i) U.S. federal, state, foreign or local securities law or (ii) the listing requirements of any national securities exchange on which are listed any of the Company's equity securities (together, referred to herein as “Securities Law Requirements”), then the Committee may (A) postpone any such exercise, nonforfeitability or delivery, as the case may be, for not more than 30 days after the date on which such exercise, nonforfeitability or delivery would no longer violate such law or requirements, or (B) amend or cancel some or all of the Awards affected by such Securities Law Requirements, with or without consideration to the relevant Grantees.</w:t>
      </w:r>
    </w:p>
    <w:p>
      <w:pPr>
        <w:spacing w:after="0" w:line="201" w:lineRule="exact"/>
        <w:rPr>
          <w:sz w:val="20"/>
          <w:szCs w:val="20"/>
          <w:color w:val="auto"/>
        </w:rPr>
      </w:pPr>
    </w:p>
    <w:p>
      <w:pPr>
        <w:ind w:left="720" w:hanging="712"/>
        <w:spacing w:after="0"/>
        <w:tabs>
          <w:tab w:leader="none" w:pos="7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Funding</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Benefits payable under this Plan to any person shall be paid directly by the Company. The Company shall not be required to fund, or otherwise segregate assets to be used for payment of, benefits under this Plan.</w:t>
      </w:r>
    </w:p>
    <w:p>
      <w:pPr>
        <w:spacing w:after="0" w:line="193" w:lineRule="exact"/>
        <w:rPr>
          <w:sz w:val="20"/>
          <w:szCs w:val="20"/>
          <w:color w:val="auto"/>
        </w:rPr>
      </w:pPr>
    </w:p>
    <w:p>
      <w:pPr>
        <w:ind w:left="720" w:hanging="712"/>
        <w:spacing w:after="0"/>
        <w:tabs>
          <w:tab w:leader="none" w:pos="7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No Employment Rights</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Neither the establishment of this Plan, nor the granting of any Award, shall be construed to (a) give any Grantee the right to remain employed by the Company or any of its Subsidiaries or to any benefits not specifically provided by this Plan or (b) in any manner modify the right of the Company or any of its Subsidiaries to modify, amend, or terminate any of its employee benefit plans.</w:t>
      </w:r>
    </w:p>
    <w:p>
      <w:pPr>
        <w:spacing w:after="0" w:line="204" w:lineRule="exact"/>
        <w:rPr>
          <w:sz w:val="20"/>
          <w:szCs w:val="20"/>
          <w:color w:val="auto"/>
        </w:rPr>
      </w:pPr>
    </w:p>
    <w:p>
      <w:pPr>
        <w:ind w:left="720" w:hanging="712"/>
        <w:spacing w:after="0"/>
        <w:tabs>
          <w:tab w:leader="none" w:pos="7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a Stockholder</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Grantee shall not, by reason of any Award (other than restricted stock), have any right as a stockholder of the Company with respect to the shares of Stock that may be deliverable upon exercise or payment of such Award until such shares have been delivered to him or her.</w:t>
      </w:r>
    </w:p>
    <w:p>
      <w:pPr>
        <w:spacing w:after="0" w:line="193" w:lineRule="exact"/>
        <w:rPr>
          <w:sz w:val="20"/>
          <w:szCs w:val="20"/>
          <w:color w:val="auto"/>
        </w:rPr>
      </w:pPr>
    </w:p>
    <w:p>
      <w:pPr>
        <w:ind w:left="720" w:hanging="712"/>
        <w:spacing w:after="0"/>
        <w:tabs>
          <w:tab w:leader="none" w:pos="7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Payments</w:t>
      </w:r>
    </w:p>
    <w:p>
      <w:pPr>
        <w:spacing w:after="0" w:line="2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Any and all grants, payments of cash, or deliveries of shares of Stock hereunder shall constitute special incentive payments to the Grantee, and shall not be taken into account in computing the amount of salary or compensation of the Grantee for the purposes of determining any pension, retirement, death or other benefits under (a) any pension, retirement, profit-sharing, bonus, life insurance or other employee benefit plan of the Company or any of its Subsidiaries or</w:t>
      </w:r>
    </w:p>
    <w:p>
      <w:pPr>
        <w:ind w:right="360" w:firstLine="8"/>
        <w:spacing w:after="0" w:line="261"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agreement between the Company or any Subsidiary, on the one hand, and the Grantee, on the other hand, except as such plan or agreement shall otherwise expressly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60" w:right="359" w:bottom="1440" w:gutter="0" w:footer="0" w:header="0"/>
        </w:sectPr>
      </w:pPr>
    </w:p>
    <w:bookmarkStart w:id="33" w:name="page34"/>
    <w:bookmarkEnd w:id="33"/>
    <w:p>
      <w:pPr>
        <w:ind w:left="720" w:hanging="712"/>
        <w:spacing w:after="0"/>
        <w:tabs>
          <w:tab w:leader="none" w:pos="7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Non-Uniform Determinations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Neither the Committee's nor the Board's determinations under this Plan need be uniform, and may be made by the Committee or the Board selectively among individuals who receive, or are eligible to receive, Awards (whether or not such individuals are similarly situated). Without limiting the generality of the foregoing, the Committee shall be entitled, among other things, to make non-uniform and selective determinations, to enter into non-uniform and selective Award Agreements as to (a) the identity of the Grantees, (b) the terms and provisions of Awards, and (c) the treatment, under Section 12, of Terminations of Employment.</w:t>
      </w:r>
    </w:p>
    <w:p>
      <w:pPr>
        <w:spacing w:after="0" w:line="211" w:lineRule="exact"/>
        <w:rPr>
          <w:sz w:val="20"/>
          <w:szCs w:val="20"/>
          <w:color w:val="auto"/>
        </w:rPr>
      </w:pPr>
    </w:p>
    <w:p>
      <w:pPr>
        <w:ind w:left="720" w:hanging="712"/>
        <w:spacing w:after="0"/>
        <w:tabs>
          <w:tab w:leader="none" w:pos="7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 Provisions</w:t>
      </w:r>
    </w:p>
    <w:p>
      <w:pPr>
        <w:spacing w:after="0" w:line="25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Notwithstanding any other provision of this Plan to the contrary, the provisions of this Section 21 shall apply in the event of a Change in Control, unless otherwise determined by the Committee in connection with the grant of an Award (as reflected in the applicable Award Agreement).</w:t>
      </w:r>
    </w:p>
    <w:p>
      <w:pPr>
        <w:spacing w:after="0" w:line="17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(a)Upon a Change in Control, each then-outstanding stock option and stock appreciation right, and each other then-outstanding Award that is a Service-Vesting Award (each, a “Replaced Award”), shall be replaced with another Award meeting the requirements of Section 21(b) (a “Replacement Award”); provided that (i) if a Replacement Award meeting the requirements of Section 21(b) cannot be issued (because, for example, there are no publicly traded equity securities available, such that the requirement described in clause (iii) of the first sentence of Section 21(b) cannot be met), or (ii) the Committee so determines at any time prior to the Change in Control, upon a Change in Control each Replaced Award shall instead become fully vested, exercisable and free of restrictions. The treatment of any Awards which are not Replaced Awards (i.e., Awards other than stock options and stock appreciation rights, which are not Service-Vesting Awards) shall be as determined by the Committee in connection with the grant thereof, as reflected in the applicable Award Agreement.</w:t>
      </w:r>
    </w:p>
    <w:p>
      <w:pPr>
        <w:spacing w:after="0" w:line="19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(b)An Award shall meet the conditions of this Section 21(b) (and hence qualify as a Replacement Award) if: (i) it is of the same type as the Replaced Award; (ii) it has a value at least equal to the value of the Replaced Award; (iii) it relates to publicly traded equity securities of the Company or its successor in the Change in Control or another entity that is affiliated with the Company or its successor following the Change in Control; (iv) its terms and conditions comply with Section 21(c) below; and (v) its other terms and conditions are not less favorable to the Grantee than the terms and conditions of the Replaced Award (including the provisions that would apply in the event of a subsequent Change in Control). Without limiting the generality of the foregoing, the Replacement Award may take the form of a continuation of the Replaced Award if the requirements of the preceding sentence are satisfied. The determination of whether the conditions of this Section 21(b) are satisfied shall be made by the Committee, as constituted immediately before the Change in Control, in its sole discretion. Without limiting the generality of the foregoing, the Committee may determine the value of Awards and Replacement Awards that are stock options by reference to either their intrinsic value or their fair value.</w:t>
      </w:r>
    </w:p>
    <w:p>
      <w:pPr>
        <w:spacing w:after="0" w:line="20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(c)Upon a Termination of Employment or Termination of Directorship of a Grantee occurring in connection with or during the period of two years after such Change in Control, other than for Cause, (i) all Replacement Awards held by the Grantee shall become fully vested and (if applicable) exercisable and free of restrictions, and (ii) all stock options and stock appreciation rights held by the Grantee immediately before the Termination of Employment or Termination of Directorship that the Grantee held as of the date of the Change in Control or that constitute Replacement Awards shall remain exercisable for not less than two years following such termination or until the expiration of the stated term of such stock option, whichever period is shorter (provided, that if the applicable Award Agreement provides for a longer period of exercisability, that provision shall control). The treatment described in the preceding sentence shall not apply if the Termination of Employment is initiated by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22. Adjustments Upon Certain Changes</w:t>
      </w:r>
    </w:p>
    <w:p>
      <w:pPr>
        <w:spacing w:after="0" w:line="25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shall be subject to any action by the shareholders of the Company required by law, applicable tax rules or the rules of any exchange on which shares of Stock of the Company are listed for trading:</w:t>
      </w:r>
    </w:p>
    <w:p>
      <w:pPr>
        <w:spacing w:after="0" w:line="19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u w:val="single" w:color="auto"/>
          <w:color w:val="auto"/>
        </w:rPr>
        <w:t>(a)Shares Available for Grants.</w:t>
      </w:r>
      <w:r>
        <w:rPr>
          <w:rFonts w:ascii="Arial" w:cs="Arial" w:eastAsia="Arial" w:hAnsi="Arial"/>
          <w:sz w:val="16"/>
          <w:szCs w:val="16"/>
          <w:color w:val="auto"/>
        </w:rPr>
        <w:t xml:space="preserve"> In the event of any change in the number of shares of Stock of the Company outstanding by reason of any stock dividend or split, recapitalization, merger, consolidation, combination or exchange of shares or similar corporate change, the maximum aggregate number of shares of Stock with respect to which the Committee may grant Awards and the maximum aggregate number of shares of Stock with respect to which the Committee may grant Awards to any individual Grantee in any year shall be appropriately adjusted by the Committee. In the event of any change in the number of shares of Stock of the Company outstanding by reason of any other event or transaction, the Committee may, to the extent deemed appropriate by the Committee, make such adjustments in the number and class of shares of Stock with respect to which Awards may be granted.</w:t>
      </w:r>
    </w:p>
    <w:p>
      <w:pPr>
        <w:spacing w:after="0" w:line="19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u w:val="single" w:color="auto"/>
          <w:color w:val="auto"/>
        </w:rPr>
        <w:t>(b)Increase or Decrease in Issued Shares Without Consideration.</w:t>
      </w:r>
      <w:r>
        <w:rPr>
          <w:rFonts w:ascii="Arial" w:cs="Arial" w:eastAsia="Arial" w:hAnsi="Arial"/>
          <w:sz w:val="18"/>
          <w:szCs w:val="18"/>
          <w:color w:val="auto"/>
        </w:rPr>
        <w:t xml:space="preserve"> In the event of any increase or decrease in the number of issued shares of Stock of the Company resulting from a subdivision or consolidation of shares of Stock of the Company or the payment of a stock dividend (but only on the shares of Stock of the Company), or any other increase or decrease in the number of such shares effected without receipt or payment of consideration by the Company, the Committee may, to the extent deemed appropriate by the Committee, adjust the number of shares of Stock subject to each outstanding Award and the exercise price per share of Stock of each such Award.</w:t>
      </w:r>
    </w:p>
    <w:p>
      <w:pPr>
        <w:spacing w:after="0" w:line="215"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u w:val="single" w:color="auto"/>
          <w:color w:val="auto"/>
        </w:rPr>
        <w:t>(c)Certain Mergers.</w:t>
      </w:r>
      <w:r>
        <w:rPr>
          <w:rFonts w:ascii="Arial" w:cs="Arial" w:eastAsia="Arial" w:hAnsi="Arial"/>
          <w:sz w:val="17"/>
          <w:szCs w:val="17"/>
          <w:color w:val="auto"/>
        </w:rPr>
        <w:t xml:space="preserve"> In the event of any merger, consolidation or similar transaction as a result of which the holders of shares of Stock receive consideration consisting exclusively of securities of the surviving corporation in such transaction, the Committee may, to the extent deemed appropriate by the Committee, adjust each Award outstanding on the date of such merger or consolidation so that it pertains and applies to the securities which a holder of the number of shares of Stock subject to such Award would have received in such merger or consolidation.</w:t>
      </w:r>
    </w:p>
    <w:p>
      <w:pPr>
        <w:spacing w:after="0" w:line="1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u w:val="single" w:color="auto"/>
          <w:color w:val="auto"/>
        </w:rPr>
        <w:t>(d)Certain Other Transactions.</w:t>
      </w:r>
      <w:r>
        <w:rPr>
          <w:rFonts w:ascii="Arial" w:cs="Arial" w:eastAsia="Arial" w:hAnsi="Arial"/>
          <w:sz w:val="18"/>
          <w:szCs w:val="18"/>
          <w:color w:val="auto"/>
        </w:rPr>
        <w:t xml:space="preserve"> In the event of (i) a dissolution or liquidation of the Company, (ii) a sale of all or substantially all of the Company's assets (on a consolidated basis), or (iii) a merger, consolidation or similar transaction involving the Company in which the holders of shares of Stock receive securities and/or other property, including cash, other than shares of the surviving corporation in such transaction, the Committee shall, in its sole discretion, have the power to:</w:t>
      </w:r>
    </w:p>
    <w:p>
      <w:pPr>
        <w:spacing w:after="0" w:line="21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(i)cancel, effective immediately prior to the occurrence of such event, each Award (whether or not then exercisable or vested), and, in full consideration of such cancellation, pay to the Grantee to whom such Award was granted an amount in cash, for each share of Stock subject to such Award, equal to the value, as determined by the Committee, of such Award, provided that with respect to any outstanding stock option such value shall be equal to the excess of (A) the value, as determined by the Committee, of the property (including cash) received by the holder of a share of Stock as a result of such event over (B) the exercise price of such stock option; or</w:t>
      </w:r>
    </w:p>
    <w:p>
      <w:pPr>
        <w:spacing w:after="0" w:line="215"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(ii)provide for the exchange of each Award (whether or not then exercisable or vested) for an Award with respect to some or all of the property which a holder of the number of shares of Stock subject to such Award would have received in such transaction and, incident thereto, make an equitable adjustment as determined by the Committee in the exercise price of the Award, or the number of shares or amount of property subject to the Award or provide for a payment (in cash or other property) to the Grantee to whom such Award was granted in partial consideration for the exchange of the Award.</w:t>
      </w:r>
    </w:p>
    <w:p>
      <w:pPr>
        <w:spacing w:after="0" w:line="18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u w:val="single" w:color="auto"/>
          <w:color w:val="auto"/>
        </w:rPr>
        <w:t>(e)Other Changes.</w:t>
      </w:r>
      <w:r>
        <w:rPr>
          <w:rFonts w:ascii="Arial" w:cs="Arial" w:eastAsia="Arial" w:hAnsi="Arial"/>
          <w:sz w:val="17"/>
          <w:szCs w:val="17"/>
          <w:color w:val="auto"/>
        </w:rPr>
        <w:t xml:space="preserve"> In the event of any change in the capitalization of the Company or corporate change other than those specifically referred to in paragraphs 22(b), (c) or (d), the Committee may make such adjustments in the number and class of shares subject to Awards outstanding on the date on which such change occurs and in such other terms of such Awards as the Committee may consider appropriate, provided that if any such Award is intended to be a Qualified Performance-Based Award such adjustment is consistent with the requirements of Section 162(m)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5" w:name="page36"/>
    <w:bookmarkEnd w:id="35"/>
    <w:p>
      <w:pPr>
        <w:ind w:right="20" w:firstLine="324"/>
        <w:spacing w:after="0" w:line="276" w:lineRule="auto"/>
        <w:rPr>
          <w:sz w:val="20"/>
          <w:szCs w:val="20"/>
          <w:color w:val="auto"/>
        </w:rPr>
      </w:pPr>
      <w:r>
        <w:rPr>
          <w:rFonts w:ascii="Arial" w:cs="Arial" w:eastAsia="Arial" w:hAnsi="Arial"/>
          <w:sz w:val="17"/>
          <w:szCs w:val="17"/>
          <w:color w:val="auto"/>
        </w:rPr>
        <w:t xml:space="preserve">(f)No </w:t>
      </w:r>
      <w:r>
        <w:rPr>
          <w:rFonts w:ascii="Arial" w:cs="Arial" w:eastAsia="Arial" w:hAnsi="Arial"/>
          <w:sz w:val="17"/>
          <w:szCs w:val="17"/>
          <w:u w:val="single" w:color="auto"/>
          <w:color w:val="auto"/>
        </w:rPr>
        <w:t>Other Rights.</w:t>
      </w:r>
      <w:r>
        <w:rPr>
          <w:rFonts w:ascii="Arial" w:cs="Arial" w:eastAsia="Arial" w:hAnsi="Arial"/>
          <w:sz w:val="17"/>
          <w:szCs w:val="17"/>
          <w:color w:val="auto"/>
        </w:rPr>
        <w:t xml:space="preserve"> Except as expressly provided in the Plan, no Grantee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20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u w:val="single" w:color="auto"/>
          <w:color w:val="auto"/>
        </w:rPr>
        <w:t>(g)Savings Clause.</w:t>
      </w:r>
      <w:r>
        <w:rPr>
          <w:rFonts w:ascii="Arial" w:cs="Arial" w:eastAsia="Arial" w:hAnsi="Arial"/>
          <w:sz w:val="18"/>
          <w:szCs w:val="18"/>
          <w:color w:val="auto"/>
        </w:rPr>
        <w:t xml:space="preserve"> No provision of this Section 22 shall be given effect to the extent that such provision would cause any tax to become due under Section 409A of the Code.</w:t>
      </w:r>
    </w:p>
    <w:p>
      <w:pPr>
        <w:spacing w:after="0" w:line="193"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Qualified Performance-Based Awards</w:t>
      </w:r>
    </w:p>
    <w:p>
      <w:pPr>
        <w:spacing w:after="0" w:line="25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(a)The provisions of this Plan are intended to ensure that all stock options and stock appreciation rights granted hereunder to any Grantee who is or may be a “covered employee” (within the meaning of Section 162(m)(3) of the Code) at the time of exercise qualify for the Section 162(m) Exemption, and all such Awards shall therefore be considered Qualified Performance-Based Awards and this Plan shall be interpreted and operated consistent with that intention. The provisions referred to in the preceding sentence include without limitation the limitation on the total amount of such Awards to any Grantee set forth in Section 3(b); the requirement of Section 4(a) that the Committee satisfy the requirements for being “outside directors” for purposes of the Section 162(m) Exemption; the limitations on the discretion of the Committee with respect to Qualified Performance-Based Awards; and the requirements of Sections 6(b) that the Option Price of stock options be not less than the Fair Market Value of the Stock on the Grant Date (which requirement constitutes the Qualified Performance Goal). The base price for determining the value of stock appreciation rights shall not be less than the Fair Market Value of the Stock on the Grant Date (which requirement constitutes the Qualified Performance Goal).</w:t>
      </w:r>
    </w:p>
    <w:p>
      <w:pPr>
        <w:spacing w:after="0" w:line="209"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(b)The Committee may designate any Award (other than a stock option or stock appreciation right) as a Qualified Performance-Based Award upon grant, in each case based upon a determination that (i) the Grantee is or may be a “covered employee” (within the meaning of Section 162(m)(3) of the Code) with respect to such Award, and (ii) the Committee wishes such Award to qualify for the Section 162(m) Exemption. The provisions of this Section 23 shall apply to all such Qualified Performance-Based Awards, notwithstanding any other provision of this Plan, other than Section 21.</w:t>
      </w:r>
    </w:p>
    <w:p>
      <w:pPr>
        <w:spacing w:after="0" w:line="19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(c)Each Qualified Performance-Based Award (other than a stock option or stock appreciation right) shall be earned, vested and payable (as applicable) only upon the achievement of one or more Qualified Performance Goals, together with the satisfaction of any other conditions, such as continued employment, as the Committee may determine to be appropriate; provided that (i) the Committee may provide, either in connection with the grant thereof or by amendment thereafter, that achievement of such Performance Goals will be waived upon the death or Disability of the Grantee, and (ii) the provisions of Section 21 shall apply notwithstanding this sentence.</w:t>
      </w:r>
    </w:p>
    <w:p>
      <w:pPr>
        <w:spacing w:after="0" w:line="21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(d)Qualified Performance Goals may take the form of absolute goals or goals relative to the performance of one or more other companies comparable to the Company or of an index covering multiple companies. In establishing Qualified Performance Goals, the Committee may specify that there shall be excluded the effect of restructuring charges, discontinued operations, extraordinary items, cumulative effects of accounting changes, and other unusual or nonrecurring items, and asset impairment and the effect of foreign currency fluctuations, in each case as those terms are defined under generally accepted accounting principles and provided in each case that such excluded items are objectively determinable by reference to the Company's financial statements, notes to the Company's financial statements and/or management's discussion and analysis in the Company's financial statements.</w:t>
      </w:r>
    </w:p>
    <w:p>
      <w:pPr>
        <w:spacing w:after="0" w:line="192"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(e)Except as specifically provided in Section 23(d), no Qualified Performance-Based Award may be amended, nor may the Committee exercise any discretionary authority it may otherwise have under this Plan with respect to a Qualified Performance-Based Award under this Plan, in any manner to waive the achievement of the applicable Qualified Performance Goals or to increase the amount payable pursuant thereto or the value thereof, or otherwise in a manner that would cause the Qualified Performance-Based Award to cease to qualify for the Section 162(m)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36" w:name="page37"/>
    <w:bookmarkEnd w:id="36"/>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this Plan</w:t>
      </w:r>
    </w:p>
    <w:p>
      <w:pPr>
        <w:spacing w:after="0" w:line="25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Board or the Committee may from time to time in its discretion amend this Plan or Awards, without the approval of the shareholders of the Company, except (i) to the extent required under the listing requirements of any national securities exchange on which are listed any of the Company's equity securities and (ii) to the extent the amendment would result in (A) the reduction of the Option Price of any stock option, (B) cancellation of a stock option when the Option Price exceeds the Fair Market Value of a share of Stock in exchange for cash or another Award (other than in connection with a Change in Control), or (C) any other action with respect to a stock option that would be treated as a repricing under the rules and regulations of the New York Stock Exchange. No such amendment shall adversely affect any previously-granted Award without the consent of the Grantee, except for (x) amendments made to comply with applicable law, stock exchange rules or accounting rules, and (y) amendments that do not materially decrease the value of such Awards. In addition, no such amendment may be made that would cause a Qualified Performance Based Award to cease to qualify for the Section 162(m) Exemption.</w:t>
      </w:r>
    </w:p>
    <w:p>
      <w:pPr>
        <w:spacing w:after="0" w:line="162"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this Plan</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This Plan shall terminate on the 10th anniversary of the Effective Date or at such earlier time as the Board may determine. Any termination, whether in whole or in part, shall not affect any Award then outstanding under this Plan.</w:t>
      </w:r>
    </w:p>
    <w:p>
      <w:pPr>
        <w:spacing w:after="0" w:line="166"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No Illegal Transactions</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Plan and all Awards granted pursuant to it are subject to all laws and regulations of any governmental authority that may be applicable thereto; and, notwithstanding any provision of this Plan or any Award, Grantees shall not be entitled to exercise Awards or receive the benefits thereof and the Company shall not be obligated to deliver any Stock or pay any benefits to a Grantee if such exercise, delivery, receipt or payment of benefits would constitute a violation by the Grantee or the Company of any provision of any such law or regulation. Such circumstances or the inability or impracticability of the Company to obtain or maintain authority from any regulatory body (which authority is deemed by the Company to be necessary for the lawful issuance and/or sale of Stock hereunder) shall relieve the Company of any liability for the failure to issue and/or sell such Stock and shall constitute circumstances in which the Committee may determine to amend or cancel Awards pertaining to such Stock, with or without consideration to the affected Grantees.</w:t>
      </w:r>
    </w:p>
    <w:p>
      <w:pPr>
        <w:spacing w:after="0" w:line="163"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Controlling Law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law of the State of Illinois, except its law with respect to choice of law, shall be controlling in all matters relating to this Plan.</w:t>
      </w:r>
    </w:p>
    <w:p>
      <w:pPr>
        <w:spacing w:after="0" w:line="221"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5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If all or any part of this Plan is declared by any court or governmental authority to be unlawful or invalid, such unlawfulness or invalidity shall not serve to invalidate any portion of this Plan not declared to be unlawful or invalid. Any Section or part of a Section so declared to be unlawful or invalid shall, if possible, be construed in a manner that will give effect to the terms of such Section or part of a Section to the fullest extent possible while remaining lawful and valid.</w:t>
      </w:r>
    </w:p>
    <w:p>
      <w:pPr>
        <w:spacing w:after="0" w:line="183"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 provision of this Plan shall be given effect to the extent that such provision would cause any tax to become due under Section 409A of the Code. No action, or failure to act, pursuant to this Section 29 or to any other provision of the Plan that references Section 409A of the Code shall subject the Committee, the Board or the Company to any claim, liability or expense, and neither the Committee, the Board nor the Company shall have any obligation to indemnify or otherwise protect any Grantee from the obligation to pay any taxes pursuant to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518795</wp:posOffset>
            </wp:positionV>
            <wp:extent cx="7250430" cy="450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2014 OMNIBUS STOCK OWNERSHIP PLAN</w:t>
      </w:r>
    </w:p>
    <w:p>
      <w:pPr>
        <w:spacing w:after="0" w:line="238" w:lineRule="exact"/>
        <w:rPr>
          <w:sz w:val="20"/>
          <w:szCs w:val="20"/>
          <w:color w:val="auto"/>
        </w:rPr>
      </w:pPr>
    </w:p>
    <w:p>
      <w:pPr>
        <w:jc w:val="both"/>
        <w:ind w:firstLine="569"/>
        <w:spacing w:after="0" w:line="312" w:lineRule="auto"/>
        <w:rPr>
          <w:sz w:val="20"/>
          <w:szCs w:val="20"/>
          <w:color w:val="auto"/>
        </w:rPr>
      </w:pPr>
      <w:r>
        <w:rPr>
          <w:rFonts w:ascii="Arial" w:cs="Arial" w:eastAsia="Arial" w:hAnsi="Arial"/>
          <w:sz w:val="16"/>
          <w:szCs w:val="16"/>
          <w:color w:val="auto"/>
        </w:rPr>
        <w:t>Pursuant to the authority reserved to the Board of Directors in Section 24 of the TapImmune Inc. 2014 Omnibus Stock Ownership Plan (the “Plan”), the Company hereby amends the terms of the Plan in the following manner, effective as of February 10, 2015, to order to authorize the Company to grant stock options and other equity awards to persons regularly performing services for the Company as consultants and to change the law governing the Plan.</w:t>
      </w:r>
    </w:p>
    <w:p>
      <w:pPr>
        <w:spacing w:after="0" w:line="174" w:lineRule="exact"/>
        <w:rPr>
          <w:sz w:val="20"/>
          <w:szCs w:val="20"/>
          <w:color w:val="auto"/>
        </w:rPr>
      </w:pPr>
    </w:p>
    <w:p>
      <w:pPr>
        <w:ind w:left="640" w:hanging="632"/>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Section 1 of the Plan (Purpose) is amended to insert the following new subsection (pp) defining the term “Consultant”:</w:t>
      </w:r>
    </w:p>
    <w:p>
      <w:pPr>
        <w:spacing w:after="0" w:line="252" w:lineRule="exact"/>
        <w:rPr>
          <w:rFonts w:ascii="Arial" w:cs="Arial" w:eastAsia="Arial" w:hAnsi="Arial"/>
          <w:sz w:val="18"/>
          <w:szCs w:val="18"/>
          <w:color w:val="auto"/>
        </w:rPr>
      </w:pPr>
    </w:p>
    <w:p>
      <w:pPr>
        <w:ind w:left="660" w:right="660" w:hanging="4"/>
        <w:spacing w:after="0" w:line="277" w:lineRule="auto"/>
        <w:tabs>
          <w:tab w:leader="none" w:pos="1617"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 individual who has been engaged by the Company or a Subsidiary to render consulting or advisory services on a regular and on-going basis.”</w:t>
      </w:r>
    </w:p>
    <w:p>
      <w:pPr>
        <w:spacing w:after="0" w:line="197" w:lineRule="exact"/>
        <w:rPr>
          <w:rFonts w:ascii="Arial" w:cs="Arial" w:eastAsia="Arial" w:hAnsi="Arial"/>
          <w:sz w:val="18"/>
          <w:szCs w:val="18"/>
          <w:color w:val="auto"/>
        </w:rPr>
      </w:pPr>
    </w:p>
    <w:p>
      <w:pPr>
        <w:ind w:left="640" w:hanging="632"/>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Section 1 of the Plan is further amended to revise the definition of the term “Termination of Employment” in Subsection 1(oo) to read as follows:</w:t>
      </w:r>
    </w:p>
    <w:p>
      <w:pPr>
        <w:spacing w:after="0" w:line="263" w:lineRule="exact"/>
        <w:rPr>
          <w:rFonts w:ascii="Arial" w:cs="Arial" w:eastAsia="Arial" w:hAnsi="Arial"/>
          <w:sz w:val="17"/>
          <w:szCs w:val="17"/>
          <w:color w:val="auto"/>
        </w:rPr>
      </w:pPr>
    </w:p>
    <w:p>
      <w:pPr>
        <w:jc w:val="both"/>
        <w:ind w:left="660" w:right="640" w:hanging="4"/>
        <w:spacing w:after="0" w:line="312" w:lineRule="auto"/>
        <w:tabs>
          <w:tab w:leader="none" w:pos="159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w:t>
      </w:r>
      <w:r>
        <w:rPr>
          <w:rFonts w:ascii="Arial" w:cs="Arial" w:eastAsia="Arial" w:hAnsi="Arial"/>
          <w:sz w:val="16"/>
          <w:szCs w:val="16"/>
          <w:b w:val="1"/>
          <w:bCs w:val="1"/>
          <w:i w:val="1"/>
          <w:iCs w:val="1"/>
          <w:color w:val="auto"/>
        </w:rPr>
        <w:t>ermination of Employment</w:t>
      </w:r>
      <w:r>
        <w:rPr>
          <w:rFonts w:ascii="Arial" w:cs="Arial" w:eastAsia="Arial" w:hAnsi="Arial"/>
          <w:sz w:val="16"/>
          <w:szCs w:val="16"/>
          <w:color w:val="auto"/>
        </w:rPr>
        <w:t>” of a Grantee means the termination of the Grantee’s Employment with the Company and the Subsidiaries, as determined by the Company, or, in the case of a Grantee providing services as a Consultant, the date on which the Consultant has completely and permanently ceased to provide such consulting services to the Company, as determined by the Company.”</w:t>
      </w:r>
    </w:p>
    <w:p>
      <w:pPr>
        <w:spacing w:after="0" w:line="173" w:lineRule="exact"/>
        <w:rPr>
          <w:rFonts w:ascii="Arial" w:cs="Arial" w:eastAsia="Arial" w:hAnsi="Arial"/>
          <w:sz w:val="16"/>
          <w:szCs w:val="16"/>
          <w:color w:val="auto"/>
        </w:rPr>
      </w:pPr>
    </w:p>
    <w:p>
      <w:pPr>
        <w:ind w:left="640" w:hanging="632"/>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5 of the Plan (Eligibility) is amended to replace the first sentence of Section 5 with the following:</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“Awards may be granted to any Employee (including any officer) of the Company or any of its domestic subsidiaries, any Employee, officer or director of any of the Company’s foreign subsidiary, to any non-Employee director of the Company, or to any Consultant of the Company designated by the Committee.”</w:t>
      </w:r>
    </w:p>
    <w:p>
      <w:pPr>
        <w:spacing w:after="0" w:line="151" w:lineRule="exact"/>
        <w:rPr>
          <w:sz w:val="20"/>
          <w:szCs w:val="20"/>
          <w:color w:val="auto"/>
        </w:rPr>
      </w:pPr>
    </w:p>
    <w:p>
      <w:pPr>
        <w:ind w:left="640" w:hanging="632"/>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7 of the Plan (Grantee’s Agreement to Serve) is amended to replace the current first sentence thereof with the following:</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Committee may, in its discretion, require each Grantee who is granted an Award to, execute such Grantee’s Award Agreement, and to agree that such Grantee will remain in the employ of the Company or any of its Subsidiaries, remain as an non-Employee director, or remain as a Consultant, as applicable, for at least one year after the Grant Date. No obligation of the Company or any of its Subsidiaries as to the length of any Grantee’s employment or service as a non-Employee director or Consultant shall be implied by the terms of this Plan, any grant of an Award hereunder or any Award Agreement. The Company and its Subsidiaries reserve the same rights to terminate employment of any Grantee or services of any Consultant as existed before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690880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8" w:name="page39"/>
    <w:bookmarkEnd w:id="38"/>
    <w:p>
      <w:pPr>
        <w:ind w:right="2380" w:firstLine="8"/>
        <w:spacing w:after="0" w:line="530" w:lineRule="auto"/>
        <w:tabs>
          <w:tab w:leader="none" w:pos="6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27 of the Plan (Controlling Law) is amended to replace the current sentence thereof with the following: “The law of the State of Nevada shall be controlling in all matters relating to this Plan.”</w:t>
      </w: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its duly authorized officer to sign this Amendment to the TapImmune Inc. 2014 Omnibus</w:t>
      </w:r>
      <w:r>
        <w:rPr>
          <w:rFonts w:ascii="Arial" w:cs="Arial" w:eastAsia="Arial" w:hAnsi="Arial"/>
          <w:sz w:val="18"/>
          <w:szCs w:val="18"/>
          <w:b w:val="1"/>
          <w:bCs w:val="1"/>
          <w:color w:val="auto"/>
        </w:rPr>
        <w:t xml:space="preserve"> </w:t>
      </w:r>
      <w:r>
        <w:rPr>
          <w:rFonts w:ascii="Arial" w:cs="Arial" w:eastAsia="Arial" w:hAnsi="Arial"/>
          <w:sz w:val="18"/>
          <w:szCs w:val="18"/>
          <w:color w:val="auto"/>
        </w:rPr>
        <w:t>Stock Ownership Plan on its behalf.</w:t>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TAPIMMUNE,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Glynn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3631565</wp:posOffset>
            </wp:positionV>
            <wp:extent cx="7250430" cy="450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040"/>
          </w:cols>
          <w:pgMar w:left="240" w:top="760" w:right="61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2014 OMNIBUS STOCK OWNERSHIP PLAN</w:t>
      </w:r>
    </w:p>
    <w:p>
      <w:pPr>
        <w:spacing w:after="0" w:line="238"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7"/>
          <w:szCs w:val="17"/>
          <w:color w:val="auto"/>
        </w:rPr>
        <w:t>Pursuant to the authority reserved to the Board of Directors in Section 24 of the TapImmune Inc. 2014 Omnibus Stock Ownership Plan (the “Plan”), the Company hereby amends the terms of the Plan in the following manner, effective as of November 6, 2015, in order to increase the number of shares of common stock the Company is authorized to issue pursuant to the Plan and to make certain other changes approved by the Board.</w:t>
      </w:r>
    </w:p>
    <w:p>
      <w:pPr>
        <w:spacing w:after="0" w:line="193" w:lineRule="exact"/>
        <w:rPr>
          <w:sz w:val="20"/>
          <w:szCs w:val="20"/>
          <w:color w:val="auto"/>
        </w:rPr>
      </w:pPr>
    </w:p>
    <w:p>
      <w:pPr>
        <w:ind w:left="640" w:hanging="632"/>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Section 3 of the Plan (“Scope of this Plan”) is amended to revise the first sentence of Subsection 3(a) to read as follows:</w:t>
      </w:r>
    </w:p>
    <w:p>
      <w:pPr>
        <w:spacing w:after="0" w:line="252" w:lineRule="exact"/>
        <w:rPr>
          <w:rFonts w:ascii="Arial" w:cs="Arial" w:eastAsia="Arial" w:hAnsi="Arial"/>
          <w:sz w:val="18"/>
          <w:szCs w:val="18"/>
          <w:color w:val="auto"/>
        </w:rPr>
      </w:pPr>
    </w:p>
    <w:p>
      <w:pPr>
        <w:jc w:val="both"/>
        <w:ind w:left="660" w:right="660"/>
        <w:spacing w:after="0" w:line="297" w:lineRule="auto"/>
        <w:rPr>
          <w:rFonts w:ascii="Arial" w:cs="Arial" w:eastAsia="Arial" w:hAnsi="Arial"/>
          <w:sz w:val="18"/>
          <w:szCs w:val="18"/>
          <w:color w:val="auto"/>
        </w:rPr>
      </w:pPr>
      <w:r>
        <w:rPr>
          <w:rFonts w:ascii="Arial" w:cs="Arial" w:eastAsia="Arial" w:hAnsi="Arial"/>
          <w:sz w:val="16"/>
          <w:szCs w:val="16"/>
          <w:color w:val="auto"/>
        </w:rPr>
        <w:t>“As of March 18, 2014, no shares were available for future grant under Prior Plans. As of the date this Plan became effective, 2 million shares, and any shares which may be returned to the Prior Plans as described in (d) below, became available for future grants under this Plan. An additional 5 million shares shall be reserved for future grants under this Plan, bringing the total number of shares of Stock which may be delivered to Grantees pursuant to this Plan up to a total of seven million shares, plus any shares which may be returned to the Prior Plans as described in (d) below, subject to the other provisions of this Section 3 and to adjustment as provided in Section 22.</w:t>
      </w:r>
    </w:p>
    <w:p>
      <w:pPr>
        <w:spacing w:after="0" w:line="185" w:lineRule="exact"/>
        <w:rPr>
          <w:rFonts w:ascii="Arial" w:cs="Arial" w:eastAsia="Arial" w:hAnsi="Arial"/>
          <w:sz w:val="18"/>
          <w:szCs w:val="18"/>
          <w:color w:val="auto"/>
        </w:rPr>
      </w:pPr>
    </w:p>
    <w:p>
      <w:pPr>
        <w:ind w:left="640" w:hanging="632"/>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Subsection 1(v) of the Plan (defining the term “Minimum Vesting Requirement”) is amended to read as follows:</w:t>
      </w:r>
    </w:p>
    <w:p>
      <w:pPr>
        <w:spacing w:after="0" w:line="252" w:lineRule="exact"/>
        <w:rPr>
          <w:sz w:val="20"/>
          <w:szCs w:val="20"/>
          <w:color w:val="auto"/>
        </w:rPr>
      </w:pPr>
    </w:p>
    <w:p>
      <w:pPr>
        <w:jc w:val="both"/>
        <w:ind w:firstLine="666"/>
        <w:spacing w:after="0" w:line="264" w:lineRule="auto"/>
        <w:rPr>
          <w:sz w:val="20"/>
          <w:szCs w:val="20"/>
          <w:color w:val="auto"/>
        </w:rPr>
      </w:pPr>
      <w:r>
        <w:rPr>
          <w:rFonts w:ascii="Arial" w:cs="Arial" w:eastAsia="Arial" w:hAnsi="Arial"/>
          <w:sz w:val="18"/>
          <w:szCs w:val="18"/>
          <w:color w:val="auto"/>
        </w:rPr>
        <w:t>“(v) “</w:t>
      </w:r>
      <w:r>
        <w:rPr>
          <w:rFonts w:ascii="Arial" w:cs="Arial" w:eastAsia="Arial" w:hAnsi="Arial"/>
          <w:sz w:val="18"/>
          <w:szCs w:val="18"/>
          <w:i w:val="1"/>
          <w:iCs w:val="1"/>
          <w:color w:val="auto"/>
        </w:rPr>
        <w:t>Minimum Vesting Requirement</w:t>
      </w:r>
      <w:r>
        <w:rPr>
          <w:rFonts w:ascii="Arial" w:cs="Arial" w:eastAsia="Arial" w:hAnsi="Arial"/>
          <w:sz w:val="18"/>
          <w:szCs w:val="18"/>
          <w:color w:val="auto"/>
        </w:rPr>
        <w:t>” means that the Awards subject to the Minimum Vesting Requirement shall not become nonforfeitable prior to the six month anniversary of the Grant Date or such other vesting date as the Committee may, in its discretion, expressly designate for an Award, subject to Sections 12, 13, and 21.”</w:t>
      </w:r>
    </w:p>
    <w:p>
      <w:pPr>
        <w:spacing w:after="0" w:line="208"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Section 6 of the Plan (“Conditions to Grants”) is amended to revise Subsection 6(c) to read as follows:</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Committee may, in its discretion, grant shares of Stock to any Employee or Consultant eligible under Section 5 to receive Awards.”</w:t>
      </w:r>
    </w:p>
    <w:p>
      <w:pPr>
        <w:spacing w:after="0" w:line="264"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Section 6 is further amended to revise the fifth sentence of Subsection 6(f) to read as follows: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value of such an Award is based on the full value of a share of Stock, and the Award is a Service-Vesting Award, then unless the Committee, in its discretion, expressly determines otherwise, the Award shall be subject to the Minimum Vesting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0" w:name="page41"/>
    <w:bookmarkEnd w:id="40"/>
    <w:p>
      <w:pPr>
        <w:ind w:firstLine="648"/>
        <w:spacing w:after="0" w:line="28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its duly authorized officer to sign this Amendment to the TapImmune Inc. 2014 Omnibus</w:t>
      </w:r>
      <w:r>
        <w:rPr>
          <w:rFonts w:ascii="Arial" w:cs="Arial" w:eastAsia="Arial" w:hAnsi="Arial"/>
          <w:sz w:val="18"/>
          <w:szCs w:val="18"/>
          <w:b w:val="1"/>
          <w:bCs w:val="1"/>
          <w:color w:val="auto"/>
        </w:rPr>
        <w:t xml:space="preserve"> </w:t>
      </w:r>
      <w:r>
        <w:rPr>
          <w:rFonts w:ascii="Arial" w:cs="Arial" w:eastAsia="Arial" w:hAnsi="Arial"/>
          <w:sz w:val="18"/>
          <w:szCs w:val="18"/>
          <w:color w:val="auto"/>
        </w:rPr>
        <w:t>Stock Ownership Plan on its behalf this 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November, 2015.</w:t>
      </w:r>
    </w:p>
    <w:p>
      <w:pPr>
        <w:spacing w:after="0" w:line="88"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TAPIMMUNE,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Glynn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4248785</wp:posOffset>
            </wp:positionV>
            <wp:extent cx="7250430" cy="450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040"/>
          </w:cols>
          <w:pgMar w:left="240" w:top="756" w:right="619" w:bottom="1440" w:gutter="0" w:footer="0" w:header="0"/>
        </w:sectPr>
      </w:pPr>
    </w:p>
    <w:bookmarkStart w:id="41" w:name="page42"/>
    <w:bookmarkEnd w:id="41"/>
    <w:p>
      <w:pPr>
        <w:ind w:left="103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10.4</w:t>
      </w:r>
    </w:p>
    <w:p>
      <w:pPr>
        <w:spacing w:after="0" w:line="200" w:lineRule="exact"/>
        <w:rPr>
          <w:sz w:val="20"/>
          <w:szCs w:val="20"/>
          <w:color w:val="auto"/>
        </w:rPr>
      </w:pPr>
    </w:p>
    <w:p>
      <w:pPr>
        <w:spacing w:after="0" w:line="324" w:lineRule="exact"/>
        <w:rPr>
          <w:sz w:val="20"/>
          <w:szCs w:val="20"/>
          <w:color w:val="auto"/>
        </w:rPr>
      </w:pPr>
    </w:p>
    <w:p>
      <w:pPr>
        <w:ind w:left="1780"/>
        <w:spacing w:after="0"/>
        <w:tabs>
          <w:tab w:leader="none" w:pos="1032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Key Employee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TapImmune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2014 Omnibus Stock Ownership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w:t>
      </w:r>
    </w:p>
    <w:p>
      <w:pPr>
        <w:spacing w:after="0" w:line="252"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color w:val="auto"/>
        </w:rPr>
        <w:t>TapImmune Inc. hereby grants you stock options to purchase up to ______________ shares of our common stock (the “Stock Options”).</w:t>
      </w:r>
      <w:r>
        <w:rPr>
          <w:sz w:val="20"/>
          <w:szCs w:val="20"/>
          <w:color w:val="auto"/>
        </w:rPr>
        <w:tab/>
      </w:r>
      <w:r>
        <w:rPr>
          <w:rFonts w:ascii="Arial" w:cs="Arial" w:eastAsia="Arial" w:hAnsi="Arial"/>
          <w:sz w:val="16"/>
          <w:szCs w:val="16"/>
          <w:color w:val="auto"/>
        </w:rPr>
        <w:t>These Stock</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Options are subject to the terms and conditions set forth in the TapImmune Inc. 2014 Omnibus Stock Ownership Plan (the “Plan”) and in the attached Appendix 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Covered Shares:</w:t>
            </w:r>
          </w:p>
        </w:tc>
        <w:tc>
          <w:tcPr>
            <w:tcW w:w="9060" w:type="dxa"/>
            <w:vAlign w:val="bottom"/>
            <w:gridSpan w:val="4"/>
          </w:tcPr>
          <w:p>
            <w:pPr>
              <w:ind w:left="240"/>
              <w:spacing w:after="0"/>
              <w:rPr>
                <w:sz w:val="20"/>
                <w:szCs w:val="20"/>
                <w:color w:val="auto"/>
              </w:rPr>
            </w:pPr>
            <w:r>
              <w:rPr>
                <w:rFonts w:ascii="Arial" w:cs="Arial" w:eastAsia="Arial" w:hAnsi="Arial"/>
                <w:sz w:val="18"/>
                <w:szCs w:val="18"/>
                <w:color w:val="auto"/>
              </w:rPr>
              <w:t>____________ shares of common stock, par value $0.001 per share.</w:t>
            </w:r>
          </w:p>
        </w:tc>
      </w:tr>
      <w:tr>
        <w:trPr>
          <w:trHeight w:val="439"/>
        </w:trPr>
        <w:tc>
          <w:tcPr>
            <w:tcW w:w="660" w:type="dxa"/>
            <w:vAlign w:val="bottom"/>
          </w:tcPr>
          <w:p>
            <w:pPr>
              <w:spacing w:after="0"/>
              <w:rPr>
                <w:sz w:val="24"/>
                <w:szCs w:val="24"/>
                <w:color w:val="auto"/>
              </w:rPr>
            </w:pPr>
          </w:p>
        </w:tc>
        <w:tc>
          <w:tcPr>
            <w:tcW w:w="11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Exercise Price:</w:t>
            </w:r>
          </w:p>
        </w:tc>
        <w:tc>
          <w:tcPr>
            <w:tcW w:w="520" w:type="dxa"/>
            <w:vAlign w:val="bottom"/>
            <w:gridSpan w:val="2"/>
          </w:tcPr>
          <w:p>
            <w:pPr>
              <w:spacing w:after="0"/>
              <w:rPr>
                <w:sz w:val="24"/>
                <w:szCs w:val="24"/>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w w:val="94"/>
              </w:rPr>
              <w:t>The purchase price for these shares will be $_______ per share.</w:t>
            </w:r>
          </w:p>
        </w:tc>
        <w:tc>
          <w:tcPr>
            <w:tcW w:w="3940" w:type="dxa"/>
            <w:vAlign w:val="bottom"/>
          </w:tcPr>
          <w:p>
            <w:pPr>
              <w:spacing w:after="0"/>
              <w:rPr>
                <w:sz w:val="24"/>
                <w:szCs w:val="24"/>
                <w:color w:val="auto"/>
              </w:rPr>
            </w:pPr>
          </w:p>
        </w:tc>
      </w:tr>
      <w:tr>
        <w:trPr>
          <w:trHeight w:val="439"/>
        </w:trPr>
        <w:tc>
          <w:tcPr>
            <w:tcW w:w="660" w:type="dxa"/>
            <w:vAlign w:val="bottom"/>
          </w:tcPr>
          <w:p>
            <w:pPr>
              <w:spacing w:after="0"/>
              <w:rPr>
                <w:sz w:val="24"/>
                <w:szCs w:val="24"/>
                <w:color w:val="auto"/>
              </w:rPr>
            </w:pP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0"/>
              </w:rPr>
              <w:t>Date of Grant:</w:t>
            </w:r>
          </w:p>
        </w:tc>
        <w:tc>
          <w:tcPr>
            <w:tcW w:w="660" w:type="dxa"/>
            <w:vAlign w:val="bottom"/>
            <w:gridSpan w:val="3"/>
          </w:tcPr>
          <w:p>
            <w:pPr>
              <w:spacing w:after="0"/>
              <w:rPr>
                <w:sz w:val="24"/>
                <w:szCs w:val="24"/>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w w:val="92"/>
              </w:rPr>
              <w:t>The “Date of Grant” for your Stock Options is ___________, 2015.</w:t>
            </w:r>
          </w:p>
        </w:tc>
        <w:tc>
          <w:tcPr>
            <w:tcW w:w="39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439"/>
        </w:trPr>
        <w:tc>
          <w:tcPr>
            <w:tcW w:w="66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Vesting Schedule:</w:t>
            </w: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w w:val="92"/>
              </w:rPr>
              <w:t>You may exercise your Stock Options after they become “vested.”</w:t>
            </w:r>
          </w:p>
        </w:tc>
        <w:tc>
          <w:tcPr>
            <w:tcW w:w="3940" w:type="dxa"/>
            <w:vAlign w:val="bottom"/>
          </w:tcPr>
          <w:p>
            <w:pPr>
              <w:ind w:left="20"/>
              <w:spacing w:after="0"/>
              <w:rPr>
                <w:sz w:val="20"/>
                <w:szCs w:val="20"/>
                <w:color w:val="auto"/>
              </w:rPr>
            </w:pPr>
            <w:r>
              <w:rPr>
                <w:rFonts w:ascii="Arial" w:cs="Arial" w:eastAsia="Arial" w:hAnsi="Arial"/>
                <w:sz w:val="18"/>
                <w:szCs w:val="18"/>
                <w:color w:val="auto"/>
                <w:w w:val="92"/>
              </w:rPr>
              <w:t>Vesting is subject to your continued employment with</w:t>
            </w:r>
          </w:p>
        </w:tc>
      </w:tr>
      <w:tr>
        <w:trPr>
          <w:trHeight w:val="237"/>
        </w:trPr>
        <w:tc>
          <w:tcPr>
            <w:tcW w:w="66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TapImmune through the following vesting dates.</w:t>
            </w:r>
          </w:p>
        </w:tc>
        <w:tc>
          <w:tcPr>
            <w:tcW w:w="3940" w:type="dxa"/>
            <w:vAlign w:val="bottom"/>
          </w:tcPr>
          <w:p>
            <w:pPr>
              <w:spacing w:after="0"/>
              <w:rPr>
                <w:sz w:val="20"/>
                <w:szCs w:val="20"/>
                <w:color w:val="auto"/>
              </w:rPr>
            </w:pPr>
          </w:p>
        </w:tc>
      </w:tr>
      <w:tr>
        <w:trPr>
          <w:trHeight w:val="682"/>
        </w:trPr>
        <w:tc>
          <w:tcPr>
            <w:tcW w:w="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Vesting Date</w:t>
            </w:r>
          </w:p>
        </w:tc>
        <w:tc>
          <w:tcPr>
            <w:tcW w:w="8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9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Number of Purchasable Shares</w:t>
            </w:r>
          </w:p>
        </w:tc>
        <w:tc>
          <w:tcPr>
            <w:tcW w:w="39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Total Number of Purchasable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Notwithstanding the foregoing, the Stock Options will become fully vested upon a “change in control” (as this term is defined in the Plan).</w:t>
      </w:r>
    </w:p>
    <w:p>
      <w:pPr>
        <w:spacing w:after="0" w:line="275"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u w:val="single" w:color="auto"/>
          <w:color w:val="auto"/>
        </w:rPr>
        <w:t>Not ISOs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These Stock Options are not “incentive stock options” under the federal tax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2" w:name="page43"/>
    <w:bookmarkEnd w:id="42"/>
    <w:p>
      <w:pPr>
        <w:ind w:left="660"/>
        <w:spacing w:after="0"/>
        <w:tabs>
          <w:tab w:leader="none" w:pos="2740" w:val="left"/>
        </w:tabs>
        <w:rPr>
          <w:sz w:val="20"/>
          <w:szCs w:val="20"/>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If not previously exercised or forfeited, the Stock Options expire on ________________, 20__.</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Your signature below acknowledges your agreement that the Stock Options granted to you are subject to all of the terms and conditions contained in the Plan and in Appendix A. PLEASE BE SURE TO READ APPENDIX A, WHICH CONTAINS THE SPECIFIC TERMS AND CONDITIONS OF YOUR STOCK OPTIONS.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Please sign one copy of this Stock Option Agreement (the other copy is for your files) and return the signed copy to 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TAPIMMUNE, INC</w:t>
            </w:r>
            <w:r>
              <w:rPr>
                <w:rFonts w:ascii="Arial" w:cs="Arial" w:eastAsia="Arial" w:hAnsi="Arial"/>
                <w:sz w:val="18"/>
                <w:szCs w:val="18"/>
                <w:color w:val="auto"/>
              </w:rPr>
              <w:t>.</w:t>
            </w:r>
          </w:p>
        </w:tc>
        <w:tc>
          <w:tcPr>
            <w:tcW w:w="6800" w:type="dxa"/>
            <w:vAlign w:val="bottom"/>
          </w:tcPr>
          <w:p>
            <w:pPr>
              <w:spacing w:after="0"/>
              <w:rPr>
                <w:sz w:val="20"/>
                <w:szCs w:val="20"/>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6800" w:type="dxa"/>
            <w:vAlign w:val="bottom"/>
          </w:tcPr>
          <w:p>
            <w:pPr>
              <w:ind w:left="2020"/>
              <w:spacing w:after="0"/>
              <w:rPr>
                <w:sz w:val="20"/>
                <w:szCs w:val="20"/>
                <w:color w:val="auto"/>
              </w:rPr>
            </w:pPr>
            <w:r>
              <w:rPr>
                <w:rFonts w:ascii="Arial" w:cs="Arial" w:eastAsia="Arial" w:hAnsi="Arial"/>
                <w:sz w:val="18"/>
                <w:szCs w:val="18"/>
                <w:color w:val="auto"/>
              </w:rPr>
              <w:t>________________________</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Date</w:t>
            </w:r>
          </w:p>
        </w:tc>
        <w:tc>
          <w:tcPr>
            <w:tcW w:w="6800" w:type="dxa"/>
            <w:vAlign w:val="bottom"/>
          </w:tcPr>
          <w:p>
            <w:pPr>
              <w:ind w:left="2020"/>
              <w:spacing w:after="0"/>
              <w:rPr>
                <w:sz w:val="20"/>
                <w:szCs w:val="20"/>
                <w:color w:val="auto"/>
              </w:rPr>
            </w:pPr>
            <w:r>
              <w:rPr>
                <w:rFonts w:ascii="Arial" w:cs="Arial" w:eastAsia="Arial" w:hAnsi="Arial"/>
                <w:sz w:val="18"/>
                <w:szCs w:val="18"/>
                <w:color w:val="auto"/>
              </w:rPr>
              <w:t>Glynn Wilson, President &amp; CEO</w:t>
            </w:r>
          </w:p>
        </w:tc>
      </w:tr>
      <w:tr>
        <w:trPr>
          <w:trHeight w:val="432"/>
        </w:trPr>
        <w:tc>
          <w:tcPr>
            <w:tcW w:w="4620" w:type="dxa"/>
            <w:vAlign w:val="bottom"/>
          </w:tcPr>
          <w:p>
            <w:pPr>
              <w:spacing w:after="0"/>
              <w:rPr>
                <w:sz w:val="20"/>
                <w:szCs w:val="20"/>
                <w:color w:val="auto"/>
              </w:rPr>
            </w:pPr>
            <w:r>
              <w:rPr>
                <w:rFonts w:ascii="Arial" w:cs="Arial" w:eastAsia="Arial" w:hAnsi="Arial"/>
                <w:sz w:val="18"/>
                <w:szCs w:val="18"/>
                <w:b w:val="1"/>
                <w:bCs w:val="1"/>
                <w:color w:val="auto"/>
              </w:rPr>
              <w:t>Key Employee:</w:t>
            </w:r>
          </w:p>
        </w:tc>
        <w:tc>
          <w:tcPr>
            <w:tcW w:w="680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6800" w:type="dxa"/>
            <w:vAlign w:val="bottom"/>
          </w:tcPr>
          <w:p>
            <w:pPr>
              <w:ind w:left="2020"/>
              <w:spacing w:after="0"/>
              <w:rPr>
                <w:sz w:val="20"/>
                <w:szCs w:val="20"/>
                <w:color w:val="auto"/>
              </w:rPr>
            </w:pPr>
            <w:r>
              <w:rPr>
                <w:rFonts w:ascii="Arial" w:cs="Arial" w:eastAsia="Arial" w:hAnsi="Arial"/>
                <w:sz w:val="18"/>
                <w:szCs w:val="18"/>
                <w:color w:val="auto"/>
              </w:rPr>
              <w:t>________________________</w:t>
            </w:r>
          </w:p>
        </w:tc>
      </w:tr>
      <w:tr>
        <w:trPr>
          <w:trHeight w:val="230"/>
        </w:trPr>
        <w:tc>
          <w:tcPr>
            <w:tcW w:w="4620" w:type="dxa"/>
            <w:vAlign w:val="bottom"/>
          </w:tcPr>
          <w:p>
            <w:pPr>
              <w:spacing w:after="0"/>
              <w:rPr>
                <w:sz w:val="20"/>
                <w:szCs w:val="20"/>
                <w:color w:val="auto"/>
              </w:rPr>
            </w:pPr>
          </w:p>
        </w:tc>
        <w:tc>
          <w:tcPr>
            <w:tcW w:w="6800" w:type="dxa"/>
            <w:vAlign w:val="bottom"/>
          </w:tcPr>
          <w:p>
            <w:pPr>
              <w:ind w:left="2020"/>
              <w:spacing w:after="0"/>
              <w:rPr>
                <w:sz w:val="20"/>
                <w:szCs w:val="20"/>
                <w:color w:val="auto"/>
              </w:rPr>
            </w:pPr>
            <w:r>
              <w:rPr>
                <w:rFonts w:ascii="Arial" w:cs="Arial" w:eastAsia="Arial" w:hAnsi="Arial"/>
                <w:sz w:val="18"/>
                <w:szCs w:val="18"/>
                <w:color w:val="auto"/>
              </w:rPr>
              <w:t>Date</w:t>
            </w:r>
          </w:p>
        </w:tc>
      </w:tr>
      <w:tr>
        <w:trPr>
          <w:trHeight w:val="902"/>
        </w:trPr>
        <w:tc>
          <w:tcPr>
            <w:tcW w:w="4620" w:type="dxa"/>
            <w:vAlign w:val="bottom"/>
            <w:tcBorders>
              <w:bottom w:val="single" w:sz="8" w:color="808080"/>
            </w:tcBorders>
          </w:tcPr>
          <w:p>
            <w:pPr>
              <w:spacing w:after="0"/>
              <w:rPr>
                <w:sz w:val="24"/>
                <w:szCs w:val="24"/>
                <w:color w:val="auto"/>
              </w:rPr>
            </w:pPr>
          </w:p>
        </w:tc>
        <w:tc>
          <w:tcPr>
            <w:tcW w:w="6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3" w:name="page44"/>
    <w:bookmarkEnd w:id="43"/>
    <w:p>
      <w:pPr>
        <w:ind w:left="1780"/>
        <w:spacing w:after="0"/>
        <w:tabs>
          <w:tab w:leader="none" w:pos="1032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Key Employee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TapImmune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Stock Options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this Stock Option Award Agreement, TapImmune Inc. (the “Company”) has granted the key employee of the Company named in the first page of this Award Agreement (the “Participant”) stock options under the TapImmune Inc. 2014 Omnibus Stock Ownership Plan (the “Plan”). These stock options will give the Participant a contingent right to purchase the number of shares of the Company’s Common Stock indicated on the first page of this Award Agreement upon satisfaction of the vesting requirements and other conditions set forth in this Award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the Stock Options are as follows:</w:t>
      </w:r>
    </w:p>
    <w:p>
      <w:pPr>
        <w:spacing w:after="0" w:line="252" w:lineRule="exact"/>
        <w:rPr>
          <w:sz w:val="20"/>
          <w:szCs w:val="20"/>
          <w:color w:val="auto"/>
        </w:rPr>
      </w:pPr>
    </w:p>
    <w:p>
      <w:pPr>
        <w:ind w:firstLine="494"/>
        <w:spacing w:after="0" w:line="277" w:lineRule="auto"/>
        <w:tabs>
          <w:tab w:leader="none" w:pos="66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TapImmune, Inc. (the “Company”) has granted the Participant stock options to purchase the number of shares of the Company’s Common Stock, $0.001 par value per share (“Common Stock”), specified on the first page of the Award Agreement.</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All of the terms of the Plan related to Stock Options are incorporated into this Award Agreement by reference. Defined terms not explicitly defined in this Award Agreement but defined in the Plan shall have the same definitions as in the Plan.</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Stock Options granted under this Award Agreement are not intended to be Incentive Stock Options covered by Section 422 of the Code.</w:t>
      </w:r>
    </w:p>
    <w:p>
      <w:pPr>
        <w:spacing w:after="0" w:line="264" w:lineRule="exact"/>
        <w:rPr>
          <w:sz w:val="20"/>
          <w:szCs w:val="20"/>
          <w:color w:val="auto"/>
        </w:rPr>
      </w:pPr>
    </w:p>
    <w:p>
      <w:pPr>
        <w:jc w:val="both"/>
        <w:ind w:firstLine="494"/>
        <w:spacing w:after="0" w:line="264"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price per share to be paid by the Participant for the shares purchased pursuant to these Stock Options (the “Exercise Price”) is stated on the first page of the Award Agreement. This Exercise Price shall not be less than the Fair Market Value of a share of Common Stock as of the Date of Grant (as described on the first page of the Award Agreement).</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3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Stock Options shall become vested and exercisable only if the Participant continues to be employed by the Company through the Vesting Dates set forth in the vesting schedule on the first page of the Award Agreement, and satisfies any other vesting conditions specified on such first page.</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5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Stock Options Non-Transferable</w:t>
      </w:r>
      <w:r>
        <w:rPr>
          <w:rFonts w:ascii="Arial" w:cs="Arial" w:eastAsia="Arial" w:hAnsi="Arial"/>
          <w:sz w:val="18"/>
          <w:szCs w:val="18"/>
          <w:color w:val="auto"/>
        </w:rPr>
        <w:t>. The Stock Options shall not be transferable by the Participant other than by will or the laws of descent and distribution. During the lifetime of the Participant, the Stock Options shall be exercisable only by such Participant (or by the Participant’s guardian or legal representative, should one be appointed).</w:t>
      </w:r>
    </w:p>
    <w:p>
      <w:pPr>
        <w:spacing w:after="0" w:line="208" w:lineRule="exact"/>
        <w:rPr>
          <w:rFonts w:ascii="Arial" w:cs="Arial" w:eastAsia="Arial" w:hAnsi="Arial"/>
          <w:sz w:val="18"/>
          <w:szCs w:val="18"/>
          <w:color w:val="auto"/>
        </w:rPr>
      </w:pPr>
    </w:p>
    <w:p>
      <w:pPr>
        <w:ind w:firstLine="494"/>
        <w:spacing w:after="0" w:line="277"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Notice of Exercise of Option</w:t>
      </w:r>
      <w:r>
        <w:rPr>
          <w:rFonts w:ascii="Arial" w:cs="Arial" w:eastAsia="Arial" w:hAnsi="Arial"/>
          <w:sz w:val="18"/>
          <w:szCs w:val="18"/>
          <w:color w:val="auto"/>
        </w:rPr>
        <w:t>. The Stock Options may be exercised by the Participant by delivery of a written notice signed by the Participant to the Company to the attention of the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President/Chief Executive Officer or such other officer of the Company as the President/Chief Executive Officer may designate. Any such notice shall:</w:t>
      </w:r>
    </w:p>
    <w:p>
      <w:pPr>
        <w:spacing w:after="0" w:line="264" w:lineRule="exact"/>
        <w:rPr>
          <w:sz w:val="20"/>
          <w:szCs w:val="20"/>
          <w:color w:val="auto"/>
        </w:rPr>
      </w:pPr>
    </w:p>
    <w:p>
      <w:pPr>
        <w:ind w:left="1220" w:hanging="334"/>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specify the number of shares of Common Stock which the Participant, then elects to purchase by exercising the Stock Options,</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contain such information as may be reasonably required pursuant to Section 13 below, and</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 accompanied by payment in full of the Exercise Price for the Stock Options being exercised, as described in Section 6 below.</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Participant must exercise the Stock Options for at least 100 shares, or, if less the full number of shares shown as Purchasable Shares in the vesting schedule set forth on page 1 of this Agreement as to which the Stock Options remain unexercised.</w:t>
      </w:r>
    </w:p>
    <w:p>
      <w:pPr>
        <w:spacing w:after="0" w:line="19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Upon receipt of any such notice and accompanying payment of the Exercise Price, and subject to the terms hereof, the Company agrees to issue to the Participant, stock certificates for the number of shares specified in such notice registered in the name of the person exercising the Stock Options.</w:t>
      </w:r>
    </w:p>
    <w:p>
      <w:pPr>
        <w:spacing w:after="0" w:line="174" w:lineRule="exact"/>
        <w:rPr>
          <w:sz w:val="20"/>
          <w:szCs w:val="20"/>
          <w:color w:val="auto"/>
        </w:rPr>
      </w:pPr>
    </w:p>
    <w:p>
      <w:pPr>
        <w:ind w:firstLine="494"/>
        <w:spacing w:after="0" w:line="277" w:lineRule="auto"/>
        <w:tabs>
          <w:tab w:leader="none" w:pos="95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Payment of the Exercise Price due upon the exercise of the Stock Options may be made in any one or in any combination of the following forms:</w:t>
      </w:r>
    </w:p>
    <w:p>
      <w:pPr>
        <w:spacing w:after="0" w:line="197" w:lineRule="exact"/>
        <w:rPr>
          <w:rFonts w:ascii="Arial" w:cs="Arial" w:eastAsia="Arial" w:hAnsi="Arial"/>
          <w:sz w:val="18"/>
          <w:szCs w:val="18"/>
          <w:color w:val="auto"/>
        </w:rPr>
      </w:pPr>
    </w:p>
    <w:p>
      <w:pPr>
        <w:ind w:left="1540" w:hanging="654"/>
        <w:spacing w:after="0"/>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cash ( by a certified or cashier’s check);</w:t>
      </w:r>
    </w:p>
    <w:p>
      <w:pPr>
        <w:spacing w:after="0" w:line="252"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form of shares of Common Stock owned by the Participant having a Fair Market Value equal to the total Exercise Price at the time of the exercise, accompanied by and duly endorsed or accompanied by stock transfer powers;</w:t>
      </w:r>
    </w:p>
    <w:p>
      <w:pPr>
        <w:spacing w:after="0" w:line="197"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form of shares of restricted stock issued to the Participant having a Fair Market Value equal to the total Exercise Price at the time of the exercise, accompanied by and duly endorsed or accompanied by stock transfer powers;</w:t>
      </w:r>
    </w:p>
    <w:p>
      <w:pPr>
        <w:spacing w:after="0" w:line="197" w:lineRule="exact"/>
        <w:rPr>
          <w:rFonts w:ascii="Arial" w:cs="Arial" w:eastAsia="Arial" w:hAnsi="Arial"/>
          <w:sz w:val="18"/>
          <w:szCs w:val="18"/>
          <w:color w:val="auto"/>
        </w:rPr>
      </w:pPr>
    </w:p>
    <w:p>
      <w:pPr>
        <w:ind w:left="1540" w:right="20" w:hanging="654"/>
        <w:spacing w:after="0" w:line="277"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through simultaneous sale through a broker acceptable to the Committee of shares of Common Stock issuable to the Participant on exercise, as permitted under Regulation T of the Board of Governors of the Federal Reserve System.</w:t>
      </w:r>
    </w:p>
    <w:p>
      <w:pPr>
        <w:spacing w:after="0" w:line="197" w:lineRule="exact"/>
        <w:rPr>
          <w:rFonts w:ascii="Arial" w:cs="Arial" w:eastAsia="Arial" w:hAnsi="Arial"/>
          <w:sz w:val="18"/>
          <w:szCs w:val="18"/>
          <w:color w:val="auto"/>
        </w:rPr>
      </w:pPr>
    </w:p>
    <w:p>
      <w:pPr>
        <w:jc w:val="both"/>
        <w:ind w:right="20" w:firstLine="494"/>
        <w:spacing w:after="0" w:line="286" w:lineRule="auto"/>
        <w:tabs>
          <w:tab w:leader="none" w:pos="905"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Issuance of Stock Certificates for Shares</w:t>
      </w:r>
      <w:r>
        <w:rPr>
          <w:rFonts w:ascii="Arial" w:cs="Arial" w:eastAsia="Arial" w:hAnsi="Arial"/>
          <w:sz w:val="17"/>
          <w:szCs w:val="17"/>
          <w:color w:val="auto"/>
        </w:rPr>
        <w:t>. The stock certificates for any shares of Common Stock issuable to the Participant upon exercise of the Stock Options shall be delivered to the Participant (or to the person to whom the rights of the Participant shall have passed by will or the laws of descent and distribution) as promptly after the date of exercise as is feasible, but not before the Participant has paid the Exercise Price for such shares.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6"/>
          <w:szCs w:val="16"/>
          <w:color w:val="auto"/>
        </w:rPr>
        <w:t>A legend in the form set forth below shall be placed on the certificates representing the shares of Common Stock issued upon exercise of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38" w:lineRule="exact"/>
        <w:rPr>
          <w:sz w:val="20"/>
          <w:szCs w:val="20"/>
          <w:color w:val="auto"/>
        </w:rPr>
      </w:pPr>
    </w:p>
    <w:p>
      <w:pPr>
        <w:jc w:val="both"/>
        <w:ind w:left="1300" w:right="640"/>
        <w:spacing w:after="0" w:line="259" w:lineRule="auto"/>
        <w:rPr>
          <w:sz w:val="20"/>
          <w:szCs w:val="20"/>
          <w:color w:val="auto"/>
        </w:rPr>
      </w:pPr>
      <w:r>
        <w:rPr>
          <w:rFonts w:ascii="Arial" w:cs="Arial" w:eastAsia="Arial" w:hAnsi="Arial"/>
          <w:sz w:val="18"/>
          <w:szCs w:val="18"/>
          <w:color w:val="auto"/>
        </w:rPr>
        <w:t>“These securities have not been registered under the Securities Act of 1933, as amended (the “Act”) or the securities laws of any state. They may not be sold, offered for sale, pledged or hypothecated in the absence of a registration statement in effect with respect to the securities under such Act and any applicable state securities laws, or an opinion of counsel reasonably satisfactory to TapImmune Inc. that such registration is not required.”</w:t>
      </w:r>
    </w:p>
    <w:p>
      <w:pPr>
        <w:spacing w:after="0" w:line="214" w:lineRule="exact"/>
        <w:rPr>
          <w:sz w:val="20"/>
          <w:szCs w:val="20"/>
          <w:color w:val="auto"/>
        </w:rPr>
      </w:pPr>
    </w:p>
    <w:p>
      <w:pPr>
        <w:jc w:val="both"/>
        <w:ind w:firstLine="494"/>
        <w:spacing w:after="0" w:line="255" w:lineRule="auto"/>
        <w:tabs>
          <w:tab w:leader="none" w:pos="918"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In connection with the exercise of the Stock Options, the Company shall notify the Participant of the amount of tax (if any) that must be withheld by the Company under all applicable federal, state and local tax laws. In such event, the Participant agrees to make arrangements satisfactory to the Company to (a) remit the required amount to the Company in cash, (b) authorize the Company to withhold a portion of the shares of Common Stock otherwise issuable upon exercise of the Stock Options with a value equal to the required amount of tax, (c) deliver to the Company shares of Common Stock the Participant already owns with a value equal to the required amount, (d) authorize the deduction of the required amount of tax from the Participant’s regular cash compensation from the Company, or (e) otherwise provide for payment of the required amount in any other manner satisfactory to the Company.</w:t>
      </w:r>
    </w:p>
    <w:p>
      <w:pPr>
        <w:spacing w:after="0" w:line="216" w:lineRule="exact"/>
        <w:rPr>
          <w:rFonts w:ascii="Arial" w:cs="Arial" w:eastAsia="Arial" w:hAnsi="Arial"/>
          <w:sz w:val="18"/>
          <w:szCs w:val="18"/>
          <w:color w:val="auto"/>
        </w:rPr>
      </w:pPr>
    </w:p>
    <w:p>
      <w:pPr>
        <w:jc w:val="both"/>
        <w:ind w:firstLine="494"/>
        <w:spacing w:after="0" w:line="312" w:lineRule="auto"/>
        <w:tabs>
          <w:tab w:leader="none" w:pos="891"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Expiration of Options</w:t>
      </w:r>
      <w:r>
        <w:rPr>
          <w:rFonts w:ascii="Arial" w:cs="Arial" w:eastAsia="Arial" w:hAnsi="Arial"/>
          <w:sz w:val="16"/>
          <w:szCs w:val="16"/>
          <w:color w:val="auto"/>
        </w:rPr>
        <w:t>. If the Stock Options are not exercised with respect to all or any part of the shares subject to the Stock Options prior to the expiration date specified on the first page of the Award Agreement (which shall be no later than ten (10) years from the date of grant), the Stock Options shall expire, and any shares with respect to which the Stock Options were not previously exercised shall no longer be purchasable by exercising the Stock Options.</w:t>
      </w:r>
    </w:p>
    <w:p>
      <w:pPr>
        <w:spacing w:after="0" w:line="173" w:lineRule="exact"/>
        <w:rPr>
          <w:rFonts w:ascii="Arial" w:cs="Arial" w:eastAsia="Arial" w:hAnsi="Arial"/>
          <w:sz w:val="16"/>
          <w:szCs w:val="16"/>
          <w:color w:val="auto"/>
        </w:rPr>
      </w:pPr>
    </w:p>
    <w:p>
      <w:pPr>
        <w:ind w:left="820" w:hanging="326"/>
        <w:spacing w:after="0"/>
        <w:tabs>
          <w:tab w:leader="none" w:pos="820"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Termination of Services</w:t>
      </w:r>
      <w:r>
        <w:rPr>
          <w:rFonts w:ascii="Arial" w:cs="Arial" w:eastAsia="Arial" w:hAnsi="Arial"/>
          <w:sz w:val="16"/>
          <w:szCs w:val="16"/>
          <w:color w:val="auto"/>
        </w:rPr>
        <w:t>. In the event of the termination of the Participant’s employment by the Company, other than a termination that is either</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Cause, (ii) voluntarily initiated on the part of the Participant and without written consent of the Company,</w:t>
      </w:r>
    </w:p>
    <w:p>
      <w:pPr>
        <w:spacing w:after="0" w:line="237" w:lineRule="exact"/>
        <w:rPr>
          <w:rFonts w:ascii="Arial" w:cs="Arial" w:eastAsia="Arial" w:hAnsi="Arial"/>
          <w:sz w:val="18"/>
          <w:szCs w:val="18"/>
          <w:color w:val="auto"/>
        </w:rPr>
      </w:pPr>
    </w:p>
    <w:p>
      <w:pPr>
        <w:ind w:left="1220" w:hanging="334"/>
        <w:spacing w:after="0"/>
        <w:tabs>
          <w:tab w:leader="none" w:pos="1220" w:val="left"/>
        </w:tabs>
        <w:numPr>
          <w:ilvl w:val="2"/>
          <w:numId w:val="52"/>
        </w:numPr>
        <w:rPr>
          <w:rFonts w:ascii="Arial" w:cs="Arial" w:eastAsia="Arial" w:hAnsi="Arial"/>
          <w:sz w:val="17"/>
          <w:szCs w:val="17"/>
          <w:color w:val="auto"/>
        </w:rPr>
      </w:pPr>
      <w:r>
        <w:rPr>
          <w:rFonts w:ascii="Arial" w:cs="Arial" w:eastAsia="Arial" w:hAnsi="Arial"/>
          <w:sz w:val="17"/>
          <w:szCs w:val="17"/>
          <w:color w:val="auto"/>
        </w:rPr>
        <w:t>the unvested portion of the Stock Options (if any) shall terminate immediately and shall not thereafter be or become exercisable; and</w:t>
      </w:r>
    </w:p>
    <w:p>
      <w:pPr>
        <w:spacing w:after="0" w:line="263" w:lineRule="exact"/>
        <w:rPr>
          <w:rFonts w:ascii="Arial" w:cs="Arial" w:eastAsia="Arial" w:hAnsi="Arial"/>
          <w:sz w:val="17"/>
          <w:szCs w:val="17"/>
          <w:color w:val="auto"/>
        </w:rPr>
      </w:pPr>
    </w:p>
    <w:p>
      <w:pPr>
        <w:jc w:val="both"/>
        <w:ind w:left="1220" w:hanging="334"/>
        <w:spacing w:after="0" w:line="264" w:lineRule="auto"/>
        <w:tabs>
          <w:tab w:leader="none" w:pos="122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the Participant may exercise the vested portion of the Stock Options at any time within ninety (90) days after such termination of employment to the extent of the number of shares which were Purchasable Shares under the vesting schedule on the first page of this Award Agreement at the date of such termination.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a termination of the Participant’s employment with the Company that is either (i) for Cause or (ii) voluntarily initiated on the part of the Participant and without the written consent of the Company, all of the Stock Options which have not previously been exercised shall terminate immediately and shall not thereafter be or become exercisable.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jc w:val="both"/>
        <w:ind w:firstLine="494"/>
        <w:spacing w:after="0" w:line="273" w:lineRule="auto"/>
        <w:tabs>
          <w:tab w:leader="none" w:pos="808"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In the event of the Participant’s death while employed by the Company or within three months after termination of such employment (if such termination of employment was not for cause), the Stock Options shall remain in effect and may be exercised by the Participant’s executor or administrator, or the Participant’s heirs to the extent of the number of shares that were Purchasable Shares under the vesting schedule on the first page of the Award Agreement at the date of death. The appropriate persons to whom the right to exercise the Stock Options transferred may exercise that portion of the Stock Options at any time within a period ending on the earlier of (a) the last day of the one year period following the Participant’s death or (b) the expiration date of the Stock Options specified on the first page of the Award Agreement.</w:t>
      </w:r>
    </w:p>
    <w:p>
      <w:pPr>
        <w:spacing w:after="0" w:line="205" w:lineRule="exact"/>
        <w:rPr>
          <w:rFonts w:ascii="Arial" w:cs="Arial" w:eastAsia="Arial" w:hAnsi="Arial"/>
          <w:sz w:val="17"/>
          <w:szCs w:val="17"/>
          <w:color w:val="auto"/>
        </w:rPr>
      </w:pPr>
    </w:p>
    <w:p>
      <w:pPr>
        <w:ind w:firstLine="494"/>
        <w:spacing w:after="0" w:line="342" w:lineRule="auto"/>
        <w:tabs>
          <w:tab w:leader="none" w:pos="801"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Representations of Participant</w:t>
      </w:r>
      <w:r>
        <w:rPr>
          <w:rFonts w:ascii="Arial" w:cs="Arial" w:eastAsia="Arial" w:hAnsi="Arial"/>
          <w:sz w:val="16"/>
          <w:szCs w:val="16"/>
          <w:color w:val="auto"/>
        </w:rPr>
        <w:t>. The Participant represents, warrants, and agrees as follows, and the parties agree that the Company may rely on the same in consummating the issuance of any shares of the Common Stock to the Participant pursuant to the Stock Options (the “Option Shares”):</w:t>
      </w:r>
    </w:p>
    <w:p>
      <w:pPr>
        <w:spacing w:after="0" w:line="150"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The Participant is entering into this Agreement, and will acquire the Option Shares, solely on the basis of his own familiarity with the Company and all relevant factors about the Company’s affairs, and neither the Company nor any agent of the Company has made any express or implied representations, covenants, or warranties to the Participant with respect to such matters.</w:t>
      </w:r>
    </w:p>
    <w:p>
      <w:pPr>
        <w:spacing w:after="0" w:line="192"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Participant is acquiring the Option Shares for his own account for investment and not with a view to the resale or distribution of the Option Shares.</w:t>
      </w:r>
    </w:p>
    <w:p>
      <w:pPr>
        <w:spacing w:after="0" w:line="19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Economic Risk</w:t>
      </w:r>
      <w:r>
        <w:rPr>
          <w:rFonts w:ascii="Arial" w:cs="Arial" w:eastAsia="Arial" w:hAnsi="Arial"/>
          <w:sz w:val="18"/>
          <w:szCs w:val="18"/>
          <w:color w:val="auto"/>
        </w:rPr>
        <w:t>. The Participant is willing and able to bear the economic risk of an investment in the Option Shares (in making this representation, attention has been given to whether the Participant can afford to hold the Option Shares for an indefinite period of time and whether, at this time, the Participant can afford a complete loss of the investment).</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Holding of Restricted Shares</w:t>
      </w:r>
      <w:r>
        <w:rPr>
          <w:rFonts w:ascii="Arial" w:cs="Arial" w:eastAsia="Arial" w:hAnsi="Arial"/>
          <w:sz w:val="18"/>
          <w:szCs w:val="18"/>
          <w:color w:val="auto"/>
        </w:rPr>
        <w:t>. The Participant acknowledges that the Option Shares have not been registered under the Securities Act of 1933, as amended (the “1933 Act”) and, therefore, cannot be resold unless they are subsequently registered under the 1933 Act or an exemption from such registration is available, as determined by the Company to its reasonable satisfaction.</w:t>
      </w:r>
    </w:p>
    <w:p>
      <w:pPr>
        <w:spacing w:after="0" w:line="208" w:lineRule="exact"/>
        <w:rPr>
          <w:rFonts w:ascii="Arial" w:cs="Arial" w:eastAsia="Arial" w:hAnsi="Arial"/>
          <w:sz w:val="18"/>
          <w:szCs w:val="18"/>
          <w:color w:val="auto"/>
        </w:rPr>
      </w:pPr>
    </w:p>
    <w:p>
      <w:pPr>
        <w:jc w:val="both"/>
        <w:ind w:firstLine="494"/>
        <w:spacing w:after="0" w:line="293" w:lineRule="auto"/>
        <w:tabs>
          <w:tab w:leader="none" w:pos="81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 and Other Regulatory Matters</w:t>
      </w:r>
      <w:r>
        <w:rPr>
          <w:rFonts w:ascii="Arial" w:cs="Arial" w:eastAsia="Arial" w:hAnsi="Arial"/>
          <w:sz w:val="16"/>
          <w:szCs w:val="16"/>
          <w:color w:val="auto"/>
        </w:rPr>
        <w:t>. The Participant acknowledges that the issuance of capital stock of the Company is subject to limitations imposed by federal and state law, and the Participant hereby agrees that the Company shall not be obligated to issue any shares of Common Stock upon an attempted exercise of this Stock Options that would cause the Company to violate law or any rule, regulation, order or consent decree of any regulatory authority (including without limitation the SEC) having jurisdiction over the affairs of the Company. The Participant agrees that he or she will provide the Company with the representations in Section 12 above, and with such information as is reasonably requested by the Company or its counsel to determine whether the issuance of Common Stock complies with the provisions described by this Section 13.</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7" w:name="page48"/>
    <w:bookmarkEnd w:id="47"/>
    <w:p>
      <w:pPr>
        <w:jc w:val="both"/>
        <w:ind w:left="-20" w:firstLine="494"/>
        <w:spacing w:after="0" w:line="264" w:lineRule="auto"/>
        <w:tabs>
          <w:tab w:leader="none" w:pos="79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Rights Prior to Issuance of Certificates</w:t>
      </w:r>
      <w:r>
        <w:rPr>
          <w:rFonts w:ascii="Arial" w:cs="Arial" w:eastAsia="Arial" w:hAnsi="Arial"/>
          <w:sz w:val="18"/>
          <w:szCs w:val="18"/>
          <w:color w:val="auto"/>
        </w:rPr>
        <w:t>. Neither the Participant nor any person to whom the rights of the Participant shall have passed by will or the laws of descent and distribution shall have any of the rights of a shareholder with respect to any shares of Common Stock until the date of the issuance to him of certificates for such Common Stock as provided in Section 7 above.</w:t>
      </w:r>
    </w:p>
    <w:p>
      <w:pPr>
        <w:spacing w:after="0" w:line="204" w:lineRule="exact"/>
        <w:rPr>
          <w:rFonts w:ascii="Arial" w:cs="Arial" w:eastAsia="Arial" w:hAnsi="Arial"/>
          <w:sz w:val="18"/>
          <w:szCs w:val="18"/>
          <w:color w:val="auto"/>
        </w:rPr>
      </w:pPr>
    </w:p>
    <w:p>
      <w:pPr>
        <w:jc w:val="both"/>
        <w:ind w:left="-20" w:firstLine="494"/>
        <w:spacing w:after="0" w:line="273" w:lineRule="auto"/>
        <w:tabs>
          <w:tab w:leader="none" w:pos="83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Covenant Not to Compete</w:t>
      </w:r>
      <w:r>
        <w:rPr>
          <w:rFonts w:ascii="Arial" w:cs="Arial" w:eastAsia="Arial" w:hAnsi="Arial"/>
          <w:sz w:val="17"/>
          <w:szCs w:val="17"/>
          <w:b w:val="1"/>
          <w:bCs w:val="1"/>
          <w:color w:val="auto"/>
        </w:rPr>
        <w:t>.</w:t>
      </w:r>
      <w:r>
        <w:rPr>
          <w:rFonts w:ascii="Arial" w:cs="Arial" w:eastAsia="Arial" w:hAnsi="Arial"/>
          <w:sz w:val="17"/>
          <w:szCs w:val="17"/>
          <w:color w:val="auto"/>
        </w:rPr>
        <w:t xml:space="preserve"> If the Participant has not already executed a non-competition agreement with the Company, the Participant shall provide the Company with a signed non-competition agreement simultaneously with the execution of the Award Agreement. The Participant’s execution and delivery of such a non-competition agreement in a form reasonably satisfactory to the Company shall be a condition to the Company’s obligation to issue any shares to the Participant upon exercise of the Stock Options granted under this Agreement. In consideration of the Stock Options, the Participant agrees that if, at any time during the period set forth in non-competition agreement, the Participant should violate the covenants not to compete or the non-solicitation covenants set forth in the non-competition agreement without the express prior consent of the Company, the Participant will forfeit his or her right to receive or retain the shares issued upon the exercise of the Stock Options granted under this Agreement.</w:t>
      </w:r>
    </w:p>
    <w:p>
      <w:pPr>
        <w:spacing w:after="0" w:line="203" w:lineRule="exact"/>
        <w:rPr>
          <w:rFonts w:ascii="Arial" w:cs="Arial" w:eastAsia="Arial" w:hAnsi="Arial"/>
          <w:sz w:val="17"/>
          <w:szCs w:val="17"/>
          <w:color w:val="auto"/>
        </w:rPr>
      </w:pPr>
    </w:p>
    <w:p>
      <w:pPr>
        <w:jc w:val="both"/>
        <w:ind w:left="-20" w:firstLine="494"/>
        <w:spacing w:after="0" w:line="259" w:lineRule="auto"/>
        <w:tabs>
          <w:tab w:leader="none" w:pos="79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Governing Plan Document</w:t>
      </w:r>
      <w:r>
        <w:rPr>
          <w:rFonts w:ascii="Arial" w:cs="Arial" w:eastAsia="Arial" w:hAnsi="Arial"/>
          <w:sz w:val="18"/>
          <w:szCs w:val="18"/>
          <w:color w:val="auto"/>
        </w:rPr>
        <w:t>. The Stock Options granted to the Participant under this Agreement are subject to all the provisions of the Plan, the provisions of which are hereby made a part of this Agreement,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213" w:lineRule="exact"/>
        <w:rPr>
          <w:rFonts w:ascii="Arial" w:cs="Arial" w:eastAsia="Arial" w:hAnsi="Arial"/>
          <w:sz w:val="18"/>
          <w:szCs w:val="18"/>
          <w:color w:val="auto"/>
        </w:rPr>
      </w:pPr>
    </w:p>
    <w:p>
      <w:pPr>
        <w:ind w:left="780" w:hanging="30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52" w:lineRule="exact"/>
        <w:rPr>
          <w:rFonts w:ascii="Arial" w:cs="Arial" w:eastAsia="Arial" w:hAnsi="Arial"/>
          <w:sz w:val="18"/>
          <w:szCs w:val="18"/>
          <w:color w:val="auto"/>
        </w:rPr>
      </w:pPr>
    </w:p>
    <w:p>
      <w:pPr>
        <w:ind w:left="1200" w:hanging="334"/>
        <w:spacing w:after="0"/>
        <w:tabs>
          <w:tab w:leader="none" w:pos="12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This Agreement shall be binding upon the parties hereto and their representatives, successors and assigns.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200" w:hanging="334"/>
        <w:spacing w:after="0" w:line="342" w:lineRule="auto"/>
        <w:tabs>
          <w:tab w:leader="none" w:pos="12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Participant acknowledges and agrees that if he should become an executive officer of the Company, the Stock Options granted under this Agreement may be subject to the Company’s Policy on Recoupment of Executive Compensation, as it may be amended from time to time.</w:t>
      </w:r>
    </w:p>
    <w:p>
      <w:pPr>
        <w:spacing w:after="0" w:line="150" w:lineRule="exact"/>
        <w:rPr>
          <w:rFonts w:ascii="Arial" w:cs="Arial" w:eastAsia="Arial" w:hAnsi="Arial"/>
          <w:sz w:val="16"/>
          <w:szCs w:val="16"/>
          <w:color w:val="auto"/>
        </w:rPr>
      </w:pPr>
    </w:p>
    <w:p>
      <w:pPr>
        <w:ind w:left="1200" w:hanging="334"/>
        <w:spacing w:after="0"/>
        <w:tabs>
          <w:tab w:leader="none" w:pos="12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w:t>
      </w:r>
    </w:p>
    <w:p>
      <w:pPr>
        <w:spacing w:after="0" w:line="252" w:lineRule="exact"/>
        <w:rPr>
          <w:rFonts w:ascii="Arial" w:cs="Arial" w:eastAsia="Arial" w:hAnsi="Arial"/>
          <w:sz w:val="18"/>
          <w:szCs w:val="18"/>
          <w:color w:val="auto"/>
        </w:rPr>
      </w:pPr>
    </w:p>
    <w:p>
      <w:pPr>
        <w:jc w:val="both"/>
        <w:ind w:left="1200" w:hanging="334"/>
        <w:spacing w:after="0" w:line="255" w:lineRule="auto"/>
        <w:tabs>
          <w:tab w:leader="none" w:pos="12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requests or notices to be given hereunder shall be deemed given, and any elections or exercises to be made or accomplished shall be deemed made or accomplished, upon actual delivery thereof to the designated recipient, or three days after deposit thereof in the United States mail, registered, return receipt requested and postage prepaid, addressed, if to the Participant, at the most recent mailing address provided to the Company in writing, and, if to the Company, to the executive offices of the Company at 50 North Laura St., Suite 2500, Jacksonville, FL 32202, or at such other addresses that the parties provide to each other in accordance with the foregoing notice requirements.</w:t>
      </w:r>
    </w:p>
    <w:p>
      <w:pPr>
        <w:spacing w:after="0" w:line="193" w:lineRule="exact"/>
        <w:rPr>
          <w:rFonts w:ascii="Arial" w:cs="Arial" w:eastAsia="Arial" w:hAnsi="Arial"/>
          <w:sz w:val="18"/>
          <w:szCs w:val="18"/>
          <w:color w:val="auto"/>
        </w:rPr>
      </w:pPr>
    </w:p>
    <w:p>
      <w:pPr>
        <w:ind w:left="1200" w:hanging="334"/>
        <w:spacing w:after="0"/>
        <w:tabs>
          <w:tab w:leader="none" w:pos="12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This Agreement may not be modified except in writing executed by each of the parties to it.</w:t>
      </w:r>
    </w:p>
    <w:p>
      <w:pPr>
        <w:spacing w:after="0" w:line="252" w:lineRule="exact"/>
        <w:rPr>
          <w:rFonts w:ascii="Arial" w:cs="Arial" w:eastAsia="Arial" w:hAnsi="Arial"/>
          <w:sz w:val="18"/>
          <w:szCs w:val="18"/>
          <w:color w:val="auto"/>
        </w:rPr>
      </w:pPr>
    </w:p>
    <w:p>
      <w:pPr>
        <w:ind w:left="1200" w:hanging="334"/>
        <w:spacing w:after="0" w:line="277" w:lineRule="auto"/>
        <w:tabs>
          <w:tab w:leader="none" w:pos="12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Neither this Agreement nor the Stock Options confer upon the Participant any right with respect to continue his employment with the Company or otherwise continue to provide his services to the Company.</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50430" cy="450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60" w:top="76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10.5</w:t>
      </w:r>
    </w:p>
    <w:p>
      <w:pPr>
        <w:spacing w:after="0" w:line="200" w:lineRule="exact"/>
        <w:rPr>
          <w:sz w:val="20"/>
          <w:szCs w:val="20"/>
          <w:color w:val="auto"/>
        </w:rPr>
      </w:pPr>
    </w:p>
    <w:p>
      <w:pPr>
        <w:spacing w:after="0" w:line="289" w:lineRule="exact"/>
        <w:rPr>
          <w:sz w:val="20"/>
          <w:szCs w:val="20"/>
          <w:color w:val="auto"/>
        </w:rPr>
      </w:pPr>
    </w:p>
    <w:p>
      <w:pPr>
        <w:ind w:left="1100"/>
        <w:spacing w:after="0"/>
        <w:tabs>
          <w:tab w:leader="none" w:pos="966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Non-Employee Director</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TapImmune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2014 Omnibus Stock Ownership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w:t>
      </w:r>
    </w:p>
    <w:p>
      <w:pPr>
        <w:spacing w:after="0" w:line="252"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color w:val="auto"/>
        </w:rPr>
        <w:t>TapImmune Inc. hereby grants you stock options to purchase up to ______________ shares of our common stock (the “Stock Options”).</w:t>
      </w:r>
      <w:r>
        <w:rPr>
          <w:sz w:val="20"/>
          <w:szCs w:val="20"/>
          <w:color w:val="auto"/>
        </w:rPr>
        <w:tab/>
      </w:r>
      <w:r>
        <w:rPr>
          <w:rFonts w:ascii="Arial" w:cs="Arial" w:eastAsia="Arial" w:hAnsi="Arial"/>
          <w:sz w:val="16"/>
          <w:szCs w:val="16"/>
          <w:color w:val="auto"/>
        </w:rPr>
        <w:t>These Stock</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Options are subject to the terms and conditions set forth in the TapImmune Inc. 2014 Omnibus Stock Ownership Plan (the “Plan”) and in the attached Appendix 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Covered Shares:</w:t>
            </w:r>
          </w:p>
        </w:tc>
        <w:tc>
          <w:tcPr>
            <w:tcW w:w="860" w:type="dxa"/>
            <w:vAlign w:val="bottom"/>
          </w:tcPr>
          <w:p>
            <w:pPr>
              <w:spacing w:after="0"/>
              <w:rPr>
                <w:sz w:val="17"/>
                <w:szCs w:val="17"/>
                <w:color w:val="auto"/>
              </w:rPr>
            </w:pP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____________ shares of common stock, par value $0.001 per</w:t>
            </w:r>
          </w:p>
        </w:tc>
      </w:tr>
      <w:tr>
        <w:trPr>
          <w:trHeight w:val="237"/>
        </w:trPr>
        <w:tc>
          <w:tcPr>
            <w:tcW w:w="6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share.</w:t>
            </w:r>
          </w:p>
        </w:tc>
        <w:tc>
          <w:tcPr>
            <w:tcW w:w="3820" w:type="dxa"/>
            <w:vAlign w:val="bottom"/>
          </w:tcPr>
          <w:p>
            <w:pPr>
              <w:spacing w:after="0"/>
              <w:rPr>
                <w:sz w:val="20"/>
                <w:szCs w:val="20"/>
                <w:color w:val="auto"/>
              </w:rPr>
            </w:pPr>
          </w:p>
        </w:tc>
      </w:tr>
      <w:tr>
        <w:trPr>
          <w:trHeight w:val="419"/>
        </w:trPr>
        <w:tc>
          <w:tcPr>
            <w:tcW w:w="66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Exercise Price:</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w w:val="96"/>
              </w:rPr>
              <w:t>The purchase price for these shares will be $_______ per share.</w:t>
            </w:r>
          </w:p>
        </w:tc>
        <w:tc>
          <w:tcPr>
            <w:tcW w:w="38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39"/>
        </w:trPr>
        <w:tc>
          <w:tcPr>
            <w:tcW w:w="2360" w:type="dxa"/>
            <w:vAlign w:val="bottom"/>
            <w:gridSpan w:val="6"/>
          </w:tcPr>
          <w:p>
            <w:pPr>
              <w:spacing w:after="0"/>
              <w:rPr>
                <w:sz w:val="20"/>
                <w:szCs w:val="20"/>
                <w:color w:val="auto"/>
              </w:rPr>
            </w:pPr>
            <w:r>
              <w:rPr>
                <w:rFonts w:ascii="Arial" w:cs="Arial" w:eastAsia="Arial" w:hAnsi="Arial"/>
                <w:sz w:val="18"/>
                <w:szCs w:val="18"/>
                <w:color w:val="auto"/>
              </w:rPr>
              <w:t>Date of Grant:</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The “Date of Grant” for your Stock Options is ___________,</w:t>
            </w:r>
          </w:p>
        </w:tc>
        <w:tc>
          <w:tcPr>
            <w:tcW w:w="3820" w:type="dxa"/>
            <w:vAlign w:val="bottom"/>
          </w:tcPr>
          <w:p>
            <w:pPr>
              <w:spacing w:after="0"/>
              <w:rPr>
                <w:sz w:val="24"/>
                <w:szCs w:val="24"/>
                <w:color w:val="auto"/>
              </w:rPr>
            </w:pPr>
          </w:p>
        </w:tc>
      </w:tr>
      <w:tr>
        <w:trPr>
          <w:trHeight w:val="237"/>
        </w:trPr>
        <w:tc>
          <w:tcPr>
            <w:tcW w:w="6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419"/>
        </w:trPr>
        <w:tc>
          <w:tcPr>
            <w:tcW w:w="66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Vesting Schedule:</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w w:val="94"/>
              </w:rPr>
              <w:t>You may exercise your Stock Options after they become “vested.”</w:t>
            </w:r>
          </w:p>
        </w:tc>
        <w:tc>
          <w:tcPr>
            <w:tcW w:w="3820" w:type="dxa"/>
            <w:vAlign w:val="bottom"/>
          </w:tcPr>
          <w:p>
            <w:pPr>
              <w:ind w:left="60"/>
              <w:spacing w:after="0"/>
              <w:rPr>
                <w:sz w:val="20"/>
                <w:szCs w:val="20"/>
                <w:color w:val="auto"/>
              </w:rPr>
            </w:pPr>
            <w:r>
              <w:rPr>
                <w:rFonts w:ascii="Arial" w:cs="Arial" w:eastAsia="Arial" w:hAnsi="Arial"/>
                <w:sz w:val="18"/>
                <w:szCs w:val="18"/>
                <w:color w:val="auto"/>
                <w:w w:val="93"/>
              </w:rPr>
              <w:t>Vesting is subject to your continued service on the</w:t>
            </w:r>
          </w:p>
        </w:tc>
      </w:tr>
      <w:tr>
        <w:trPr>
          <w:trHeight w:val="237"/>
        </w:trPr>
        <w:tc>
          <w:tcPr>
            <w:tcW w:w="6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9060" w:type="dxa"/>
            <w:vAlign w:val="bottom"/>
            <w:gridSpan w:val="4"/>
          </w:tcPr>
          <w:p>
            <w:pPr>
              <w:ind w:left="240"/>
              <w:spacing w:after="0"/>
              <w:rPr>
                <w:sz w:val="20"/>
                <w:szCs w:val="20"/>
                <w:color w:val="auto"/>
              </w:rPr>
            </w:pPr>
            <w:r>
              <w:rPr>
                <w:rFonts w:ascii="Arial" w:cs="Arial" w:eastAsia="Arial" w:hAnsi="Arial"/>
                <w:sz w:val="18"/>
                <w:szCs w:val="18"/>
                <w:color w:val="auto"/>
              </w:rPr>
              <w:t>Board of Directors of TapImmune through the following vesting dates.</w:t>
            </w:r>
          </w:p>
        </w:tc>
      </w:tr>
      <w:tr>
        <w:trPr>
          <w:trHeight w:val="682"/>
        </w:trPr>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Vesting Date</w:t>
            </w:r>
          </w:p>
        </w:tc>
        <w:tc>
          <w:tcPr>
            <w:tcW w:w="8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0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Number of Purchasable Shares</w:t>
            </w:r>
          </w:p>
        </w:tc>
        <w:tc>
          <w:tcPr>
            <w:tcW w:w="38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Total Number of Purchasable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Notwithstanding the foregoing, the Stock Options will become fully vested upon a “change in control” (as this term is defined in the Plan).</w:t>
      </w:r>
    </w:p>
    <w:p>
      <w:pPr>
        <w:spacing w:after="0" w:line="275"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u w:val="single" w:color="auto"/>
          <w:color w:val="auto"/>
        </w:rPr>
        <w:t>Not ISOs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These Stock Options are not “incentive stock options” under the federal tax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9" w:name="page50"/>
    <w:bookmarkEnd w:id="49"/>
    <w:p>
      <w:pPr>
        <w:ind w:left="660"/>
        <w:spacing w:after="0"/>
        <w:tabs>
          <w:tab w:leader="none" w:pos="2740" w:val="left"/>
        </w:tabs>
        <w:rPr>
          <w:sz w:val="20"/>
          <w:szCs w:val="20"/>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If not previously exercised or forfeited, the Stock Options expire on ________________, 20__.</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Your signature below acknowledges your agreement that the Stock Options granted to you are subject to all of the terms and conditions contained in the Plan and in Appendix A. PLEASE BE SURE TO READ APPENDIX A, WHICH CONTAINS THE SPECIFIC TERMS AND CONDITIONS OF YOUR STOCK OPTIONS.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Please sign one copy of this Stock Option Agreement (the other copy is for your files) and return the signed copy to 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TAPIMMUNE, INC</w:t>
            </w:r>
            <w:r>
              <w:rPr>
                <w:rFonts w:ascii="Arial" w:cs="Arial" w:eastAsia="Arial" w:hAnsi="Arial"/>
                <w:sz w:val="18"/>
                <w:szCs w:val="18"/>
                <w:color w:val="auto"/>
              </w:rPr>
              <w:t>.</w:t>
            </w:r>
          </w:p>
        </w:tc>
        <w:tc>
          <w:tcPr>
            <w:tcW w:w="6800" w:type="dxa"/>
            <w:vAlign w:val="bottom"/>
          </w:tcPr>
          <w:p>
            <w:pPr>
              <w:spacing w:after="0"/>
              <w:rPr>
                <w:sz w:val="20"/>
                <w:szCs w:val="20"/>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6800" w:type="dxa"/>
            <w:vAlign w:val="bottom"/>
          </w:tcPr>
          <w:p>
            <w:pPr>
              <w:ind w:left="2020"/>
              <w:spacing w:after="0"/>
              <w:rPr>
                <w:sz w:val="20"/>
                <w:szCs w:val="20"/>
                <w:color w:val="auto"/>
              </w:rPr>
            </w:pPr>
            <w:r>
              <w:rPr>
                <w:rFonts w:ascii="Arial" w:cs="Arial" w:eastAsia="Arial" w:hAnsi="Arial"/>
                <w:sz w:val="18"/>
                <w:szCs w:val="18"/>
                <w:color w:val="auto"/>
              </w:rPr>
              <w:t>_________________________</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Date</w:t>
            </w:r>
          </w:p>
        </w:tc>
        <w:tc>
          <w:tcPr>
            <w:tcW w:w="6800" w:type="dxa"/>
            <w:vAlign w:val="bottom"/>
          </w:tcPr>
          <w:p>
            <w:pPr>
              <w:ind w:left="2020"/>
              <w:spacing w:after="0"/>
              <w:rPr>
                <w:sz w:val="20"/>
                <w:szCs w:val="20"/>
                <w:color w:val="auto"/>
              </w:rPr>
            </w:pPr>
            <w:r>
              <w:rPr>
                <w:rFonts w:ascii="Arial" w:cs="Arial" w:eastAsia="Arial" w:hAnsi="Arial"/>
                <w:sz w:val="18"/>
                <w:szCs w:val="18"/>
                <w:color w:val="auto"/>
              </w:rPr>
              <w:t>Glynn Wilson, President &amp; CEO</w:t>
            </w:r>
          </w:p>
        </w:tc>
      </w:tr>
      <w:tr>
        <w:trPr>
          <w:trHeight w:val="432"/>
        </w:trPr>
        <w:tc>
          <w:tcPr>
            <w:tcW w:w="4620" w:type="dxa"/>
            <w:vAlign w:val="bottom"/>
          </w:tcPr>
          <w:p>
            <w:pPr>
              <w:spacing w:after="0"/>
              <w:rPr>
                <w:sz w:val="20"/>
                <w:szCs w:val="20"/>
                <w:color w:val="auto"/>
              </w:rPr>
            </w:pPr>
            <w:r>
              <w:rPr>
                <w:rFonts w:ascii="Arial" w:cs="Arial" w:eastAsia="Arial" w:hAnsi="Arial"/>
                <w:sz w:val="18"/>
                <w:szCs w:val="18"/>
                <w:b w:val="1"/>
                <w:bCs w:val="1"/>
                <w:color w:val="auto"/>
              </w:rPr>
              <w:t>Director</w:t>
            </w:r>
          </w:p>
        </w:tc>
        <w:tc>
          <w:tcPr>
            <w:tcW w:w="680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6800" w:type="dxa"/>
            <w:vAlign w:val="bottom"/>
          </w:tcPr>
          <w:p>
            <w:pPr>
              <w:ind w:left="2020"/>
              <w:spacing w:after="0"/>
              <w:rPr>
                <w:sz w:val="20"/>
                <w:szCs w:val="20"/>
                <w:color w:val="auto"/>
              </w:rPr>
            </w:pPr>
            <w:r>
              <w:rPr>
                <w:rFonts w:ascii="Arial" w:cs="Arial" w:eastAsia="Arial" w:hAnsi="Arial"/>
                <w:sz w:val="18"/>
                <w:szCs w:val="18"/>
                <w:color w:val="auto"/>
              </w:rPr>
              <w:t>_________________________</w:t>
            </w:r>
          </w:p>
        </w:tc>
      </w:tr>
      <w:tr>
        <w:trPr>
          <w:trHeight w:val="230"/>
        </w:trPr>
        <w:tc>
          <w:tcPr>
            <w:tcW w:w="4620" w:type="dxa"/>
            <w:vAlign w:val="bottom"/>
          </w:tcPr>
          <w:p>
            <w:pPr>
              <w:spacing w:after="0"/>
              <w:rPr>
                <w:sz w:val="20"/>
                <w:szCs w:val="20"/>
                <w:color w:val="auto"/>
              </w:rPr>
            </w:pPr>
          </w:p>
        </w:tc>
        <w:tc>
          <w:tcPr>
            <w:tcW w:w="6800" w:type="dxa"/>
            <w:vAlign w:val="bottom"/>
          </w:tcPr>
          <w:p>
            <w:pPr>
              <w:ind w:left="2020"/>
              <w:spacing w:after="0"/>
              <w:rPr>
                <w:sz w:val="20"/>
                <w:szCs w:val="20"/>
                <w:color w:val="auto"/>
              </w:rPr>
            </w:pPr>
            <w:r>
              <w:rPr>
                <w:rFonts w:ascii="Arial" w:cs="Arial" w:eastAsia="Arial" w:hAnsi="Arial"/>
                <w:sz w:val="18"/>
                <w:szCs w:val="18"/>
                <w:color w:val="auto"/>
              </w:rPr>
              <w:t>Date</w:t>
            </w:r>
          </w:p>
        </w:tc>
      </w:tr>
      <w:tr>
        <w:trPr>
          <w:trHeight w:val="902"/>
        </w:trPr>
        <w:tc>
          <w:tcPr>
            <w:tcW w:w="4620" w:type="dxa"/>
            <w:vAlign w:val="bottom"/>
            <w:tcBorders>
              <w:bottom w:val="single" w:sz="8" w:color="808080"/>
            </w:tcBorders>
          </w:tcPr>
          <w:p>
            <w:pPr>
              <w:spacing w:after="0"/>
              <w:rPr>
                <w:sz w:val="24"/>
                <w:szCs w:val="24"/>
                <w:color w:val="auto"/>
              </w:rPr>
            </w:pPr>
          </w:p>
        </w:tc>
        <w:tc>
          <w:tcPr>
            <w:tcW w:w="6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0" w:name="page51"/>
    <w:bookmarkEnd w:id="50"/>
    <w:p>
      <w:pPr>
        <w:ind w:left="1100"/>
        <w:spacing w:after="0"/>
        <w:tabs>
          <w:tab w:leader="none" w:pos="966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Non-Employee Director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TapImmune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Stock Options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this Stock Option Award Agreement, TapImmune Inc. (the “Company”) has granted the member of the Board of Directors of the Company named in the first page of this Award Agreement (the “Director”) stock options under the TapImmune Inc. 2014 Omnibus Stock Ownership Plan (the “Plan”). These stock options will give the Director a contingent right to purchase the number of shares of the Company’s Common Stock indicated on the first page of this Award Agreement upon satisfaction of the vesting requirements and other conditions set forth in this Award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the Stock Options are as follows:</w:t>
      </w:r>
    </w:p>
    <w:p>
      <w:pPr>
        <w:spacing w:after="0" w:line="252" w:lineRule="exact"/>
        <w:rPr>
          <w:sz w:val="20"/>
          <w:szCs w:val="20"/>
          <w:color w:val="auto"/>
        </w:rPr>
      </w:pPr>
    </w:p>
    <w:p>
      <w:pPr>
        <w:ind w:right="20" w:firstLine="494"/>
        <w:spacing w:after="0" w:line="277"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TapImmune, Inc. (the “Company”) has granted the Director stock options to purchase the number of shares of the Company’s Common Stock, $0.001 par value per share (“Common Stock”), specified on the first page of the Award Agreement.</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All of the terms of the Plan related to Stock Options are incorporated into this Award Agreement by reference. Defined terms not explicitly defined in this Award Agreement but defined in the Plan shall have the same definitions as in the Plan.</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Stock Options granted under this Award Agreement are not intended to be Incentive Stock Options covered by Section 422 of the Code.</w:t>
      </w:r>
    </w:p>
    <w:p>
      <w:pPr>
        <w:spacing w:after="0" w:line="264" w:lineRule="exact"/>
        <w:rPr>
          <w:sz w:val="20"/>
          <w:szCs w:val="20"/>
          <w:color w:val="auto"/>
        </w:rPr>
      </w:pPr>
    </w:p>
    <w:p>
      <w:pPr>
        <w:jc w:val="both"/>
        <w:ind w:firstLine="494"/>
        <w:spacing w:after="0" w:line="264" w:lineRule="auto"/>
        <w:tabs>
          <w:tab w:leader="none" w:pos="72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price per share to be paid by the Director for the shares purchased pursuant to these Stock Options (the “Exercise Price”) is stated on the first page of the Award Agreement. This Exercise Price shall not be less than the Fair Market Value of a share of Common Stock as of the Date of Grant (as described on the first page of the Award Agreement).</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1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Stock Options shall become vested and exercisable only if the Director continues to serve as member of the Board of Directors of the Company through the Vesting Dates set forth in the vesting schedule on the first page of the Award Agreement, and satisfies any other vesting conditions specified on such first page.</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6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Stock Options Non-Transferable</w:t>
      </w:r>
      <w:r>
        <w:rPr>
          <w:rFonts w:ascii="Arial" w:cs="Arial" w:eastAsia="Arial" w:hAnsi="Arial"/>
          <w:sz w:val="18"/>
          <w:szCs w:val="18"/>
          <w:color w:val="auto"/>
        </w:rPr>
        <w:t>. The Stock Options shall not be transferable by the Director other than by will or the laws of descent and distribution. During the lifetime of the Director, the Stock Options shall be exercisable only by such Director (or by the Director’s guardian or legal representative, should one be appointed).</w:t>
      </w:r>
    </w:p>
    <w:p>
      <w:pPr>
        <w:spacing w:after="0" w:line="208" w:lineRule="exact"/>
        <w:rPr>
          <w:rFonts w:ascii="Arial" w:cs="Arial" w:eastAsia="Arial" w:hAnsi="Arial"/>
          <w:sz w:val="18"/>
          <w:szCs w:val="18"/>
          <w:color w:val="auto"/>
        </w:rPr>
      </w:pPr>
    </w:p>
    <w:p>
      <w:pPr>
        <w:ind w:firstLine="494"/>
        <w:spacing w:after="0" w:line="277" w:lineRule="auto"/>
        <w:tabs>
          <w:tab w:leader="none" w:pos="73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Notice of Exercise of Option</w:t>
      </w:r>
      <w:r>
        <w:rPr>
          <w:rFonts w:ascii="Arial" w:cs="Arial" w:eastAsia="Arial" w:hAnsi="Arial"/>
          <w:sz w:val="18"/>
          <w:szCs w:val="18"/>
          <w:color w:val="auto"/>
        </w:rPr>
        <w:t>. The Stock Options may be exercised by the Director by delivery of a written notice signed by the Director to the Company to the attention of the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color w:val="auto"/>
        </w:rPr>
        <w:t>President/Chief Executive Officer or such other officer of the Company as the President/Chief Executive Officer may designate. Any such notice shall:</w:t>
      </w:r>
    </w:p>
    <w:p>
      <w:pPr>
        <w:spacing w:after="0" w:line="264" w:lineRule="exact"/>
        <w:rPr>
          <w:sz w:val="20"/>
          <w:szCs w:val="20"/>
          <w:color w:val="auto"/>
        </w:rPr>
      </w:pPr>
    </w:p>
    <w:p>
      <w:pPr>
        <w:ind w:left="1220" w:hanging="334"/>
        <w:spacing w:after="0"/>
        <w:tabs>
          <w:tab w:leader="none" w:pos="1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specify the number of shares of Common Stock which the Director, then elects to purchase by exercising the Stock Options,</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contain such information as may be reasonably required pursuant to Section 13 below, and</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 accompanied by payment in full of the Exercise Price for the Stock Options being exercised, as described in Section 6 below.</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Director must exercise the Stock Options for at least 100 shares, or, if less the full number of shares shown as Purchasable Shares in the vesting schedule set forth on page 1 of this Agreement as to which the Stock Options remain unexercised.</w:t>
      </w:r>
    </w:p>
    <w:p>
      <w:pPr>
        <w:spacing w:after="0" w:line="19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Upon receipt of any such notice and accompanying payment of the Exercise Price, and subject to the terms hereof, the Company agrees to issue to the Director, stock certificates for the number of shares specified in such notice registered in the name of the person exercising the Stock Options.</w:t>
      </w:r>
    </w:p>
    <w:p>
      <w:pPr>
        <w:spacing w:after="0" w:line="174" w:lineRule="exact"/>
        <w:rPr>
          <w:sz w:val="20"/>
          <w:szCs w:val="20"/>
          <w:color w:val="auto"/>
        </w:rPr>
      </w:pPr>
    </w:p>
    <w:p>
      <w:pPr>
        <w:ind w:firstLine="494"/>
        <w:spacing w:after="0" w:line="277" w:lineRule="auto"/>
        <w:tabs>
          <w:tab w:leader="none" w:pos="95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Payment of the Exercise Price due upon the exercise of the Stock Options may be made in any one or in any combination of the following forms:</w:t>
      </w:r>
    </w:p>
    <w:p>
      <w:pPr>
        <w:spacing w:after="0" w:line="197" w:lineRule="exact"/>
        <w:rPr>
          <w:rFonts w:ascii="Arial" w:cs="Arial" w:eastAsia="Arial" w:hAnsi="Arial"/>
          <w:sz w:val="18"/>
          <w:szCs w:val="18"/>
          <w:color w:val="auto"/>
        </w:rPr>
      </w:pPr>
    </w:p>
    <w:p>
      <w:pPr>
        <w:ind w:left="1540" w:hanging="654"/>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cash ( by a certified or cashier’s check);</w:t>
      </w:r>
    </w:p>
    <w:p>
      <w:pPr>
        <w:spacing w:after="0" w:line="252"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the form of shares of Common Stock owned by the Director having a Fair Market Value equal to the total Exercise Price at the time of the exercise, accompanied by and duly endorsed or accompanied by stock transfer powers;</w:t>
      </w:r>
    </w:p>
    <w:p>
      <w:pPr>
        <w:spacing w:after="0" w:line="197"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the form of shares of restricted stock issued to the Director having a Fair Market Value equal to the total Exercise Price at the time of the exercise, accompanied by and duly endorsed or accompanied by stock transfer powers;</w:t>
      </w:r>
    </w:p>
    <w:p>
      <w:pPr>
        <w:spacing w:after="0" w:line="197"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through simultaneous sale through a broker acceptable to the Committee of shares of Common Stock issuable to the Director on exercise, as permitted under Regulation T of the Board of Governors of the Federal Reserve System.</w:t>
      </w:r>
    </w:p>
    <w:p>
      <w:pPr>
        <w:spacing w:after="0" w:line="197" w:lineRule="exact"/>
        <w:rPr>
          <w:rFonts w:ascii="Arial" w:cs="Arial" w:eastAsia="Arial" w:hAnsi="Arial"/>
          <w:sz w:val="18"/>
          <w:szCs w:val="18"/>
          <w:color w:val="auto"/>
        </w:rPr>
      </w:pPr>
    </w:p>
    <w:p>
      <w:pPr>
        <w:jc w:val="both"/>
        <w:ind w:firstLine="494"/>
        <w:spacing w:after="0" w:line="286" w:lineRule="auto"/>
        <w:tabs>
          <w:tab w:leader="none" w:pos="711"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Issuance of Stock Certificates for Shares</w:t>
      </w:r>
      <w:r>
        <w:rPr>
          <w:rFonts w:ascii="Arial" w:cs="Arial" w:eastAsia="Arial" w:hAnsi="Arial"/>
          <w:sz w:val="17"/>
          <w:szCs w:val="17"/>
          <w:color w:val="auto"/>
        </w:rPr>
        <w:t>. The stock certificates for any shares of Common Stock issuable to the Director upon exercise of the Stock Options shall be delivered to the Director (or to the person to whom the rights of the Director shall have passed by will or the laws of descent and distribution) as promptly after the date of exercise as is feasible, but not before the Director has paid the Exercise Price for such shares.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2" w:name="page53"/>
    <w:bookmarkEnd w:id="52"/>
    <w:p>
      <w:pPr>
        <w:ind w:left="660"/>
        <w:spacing w:after="0"/>
        <w:rPr>
          <w:sz w:val="20"/>
          <w:szCs w:val="20"/>
          <w:color w:val="auto"/>
        </w:rPr>
      </w:pPr>
      <w:r>
        <w:rPr>
          <w:rFonts w:ascii="Arial" w:cs="Arial" w:eastAsia="Arial" w:hAnsi="Arial"/>
          <w:sz w:val="16"/>
          <w:szCs w:val="16"/>
          <w:color w:val="auto"/>
        </w:rPr>
        <w:t>A legend in the form set forth below shall be placed on the certificates representing the shares of Common Stock issued upon exercise of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38" w:lineRule="exact"/>
        <w:rPr>
          <w:sz w:val="20"/>
          <w:szCs w:val="20"/>
          <w:color w:val="auto"/>
        </w:rPr>
      </w:pPr>
    </w:p>
    <w:p>
      <w:pPr>
        <w:jc w:val="both"/>
        <w:ind w:left="1300" w:right="640"/>
        <w:spacing w:after="0" w:line="259" w:lineRule="auto"/>
        <w:rPr>
          <w:sz w:val="20"/>
          <w:szCs w:val="20"/>
          <w:color w:val="auto"/>
        </w:rPr>
      </w:pPr>
      <w:r>
        <w:rPr>
          <w:rFonts w:ascii="Arial" w:cs="Arial" w:eastAsia="Arial" w:hAnsi="Arial"/>
          <w:sz w:val="18"/>
          <w:szCs w:val="18"/>
          <w:color w:val="auto"/>
        </w:rPr>
        <w:t>“These securities have not been registered under the Securities Act of 1933, as amended (the “Act”) or the securities laws of any state. They may not be sold, offered for sale, pledged or hypothecated in the absence of a registration statement in effect with respect to the securities under such Act and any applicable state securities laws, or an opinion of counsel reasonably satisfactory to TapImmune Inc. that such registration is not required.”</w:t>
      </w:r>
    </w:p>
    <w:p>
      <w:pPr>
        <w:spacing w:after="0" w:line="214" w:lineRule="exact"/>
        <w:rPr>
          <w:sz w:val="20"/>
          <w:szCs w:val="20"/>
          <w:color w:val="auto"/>
        </w:rPr>
      </w:pPr>
    </w:p>
    <w:p>
      <w:pPr>
        <w:jc w:val="both"/>
        <w:ind w:firstLine="494"/>
        <w:spacing w:after="0" w:line="271" w:lineRule="auto"/>
        <w:tabs>
          <w:tab w:leader="none" w:pos="959"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If the Director should be a common law employee of the Company at the time the Stock Options are exercised, or in the event the Company otherwise determines that payroll tax withholding is otherwise legally required in connection with the exercise of the Stock Options, the Company shall notify the Director of the amount of tax (if any) that must be withheld by the Company under all applicable federal, state and local tax laws. In such event, the Director agrees to make arrangements satisfactory to the Company to (a) remit the required amount to the Company in cash, (b) authorize the Company to withhold a portion of the shares of Common Stock otherwise issuable upon exercise of the Stock Options with a value equal to the required amount of tax, (c) deliver to the Company shares of Common Stock the Director already owns with a value equal to the required amount, (d) authorize the deduction of the required amount of tax from the Director’s regular cash compensation from the Company, or (e) otherwise provide for payment of the required amount in any other manner satisfactory to the Company.</w:t>
      </w:r>
    </w:p>
    <w:p>
      <w:pPr>
        <w:spacing w:after="0" w:line="205" w:lineRule="exact"/>
        <w:rPr>
          <w:rFonts w:ascii="Arial" w:cs="Arial" w:eastAsia="Arial" w:hAnsi="Arial"/>
          <w:sz w:val="17"/>
          <w:szCs w:val="17"/>
          <w:color w:val="auto"/>
        </w:rPr>
      </w:pPr>
    </w:p>
    <w:p>
      <w:pPr>
        <w:jc w:val="both"/>
        <w:ind w:firstLine="494"/>
        <w:spacing w:after="0" w:line="312" w:lineRule="auto"/>
        <w:tabs>
          <w:tab w:leader="none" w:pos="891"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Expiration of Options</w:t>
      </w:r>
      <w:r>
        <w:rPr>
          <w:rFonts w:ascii="Arial" w:cs="Arial" w:eastAsia="Arial" w:hAnsi="Arial"/>
          <w:sz w:val="16"/>
          <w:szCs w:val="16"/>
          <w:color w:val="auto"/>
        </w:rPr>
        <w:t>. If the Stock Options are not exercised with respect to all or any part of the shares subject to the Stock Options prior to the expiration date specified on the first page of the Award Agreement (which shall be no later than ten (10) years from the date of grant), the Stock Options shall expire, and any shares with respect to which the Stock Options were not previously exercised shall no longer be purchasable by exercising the Stock Options.</w:t>
      </w:r>
    </w:p>
    <w:p>
      <w:pPr>
        <w:spacing w:after="0" w:line="173" w:lineRule="exact"/>
        <w:rPr>
          <w:rFonts w:ascii="Arial" w:cs="Arial" w:eastAsia="Arial" w:hAnsi="Arial"/>
          <w:sz w:val="16"/>
          <w:szCs w:val="16"/>
          <w:color w:val="auto"/>
        </w:rPr>
      </w:pPr>
    </w:p>
    <w:p>
      <w:pPr>
        <w:ind w:firstLine="494"/>
        <w:spacing w:after="0" w:line="277" w:lineRule="auto"/>
        <w:tabs>
          <w:tab w:leader="none" w:pos="85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Termination of Services</w:t>
      </w:r>
      <w:r>
        <w:rPr>
          <w:rFonts w:ascii="Arial" w:cs="Arial" w:eastAsia="Arial" w:hAnsi="Arial"/>
          <w:sz w:val="18"/>
          <w:szCs w:val="18"/>
          <w:color w:val="auto"/>
        </w:rPr>
        <w:t>. In the event of the termination of the Director’s service on the Board of Directors of the Company, other than a termination that is either (i) for Cause, (ii) voluntarily initiated on the part of the Director and without written consent of the Company,</w:t>
      </w:r>
    </w:p>
    <w:p>
      <w:pPr>
        <w:spacing w:after="0" w:line="197" w:lineRule="exact"/>
        <w:rPr>
          <w:rFonts w:ascii="Arial" w:cs="Arial" w:eastAsia="Arial" w:hAnsi="Arial"/>
          <w:sz w:val="18"/>
          <w:szCs w:val="18"/>
          <w:color w:val="auto"/>
        </w:rPr>
      </w:pPr>
    </w:p>
    <w:p>
      <w:pPr>
        <w:ind w:left="1220" w:hanging="334"/>
        <w:spacing w:after="0"/>
        <w:tabs>
          <w:tab w:leader="none" w:pos="12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 unvested portion of the Stock Options (if any) shall terminate immediately and shall not thereafter be or become exercisable; and</w:t>
      </w:r>
    </w:p>
    <w:p>
      <w:pPr>
        <w:spacing w:after="0" w:line="263" w:lineRule="exact"/>
        <w:rPr>
          <w:rFonts w:ascii="Arial" w:cs="Arial" w:eastAsia="Arial" w:hAnsi="Arial"/>
          <w:sz w:val="17"/>
          <w:szCs w:val="17"/>
          <w:color w:val="auto"/>
        </w:rPr>
      </w:pPr>
    </w:p>
    <w:p>
      <w:pPr>
        <w:jc w:val="both"/>
        <w:ind w:left="1220" w:hanging="334"/>
        <w:spacing w:after="0" w:line="264" w:lineRule="auto"/>
        <w:tabs>
          <w:tab w:leader="none" w:pos="12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Director may exercise the vested portion of the Stock Options at any time within ninety (90) days after such termination to the extent of the number of shares which were Purchasable Shares under the vesting schedule on the first page of this Award Agreement at the date of such termination.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a termination of the Director’s consulting services that is either (i) for Cause or (ii) voluntarily initiated on the part of the Director and without the written consent of the Company, all of the Stock Options which have not previously been exercised shall terminate immediately and shall not thereafter be or become exercisable.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3" w:name="page54"/>
    <w:bookmarkEnd w:id="53"/>
    <w:p>
      <w:pPr>
        <w:jc w:val="both"/>
        <w:ind w:firstLine="494"/>
        <w:spacing w:after="0" w:line="273" w:lineRule="auto"/>
        <w:tabs>
          <w:tab w:leader="none" w:pos="808"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In the event of the Director’s death while serving on the Board of Directors of the Company or within three months after termination of such services (if such departure from the Board was not for cause), the Stock Options shall remain in effect and may be exercised by the Director’s executor or administrator, or the Director’s heirs to the extent of the number of shares that were Purchasable Shares under the vesting schedule on the first page of the Award Agreement at the date of death. The appropriate persons to whom the right to exercise the Stock Options transferred may exercise that portion of the Stock Options at any time within a period ending on the earlier of (a) the last day of the one year period following the Director’s death or (b) the expiration date of the Stock Options specified on the first page of the Award Agreement.</w:t>
      </w:r>
    </w:p>
    <w:p>
      <w:pPr>
        <w:spacing w:after="0" w:line="205" w:lineRule="exact"/>
        <w:rPr>
          <w:rFonts w:ascii="Arial" w:cs="Arial" w:eastAsia="Arial" w:hAnsi="Arial"/>
          <w:sz w:val="17"/>
          <w:szCs w:val="17"/>
          <w:color w:val="auto"/>
        </w:rPr>
      </w:pPr>
    </w:p>
    <w:p>
      <w:pPr>
        <w:ind w:firstLine="494"/>
        <w:spacing w:after="0" w:line="308" w:lineRule="auto"/>
        <w:tabs>
          <w:tab w:leader="none" w:pos="80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Representations of Director</w:t>
      </w:r>
      <w:r>
        <w:rPr>
          <w:rFonts w:ascii="Arial" w:cs="Arial" w:eastAsia="Arial" w:hAnsi="Arial"/>
          <w:sz w:val="17"/>
          <w:szCs w:val="17"/>
          <w:color w:val="auto"/>
        </w:rPr>
        <w:t>. The Director represents, warrants, and agrees as follows, and the parties agree that the Company may rely on the same in consummating the issuance of any shares of the Common Stock to the Director pursuant to the Stock Options (the “Option Shares”):</w:t>
      </w:r>
    </w:p>
    <w:p>
      <w:pPr>
        <w:spacing w:after="0" w:line="173"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The Director is entering into this Agreement, and will acquire the Option Shares, solely on the basis of his own familiarity with the Company and all relevant factors about the Company’s affairs, and neither the Company nor any agent of the Company has made any express or implied representations, covenants, or warranties to the Director with respect to such matters.</w:t>
      </w:r>
    </w:p>
    <w:p>
      <w:pPr>
        <w:spacing w:after="0" w:line="1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Director is acquiring the Option Shares for his own account for investment and not with a view to the resale or distribution of the Option Shares.</w:t>
      </w:r>
    </w:p>
    <w:p>
      <w:pPr>
        <w:spacing w:after="0" w:line="19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Economic Risk</w:t>
      </w:r>
      <w:r>
        <w:rPr>
          <w:rFonts w:ascii="Arial" w:cs="Arial" w:eastAsia="Arial" w:hAnsi="Arial"/>
          <w:sz w:val="18"/>
          <w:szCs w:val="18"/>
          <w:color w:val="auto"/>
        </w:rPr>
        <w:t>. The Director is willing and able to bear the economic risk of an investment in the Option Shares (in making this representation, attention has been given to whether the Director can afford to hold the Option Shares for an indefinite period of time and whether, at this time, the Director can afford a complete loss of the investment).</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Holding of Restricted Shares</w:t>
      </w:r>
      <w:r>
        <w:rPr>
          <w:rFonts w:ascii="Arial" w:cs="Arial" w:eastAsia="Arial" w:hAnsi="Arial"/>
          <w:sz w:val="18"/>
          <w:szCs w:val="18"/>
          <w:color w:val="auto"/>
        </w:rPr>
        <w:t>. The Director acknowledges that the Option Shares have not been registered under the Securities Act of 1933, as amended (the “1933 Act”) and, therefore, cannot be resold unless they are subsequently registered under the 1933 Act or an exemption from such registration is available, as determined by the Company to its reasonable satisfaction.</w:t>
      </w:r>
    </w:p>
    <w:p>
      <w:pPr>
        <w:spacing w:after="0" w:line="208" w:lineRule="exact"/>
        <w:rPr>
          <w:rFonts w:ascii="Arial" w:cs="Arial" w:eastAsia="Arial" w:hAnsi="Arial"/>
          <w:sz w:val="18"/>
          <w:szCs w:val="18"/>
          <w:color w:val="auto"/>
        </w:rPr>
      </w:pPr>
    </w:p>
    <w:p>
      <w:pPr>
        <w:jc w:val="both"/>
        <w:ind w:firstLine="494"/>
        <w:spacing w:after="0" w:line="293" w:lineRule="auto"/>
        <w:tabs>
          <w:tab w:leader="none" w:pos="81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 and Other Regulatory Matters</w:t>
      </w:r>
      <w:r>
        <w:rPr>
          <w:rFonts w:ascii="Arial" w:cs="Arial" w:eastAsia="Arial" w:hAnsi="Arial"/>
          <w:sz w:val="16"/>
          <w:szCs w:val="16"/>
          <w:color w:val="auto"/>
        </w:rPr>
        <w:t>. The Director acknowledges that the issuance of capital stock of the Company is subject to limitations imposed by federal and state law, and the Director hereby agrees that the Company shall not be obligated to issue any shares of Common Stock upon an attempted exercise of this Stock Options that would cause the Company to violate law or any rule, regulation, order or consent decree of any regulatory authority (including without limitation the SEC) having jurisdiction over the affairs of the Company. The Director agrees that he or she will provide the Company with the representations in Section 12 above, and with such information as is reasonably requested by the Company or its counsel to determine whether the issuance of Common Stock complies with the provisions described by this Section 13.</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4" w:name="page55"/>
    <w:bookmarkEnd w:id="54"/>
    <w:p>
      <w:pPr>
        <w:jc w:val="both"/>
        <w:ind w:left="-20" w:firstLine="494"/>
        <w:spacing w:after="0" w:line="264" w:lineRule="auto"/>
        <w:tabs>
          <w:tab w:leader="none" w:pos="79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Rights Prior to Issuance of Certificates</w:t>
      </w:r>
      <w:r>
        <w:rPr>
          <w:rFonts w:ascii="Arial" w:cs="Arial" w:eastAsia="Arial" w:hAnsi="Arial"/>
          <w:sz w:val="18"/>
          <w:szCs w:val="18"/>
          <w:color w:val="auto"/>
        </w:rPr>
        <w:t>. Neither the Director nor any person to whom the rights of the Director shall have passed by will or the laws of descent and distribution shall have any of the rights of a shareholder with respect to any shares of Common Stock until the date of the issuance to him of certificates for such Common Stock as provided in Section 7 above.</w:t>
      </w:r>
    </w:p>
    <w:p>
      <w:pPr>
        <w:spacing w:after="0" w:line="204" w:lineRule="exact"/>
        <w:rPr>
          <w:rFonts w:ascii="Arial" w:cs="Arial" w:eastAsia="Arial" w:hAnsi="Arial"/>
          <w:sz w:val="18"/>
          <w:szCs w:val="18"/>
          <w:color w:val="auto"/>
        </w:rPr>
      </w:pPr>
    </w:p>
    <w:p>
      <w:pPr>
        <w:jc w:val="both"/>
        <w:ind w:left="-20" w:firstLine="494"/>
        <w:spacing w:after="0" w:line="273" w:lineRule="auto"/>
        <w:tabs>
          <w:tab w:leader="none" w:pos="781"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Covenant Not to Compete</w:t>
      </w:r>
      <w:r>
        <w:rPr>
          <w:rFonts w:ascii="Arial" w:cs="Arial" w:eastAsia="Arial" w:hAnsi="Arial"/>
          <w:sz w:val="17"/>
          <w:szCs w:val="17"/>
          <w:b w:val="1"/>
          <w:bCs w:val="1"/>
          <w:color w:val="auto"/>
        </w:rPr>
        <w:t>.</w:t>
      </w:r>
      <w:r>
        <w:rPr>
          <w:rFonts w:ascii="Arial" w:cs="Arial" w:eastAsia="Arial" w:hAnsi="Arial"/>
          <w:sz w:val="17"/>
          <w:szCs w:val="17"/>
          <w:color w:val="auto"/>
        </w:rPr>
        <w:t xml:space="preserve"> If the Director has not already executed a non-competition agreement with the Company, the Director shall provide the Company with a signed non-competition agreement simultaneously with the execution of the Award Agreement. The Director’s execution and delivery of such a non-competition agreement in a form reasonably satisfactory to the Company shall be a condition to the Company’s obligation to issue any shares to the Director upon exercise of the Stock Options granted under this Agreement. In consideration of the Stock Options, the Director agrees that if, at any time during the period set forth in non-competition agreement, the Director should violate the covenants not to compete or the non-solicitation covenants set forth in the non-competition agreement without the express prior consent of the Company, the Director will forfeit his or her right to receive or retain the shares issued upon the exercise of the Stock Options granted under this Agreement.</w:t>
      </w:r>
    </w:p>
    <w:p>
      <w:pPr>
        <w:spacing w:after="0" w:line="203" w:lineRule="exact"/>
        <w:rPr>
          <w:rFonts w:ascii="Arial" w:cs="Arial" w:eastAsia="Arial" w:hAnsi="Arial"/>
          <w:sz w:val="17"/>
          <w:szCs w:val="17"/>
          <w:color w:val="auto"/>
        </w:rPr>
      </w:pPr>
    </w:p>
    <w:p>
      <w:pPr>
        <w:jc w:val="both"/>
        <w:ind w:left="-20" w:firstLine="494"/>
        <w:spacing w:after="0" w:line="259" w:lineRule="auto"/>
        <w:tabs>
          <w:tab w:leader="none" w:pos="80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Governing Plan Document</w:t>
      </w:r>
      <w:r>
        <w:rPr>
          <w:rFonts w:ascii="Arial" w:cs="Arial" w:eastAsia="Arial" w:hAnsi="Arial"/>
          <w:sz w:val="18"/>
          <w:szCs w:val="18"/>
          <w:color w:val="auto"/>
        </w:rPr>
        <w:t>. The Stock Options granted to the Director under this Agreement are subject to all the provisions of the Plan, the provisions of which are hereby made a part of this Agreement,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213" w:lineRule="exact"/>
        <w:rPr>
          <w:rFonts w:ascii="Arial" w:cs="Arial" w:eastAsia="Arial" w:hAnsi="Arial"/>
          <w:sz w:val="18"/>
          <w:szCs w:val="18"/>
          <w:color w:val="auto"/>
        </w:rPr>
      </w:pPr>
    </w:p>
    <w:p>
      <w:pPr>
        <w:ind w:left="780" w:hanging="30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52" w:lineRule="exact"/>
        <w:rPr>
          <w:rFonts w:ascii="Arial" w:cs="Arial" w:eastAsia="Arial" w:hAnsi="Arial"/>
          <w:sz w:val="18"/>
          <w:szCs w:val="18"/>
          <w:color w:val="auto"/>
        </w:rPr>
      </w:pPr>
    </w:p>
    <w:p>
      <w:pPr>
        <w:ind w:left="1200" w:hanging="334"/>
        <w:spacing w:after="0"/>
        <w:tabs>
          <w:tab w:leader="none" w:pos="12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This Agreement shall be binding upon the parties hereto and their representatives, successors and assigns.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200" w:hanging="334"/>
        <w:spacing w:after="0" w:line="342" w:lineRule="auto"/>
        <w:tabs>
          <w:tab w:leader="none" w:pos="12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Director acknowledges and agrees that if he should become an executive officer of the Company, the Stock Options granted under this Agreement may be subject to the Company’s Policy on Recoupment of Executive Compensation, as it may be amended from time to time.</w:t>
      </w:r>
    </w:p>
    <w:p>
      <w:pPr>
        <w:spacing w:after="0" w:line="150" w:lineRule="exact"/>
        <w:rPr>
          <w:rFonts w:ascii="Arial" w:cs="Arial" w:eastAsia="Arial" w:hAnsi="Arial"/>
          <w:sz w:val="16"/>
          <w:szCs w:val="16"/>
          <w:color w:val="auto"/>
        </w:rPr>
      </w:pPr>
    </w:p>
    <w:p>
      <w:pPr>
        <w:ind w:left="1200" w:hanging="334"/>
        <w:spacing w:after="0"/>
        <w:tabs>
          <w:tab w:leader="none" w:pos="12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w:t>
      </w:r>
    </w:p>
    <w:p>
      <w:pPr>
        <w:spacing w:after="0" w:line="252" w:lineRule="exact"/>
        <w:rPr>
          <w:rFonts w:ascii="Arial" w:cs="Arial" w:eastAsia="Arial" w:hAnsi="Arial"/>
          <w:sz w:val="18"/>
          <w:szCs w:val="18"/>
          <w:color w:val="auto"/>
        </w:rPr>
      </w:pPr>
    </w:p>
    <w:p>
      <w:pPr>
        <w:jc w:val="both"/>
        <w:ind w:left="1200" w:hanging="334"/>
        <w:spacing w:after="0" w:line="297" w:lineRule="auto"/>
        <w:tabs>
          <w:tab w:leader="none" w:pos="12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requests or notices to be given hereunder shall be deemed given, and any elections or exercises to be made or accomplished shall be deemed made or accomplished, upon actual delivery thereof to the designated recipient, or three days after deposit thereof in the United States mail, registered, return receipt requested and postage prepaid, addressed, if to the Director, at the most recent mailing address provided to the Company in writing, and, if to the Company, to the executive offices of the Company at 50 North Laura St., Suite 2500, Jacksonville, FL 32202, or at such other addresses that the parties provide to each other in accordance with the foregoing notice requirements.</w:t>
      </w:r>
    </w:p>
    <w:p>
      <w:pPr>
        <w:spacing w:after="0" w:line="158" w:lineRule="exact"/>
        <w:rPr>
          <w:rFonts w:ascii="Arial" w:cs="Arial" w:eastAsia="Arial" w:hAnsi="Arial"/>
          <w:sz w:val="16"/>
          <w:szCs w:val="16"/>
          <w:color w:val="auto"/>
        </w:rPr>
      </w:pPr>
    </w:p>
    <w:p>
      <w:pPr>
        <w:ind w:left="1200" w:hanging="334"/>
        <w:spacing w:after="0"/>
        <w:tabs>
          <w:tab w:leader="none" w:pos="12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This Agreement may not be modified except in writing executed by each of the parties to it.</w:t>
      </w:r>
    </w:p>
    <w:p>
      <w:pPr>
        <w:spacing w:after="0" w:line="252" w:lineRule="exact"/>
        <w:rPr>
          <w:rFonts w:ascii="Arial" w:cs="Arial" w:eastAsia="Arial" w:hAnsi="Arial"/>
          <w:sz w:val="18"/>
          <w:szCs w:val="18"/>
          <w:color w:val="auto"/>
        </w:rPr>
      </w:pPr>
    </w:p>
    <w:p>
      <w:pPr>
        <w:ind w:left="1200" w:hanging="334"/>
        <w:spacing w:after="0" w:line="277" w:lineRule="auto"/>
        <w:tabs>
          <w:tab w:leader="none" w:pos="12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Neither this Agreement nor the Stock Options confer upon the Director any right with respect to continue to serve as a member of the Board of Directors of the Company or otherwise continue to provide his services to the Company.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50430" cy="450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60" w:top="760" w:right="239" w:bottom="1440" w:gutter="0" w:footer="0" w:header="0"/>
        </w:sectPr>
      </w:pPr>
    </w:p>
    <w:bookmarkStart w:id="55" w:name="page56"/>
    <w:bookmarkEnd w:id="55"/>
    <w:p>
      <w:pPr>
        <w:ind w:left="103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10.6</w:t>
      </w:r>
    </w:p>
    <w:p>
      <w:pPr>
        <w:spacing w:after="0" w:line="281" w:lineRule="exact"/>
        <w:rPr>
          <w:sz w:val="20"/>
          <w:szCs w:val="20"/>
          <w:color w:val="auto"/>
        </w:rPr>
      </w:pPr>
    </w:p>
    <w:p>
      <w:pPr>
        <w:ind w:left="2080"/>
        <w:spacing w:after="0"/>
        <w:tabs>
          <w:tab w:leader="none" w:pos="1062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Consultant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TapImmune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2014 Omnibus Stock Ownership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w:t>
      </w:r>
    </w:p>
    <w:p>
      <w:pPr>
        <w:spacing w:after="0" w:line="252"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color w:val="auto"/>
        </w:rPr>
        <w:t>TapImmune Inc. hereby grants you stock options to purchase up to ______________ shares of our common stock (the “Stock Options”).</w:t>
      </w:r>
      <w:r>
        <w:rPr>
          <w:sz w:val="20"/>
          <w:szCs w:val="20"/>
          <w:color w:val="auto"/>
        </w:rPr>
        <w:tab/>
      </w:r>
      <w:r>
        <w:rPr>
          <w:rFonts w:ascii="Arial" w:cs="Arial" w:eastAsia="Arial" w:hAnsi="Arial"/>
          <w:sz w:val="16"/>
          <w:szCs w:val="16"/>
          <w:color w:val="auto"/>
        </w:rPr>
        <w:t>These Stock</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Options are subject to the terms and conditions set forth in the TapImmune Inc. 2014 Omnibus Stock Ownership Plan (the “Plan”) and in the attached Appendix 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Covered Shares:</w:t>
            </w:r>
          </w:p>
        </w:tc>
        <w:tc>
          <w:tcPr>
            <w:tcW w:w="860" w:type="dxa"/>
            <w:vAlign w:val="bottom"/>
          </w:tcPr>
          <w:p>
            <w:pPr>
              <w:spacing w:after="0"/>
              <w:rPr>
                <w:sz w:val="17"/>
                <w:szCs w:val="17"/>
                <w:color w:val="auto"/>
              </w:rPr>
            </w:pP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____________ shares of common stock, par value $0.001 per share.</w:t>
            </w:r>
          </w:p>
        </w:tc>
      </w:tr>
      <w:tr>
        <w:trPr>
          <w:trHeight w:val="439"/>
        </w:trPr>
        <w:tc>
          <w:tcPr>
            <w:tcW w:w="660" w:type="dxa"/>
            <w:vAlign w:val="bottom"/>
          </w:tcPr>
          <w:p>
            <w:pPr>
              <w:spacing w:after="0"/>
              <w:rPr>
                <w:sz w:val="24"/>
                <w:szCs w:val="24"/>
                <w:color w:val="auto"/>
              </w:rPr>
            </w:pPr>
          </w:p>
        </w:tc>
        <w:tc>
          <w:tcPr>
            <w:tcW w:w="11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Exercise Price:</w:t>
            </w:r>
          </w:p>
        </w:tc>
        <w:tc>
          <w:tcPr>
            <w:tcW w:w="520" w:type="dxa"/>
            <w:vAlign w:val="bottom"/>
            <w:gridSpan w:val="2"/>
          </w:tcPr>
          <w:p>
            <w:pPr>
              <w:spacing w:after="0"/>
              <w:rPr>
                <w:sz w:val="24"/>
                <w:szCs w:val="24"/>
                <w:color w:val="auto"/>
              </w:rPr>
            </w:pP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w w:val="95"/>
              </w:rPr>
              <w:t>The purchase price for these shares will be $_______ per share.</w:t>
            </w:r>
          </w:p>
        </w:tc>
        <w:tc>
          <w:tcPr>
            <w:tcW w:w="3880" w:type="dxa"/>
            <w:vAlign w:val="bottom"/>
          </w:tcPr>
          <w:p>
            <w:pPr>
              <w:spacing w:after="0"/>
              <w:rPr>
                <w:sz w:val="24"/>
                <w:szCs w:val="24"/>
                <w:color w:val="auto"/>
              </w:rPr>
            </w:pPr>
          </w:p>
        </w:tc>
      </w:tr>
      <w:tr>
        <w:trPr>
          <w:trHeight w:val="439"/>
        </w:trPr>
        <w:tc>
          <w:tcPr>
            <w:tcW w:w="660" w:type="dxa"/>
            <w:vAlign w:val="bottom"/>
          </w:tcPr>
          <w:p>
            <w:pPr>
              <w:spacing w:after="0"/>
              <w:rPr>
                <w:sz w:val="24"/>
                <w:szCs w:val="24"/>
                <w:color w:val="auto"/>
              </w:rPr>
            </w:pP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0"/>
              </w:rPr>
              <w:t>Date of Grant:</w:t>
            </w:r>
          </w:p>
        </w:tc>
        <w:tc>
          <w:tcPr>
            <w:tcW w:w="66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The “Date of Grant” for your Stock Options is ___________, 201_.</w:t>
            </w: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439"/>
        </w:trPr>
        <w:tc>
          <w:tcPr>
            <w:tcW w:w="66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Vesting Schedule:</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w w:val="93"/>
              </w:rPr>
              <w:t>You may exercise your Stock Options after they become “vested.”</w:t>
            </w:r>
          </w:p>
        </w:tc>
        <w:tc>
          <w:tcPr>
            <w:tcW w:w="3880" w:type="dxa"/>
            <w:vAlign w:val="bottom"/>
          </w:tcPr>
          <w:p>
            <w:pPr>
              <w:ind w:left="60"/>
              <w:spacing w:after="0"/>
              <w:rPr>
                <w:sz w:val="20"/>
                <w:szCs w:val="20"/>
                <w:color w:val="auto"/>
              </w:rPr>
            </w:pPr>
            <w:r>
              <w:rPr>
                <w:rFonts w:ascii="Arial" w:cs="Arial" w:eastAsia="Arial" w:hAnsi="Arial"/>
                <w:sz w:val="18"/>
                <w:szCs w:val="18"/>
                <w:color w:val="auto"/>
                <w:w w:val="92"/>
              </w:rPr>
              <w:t>Vesting is subject to your continued performance of</w:t>
            </w:r>
          </w:p>
        </w:tc>
      </w:tr>
      <w:tr>
        <w:trPr>
          <w:trHeight w:val="237"/>
        </w:trPr>
        <w:tc>
          <w:tcPr>
            <w:tcW w:w="66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services for TapImmune through the following vesting dates.</w:t>
            </w:r>
          </w:p>
        </w:tc>
        <w:tc>
          <w:tcPr>
            <w:tcW w:w="3880" w:type="dxa"/>
            <w:vAlign w:val="bottom"/>
          </w:tcPr>
          <w:p>
            <w:pPr>
              <w:spacing w:after="0"/>
              <w:rPr>
                <w:sz w:val="20"/>
                <w:szCs w:val="20"/>
                <w:color w:val="auto"/>
              </w:rPr>
            </w:pPr>
          </w:p>
        </w:tc>
      </w:tr>
      <w:tr>
        <w:trPr>
          <w:trHeight w:val="682"/>
        </w:trPr>
        <w:tc>
          <w:tcPr>
            <w:tcW w:w="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Vesting Date</w:t>
            </w:r>
          </w:p>
        </w:tc>
        <w:tc>
          <w:tcPr>
            <w:tcW w:w="8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98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Number of Purchasable Shares</w:t>
            </w:r>
          </w:p>
        </w:tc>
        <w:tc>
          <w:tcPr>
            <w:tcW w:w="38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Number of Purchasable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Notwithstanding the foregoing, the Stock Options will become fully vested upon a “change in control” (as this term is defined in the Plan).</w:t>
      </w:r>
    </w:p>
    <w:p>
      <w:pPr>
        <w:spacing w:after="0" w:line="275"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u w:val="single" w:color="auto"/>
          <w:color w:val="auto"/>
        </w:rPr>
        <w:t>Not ISOs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These Stock Options are not “incentive stock options” under the federal tax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56" w:name="page57"/>
    <w:bookmarkEnd w:id="56"/>
    <w:p>
      <w:pPr>
        <w:ind w:left="660"/>
        <w:spacing w:after="0"/>
        <w:tabs>
          <w:tab w:leader="none" w:pos="2740" w:val="left"/>
        </w:tabs>
        <w:rPr>
          <w:sz w:val="20"/>
          <w:szCs w:val="20"/>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If not previously exercised or forfeited, the Stock Options expire on ________________, 20__.</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Your signature below acknowledges your agreement that the Stock Options granted to you are subject to all of the terms and conditions contained in the Plan and in Appendix A. PLEASE BE SURE TO READ APPENDIX A, WHICH CONTAINS THE SPECIFIC TERMS AND CONDITIONS OF YOUR STOCK OPTIONS.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Please sign one copy of this Stock Option Agreement (the other copy is for your files) and return the signed copy to 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TAPIMMUNE, INC</w:t>
            </w:r>
            <w:r>
              <w:rPr>
                <w:rFonts w:ascii="Arial" w:cs="Arial" w:eastAsia="Arial" w:hAnsi="Arial"/>
                <w:sz w:val="18"/>
                <w:szCs w:val="18"/>
                <w:color w:val="auto"/>
              </w:rPr>
              <w:t>.</w:t>
            </w:r>
          </w:p>
        </w:tc>
        <w:tc>
          <w:tcPr>
            <w:tcW w:w="6800" w:type="dxa"/>
            <w:vAlign w:val="bottom"/>
          </w:tcPr>
          <w:p>
            <w:pPr>
              <w:spacing w:after="0"/>
              <w:rPr>
                <w:sz w:val="20"/>
                <w:szCs w:val="20"/>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6800" w:type="dxa"/>
            <w:vAlign w:val="bottom"/>
          </w:tcPr>
          <w:p>
            <w:pPr>
              <w:ind w:left="2020"/>
              <w:spacing w:after="0"/>
              <w:rPr>
                <w:sz w:val="20"/>
                <w:szCs w:val="20"/>
                <w:color w:val="auto"/>
              </w:rPr>
            </w:pPr>
            <w:r>
              <w:rPr>
                <w:rFonts w:ascii="Arial" w:cs="Arial" w:eastAsia="Arial" w:hAnsi="Arial"/>
                <w:sz w:val="18"/>
                <w:szCs w:val="18"/>
                <w:color w:val="auto"/>
              </w:rPr>
              <w:t>__________________________</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Date</w:t>
            </w:r>
          </w:p>
        </w:tc>
        <w:tc>
          <w:tcPr>
            <w:tcW w:w="6800" w:type="dxa"/>
            <w:vAlign w:val="bottom"/>
          </w:tcPr>
          <w:p>
            <w:pPr>
              <w:ind w:left="2020"/>
              <w:spacing w:after="0"/>
              <w:rPr>
                <w:sz w:val="20"/>
                <w:szCs w:val="20"/>
                <w:color w:val="auto"/>
              </w:rPr>
            </w:pPr>
            <w:r>
              <w:rPr>
                <w:rFonts w:ascii="Arial" w:cs="Arial" w:eastAsia="Arial" w:hAnsi="Arial"/>
                <w:sz w:val="18"/>
                <w:szCs w:val="18"/>
                <w:color w:val="auto"/>
              </w:rPr>
              <w:t>Glynn Wilson, President &amp; CEO</w:t>
            </w:r>
          </w:p>
        </w:tc>
      </w:tr>
      <w:tr>
        <w:trPr>
          <w:trHeight w:val="432"/>
        </w:trPr>
        <w:tc>
          <w:tcPr>
            <w:tcW w:w="4620" w:type="dxa"/>
            <w:vAlign w:val="bottom"/>
          </w:tcPr>
          <w:p>
            <w:pPr>
              <w:spacing w:after="0"/>
              <w:rPr>
                <w:sz w:val="20"/>
                <w:szCs w:val="20"/>
                <w:color w:val="auto"/>
              </w:rPr>
            </w:pPr>
            <w:r>
              <w:rPr>
                <w:rFonts w:ascii="Arial" w:cs="Arial" w:eastAsia="Arial" w:hAnsi="Arial"/>
                <w:sz w:val="18"/>
                <w:szCs w:val="18"/>
                <w:b w:val="1"/>
                <w:bCs w:val="1"/>
                <w:color w:val="auto"/>
              </w:rPr>
              <w:t>Consultant</w:t>
            </w:r>
          </w:p>
        </w:tc>
        <w:tc>
          <w:tcPr>
            <w:tcW w:w="680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6800" w:type="dxa"/>
            <w:vAlign w:val="bottom"/>
          </w:tcPr>
          <w:p>
            <w:pPr>
              <w:ind w:left="2020"/>
              <w:spacing w:after="0"/>
              <w:rPr>
                <w:sz w:val="20"/>
                <w:szCs w:val="20"/>
                <w:color w:val="auto"/>
              </w:rPr>
            </w:pPr>
            <w:r>
              <w:rPr>
                <w:rFonts w:ascii="Arial" w:cs="Arial" w:eastAsia="Arial" w:hAnsi="Arial"/>
                <w:sz w:val="18"/>
                <w:szCs w:val="18"/>
                <w:color w:val="auto"/>
              </w:rPr>
              <w:t>__________________________</w:t>
            </w:r>
          </w:p>
        </w:tc>
      </w:tr>
      <w:tr>
        <w:trPr>
          <w:trHeight w:val="230"/>
        </w:trPr>
        <w:tc>
          <w:tcPr>
            <w:tcW w:w="4620" w:type="dxa"/>
            <w:vAlign w:val="bottom"/>
          </w:tcPr>
          <w:p>
            <w:pPr>
              <w:spacing w:after="0"/>
              <w:rPr>
                <w:sz w:val="20"/>
                <w:szCs w:val="20"/>
                <w:color w:val="auto"/>
              </w:rPr>
            </w:pPr>
          </w:p>
        </w:tc>
        <w:tc>
          <w:tcPr>
            <w:tcW w:w="6800" w:type="dxa"/>
            <w:vAlign w:val="bottom"/>
          </w:tcPr>
          <w:p>
            <w:pPr>
              <w:ind w:left="2020"/>
              <w:spacing w:after="0"/>
              <w:rPr>
                <w:sz w:val="20"/>
                <w:szCs w:val="20"/>
                <w:color w:val="auto"/>
              </w:rPr>
            </w:pPr>
            <w:r>
              <w:rPr>
                <w:rFonts w:ascii="Arial" w:cs="Arial" w:eastAsia="Arial" w:hAnsi="Arial"/>
                <w:sz w:val="18"/>
                <w:szCs w:val="18"/>
                <w:color w:val="auto"/>
              </w:rPr>
              <w:t>Date</w:t>
            </w:r>
          </w:p>
        </w:tc>
      </w:tr>
      <w:tr>
        <w:trPr>
          <w:trHeight w:val="659"/>
        </w:trPr>
        <w:tc>
          <w:tcPr>
            <w:tcW w:w="4620" w:type="dxa"/>
            <w:vAlign w:val="bottom"/>
            <w:tcBorders>
              <w:bottom w:val="single" w:sz="8" w:color="808080"/>
            </w:tcBorders>
          </w:tcPr>
          <w:p>
            <w:pPr>
              <w:spacing w:after="0"/>
              <w:rPr>
                <w:sz w:val="24"/>
                <w:szCs w:val="24"/>
                <w:color w:val="auto"/>
              </w:rPr>
            </w:pPr>
          </w:p>
        </w:tc>
        <w:tc>
          <w:tcPr>
            <w:tcW w:w="6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7" w:name="page58"/>
    <w:bookmarkEnd w:id="57"/>
    <w:p>
      <w:pPr>
        <w:ind w:left="2080"/>
        <w:spacing w:after="0"/>
        <w:tabs>
          <w:tab w:leader="none" w:pos="1062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Consultant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TapImmune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Stock Options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this Stock Option Award Agreement, TapImmune Inc. (the “Company”) has granted the consultant of the Company named in the first page of this Award Agreement (the “Consultant”) stock options under the TapImmune Inc. 2014 Omnibus Stock Ownership Plan (the “Plan”). These stock options will give the Consultant a contingent right to purchase the number of shares of the Company’s Common Stock indicated on the first page of this Award Agreement upon satisfaction of the vesting requirements and other conditions set forth in this Award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the Stock Options are as follows:</w:t>
      </w:r>
    </w:p>
    <w:p>
      <w:pPr>
        <w:spacing w:after="0" w:line="252" w:lineRule="exact"/>
        <w:rPr>
          <w:sz w:val="20"/>
          <w:szCs w:val="20"/>
          <w:color w:val="auto"/>
        </w:rPr>
      </w:pPr>
    </w:p>
    <w:p>
      <w:pPr>
        <w:ind w:firstLine="494"/>
        <w:spacing w:after="0" w:line="277" w:lineRule="auto"/>
        <w:tabs>
          <w:tab w:leader="none" w:pos="66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TapImmune, Inc. (the “Company”) has granted the Consultant stock options to purchase the number of shares of the Company’s Common Stock, $0.001 par value per share (“Common Stock”), specified on the first page of the Award Agreement by reference.</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All of the terms of the Plan related to Stock Options are incorporated into this Award Agreement by reference. Defined terms not explicitly defined in this Award Agreement but defined in the Plan shall have the same definitions as in the Plan.</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Stock Options granted under this Award Agreement are not intended to be Incentive Stock Options covered by Section 422 of the Code.</w:t>
      </w:r>
    </w:p>
    <w:p>
      <w:pPr>
        <w:spacing w:after="0" w:line="264" w:lineRule="exact"/>
        <w:rPr>
          <w:sz w:val="20"/>
          <w:szCs w:val="20"/>
          <w:color w:val="auto"/>
        </w:rPr>
      </w:pPr>
    </w:p>
    <w:p>
      <w:pPr>
        <w:jc w:val="both"/>
        <w:ind w:firstLine="494"/>
        <w:spacing w:after="0" w:line="264"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price per share to be paid by the Consultant for the shares purchased pursuant to these Stock Options (the “Exercise Price”) is stated on the first page of the Award Agreement. This Exercise Price shall not be less than the Fair Market Value of a share of Common Stock as of the Date of Grant (as described on the first page of the Award Agreement).</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Stock Options shall become vested and exercisable only if the Consultant continues to regularly perform services for the Company as a consultant through the Vesting Dates set forth in the vesting schedule on the first page of the Award Agreement, and satisfies any other vesting conditions specified on such first page.</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5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Stock Options Non-Transferable</w:t>
      </w:r>
      <w:r>
        <w:rPr>
          <w:rFonts w:ascii="Arial" w:cs="Arial" w:eastAsia="Arial" w:hAnsi="Arial"/>
          <w:sz w:val="18"/>
          <w:szCs w:val="18"/>
          <w:color w:val="auto"/>
        </w:rPr>
        <w:t>. The Stock Options shall not be transferable by the Consultant other than by will or the laws of descent and distribution. During the lifetime of the Consultant, the Stock Options shall be exercisable only by such Consultant (or by such Consultant’s guardian or legal representative, should one be appointed).</w:t>
      </w:r>
    </w:p>
    <w:p>
      <w:pPr>
        <w:spacing w:after="0" w:line="208" w:lineRule="exact"/>
        <w:rPr>
          <w:rFonts w:ascii="Arial" w:cs="Arial" w:eastAsia="Arial" w:hAnsi="Arial"/>
          <w:sz w:val="18"/>
          <w:szCs w:val="18"/>
          <w:color w:val="auto"/>
        </w:rPr>
      </w:pPr>
    </w:p>
    <w:p>
      <w:pPr>
        <w:ind w:firstLine="494"/>
        <w:spacing w:after="0" w:line="277"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Notice of Exercise of Option</w:t>
      </w:r>
      <w:r>
        <w:rPr>
          <w:rFonts w:ascii="Arial" w:cs="Arial" w:eastAsia="Arial" w:hAnsi="Arial"/>
          <w:sz w:val="18"/>
          <w:szCs w:val="18"/>
          <w:color w:val="auto"/>
        </w:rPr>
        <w:t>. The Stock Options may be exercised by the Consultant by delivery of a written notice signed by the Consultant to the Company to the attention of the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President/Chief Executive Officer or such other officer of the Company as the President/Chief Executive Officer may designate. Any such notice shall:</w:t>
      </w:r>
    </w:p>
    <w:p>
      <w:pPr>
        <w:spacing w:after="0" w:line="264" w:lineRule="exact"/>
        <w:rPr>
          <w:sz w:val="20"/>
          <w:szCs w:val="20"/>
          <w:color w:val="auto"/>
        </w:rPr>
      </w:pPr>
    </w:p>
    <w:p>
      <w:pPr>
        <w:ind w:left="1220" w:hanging="334"/>
        <w:spacing w:after="0"/>
        <w:tabs>
          <w:tab w:leader="none" w:pos="1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specify the number of shares of Common Stock which the Consultant, then elects to purchase by exercising the Stock Options,</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contain such information as may be reasonably required pursuant to Section 9 below, and</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 accompanied by payment in full of the Exercise Price for the Stock Options being exercised, as described in Section 6 below.</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Consultant must exercise the Stock Options for at least 100 shares, or, if less the full number of shares shown as Purchasable Shares in the vesting schedule in the Notice of Grant as to which the Stock Options remain unexercised.</w:t>
      </w:r>
    </w:p>
    <w:p>
      <w:pPr>
        <w:spacing w:after="0" w:line="19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Upon receipt of any such notice and accompanying payment of the Exercise Price, and subject to the terms hereof, the Company agrees to issue to the Consultant, stock certificates for the number of shares specified in such notice registered in the name of the person exercising the Stock Options.</w:t>
      </w:r>
    </w:p>
    <w:p>
      <w:pPr>
        <w:spacing w:after="0" w:line="174" w:lineRule="exact"/>
        <w:rPr>
          <w:sz w:val="20"/>
          <w:szCs w:val="20"/>
          <w:color w:val="auto"/>
        </w:rPr>
      </w:pPr>
    </w:p>
    <w:p>
      <w:pPr>
        <w:ind w:firstLine="494"/>
        <w:spacing w:after="0" w:line="277" w:lineRule="auto"/>
        <w:tabs>
          <w:tab w:leader="none" w:pos="95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Payment of the Exercise Price due upon the exercise of the Stock Options may be made in any one or in any combination of the following forms:</w:t>
      </w:r>
    </w:p>
    <w:p>
      <w:pPr>
        <w:spacing w:after="0" w:line="197" w:lineRule="exact"/>
        <w:rPr>
          <w:rFonts w:ascii="Arial" w:cs="Arial" w:eastAsia="Arial" w:hAnsi="Arial"/>
          <w:sz w:val="18"/>
          <w:szCs w:val="18"/>
          <w:color w:val="auto"/>
        </w:rPr>
      </w:pPr>
    </w:p>
    <w:p>
      <w:pPr>
        <w:ind w:left="1540" w:hanging="654"/>
        <w:spacing w:after="0"/>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cash ( by a certified or cashier’s check);</w:t>
      </w:r>
    </w:p>
    <w:p>
      <w:pPr>
        <w:spacing w:after="0" w:line="252"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form of shares of Common Stock owned by the Consultant having a Fair Market Value equal to the total Exercise Price at the time of the exercise, accompanied by and duly endorsed or accompanied by stock transfer powers,</w:t>
      </w:r>
    </w:p>
    <w:p>
      <w:pPr>
        <w:spacing w:after="0" w:line="197"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form of shares of restricted stock issued to the Consultant having a Fair Market Value equal to the total Exercise Price at the time of the exercise, accompanied by and duly endorsed or accompanied by stock transfer powers;</w:t>
      </w:r>
    </w:p>
    <w:p>
      <w:pPr>
        <w:spacing w:after="0" w:line="197"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through simultaneous sale through a broker acceptable to the Committee of shares of Common Stock issuable to the Consultant on exercise, as permitted under Regulation T of the Board of Governors of the Federal Reserve System.</w:t>
      </w:r>
    </w:p>
    <w:p>
      <w:pPr>
        <w:spacing w:after="0" w:line="197" w:lineRule="exact"/>
        <w:rPr>
          <w:rFonts w:ascii="Arial" w:cs="Arial" w:eastAsia="Arial" w:hAnsi="Arial"/>
          <w:sz w:val="18"/>
          <w:szCs w:val="18"/>
          <w:color w:val="auto"/>
        </w:rPr>
      </w:pPr>
    </w:p>
    <w:p>
      <w:pPr>
        <w:jc w:val="both"/>
        <w:ind w:firstLine="494"/>
        <w:spacing w:after="0" w:line="286" w:lineRule="auto"/>
        <w:tabs>
          <w:tab w:leader="none" w:pos="72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Issuance of Stock Certificates for Shares</w:t>
      </w:r>
      <w:r>
        <w:rPr>
          <w:rFonts w:ascii="Arial" w:cs="Arial" w:eastAsia="Arial" w:hAnsi="Arial"/>
          <w:sz w:val="17"/>
          <w:szCs w:val="17"/>
          <w:color w:val="auto"/>
        </w:rPr>
        <w:t>. The stock certificates for any shares of Common Stock issuable to the Consultant upon exercise of the Stock Options shall be delivered to the Consultant (or to the person to whom the rights of the Consultant shall have passed by will or the laws of descent and distribution) as promptly after the date of exercise as is feasible, but not before the Consultant has paid the Exercise Price for such shares.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6"/>
          <w:szCs w:val="16"/>
          <w:color w:val="auto"/>
        </w:rPr>
        <w:t>A legend in the form set forth below shall be placed on the certificates representing the shares of Common Stock issued upon exercise of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38" w:lineRule="exact"/>
        <w:rPr>
          <w:sz w:val="20"/>
          <w:szCs w:val="20"/>
          <w:color w:val="auto"/>
        </w:rPr>
      </w:pPr>
    </w:p>
    <w:p>
      <w:pPr>
        <w:jc w:val="both"/>
        <w:ind w:left="1300" w:right="640"/>
        <w:spacing w:after="0" w:line="259" w:lineRule="auto"/>
        <w:rPr>
          <w:sz w:val="20"/>
          <w:szCs w:val="20"/>
          <w:color w:val="auto"/>
        </w:rPr>
      </w:pPr>
      <w:r>
        <w:rPr>
          <w:rFonts w:ascii="Arial" w:cs="Arial" w:eastAsia="Arial" w:hAnsi="Arial"/>
          <w:sz w:val="18"/>
          <w:szCs w:val="18"/>
          <w:color w:val="auto"/>
        </w:rPr>
        <w:t>“These securities have not been registered under the Securities Act of 1933, as amended (the “Act”) or the securities laws of any state. They may not be sold, offered for sale, pledged or hypothecated in the absence of a registration statement in effect with respect to the securities under such Act and any applicable state securities laws, or an opinion of counsel reasonably satisfactory to TapImmune Inc. that such registration is not required.”</w:t>
      </w:r>
    </w:p>
    <w:p>
      <w:pPr>
        <w:spacing w:after="0" w:line="214" w:lineRule="exact"/>
        <w:rPr>
          <w:sz w:val="20"/>
          <w:szCs w:val="20"/>
          <w:color w:val="auto"/>
        </w:rPr>
      </w:pPr>
    </w:p>
    <w:p>
      <w:pPr>
        <w:jc w:val="both"/>
        <w:ind w:firstLine="494"/>
        <w:spacing w:after="0" w:line="271" w:lineRule="auto"/>
        <w:tabs>
          <w:tab w:leader="none" w:pos="725"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If the Consultant is a common law employee of the Company at the time the Stock Options are exercised, or in the event the Company otherwise determines that payroll tax withholding is otherwise legally required in connection with the exercise of the Stock Options, the Company shall notify the Consultant of the amount of tax (if any) that must be withheld by the Company under all applicable federal, state and local tax laws. In such event, the Consultant agrees to make arrangements satisfactory to the Company to (a) remit the required amount to the Company in cash, (b) authorize the Company to withhold a portion of the shares of Common Stock otherwise issuable upon exercise of the Stock Options with a value equal to the required amount of tax, (c) deliver to the Company shares of Common Stock the Consultant already owns with a value equal to the required amount, (d) authorize the deduction of the required amount of tax from the Consultant’s regular cash compensation from the Company, or (e) otherwise provide for payment of the required amount in any other manner satisfactory to the Company.</w:t>
      </w:r>
    </w:p>
    <w:p>
      <w:pPr>
        <w:spacing w:after="0" w:line="205" w:lineRule="exact"/>
        <w:rPr>
          <w:rFonts w:ascii="Arial" w:cs="Arial" w:eastAsia="Arial" w:hAnsi="Arial"/>
          <w:sz w:val="17"/>
          <w:szCs w:val="17"/>
          <w:color w:val="auto"/>
        </w:rPr>
      </w:pPr>
    </w:p>
    <w:p>
      <w:pPr>
        <w:jc w:val="both"/>
        <w:ind w:firstLine="494"/>
        <w:spacing w:after="0" w:line="312" w:lineRule="auto"/>
        <w:tabs>
          <w:tab w:leader="none" w:pos="891"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Expiration of Options</w:t>
      </w:r>
      <w:r>
        <w:rPr>
          <w:rFonts w:ascii="Arial" w:cs="Arial" w:eastAsia="Arial" w:hAnsi="Arial"/>
          <w:sz w:val="16"/>
          <w:szCs w:val="16"/>
          <w:color w:val="auto"/>
        </w:rPr>
        <w:t>. If the Stock Options are not exercised with respect to all or any part of the shares subject to the Stock Options prior to the expiration date specified on the first page of the Award Agreement (which shall be no later than ten (10) years from the date of grant), the Stock Options shall expire, and any shares with respect to which the Stock Options were not previously exercised shall no longer be purchasable by exercising the Stock Options.</w:t>
      </w:r>
    </w:p>
    <w:p>
      <w:pPr>
        <w:spacing w:after="0" w:line="173" w:lineRule="exact"/>
        <w:rPr>
          <w:rFonts w:ascii="Arial" w:cs="Arial" w:eastAsia="Arial" w:hAnsi="Arial"/>
          <w:sz w:val="16"/>
          <w:szCs w:val="16"/>
          <w:color w:val="auto"/>
        </w:rPr>
      </w:pPr>
    </w:p>
    <w:p>
      <w:pPr>
        <w:ind w:firstLine="494"/>
        <w:spacing w:after="0" w:line="277" w:lineRule="auto"/>
        <w:tabs>
          <w:tab w:leader="none" w:pos="85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Termination of Consulting Services</w:t>
      </w:r>
      <w:r>
        <w:rPr>
          <w:rFonts w:ascii="Arial" w:cs="Arial" w:eastAsia="Arial" w:hAnsi="Arial"/>
          <w:sz w:val="18"/>
          <w:szCs w:val="18"/>
          <w:color w:val="auto"/>
        </w:rPr>
        <w:t>. In the event of the termination of the Consultant’s consulting services for the Company, other than a termination that is either (i) for Cause, (ii) voluntarily initiated on the part of the Consultant and without written consent of the Company,</w:t>
      </w:r>
    </w:p>
    <w:p>
      <w:pPr>
        <w:spacing w:after="0" w:line="197" w:lineRule="exact"/>
        <w:rPr>
          <w:rFonts w:ascii="Arial" w:cs="Arial" w:eastAsia="Arial" w:hAnsi="Arial"/>
          <w:sz w:val="18"/>
          <w:szCs w:val="18"/>
          <w:color w:val="auto"/>
        </w:rPr>
      </w:pPr>
    </w:p>
    <w:p>
      <w:pPr>
        <w:ind w:left="1220" w:hanging="334"/>
        <w:spacing w:after="0"/>
        <w:tabs>
          <w:tab w:leader="none" w:pos="12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unvested portion of the Stock Options (if any) shall terminate immediately and shall not thereafter be or become exercisable; and</w:t>
      </w:r>
    </w:p>
    <w:p>
      <w:pPr>
        <w:spacing w:after="0" w:line="263" w:lineRule="exact"/>
        <w:rPr>
          <w:rFonts w:ascii="Arial" w:cs="Arial" w:eastAsia="Arial" w:hAnsi="Arial"/>
          <w:sz w:val="17"/>
          <w:szCs w:val="17"/>
          <w:color w:val="auto"/>
        </w:rPr>
      </w:pPr>
    </w:p>
    <w:p>
      <w:pPr>
        <w:jc w:val="both"/>
        <w:ind w:left="1220" w:hanging="334"/>
        <w:spacing w:after="0" w:line="264" w:lineRule="auto"/>
        <w:tabs>
          <w:tab w:leader="none" w:pos="12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Consultant may exercise the vested portion of the Stock Options at any time within ninety (90) days after such termination to the extent of the number of shares which were Purchasable Shares under the vesting schedule on the first page of this Award Agreement at the date of such termination.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0" w:name="page61"/>
    <w:bookmarkEnd w:id="60"/>
    <w:p>
      <w:pPr>
        <w:jc w:val="both"/>
        <w:spacing w:after="0" w:line="264" w:lineRule="auto"/>
        <w:rPr>
          <w:sz w:val="20"/>
          <w:szCs w:val="20"/>
          <w:color w:val="auto"/>
        </w:rPr>
      </w:pPr>
      <w:r>
        <w:rPr>
          <w:rFonts w:ascii="Arial" w:cs="Arial" w:eastAsia="Arial" w:hAnsi="Arial"/>
          <w:sz w:val="18"/>
          <w:szCs w:val="18"/>
          <w:color w:val="auto"/>
        </w:rPr>
        <w:t>In the event of a termination of the Consultant’s consulting services that is either (i) for Cause or (ii) voluntarily initiated on the part of the Consultant and without the written consent of the Company, all of the Stock Options which have not previously been exercised shall terminate immediately and shall not thereafter be or become exercisable.</w:t>
      </w:r>
    </w:p>
    <w:p>
      <w:pPr>
        <w:spacing w:after="0" w:line="208" w:lineRule="exact"/>
        <w:rPr>
          <w:sz w:val="20"/>
          <w:szCs w:val="20"/>
          <w:color w:val="auto"/>
        </w:rPr>
      </w:pPr>
    </w:p>
    <w:p>
      <w:pPr>
        <w:jc w:val="both"/>
        <w:ind w:firstLine="494"/>
        <w:spacing w:after="0" w:line="255" w:lineRule="auto"/>
        <w:tabs>
          <w:tab w:leader="none" w:pos="82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Death of Consultant</w:t>
      </w:r>
      <w:r>
        <w:rPr>
          <w:rFonts w:ascii="Arial" w:cs="Arial" w:eastAsia="Arial" w:hAnsi="Arial"/>
          <w:sz w:val="18"/>
          <w:szCs w:val="18"/>
          <w:color w:val="auto"/>
        </w:rPr>
        <w:t>. In the event of the Consultant’s death while performing consulting services for the Company or within three months after termination of such consulting services (if such termination was neither (i) for cause nor (ii) voluntary on the part of the Consultant and without the written consent of the Company), the Stock Options shall remain in effect and may be exercised by the Consultant’s executor or administrator, or the Consultant’s heirs to the extent of the number of shares that were Purchasable Shares under the vesting schedule on the first page of the Award Agreement at the date of death. The appropriate persons to whom the right to exercise the Stock Options transferred may exercise that portion of the Stock Options at any time within a period ending on the earlier of (a) the last day of the one year period following the Consultant’s death or (b) the expiration date of the Stock Options specified on the first page of the Award Agreement.</w:t>
      </w:r>
    </w:p>
    <w:p>
      <w:pPr>
        <w:spacing w:after="0" w:line="216" w:lineRule="exact"/>
        <w:rPr>
          <w:rFonts w:ascii="Arial" w:cs="Arial" w:eastAsia="Arial" w:hAnsi="Arial"/>
          <w:sz w:val="18"/>
          <w:szCs w:val="18"/>
          <w:color w:val="auto"/>
        </w:rPr>
      </w:pPr>
    </w:p>
    <w:p>
      <w:pPr>
        <w:ind w:firstLine="494"/>
        <w:spacing w:after="0" w:line="342" w:lineRule="auto"/>
        <w:tabs>
          <w:tab w:leader="none" w:pos="80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Representations of Consultant</w:t>
      </w:r>
      <w:r>
        <w:rPr>
          <w:rFonts w:ascii="Arial" w:cs="Arial" w:eastAsia="Arial" w:hAnsi="Arial"/>
          <w:sz w:val="16"/>
          <w:szCs w:val="16"/>
          <w:color w:val="auto"/>
        </w:rPr>
        <w:t>. The Consultant represents, warrants, and agrees as follows, and the parties agree that the Company may rely on the same in consummating the issuance of any shares of the Common Stock to the Consultant pursuant to the Stock Options (the “Option Shares”):</w:t>
      </w:r>
    </w:p>
    <w:p>
      <w:pPr>
        <w:spacing w:after="0" w:line="150"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The Consultant is entering into this Agreement, and will acquire the Option Shares, solely on the basis of his own familiarity with the Company and all relevant factors about the Company’s affairs, and neither the Company nor any agent of the Company has made any express or implied representations, covenants, or warranties to the Consultant with respect to such matters.</w:t>
      </w:r>
    </w:p>
    <w:p>
      <w:pPr>
        <w:spacing w:after="0" w:line="192"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Consultant is acquiring the Option Shares for his own account for investment and not with a view to the resale or distribution of the Option Shares.</w:t>
      </w:r>
    </w:p>
    <w:p>
      <w:pPr>
        <w:spacing w:after="0" w:line="19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Economic Risk</w:t>
      </w:r>
      <w:r>
        <w:rPr>
          <w:rFonts w:ascii="Arial" w:cs="Arial" w:eastAsia="Arial" w:hAnsi="Arial"/>
          <w:sz w:val="18"/>
          <w:szCs w:val="18"/>
          <w:color w:val="auto"/>
        </w:rPr>
        <w:t>. The Consultant is willing and able to bear the economic risk of an investment in the Option Shares (in making this representation, attention has been given to whether the Consultant can afford to hold the Option Shares for an indefinite period of time and whether, at this time, the Consultant can afford a complete loss of the investment).</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Holding of Restricted Shares</w:t>
      </w:r>
      <w:r>
        <w:rPr>
          <w:rFonts w:ascii="Arial" w:cs="Arial" w:eastAsia="Arial" w:hAnsi="Arial"/>
          <w:sz w:val="18"/>
          <w:szCs w:val="18"/>
          <w:color w:val="auto"/>
        </w:rPr>
        <w:t>. The Consultant acknowledges that the Option Shares have not been registered under the Securities Act of 1933, as amended (the “1933 Act”) and, therefore, cannot be resold unless they are subsequently registered under the 1933 Act or an exemption from such registration is available, as determined by the Company to its reasonable satisfaction.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1" w:name="page62"/>
    <w:bookmarkEnd w:id="61"/>
    <w:p>
      <w:pPr>
        <w:jc w:val="both"/>
        <w:ind w:firstLine="494"/>
        <w:spacing w:after="0" w:line="273" w:lineRule="auto"/>
        <w:tabs>
          <w:tab w:leader="none" w:pos="815"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Compliance with Securities Laws and Other Regulatory Matters</w:t>
      </w:r>
      <w:r>
        <w:rPr>
          <w:rFonts w:ascii="Arial" w:cs="Arial" w:eastAsia="Arial" w:hAnsi="Arial"/>
          <w:sz w:val="17"/>
          <w:szCs w:val="17"/>
          <w:color w:val="auto"/>
        </w:rPr>
        <w:t>. The Consultant acknowledges that the issuance of capital stock of the Company is subject to limitations imposed by federal and state law, and the Consultant hereby agrees that the Company shall not be obligated to issue any shares of Common Stock upon an attempted exercise of this Stock Options that would cause the Company to violate law or any rule, regulation, order or consent decree of any regulatory authority (including without limitation the SEC) having jurisdiction over the affairs of the Company. The Consultant agrees that he or she will provide the Company with the following representations, and with such information as is reasonably requested by the Company or its counsel to determine whether the issuance of Common Stock complies with the provisions described by this Section 9.</w:t>
      </w:r>
    </w:p>
    <w:p>
      <w:pPr>
        <w:spacing w:after="0" w:line="205" w:lineRule="exact"/>
        <w:rPr>
          <w:rFonts w:ascii="Arial" w:cs="Arial" w:eastAsia="Arial" w:hAnsi="Arial"/>
          <w:sz w:val="17"/>
          <w:szCs w:val="17"/>
          <w:color w:val="auto"/>
        </w:rPr>
      </w:pPr>
    </w:p>
    <w:p>
      <w:pPr>
        <w:jc w:val="both"/>
        <w:ind w:firstLine="494"/>
        <w:spacing w:after="0" w:line="264" w:lineRule="auto"/>
        <w:tabs>
          <w:tab w:leader="none" w:pos="81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Rights Prior to Issuance of Certificates</w:t>
      </w:r>
      <w:r>
        <w:rPr>
          <w:rFonts w:ascii="Arial" w:cs="Arial" w:eastAsia="Arial" w:hAnsi="Arial"/>
          <w:sz w:val="18"/>
          <w:szCs w:val="18"/>
          <w:color w:val="auto"/>
        </w:rPr>
        <w:t>. Neither the Consultant nor any person to whom the rights of the Consultant shall have passed by will or the laws of descent and distribution shall have any of the rights of a shareholder with respect to any shares of Common Stock until the date of the issuance to him of certificates for such Common Stock as provided in Section 7 above.</w:t>
      </w:r>
    </w:p>
    <w:p>
      <w:pPr>
        <w:spacing w:after="0" w:line="204" w:lineRule="exact"/>
        <w:rPr>
          <w:rFonts w:ascii="Arial" w:cs="Arial" w:eastAsia="Arial" w:hAnsi="Arial"/>
          <w:sz w:val="18"/>
          <w:szCs w:val="18"/>
          <w:color w:val="auto"/>
        </w:rPr>
      </w:pPr>
    </w:p>
    <w:p>
      <w:pPr>
        <w:jc w:val="both"/>
        <w:ind w:firstLine="494"/>
        <w:spacing w:after="0" w:line="273" w:lineRule="auto"/>
        <w:tabs>
          <w:tab w:leader="none" w:pos="855"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Covenant Not to Compete</w:t>
      </w:r>
      <w:r>
        <w:rPr>
          <w:rFonts w:ascii="Arial" w:cs="Arial" w:eastAsia="Arial" w:hAnsi="Arial"/>
          <w:sz w:val="17"/>
          <w:szCs w:val="17"/>
          <w:b w:val="1"/>
          <w:bCs w:val="1"/>
          <w:color w:val="auto"/>
        </w:rPr>
        <w:t>.</w:t>
      </w:r>
      <w:r>
        <w:rPr>
          <w:rFonts w:ascii="Arial" w:cs="Arial" w:eastAsia="Arial" w:hAnsi="Arial"/>
          <w:sz w:val="17"/>
          <w:szCs w:val="17"/>
          <w:color w:val="auto"/>
        </w:rPr>
        <w:t xml:space="preserve"> If the Consultant has not already executed a non-competition agreement with the Company, the Consultant shall provide the Company with a signed non-competition agreement simultaneously with the execution of the Award Agreement. The Consultant’s execution and delivery of such a non-competition agreement in a form reasonably satisfactory to the Company shall be a condition to the Company’s obligation to issue any shares to the Consultant upon exercise of the Stock Options granted under this Agreement. In consideration of the Stock Options, the Consultant agrees that if, at any time during the period set forth in non-competition agreement, the Consultant should violate the covenants not to compete or the non-solicitation covenants set forth in the non-competition agreement without the express prior consent of the Company, the Consultant will forfeit his or her right to receive or retain the shares issued upon the exercise of the Stock Options granted under this Agreement.</w:t>
      </w:r>
    </w:p>
    <w:p>
      <w:pPr>
        <w:spacing w:after="0" w:line="203" w:lineRule="exact"/>
        <w:rPr>
          <w:rFonts w:ascii="Arial" w:cs="Arial" w:eastAsia="Arial" w:hAnsi="Arial"/>
          <w:sz w:val="17"/>
          <w:szCs w:val="17"/>
          <w:color w:val="auto"/>
        </w:rPr>
      </w:pPr>
    </w:p>
    <w:p>
      <w:pPr>
        <w:jc w:val="both"/>
        <w:ind w:firstLine="494"/>
        <w:spacing w:after="0" w:line="259" w:lineRule="auto"/>
        <w:tabs>
          <w:tab w:leader="none" w:pos="81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Governing Plan Document</w:t>
      </w:r>
      <w:r>
        <w:rPr>
          <w:rFonts w:ascii="Arial" w:cs="Arial" w:eastAsia="Arial" w:hAnsi="Arial"/>
          <w:sz w:val="18"/>
          <w:szCs w:val="18"/>
          <w:color w:val="auto"/>
        </w:rPr>
        <w:t>. The Stock Options granted to the Consultant under this Agreement are subject to all the provisions of the Plan, the provisions of which are hereby made a part of this Agreement,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213" w:lineRule="exact"/>
        <w:rPr>
          <w:rFonts w:ascii="Arial" w:cs="Arial" w:eastAsia="Arial" w:hAnsi="Arial"/>
          <w:sz w:val="18"/>
          <w:szCs w:val="18"/>
          <w:color w:val="auto"/>
        </w:rPr>
      </w:pPr>
    </w:p>
    <w:p>
      <w:pPr>
        <w:ind w:left="800" w:hanging="306"/>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This Agreement shall be binding upon the parties hereto and their representatives, successors and assigns.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220" w:hanging="334"/>
        <w:spacing w:after="0" w:line="342" w:lineRule="auto"/>
        <w:tabs>
          <w:tab w:leader="none" w:pos="12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Consultant acknowledges and agrees that if he should become an executive officer of the Company, the Stock Options granted under this Agreement may be subject to the Company’s Policy on Recoupment of Executive Compensation, as it may be amended from time to time.</w:t>
      </w:r>
    </w:p>
    <w:p>
      <w:pPr>
        <w:spacing w:after="0" w:line="150" w:lineRule="exact"/>
        <w:rPr>
          <w:rFonts w:ascii="Arial" w:cs="Arial" w:eastAsia="Arial" w:hAnsi="Arial"/>
          <w:sz w:val="16"/>
          <w:szCs w:val="16"/>
          <w:color w:val="auto"/>
        </w:rPr>
      </w:pPr>
    </w:p>
    <w:p>
      <w:pPr>
        <w:ind w:left="1220" w:hanging="334"/>
        <w:spacing w:after="0"/>
        <w:tabs>
          <w:tab w:leader="none" w:pos="1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w:t>
      </w:r>
    </w:p>
    <w:p>
      <w:pPr>
        <w:spacing w:after="0" w:line="252" w:lineRule="exact"/>
        <w:rPr>
          <w:rFonts w:ascii="Arial" w:cs="Arial" w:eastAsia="Arial" w:hAnsi="Arial"/>
          <w:sz w:val="18"/>
          <w:szCs w:val="18"/>
          <w:color w:val="auto"/>
        </w:rPr>
      </w:pPr>
    </w:p>
    <w:p>
      <w:pPr>
        <w:jc w:val="both"/>
        <w:ind w:left="1220" w:hanging="334"/>
        <w:spacing w:after="0" w:line="255" w:lineRule="auto"/>
        <w:tabs>
          <w:tab w:leader="none" w:pos="1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requests or notices to be given hereunder shall be deemed given, and any elections or exercises to be made or accomplished shall be deemed made or accomplished, upon actual delivery thereof to the designated recipient, or three days after deposit thereof in the United States mail, registered, return receipt requested and postage prepaid, addressed, if to the Consultant, at the most recent mailing address provided to the Company in writing, and, if to the Company, to the executive offices of the Company at 50 North Laura St., Suite 2500, Jacksonville, FL 32202, or at such other addresses that the parties provide to each other in accordance with the foregoing notice requirements.</w:t>
      </w:r>
    </w:p>
    <w:p>
      <w:pPr>
        <w:spacing w:after="0" w:line="220" w:lineRule="exact"/>
        <w:rPr>
          <w:rFonts w:ascii="Arial" w:cs="Arial" w:eastAsia="Arial" w:hAnsi="Arial"/>
          <w:sz w:val="18"/>
          <w:szCs w:val="18"/>
          <w:color w:val="auto"/>
        </w:rPr>
      </w:pPr>
    </w:p>
    <w:p>
      <w:pPr>
        <w:ind w:left="1220" w:hanging="334"/>
        <w:spacing w:after="0"/>
        <w:tabs>
          <w:tab w:leader="none" w:pos="1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This Agreement may not be modified except in writing executed by each of the parties to it.</w:t>
      </w:r>
    </w:p>
    <w:p>
      <w:pPr>
        <w:spacing w:after="0" w:line="252" w:lineRule="exact"/>
        <w:rPr>
          <w:rFonts w:ascii="Arial" w:cs="Arial" w:eastAsia="Arial" w:hAnsi="Arial"/>
          <w:sz w:val="18"/>
          <w:szCs w:val="18"/>
          <w:color w:val="auto"/>
        </w:rPr>
      </w:pPr>
    </w:p>
    <w:p>
      <w:pPr>
        <w:ind w:left="1220" w:hanging="334"/>
        <w:spacing w:after="0" w:line="277" w:lineRule="auto"/>
        <w:tabs>
          <w:tab w:leader="none" w:pos="1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Neither this Agreement nor the Stock Options confer upon the Consultant any right with respect to continuance of consulting services for the Company.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50430" cy="450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2" w:name="page63"/>
    <w:bookmarkEnd w:id="62"/>
    <w:p>
      <w:pPr>
        <w:ind w:left="103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10.7</w:t>
      </w:r>
    </w:p>
    <w:p>
      <w:pPr>
        <w:spacing w:after="0" w:line="200" w:lineRule="exact"/>
        <w:rPr>
          <w:sz w:val="20"/>
          <w:szCs w:val="20"/>
          <w:color w:val="auto"/>
        </w:rPr>
      </w:pPr>
    </w:p>
    <w:p>
      <w:pPr>
        <w:spacing w:after="0" w:line="270" w:lineRule="exact"/>
        <w:rPr>
          <w:sz w:val="20"/>
          <w:szCs w:val="20"/>
          <w:color w:val="auto"/>
        </w:rPr>
      </w:pPr>
    </w:p>
    <w:p>
      <w:pPr>
        <w:ind w:left="2080"/>
        <w:spacing w:after="0"/>
        <w:tabs>
          <w:tab w:leader="none" w:pos="1062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Consultant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_________________</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TapImmune Inc. hereby grants you the number of shares of our common stock, par value $0.001 per share (the “Restricted Shares”) set forth below. These Restricted Shares are subject to the vesting conditions and other terms and conditions set forth in the TapImmune Inc. 2014 Omnibus Stock Ownership Plan (the “Plan”) and in the Terms and Conditions of Restricted Shares attached as Exhibit 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in Grant: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34"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Vesting Schedule:</w:t>
      </w:r>
    </w:p>
    <w:p>
      <w:pPr>
        <w:spacing w:after="0" w:line="225" w:lineRule="exact"/>
        <w:rPr>
          <w:sz w:val="20"/>
          <w:szCs w:val="20"/>
          <w:color w:val="auto"/>
        </w:rPr>
      </w:pPr>
    </w:p>
    <w:p>
      <w:pPr>
        <w:ind w:left="1140"/>
        <w:spacing w:after="0"/>
        <w:tabs>
          <w:tab w:leader="none" w:pos="4220" w:val="left"/>
          <w:tab w:leader="none" w:pos="7920" w:val="left"/>
        </w:tabs>
        <w:rPr>
          <w:sz w:val="20"/>
          <w:szCs w:val="20"/>
          <w:color w:val="auto"/>
        </w:rPr>
      </w:pPr>
      <w:r>
        <w:rPr>
          <w:rFonts w:ascii="Arial" w:cs="Arial" w:eastAsia="Arial" w:hAnsi="Arial"/>
          <w:sz w:val="18"/>
          <w:szCs w:val="18"/>
          <w:b w:val="1"/>
          <w:bCs w:val="1"/>
          <w:color w:val="auto"/>
        </w:rPr>
        <w:t>Vesting Date</w:t>
      </w:r>
      <w:r>
        <w:rPr>
          <w:sz w:val="20"/>
          <w:szCs w:val="20"/>
          <w:color w:val="auto"/>
        </w:rPr>
        <w:tab/>
      </w:r>
      <w:r>
        <w:rPr>
          <w:rFonts w:ascii="Arial" w:cs="Arial" w:eastAsia="Arial" w:hAnsi="Arial"/>
          <w:sz w:val="18"/>
          <w:szCs w:val="18"/>
          <w:b w:val="1"/>
          <w:bCs w:val="1"/>
          <w:color w:val="auto"/>
        </w:rPr>
        <w:t>Number of Purchasable Shares</w:t>
      </w:r>
      <w:r>
        <w:rPr>
          <w:sz w:val="20"/>
          <w:szCs w:val="20"/>
          <w:color w:val="auto"/>
        </w:rPr>
        <w:tab/>
      </w:r>
      <w:r>
        <w:rPr>
          <w:rFonts w:ascii="Arial" w:cs="Arial" w:eastAsia="Arial" w:hAnsi="Arial"/>
          <w:sz w:val="16"/>
          <w:szCs w:val="16"/>
          <w:b w:val="1"/>
          <w:bCs w:val="1"/>
          <w:color w:val="auto"/>
        </w:rPr>
        <w:t>Total Number of Purchasable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Notwithstanding the foregoing, the Restricted Shares shall become fully vested upon a “change in control” (as this term is defined in the Plan).</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Your signature below acknowledges your agreement that the Restricted Shares granted to you are subject to all of the terms and conditions contained in the Plan and in Appendix A. PLEASE BE SURE TO READ APPENDIX A, WHICH CONTAINS THE SPECIFIC TERMS AND CONDITIONS OF YOUR RESTRICTED SHARES.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sign one copy of this Restricted Stock Award Agreement (the other copy is for your files) and return the signed copy to 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TAPIMMUNE, INC</w:t>
            </w:r>
            <w:r>
              <w:rPr>
                <w:rFonts w:ascii="Arial" w:cs="Arial" w:eastAsia="Arial" w:hAnsi="Arial"/>
                <w:sz w:val="18"/>
                <w:szCs w:val="18"/>
                <w:color w:val="auto"/>
              </w:rPr>
              <w:t>.</w:t>
            </w:r>
          </w:p>
        </w:tc>
        <w:tc>
          <w:tcPr>
            <w:tcW w:w="6760" w:type="dxa"/>
            <w:vAlign w:val="bottom"/>
          </w:tcPr>
          <w:p>
            <w:pPr>
              <w:spacing w:after="0"/>
              <w:rPr>
                <w:sz w:val="20"/>
                <w:szCs w:val="20"/>
                <w:color w:val="auto"/>
              </w:rPr>
            </w:pPr>
          </w:p>
        </w:tc>
      </w:tr>
      <w:tr>
        <w:trPr>
          <w:trHeight w:val="418"/>
        </w:trPr>
        <w:tc>
          <w:tcPr>
            <w:tcW w:w="466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6760" w:type="dxa"/>
            <w:vAlign w:val="bottom"/>
          </w:tcPr>
          <w:p>
            <w:pPr>
              <w:ind w:left="1980"/>
              <w:spacing w:after="0"/>
              <w:rPr>
                <w:sz w:val="20"/>
                <w:szCs w:val="20"/>
                <w:color w:val="auto"/>
              </w:rPr>
            </w:pPr>
            <w:r>
              <w:rPr>
                <w:rFonts w:ascii="Arial" w:cs="Arial" w:eastAsia="Arial" w:hAnsi="Arial"/>
                <w:sz w:val="18"/>
                <w:szCs w:val="18"/>
                <w:color w:val="auto"/>
              </w:rPr>
              <w:t>__________________________</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w:t>
            </w:r>
          </w:p>
        </w:tc>
        <w:tc>
          <w:tcPr>
            <w:tcW w:w="6760" w:type="dxa"/>
            <w:vAlign w:val="bottom"/>
          </w:tcPr>
          <w:p>
            <w:pPr>
              <w:ind w:left="1980"/>
              <w:spacing w:after="0"/>
              <w:rPr>
                <w:sz w:val="20"/>
                <w:szCs w:val="20"/>
                <w:color w:val="auto"/>
              </w:rPr>
            </w:pPr>
            <w:r>
              <w:rPr>
                <w:rFonts w:ascii="Arial" w:cs="Arial" w:eastAsia="Arial" w:hAnsi="Arial"/>
                <w:sz w:val="18"/>
                <w:szCs w:val="18"/>
                <w:color w:val="auto"/>
              </w:rPr>
              <w:t>Glynn Wilson, President &amp; CEO</w:t>
            </w:r>
          </w:p>
        </w:tc>
      </w:tr>
      <w:tr>
        <w:trPr>
          <w:trHeight w:val="432"/>
        </w:trPr>
        <w:tc>
          <w:tcPr>
            <w:tcW w:w="466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6760" w:type="dxa"/>
            <w:vAlign w:val="bottom"/>
          </w:tcPr>
          <w:p>
            <w:pPr>
              <w:spacing w:after="0"/>
              <w:rPr>
                <w:sz w:val="24"/>
                <w:szCs w:val="24"/>
                <w:color w:val="auto"/>
              </w:rPr>
            </w:pPr>
          </w:p>
        </w:tc>
      </w:tr>
      <w:tr>
        <w:trPr>
          <w:trHeight w:val="418"/>
        </w:trPr>
        <w:tc>
          <w:tcPr>
            <w:tcW w:w="466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6760" w:type="dxa"/>
            <w:vAlign w:val="bottom"/>
          </w:tcPr>
          <w:p>
            <w:pPr>
              <w:ind w:left="1980"/>
              <w:spacing w:after="0"/>
              <w:rPr>
                <w:sz w:val="20"/>
                <w:szCs w:val="20"/>
                <w:color w:val="auto"/>
              </w:rPr>
            </w:pPr>
            <w:r>
              <w:rPr>
                <w:rFonts w:ascii="Arial" w:cs="Arial" w:eastAsia="Arial" w:hAnsi="Arial"/>
                <w:sz w:val="18"/>
                <w:szCs w:val="18"/>
                <w:color w:val="auto"/>
              </w:rPr>
              <w:t>__________________________</w:t>
            </w:r>
          </w:p>
        </w:tc>
      </w:tr>
      <w:tr>
        <w:trPr>
          <w:trHeight w:val="230"/>
        </w:trPr>
        <w:tc>
          <w:tcPr>
            <w:tcW w:w="4660" w:type="dxa"/>
            <w:vAlign w:val="bottom"/>
          </w:tcPr>
          <w:p>
            <w:pPr>
              <w:ind w:left="60"/>
              <w:spacing w:after="0"/>
              <w:rPr>
                <w:sz w:val="20"/>
                <w:szCs w:val="20"/>
                <w:color w:val="auto"/>
              </w:rPr>
            </w:pPr>
            <w:r>
              <w:rPr>
                <w:rFonts w:ascii="Arial" w:cs="Arial" w:eastAsia="Arial" w:hAnsi="Arial"/>
                <w:sz w:val="18"/>
                <w:szCs w:val="18"/>
                <w:color w:val="auto"/>
              </w:rPr>
              <w:t>Print name:____________________</w:t>
            </w:r>
          </w:p>
        </w:tc>
        <w:tc>
          <w:tcPr>
            <w:tcW w:w="6760" w:type="dxa"/>
            <w:vAlign w:val="bottom"/>
          </w:tcPr>
          <w:p>
            <w:pPr>
              <w:ind w:left="1980"/>
              <w:spacing w:after="0"/>
              <w:rPr>
                <w:sz w:val="20"/>
                <w:szCs w:val="20"/>
                <w:color w:val="auto"/>
              </w:rPr>
            </w:pPr>
            <w:r>
              <w:rPr>
                <w:rFonts w:ascii="Arial" w:cs="Arial" w:eastAsia="Arial" w:hAnsi="Arial"/>
                <w:sz w:val="18"/>
                <w:szCs w:val="18"/>
                <w:color w:val="auto"/>
              </w:rPr>
              <w:t>Date</w:t>
            </w:r>
          </w:p>
        </w:tc>
      </w:tr>
      <w:tr>
        <w:trPr>
          <w:trHeight w:val="659"/>
        </w:trPr>
        <w:tc>
          <w:tcPr>
            <w:tcW w:w="466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Participant:______________Restricted Stock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Restricted Stock</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this Restricted Stock Award Agreement, TapImmune Inc. (the “Company”) has granted the key employee of the Company named in the first page of this Award Agreement (the “Participant”) shares of the common stock, par value $0.001 per share, of the Company under the TapImmune Inc. 2014 Omnibus Stock Ownership Plan (the “Plan”). This award will give the Participant the right to receive the number of shares of the Company’s Common Stock indicated on the first page of this Award Agreement, subject to and conditioned upon, the vesting requirements and other conditions set forth in this Award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the Restricted Shares are as follows:</w:t>
      </w:r>
    </w:p>
    <w:p>
      <w:pPr>
        <w:spacing w:after="0" w:line="248" w:lineRule="exact"/>
        <w:rPr>
          <w:sz w:val="20"/>
          <w:szCs w:val="20"/>
          <w:color w:val="auto"/>
        </w:rPr>
      </w:pPr>
    </w:p>
    <w:p>
      <w:pPr>
        <w:jc w:val="both"/>
        <w:ind w:firstLine="656"/>
        <w:spacing w:after="0" w:line="261" w:lineRule="auto"/>
        <w:tabs>
          <w:tab w:leader="none" w:pos="1278"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hereby grants to the Participant the number of shares of the common stock, $0.001 par value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of the Company specified on the first page of this Award Agreement, subject to satisfaction of the vesting schedule set forth on the first page of this Award Agreement and the other conditions set forth in this Agreement and the terms of the Plan. The Restricted Shares shall be subject to the risk of forfeiture and other restrictions imposed by Sections 3 and 8 of these Terms and Conditions.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Participant shall not be required to provide the Company with any payment in exchange for such Restricted Shares, other than the Participant’s past and future services to the Company.</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of the terms of the Plan related to Restricted Shares are incorporated into this Award Agreement by reference. Defined terms not explicitly defined in this Award Agreement but defined in the Plan shall have the same definitions as in the Plan.</w:t>
      </w:r>
    </w:p>
    <w:p>
      <w:pPr>
        <w:spacing w:after="0" w:line="193" w:lineRule="exact"/>
        <w:rPr>
          <w:sz w:val="20"/>
          <w:szCs w:val="20"/>
          <w:color w:val="auto"/>
        </w:rPr>
      </w:pPr>
    </w:p>
    <w:p>
      <w:pPr>
        <w:ind w:left="1280" w:hanging="624"/>
        <w:spacing w:after="0"/>
        <w:tabs>
          <w:tab w:leader="none" w:pos="1280" w:val="left"/>
        </w:tabs>
        <w:numPr>
          <w:ilvl w:val="0"/>
          <w:numId w:val="70"/>
        </w:numPr>
        <w:rPr>
          <w:rFonts w:ascii="Arial" w:cs="Arial" w:eastAsia="Arial" w:hAnsi="Arial"/>
          <w:sz w:val="16"/>
          <w:szCs w:val="16"/>
          <w:color w:val="auto"/>
        </w:rPr>
      </w:pPr>
      <w:r>
        <w:rPr>
          <w:rFonts w:ascii="Arial" w:cs="Arial" w:eastAsia="Arial" w:hAnsi="Arial"/>
          <w:sz w:val="16"/>
          <w:szCs w:val="16"/>
          <w:b w:val="1"/>
          <w:bCs w:val="1"/>
          <w:u w:val="single" w:color="auto"/>
          <w:color w:val="auto"/>
        </w:rPr>
        <w:t>Continued Employment and Other Covenants of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for the Restricted Shares, the Participant agrees to:</w:t>
      </w:r>
    </w:p>
    <w:p>
      <w:pPr>
        <w:spacing w:after="0" w:line="279" w:lineRule="exact"/>
        <w:rPr>
          <w:sz w:val="20"/>
          <w:szCs w:val="20"/>
          <w:color w:val="auto"/>
        </w:rPr>
      </w:pPr>
    </w:p>
    <w:p>
      <w:pPr>
        <w:ind w:left="660" w:hanging="4"/>
        <w:spacing w:after="0" w:line="277" w:lineRule="auto"/>
        <w:tabs>
          <w:tab w:leader="none" w:pos="14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 providing services to the Company as an employee or as a consultant through the latest Vesting Date in the vesting schedule set forth on the first page of this Award Agreement; and</w:t>
      </w:r>
    </w:p>
    <w:p>
      <w:pPr>
        <w:spacing w:after="0" w:line="197" w:lineRule="exact"/>
        <w:rPr>
          <w:rFonts w:ascii="Arial" w:cs="Arial" w:eastAsia="Arial" w:hAnsi="Arial"/>
          <w:sz w:val="18"/>
          <w:szCs w:val="18"/>
          <w:color w:val="auto"/>
        </w:rPr>
      </w:pPr>
    </w:p>
    <w:p>
      <w:pPr>
        <w:ind w:left="660" w:firstLine="645"/>
        <w:spacing w:after="0" w:line="277" w:lineRule="auto"/>
        <w:tabs>
          <w:tab w:leader="none" w:pos="2213" w:val="left"/>
        </w:tabs>
        <w:numPr>
          <w:ilvl w:val="1"/>
          <w:numId w:val="71"/>
        </w:numPr>
        <w:rPr>
          <w:rFonts w:ascii="Arial" w:cs="Arial" w:eastAsia="Arial" w:hAnsi="Arial"/>
          <w:sz w:val="18"/>
          <w:szCs w:val="18"/>
          <w:color w:val="auto"/>
        </w:rPr>
      </w:pPr>
      <w:r>
        <w:rPr>
          <w:rFonts w:ascii="Arial" w:cs="Arial" w:eastAsia="Arial" w:hAnsi="Arial"/>
          <w:sz w:val="18"/>
          <w:szCs w:val="18"/>
          <w:color w:val="auto"/>
        </w:rPr>
        <w:t>execute a non-competition agreement with the Company and be bound by the covenant not to compete and other restrictive covenants set forth in such non-competition agreement, as described in Section 12 of this Agreement.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Participant agrees that his/her execution of a non-competition agreement is a condition to the Company’s obligation to issue any Restricted Shares to the Participant under this Agreement.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4" w:name="page65"/>
    <w:bookmarkEnd w:id="64"/>
    <w:p>
      <w:pPr>
        <w:jc w:val="both"/>
        <w:ind w:firstLine="656"/>
        <w:spacing w:after="0" w:line="281" w:lineRule="auto"/>
        <w:tabs>
          <w:tab w:leader="none" w:pos="1386" w:val="left"/>
        </w:tabs>
        <w:numPr>
          <w:ilvl w:val="0"/>
          <w:numId w:val="72"/>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shall have the rights and privileges of a stockholder of the Company with respect to the Restricted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issued under this Award Agreement, including voting rights and the right to receive any dividends paid with respect to such shares,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until such time as the Restricted Shares vest under the vesting schedule set forth on the first page of this Award Agreement, the Restricted Shares shall be subject to forfeiture upon termination of the Participant’s employment with the Company to the extent set forth in Section 8 below.</w:t>
      </w:r>
    </w:p>
    <w:p>
      <w:pPr>
        <w:spacing w:after="0" w:line="191" w:lineRule="exact"/>
        <w:rPr>
          <w:rFonts w:ascii="Arial" w:cs="Arial" w:eastAsia="Arial" w:hAnsi="Arial"/>
          <w:sz w:val="17"/>
          <w:szCs w:val="17"/>
          <w:color w:val="auto"/>
        </w:rPr>
      </w:pPr>
    </w:p>
    <w:p>
      <w:pPr>
        <w:jc w:val="both"/>
        <w:ind w:firstLine="656"/>
        <w:spacing w:after="0" w:line="266" w:lineRule="auto"/>
        <w:tabs>
          <w:tab w:leader="none" w:pos="1319"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When the Restricted Shares Vest</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Shares granted to the Participant under this Agreement shall vest at the times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vesting schedule set forth on the first page of this Award Agreement (the “Vesting Date”), or at such earlier time as the restrictions may lapse pursuant to Subsection 4(b).</w:t>
      </w:r>
    </w:p>
    <w:p>
      <w:pPr>
        <w:spacing w:after="0" w:line="207" w:lineRule="exact"/>
        <w:rPr>
          <w:rFonts w:ascii="Arial" w:cs="Arial" w:eastAsia="Arial" w:hAnsi="Arial"/>
          <w:sz w:val="18"/>
          <w:szCs w:val="18"/>
          <w:color w:val="auto"/>
        </w:rPr>
      </w:pPr>
    </w:p>
    <w:p>
      <w:pPr>
        <w:ind w:left="660" w:right="20" w:firstLine="645"/>
        <w:spacing w:after="0" w:line="277" w:lineRule="auto"/>
        <w:tabs>
          <w:tab w:leader="none" w:pos="2251" w:val="left"/>
        </w:tabs>
        <w:numPr>
          <w:ilvl w:val="1"/>
          <w:numId w:val="72"/>
        </w:numPr>
        <w:rPr>
          <w:rFonts w:ascii="Arial" w:cs="Arial" w:eastAsia="Arial" w:hAnsi="Arial"/>
          <w:sz w:val="18"/>
          <w:szCs w:val="18"/>
          <w:color w:val="auto"/>
        </w:rPr>
      </w:pPr>
      <w:r>
        <w:rPr>
          <w:rFonts w:ascii="Arial" w:cs="Arial" w:eastAsia="Arial" w:hAnsi="Arial"/>
          <w:sz w:val="18"/>
          <w:szCs w:val="18"/>
          <w:color w:val="auto"/>
        </w:rPr>
        <w:t>Notwithstanding the preceding paragraph, the Restricted Shares shall become vested earlier than the date provided in such paragraph if any of the following circumstances apply:</w:t>
      </w:r>
    </w:p>
    <w:p>
      <w:pPr>
        <w:spacing w:after="0" w:line="197" w:lineRule="exact"/>
        <w:rPr>
          <w:rFonts w:ascii="Arial" w:cs="Arial" w:eastAsia="Arial" w:hAnsi="Arial"/>
          <w:sz w:val="18"/>
          <w:szCs w:val="18"/>
          <w:color w:val="auto"/>
        </w:rPr>
      </w:pPr>
    </w:p>
    <w:p>
      <w:pPr>
        <w:ind w:left="2100" w:hanging="471"/>
        <w:spacing w:after="0"/>
        <w:tabs>
          <w:tab w:leader="none" w:pos="2100"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xml:space="preserve"> The Participant dies while providing services to the Company as an employee;</w:t>
      </w:r>
    </w:p>
    <w:p>
      <w:pPr>
        <w:spacing w:after="0" w:line="252" w:lineRule="exact"/>
        <w:rPr>
          <w:rFonts w:ascii="Arial" w:cs="Arial" w:eastAsia="Arial" w:hAnsi="Arial"/>
          <w:sz w:val="18"/>
          <w:szCs w:val="18"/>
          <w:color w:val="auto"/>
        </w:rPr>
      </w:pPr>
    </w:p>
    <w:p>
      <w:pPr>
        <w:ind w:left="980" w:firstLine="649"/>
        <w:spacing w:after="0" w:line="277" w:lineRule="auto"/>
        <w:tabs>
          <w:tab w:leader="none" w:pos="2122"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Participant becomes permanently and totally disabled while providing services to the Company as an employee, as described in Section 9 below;</w:t>
      </w:r>
    </w:p>
    <w:p>
      <w:pPr>
        <w:spacing w:after="0" w:line="197" w:lineRule="exact"/>
        <w:rPr>
          <w:rFonts w:ascii="Arial" w:cs="Arial" w:eastAsia="Arial" w:hAnsi="Arial"/>
          <w:sz w:val="18"/>
          <w:szCs w:val="18"/>
          <w:color w:val="auto"/>
        </w:rPr>
      </w:pPr>
    </w:p>
    <w:p>
      <w:pPr>
        <w:ind w:left="980" w:right="20" w:firstLine="649"/>
        <w:spacing w:after="0" w:line="277" w:lineRule="auto"/>
        <w:tabs>
          <w:tab w:leader="none" w:pos="2135"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A Change in Control of the Company occurs while the Participant is providing services to the Company as an employee or consultant.</w:t>
      </w:r>
    </w:p>
    <w:p>
      <w:pPr>
        <w:spacing w:after="0" w:line="193" w:lineRule="exact"/>
        <w:rPr>
          <w:rFonts w:ascii="Arial" w:cs="Arial" w:eastAsia="Arial" w:hAnsi="Arial"/>
          <w:sz w:val="18"/>
          <w:szCs w:val="18"/>
          <w:color w:val="auto"/>
        </w:rPr>
      </w:pPr>
    </w:p>
    <w:p>
      <w:pPr>
        <w:jc w:val="both"/>
        <w:ind w:firstLine="656"/>
        <w:spacing w:after="0" w:line="277" w:lineRule="auto"/>
        <w:tabs>
          <w:tab w:leader="none" w:pos="1332" w:val="left"/>
        </w:tabs>
        <w:numPr>
          <w:ilvl w:val="0"/>
          <w:numId w:val="72"/>
        </w:numPr>
        <w:rPr>
          <w:rFonts w:ascii="Arial" w:cs="Arial" w:eastAsia="Arial" w:hAnsi="Arial"/>
          <w:sz w:val="17"/>
          <w:szCs w:val="17"/>
          <w:color w:val="auto"/>
        </w:rPr>
      </w:pPr>
      <w:r>
        <w:rPr>
          <w:rFonts w:ascii="Arial" w:cs="Arial" w:eastAsia="Arial" w:hAnsi="Arial"/>
          <w:sz w:val="17"/>
          <w:szCs w:val="17"/>
          <w:b w:val="1"/>
          <w:bCs w:val="1"/>
          <w:u w:val="single" w:color="auto"/>
          <w:color w:val="auto"/>
        </w:rPr>
        <w:t>Issuance of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Upon execution of the Award Agreement by the Participant, assuming all of the covenants and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Award Agreement have been met, the Company shall issue the appropriate number of shares of common stock in the Participant’s name promptly. The stock certificates representing these Restricted Shares shall be deposited with the Secretary of the Company and held in escrow until the Restricted Shares become vested. Upon request, the Participant shall also provide the Company with a signed stock power, authorizing the transfer of the Restricted Shares in the event the Restricted Shares are forfeited by the Participant pursuant to Section 8 below.</w:t>
      </w:r>
    </w:p>
    <w:p>
      <w:pPr>
        <w:spacing w:after="0" w:line="195" w:lineRule="exact"/>
        <w:rPr>
          <w:rFonts w:ascii="Arial" w:cs="Arial" w:eastAsia="Arial" w:hAnsi="Arial"/>
          <w:sz w:val="17"/>
          <w:szCs w:val="17"/>
          <w:color w:val="auto"/>
        </w:rPr>
      </w:pPr>
    </w:p>
    <w:p>
      <w:pPr>
        <w:ind w:firstLine="656"/>
        <w:spacing w:after="0" w:line="282" w:lineRule="auto"/>
        <w:tabs>
          <w:tab w:leader="none" w:pos="1427"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Certificates</w:t>
      </w:r>
      <w:r>
        <w:rPr>
          <w:rFonts w:ascii="Arial" w:cs="Arial" w:eastAsia="Arial" w:hAnsi="Arial"/>
          <w:sz w:val="18"/>
          <w:szCs w:val="18"/>
          <w:color w:val="auto"/>
        </w:rPr>
        <w:t>. The stock certificate or certificates representing the Restricted Shares issued under this Award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legended in the following manner:</w:t>
      </w:r>
    </w:p>
    <w:p>
      <w:pPr>
        <w:spacing w:after="0" w:line="193" w:lineRule="exact"/>
        <w:rPr>
          <w:sz w:val="20"/>
          <w:szCs w:val="20"/>
          <w:color w:val="auto"/>
        </w:rPr>
      </w:pPr>
    </w:p>
    <w:p>
      <w:pPr>
        <w:jc w:val="both"/>
        <w:ind w:left="660" w:right="660"/>
        <w:spacing w:after="0" w:line="302" w:lineRule="auto"/>
        <w:rPr>
          <w:sz w:val="20"/>
          <w:szCs w:val="20"/>
          <w:color w:val="auto"/>
        </w:rPr>
      </w:pPr>
      <w:r>
        <w:rPr>
          <w:rFonts w:ascii="Arial" w:cs="Arial" w:eastAsia="Arial" w:hAnsi="Arial"/>
          <w:sz w:val="16"/>
          <w:szCs w:val="16"/>
          <w:color w:val="auto"/>
        </w:rPr>
        <w:t>“The shares of TapImmune Inc. common stock evidenced by this stock certificate are subject to the terms and restrictions of a Restricted Stock Award Agreement between the holder and TapImmune, Inc.; such shares are subject to forfeiture or repurchase under the terms of said Agreement; and such shares cannot be sold, transferred, assigned, pledged, encumbered or otherwise alienated or hypothecated pursuant to the provisions of said Agreement, a copy of which is available from TapImmune Inc. upon request.”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5" w:name="page66"/>
    <w:bookmarkEnd w:id="65"/>
    <w:p>
      <w:pPr>
        <w:jc w:val="both"/>
        <w:ind w:firstLine="648"/>
        <w:spacing w:after="0" w:line="264" w:lineRule="auto"/>
        <w:rPr>
          <w:sz w:val="20"/>
          <w:szCs w:val="20"/>
          <w:color w:val="auto"/>
        </w:rPr>
      </w:pPr>
      <w:r>
        <w:rPr>
          <w:rFonts w:ascii="Arial" w:cs="Arial" w:eastAsia="Arial" w:hAnsi="Arial"/>
          <w:sz w:val="18"/>
          <w:szCs w:val="18"/>
          <w:color w:val="auto"/>
        </w:rPr>
        <w:t>After the Restricted Shares vest under Section 4 above, the Company shall issue a new stock certificate or certificates evidencing the newly vested portion of the Restricted Shares issued to the Participant, which certificates shall include in place of the legend referenced in the preceding paragraph a legend in substantially the following form:</w:t>
      </w:r>
    </w:p>
    <w:p>
      <w:pPr>
        <w:spacing w:after="0" w:line="208" w:lineRule="exact"/>
        <w:rPr>
          <w:sz w:val="20"/>
          <w:szCs w:val="20"/>
          <w:color w:val="auto"/>
        </w:rPr>
      </w:pPr>
    </w:p>
    <w:p>
      <w:pPr>
        <w:jc w:val="both"/>
        <w:ind w:left="1300" w:right="640"/>
        <w:spacing w:after="0" w:line="259" w:lineRule="auto"/>
        <w:rPr>
          <w:sz w:val="20"/>
          <w:szCs w:val="20"/>
          <w:color w:val="auto"/>
        </w:rPr>
      </w:pPr>
      <w:r>
        <w:rPr>
          <w:rFonts w:ascii="Arial" w:cs="Arial" w:eastAsia="Arial" w:hAnsi="Arial"/>
          <w:sz w:val="18"/>
          <w:szCs w:val="18"/>
          <w:color w:val="auto"/>
        </w:rPr>
        <w:t>“These securities have not been registered under the Securities Act of 1933, as amended (the “Act”) or the securities laws of any state. They may not be sold, offered for sale, pledged or hypothecated in the absence of a registration statement in effect with respect to the securities under such Act and any applicable state securities laws, or an opinion of counsel reasonably satisfactory to TapImmune Inc. that such registration is not required.”</w:t>
      </w:r>
    </w:p>
    <w:p>
      <w:pPr>
        <w:spacing w:after="0" w:line="210" w:lineRule="exact"/>
        <w:rPr>
          <w:sz w:val="20"/>
          <w:szCs w:val="20"/>
          <w:color w:val="auto"/>
        </w:rPr>
      </w:pPr>
    </w:p>
    <w:p>
      <w:pPr>
        <w:jc w:val="both"/>
        <w:ind w:firstLine="656"/>
        <w:spacing w:after="0" w:line="291" w:lineRule="auto"/>
        <w:tabs>
          <w:tab w:leader="none" w:pos="1413" w:val="left"/>
        </w:tabs>
        <w:numPr>
          <w:ilvl w:val="0"/>
          <w:numId w:val="73"/>
        </w:numPr>
        <w:rPr>
          <w:rFonts w:ascii="Arial" w:cs="Arial" w:eastAsia="Arial" w:hAnsi="Arial"/>
          <w:sz w:val="16"/>
          <w:szCs w:val="16"/>
          <w:color w:val="auto"/>
        </w:rPr>
      </w:pPr>
      <w:r>
        <w:rPr>
          <w:rFonts w:ascii="Arial" w:cs="Arial" w:eastAsia="Arial" w:hAnsi="Arial"/>
          <w:sz w:val="16"/>
          <w:szCs w:val="16"/>
          <w:b w:val="1"/>
          <w:bCs w:val="1"/>
          <w:u w:val="single" w:color="auto"/>
          <w:color w:val="auto"/>
        </w:rPr>
        <w:t>Taxes and Section 83(b)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Participant is a common law employee of the Company at the time the Restricted Shares are</w:t>
      </w:r>
      <w:r>
        <w:rPr>
          <w:rFonts w:ascii="Arial" w:cs="Arial" w:eastAsia="Arial" w:hAnsi="Arial"/>
          <w:sz w:val="16"/>
          <w:szCs w:val="16"/>
          <w:b w:val="1"/>
          <w:bCs w:val="1"/>
          <w:color w:val="auto"/>
        </w:rPr>
        <w:t xml:space="preserve"> </w:t>
      </w:r>
      <w:r>
        <w:rPr>
          <w:rFonts w:ascii="Arial" w:cs="Arial" w:eastAsia="Arial" w:hAnsi="Arial"/>
          <w:sz w:val="16"/>
          <w:szCs w:val="16"/>
          <w:color w:val="auto"/>
        </w:rPr>
        <w:t>issued to the Participant under the terms of this Agreement, or whenever the Restricted Shares become vested under the terms of this Agreement, the Company shall notify the Participant of the amount of tax (if any) that must be withheld by the Company under all applicable federal, state and local tax laws with respect to the Restricted Shares (the “Withholding Tax”). The Participant agrees to make arrangements satisfactory to the Company to (a) remit the required amount of Withholding Tax to the Company in cash, (b) authorize the Company to withhold a portion of the Restricted Shares otherwise issuable with a value equal to the amount of Withholding Tax, (c) deliver to the Company shares of Common Stock the Participant already owns with a value equal to the required amount of Withholding Tax, (d) authorize the deduction of the required amount of Withholding Tax from the Participant’s regular cash compensation from the Company, or (e) otherwise provide for payment of the required amount in any other manner satisfactory to the Company.</w:t>
      </w:r>
    </w:p>
    <w:p>
      <w:pPr>
        <w:spacing w:after="0" w:line="1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Participant acknowledges and agrees that the Participant is aware that he may promptly file an election with the Internal Revenue Service under Section 83(b) of the Internal Revenue Code, electing to be taxed immediately on the current value of the Restricted Shares, regardless of the fact that the restrictions imposed on the Restricted Shares by the terms of this Agreement would otherwise amount to a “substantial risk of forfeiture” delaying taxation under Section 83 of the Code. The Participant agrees that any Section 83(b) election he may choose to file with the Internal Revenue Service will be filed in a form substantially similar to the Section 83(b) election attached hereto as Exhibit A.</w:t>
      </w:r>
    </w:p>
    <w:p>
      <w:pPr>
        <w:spacing w:after="0" w:line="196" w:lineRule="exact"/>
        <w:rPr>
          <w:sz w:val="20"/>
          <w:szCs w:val="20"/>
          <w:color w:val="auto"/>
        </w:rPr>
      </w:pPr>
    </w:p>
    <w:p>
      <w:pPr>
        <w:jc w:val="both"/>
        <w:ind w:firstLine="656"/>
        <w:spacing w:after="0" w:line="261" w:lineRule="auto"/>
        <w:tabs>
          <w:tab w:leader="none" w:pos="1521"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Forfeiture of Restricted Shares Upon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the Participant’s employment or consulting relationship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terminates prior to the time the Restricted Shares issued to the Participant pursuant to this Agreement have become fully vested pursuant to the vesting schedule set forth on page 1 of this Agreement, the unvested portion of the Restricted Shares shall be subject to forfeiture to the Company, as set forth below.</w:t>
      </w:r>
    </w:p>
    <w:p>
      <w:pPr>
        <w:spacing w:after="0" w:line="211" w:lineRule="exact"/>
        <w:rPr>
          <w:rFonts w:ascii="Arial" w:cs="Arial" w:eastAsia="Arial" w:hAnsi="Arial"/>
          <w:sz w:val="18"/>
          <w:szCs w:val="18"/>
          <w:color w:val="auto"/>
        </w:rPr>
      </w:pPr>
    </w:p>
    <w:p>
      <w:pPr>
        <w:jc w:val="both"/>
        <w:ind w:left="660" w:firstLine="645"/>
        <w:spacing w:after="0" w:line="264" w:lineRule="auto"/>
        <w:tabs>
          <w:tab w:leader="none" w:pos="2057"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Termination by Company for Cause</w:t>
      </w:r>
      <w:r>
        <w:rPr>
          <w:rFonts w:ascii="Arial" w:cs="Arial" w:eastAsia="Arial" w:hAnsi="Arial"/>
          <w:sz w:val="18"/>
          <w:szCs w:val="18"/>
          <w:color w:val="auto"/>
        </w:rPr>
        <w:t>. If the Participant’s services for the Company are terminated by the Company for Cause (as defined below), or the Participant voluntarily terminates his employment or consulting relationship with the Company prior to the Vesting Date, the Restricted Shares shall be forfeited and deemed to be transferred to the Company.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6" w:name="page67"/>
    <w:bookmarkEnd w:id="66"/>
    <w:p>
      <w:pPr>
        <w:jc w:val="both"/>
        <w:ind w:left="660" w:firstLine="645"/>
        <w:spacing w:after="0" w:line="264" w:lineRule="auto"/>
        <w:tabs>
          <w:tab w:leader="none" w:pos="2162"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If the Participant’s services are terminated by the Company without Cause, the unvested portion of the Restricted Shares shall be forfeited and deemed to be transferred to the Company, but the Participant shall retain the vested portion of the Restricted Shares.</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2044"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Voluntary Termination by Participant</w:t>
      </w:r>
      <w:r>
        <w:rPr>
          <w:rFonts w:ascii="Arial" w:cs="Arial" w:eastAsia="Arial" w:hAnsi="Arial"/>
          <w:sz w:val="18"/>
          <w:szCs w:val="18"/>
          <w:color w:val="auto"/>
        </w:rPr>
        <w:t>. If the Participant resigns or otherwise voluntarily terminates his services for the Company after the Vesting Date, the unvested portion of the Restricted Shares shall be forfeited and deemed to be transferred to the Company, but the Participant shall retain the vested portion of the Restricted Shares.</w:t>
      </w:r>
    </w:p>
    <w:p>
      <w:pPr>
        <w:spacing w:after="0" w:line="208" w:lineRule="exact"/>
        <w:rPr>
          <w:rFonts w:ascii="Arial" w:cs="Arial" w:eastAsia="Arial" w:hAnsi="Arial"/>
          <w:sz w:val="18"/>
          <w:szCs w:val="18"/>
          <w:color w:val="auto"/>
        </w:rPr>
      </w:pPr>
    </w:p>
    <w:p>
      <w:pPr>
        <w:jc w:val="both"/>
        <w:ind w:left="660" w:firstLine="645"/>
        <w:spacing w:after="0" w:line="269" w:lineRule="auto"/>
        <w:tabs>
          <w:tab w:leader="none" w:pos="2162"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For purposes of this Agreement, the Company shall have “Cause” to terminate the Participant’s services upon; (i) the Participant’s conviction of any felony, (ii) the Participant’s conviction of any lesser crime or offense committed in connection with the performance of his duties hereunder or involving dishonesty, fraud or moral turpitude, (iii) the Participant’s alcoholism or drug addiction which materially impairs his ability to perform his duties to the Company, (iv) the Participant’s failure or refusal to substantially and materially perform his duties to the Company (other than absences due to illness or vacation) after the Company provides the Participant a written notice specifically identifying the manner in which the Participant has failed to materially perform his duties), (v) the Participant’s misconduct, malfeasance or dishonesty that results, or is reasonably likely to result, in material and demonstrative harm to the Company or any of its subsidiaries or affiliates, (vi) any action by the Participant involving willful disloyalty to the Company, such as embezzlement, fraud, or misappropriation of corporation assets; or (viii) the Participant breaching in any material respect any provision of this Agreement or the terms of any confidentiality agreement or any other non-disclosure agreement with the Company. However, if the Participant is providing services under an employment agreement or consulting agreement with the Company which defines the term “Cause,” the definition of the term “Cause” set forth in such other agreement shall be instead be applied to the Participant for purposes of this Agreement.</w:t>
      </w:r>
    </w:p>
    <w:p>
      <w:pPr>
        <w:spacing w:after="0" w:line="202" w:lineRule="exact"/>
        <w:rPr>
          <w:rFonts w:ascii="Arial" w:cs="Arial" w:eastAsia="Arial" w:hAnsi="Arial"/>
          <w:sz w:val="17"/>
          <w:szCs w:val="17"/>
          <w:color w:val="auto"/>
        </w:rPr>
      </w:pPr>
    </w:p>
    <w:p>
      <w:pPr>
        <w:ind w:firstLine="656"/>
        <w:spacing w:after="0" w:line="282" w:lineRule="auto"/>
        <w:tabs>
          <w:tab w:leader="none" w:pos="1548"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Death or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the Participant’s employment terminates prior to the Vesting Date as a result of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permanent and total disability, the Restricted Shares shall become vested immediately.</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event of the Participant’s death while employed by or performing consulting services for the Company or within three months after termination of such services (if such termination was neither (i) for cause nor (ii) voluntary on the part of the Participant and without the written consent of the Company), before the Restricted Shares have become fully vested under the vesting schedule set forth on page 1 of this Award Agreement, the unvested Restricted Shares shall become vested immediately, provided that stock certificates for the Restricted Shares shall be delivered to the Participant’s executor, administrator, or any person to whom the Restricted Shares may be transferred by the Participant’s will or by the laws of descent and distribution. .</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7" w:name="page68"/>
    <w:bookmarkEnd w:id="67"/>
    <w:p>
      <w:pPr>
        <w:ind w:right="80" w:firstLine="656"/>
        <w:spacing w:after="0" w:line="313" w:lineRule="auto"/>
        <w:tabs>
          <w:tab w:leader="none" w:pos="1422" w:val="left"/>
        </w:tabs>
        <w:numPr>
          <w:ilvl w:val="0"/>
          <w:numId w:val="77"/>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of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represents, warrants, and agrees as follows, and the parties agree that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may rely on the same in consummating the issuance of the Restricted Shares to the Participant under the terms of this Agreement:</w:t>
      </w:r>
    </w:p>
    <w:p>
      <w:pPr>
        <w:spacing w:after="0" w:line="169" w:lineRule="exact"/>
        <w:rPr>
          <w:sz w:val="20"/>
          <w:szCs w:val="20"/>
          <w:color w:val="auto"/>
        </w:rPr>
      </w:pPr>
    </w:p>
    <w:p>
      <w:pPr>
        <w:jc w:val="both"/>
        <w:ind w:left="660" w:right="80" w:hanging="4"/>
        <w:spacing w:after="0" w:line="312" w:lineRule="auto"/>
        <w:tabs>
          <w:tab w:leader="none" w:pos="1503"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No Representations</w:t>
      </w:r>
      <w:r>
        <w:rPr>
          <w:rFonts w:ascii="Arial" w:cs="Arial" w:eastAsia="Arial" w:hAnsi="Arial"/>
          <w:sz w:val="16"/>
          <w:szCs w:val="16"/>
          <w:color w:val="auto"/>
        </w:rPr>
        <w:t>. The Participant is entering into this Agreement, and will acquire the Restricted Shares, solely on the basis of the Participant’s own familiarity with the Company and all relevant factors about the Company’s affairs, and neither the Company nor the officers or directors of the Company has made any express or implied representations, covenants, or warranties to the Participant with respect to such matters.</w:t>
      </w:r>
    </w:p>
    <w:p>
      <w:pPr>
        <w:spacing w:after="0" w:line="173" w:lineRule="exact"/>
        <w:rPr>
          <w:rFonts w:ascii="Arial" w:cs="Arial" w:eastAsia="Arial" w:hAnsi="Arial"/>
          <w:sz w:val="16"/>
          <w:szCs w:val="16"/>
          <w:color w:val="auto"/>
        </w:rPr>
      </w:pPr>
    </w:p>
    <w:p>
      <w:pPr>
        <w:ind w:left="660" w:hanging="4"/>
        <w:spacing w:after="0" w:line="277" w:lineRule="auto"/>
        <w:tabs>
          <w:tab w:leader="none" w:pos="143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Participant is acquiring the Restricted Shares covered by this Agreement for his/her own account for investment and not with a view to the resale or distribution of the Restricted Shares.</w:t>
      </w:r>
    </w:p>
    <w:p>
      <w:pPr>
        <w:spacing w:after="0" w:line="197" w:lineRule="exact"/>
        <w:rPr>
          <w:rFonts w:ascii="Arial" w:cs="Arial" w:eastAsia="Arial" w:hAnsi="Arial"/>
          <w:sz w:val="18"/>
          <w:szCs w:val="18"/>
          <w:color w:val="auto"/>
        </w:rPr>
      </w:pPr>
    </w:p>
    <w:p>
      <w:pPr>
        <w:jc w:val="both"/>
        <w:ind w:left="660" w:hanging="4"/>
        <w:spacing w:after="0" w:line="264" w:lineRule="auto"/>
        <w:tabs>
          <w:tab w:leader="none" w:pos="149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Economic Risk</w:t>
      </w:r>
      <w:r>
        <w:rPr>
          <w:rFonts w:ascii="Arial" w:cs="Arial" w:eastAsia="Arial" w:hAnsi="Arial"/>
          <w:sz w:val="18"/>
          <w:szCs w:val="18"/>
          <w:color w:val="auto"/>
        </w:rPr>
        <w:t>. The Participant is willing and able to bear the economic risk of an investment in the Restricted Shares (in making this representation, attention has been given to whether Participant can afford to hold the Restricted Shares for an indefinite period of time and whether, at this time, the Participant can afford a complete loss of the investment).</w:t>
      </w:r>
    </w:p>
    <w:p>
      <w:pPr>
        <w:spacing w:after="0" w:line="208" w:lineRule="exact"/>
        <w:rPr>
          <w:rFonts w:ascii="Arial" w:cs="Arial" w:eastAsia="Arial" w:hAnsi="Arial"/>
          <w:sz w:val="18"/>
          <w:szCs w:val="18"/>
          <w:color w:val="auto"/>
        </w:rPr>
      </w:pPr>
    </w:p>
    <w:p>
      <w:pPr>
        <w:jc w:val="both"/>
        <w:ind w:left="660" w:right="80" w:hanging="4"/>
        <w:spacing w:after="0" w:line="312" w:lineRule="auto"/>
        <w:tabs>
          <w:tab w:leader="none" w:pos="1473"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Holding of Restricted Stock</w:t>
      </w:r>
      <w:r>
        <w:rPr>
          <w:rFonts w:ascii="Arial" w:cs="Arial" w:eastAsia="Arial" w:hAnsi="Arial"/>
          <w:sz w:val="16"/>
          <w:szCs w:val="16"/>
          <w:color w:val="auto"/>
        </w:rPr>
        <w:t>. The Participant acknowledges that the Restricted Shares to be issued under this Agreement have not been registered under the Securities Act of 1933, as amended (the “1933 Act”) and, therefore, cannot be resold unless they are subsequently registered under the 1933 Act or an exemption from such registration is available, as determined by an opinion of counsel rendered to the Company.</w:t>
      </w:r>
    </w:p>
    <w:p>
      <w:pPr>
        <w:spacing w:after="0" w:line="173" w:lineRule="exact"/>
        <w:rPr>
          <w:rFonts w:ascii="Arial" w:cs="Arial" w:eastAsia="Arial" w:hAnsi="Arial"/>
          <w:sz w:val="16"/>
          <w:szCs w:val="16"/>
          <w:color w:val="auto"/>
        </w:rPr>
      </w:pPr>
    </w:p>
    <w:p>
      <w:pPr>
        <w:ind w:left="1420" w:hanging="764"/>
        <w:spacing w:after="0"/>
        <w:tabs>
          <w:tab w:leader="none" w:pos="142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State of Residence</w:t>
      </w:r>
      <w:r>
        <w:rPr>
          <w:rFonts w:ascii="Arial" w:cs="Arial" w:eastAsia="Arial" w:hAnsi="Arial"/>
          <w:sz w:val="16"/>
          <w:szCs w:val="16"/>
          <w:color w:val="auto"/>
        </w:rPr>
        <w:t>. The Participant is an individual residing in the State of Florida, and is not a resident or part-year resident of any other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state.</w:t>
      </w:r>
    </w:p>
    <w:p>
      <w:pPr>
        <w:spacing w:after="0" w:line="234" w:lineRule="exact"/>
        <w:rPr>
          <w:sz w:val="20"/>
          <w:szCs w:val="20"/>
          <w:color w:val="auto"/>
        </w:rPr>
      </w:pPr>
    </w:p>
    <w:p>
      <w:pPr>
        <w:jc w:val="both"/>
        <w:ind w:right="80" w:firstLine="656"/>
        <w:spacing w:after="0" w:line="277" w:lineRule="auto"/>
        <w:tabs>
          <w:tab w:leader="none" w:pos="1524" w:val="left"/>
        </w:tabs>
        <w:numPr>
          <w:ilvl w:val="0"/>
          <w:numId w:val="79"/>
        </w:numPr>
        <w:rPr>
          <w:rFonts w:ascii="Arial" w:cs="Arial" w:eastAsia="Arial" w:hAnsi="Arial"/>
          <w:sz w:val="17"/>
          <w:szCs w:val="17"/>
          <w:color w:val="auto"/>
        </w:rPr>
      </w:pPr>
      <w:r>
        <w:rPr>
          <w:rFonts w:ascii="Arial" w:cs="Arial" w:eastAsia="Arial" w:hAnsi="Arial"/>
          <w:sz w:val="17"/>
          <w:szCs w:val="17"/>
          <w:b w:val="1"/>
          <w:bCs w:val="1"/>
          <w:u w:val="single" w:color="auto"/>
          <w:color w:val="auto"/>
        </w:rPr>
        <w:t>Securities Laws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from time to time impose such conditions on the transfer of the Restricted Shares issued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pursuant to this Agreement as it deems necessary or advisable to ensure that any transfers of the Restricted Shares issued pursuant to this Agreement will satisfy the applicable requirements of federal and state securities laws. Such conditions to satisfy applicable federal and state securities laws may include, without limitation, the partial or complete suspension of the right to transfer the Restricted Shares issued under this Agreement until the Restricted Shares have been registered under the 1933 Act (as defined in Section 11(d) above).</w:t>
      </w:r>
    </w:p>
    <w:p>
      <w:pPr>
        <w:spacing w:after="0" w:line="19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Participant acknowledges that the issuance of capital stock of the Company is subject to limitations imposed by federal and state law, and the Consultant hereby agrees that he or she will provide the Company with such information as is reasonably requested by the Company or its counsel to determine whether the issuance of Common Stock complies with the provisions described by this Section 11.</w:t>
      </w:r>
    </w:p>
    <w:p>
      <w:pPr>
        <w:spacing w:after="0" w:line="200" w:lineRule="exact"/>
        <w:rPr>
          <w:sz w:val="20"/>
          <w:szCs w:val="20"/>
          <w:color w:val="auto"/>
        </w:rPr>
      </w:pPr>
    </w:p>
    <w:p>
      <w:pPr>
        <w:spacing w:after="0" w:line="40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00"/>
          </w:cols>
          <w:pgMar w:left="240" w:top="756" w:right="159" w:bottom="1440" w:gutter="0" w:footer="0" w:header="0"/>
        </w:sectPr>
      </w:pPr>
    </w:p>
    <w:bookmarkStart w:id="68" w:name="page69"/>
    <w:bookmarkEnd w:id="68"/>
    <w:p>
      <w:pPr>
        <w:jc w:val="both"/>
        <w:ind w:left="-20" w:firstLine="494"/>
        <w:spacing w:after="0" w:line="255" w:lineRule="auto"/>
        <w:tabs>
          <w:tab w:leader="none" w:pos="822"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 Not to Compete</w:t>
      </w:r>
      <w:r>
        <w:rPr>
          <w:rFonts w:ascii="Arial" w:cs="Arial" w:eastAsia="Arial" w:hAnsi="Arial"/>
          <w:sz w:val="18"/>
          <w:szCs w:val="18"/>
          <w:b w:val="1"/>
          <w:bCs w:val="1"/>
          <w:color w:val="auto"/>
        </w:rPr>
        <w:t xml:space="preserve">. </w:t>
      </w:r>
      <w:r>
        <w:rPr>
          <w:rFonts w:ascii="Arial" w:cs="Arial" w:eastAsia="Arial" w:hAnsi="Arial"/>
          <w:sz w:val="18"/>
          <w:szCs w:val="18"/>
          <w:color w:val="auto"/>
        </w:rPr>
        <w:t>If the Participant has not already executed a non-competition agreement with the Company, the Participant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Company with a signed non-competition agreement simultaneously with the execution of this Award Agreement. The Participant’s execution and delivery of such a non-competition agreement in a form reasonably satisfactory to the Company shall be a condition to the Company’s obligation to issue any Restricted Shares to the Participant under this Agreement. In consideration of the Restricted Shares, the Participant agrees that if, at any time during the period set forth in non-competition agreement, the Participant should violate the covenants not to compete or the non-solicitation covenants set forth in the non-competition agreement without the express prior consent of the Company, the Participant will forfeit his or her right to receive or retain the Restricted Shares issued to the Participant under this Agreement.</w:t>
      </w:r>
    </w:p>
    <w:p>
      <w:pPr>
        <w:spacing w:after="0" w:line="216" w:lineRule="exact"/>
        <w:rPr>
          <w:rFonts w:ascii="Arial" w:cs="Arial" w:eastAsia="Arial" w:hAnsi="Arial"/>
          <w:sz w:val="18"/>
          <w:szCs w:val="18"/>
          <w:color w:val="auto"/>
        </w:rPr>
      </w:pPr>
    </w:p>
    <w:p>
      <w:pPr>
        <w:jc w:val="both"/>
        <w:ind w:left="-20" w:firstLine="494"/>
        <w:spacing w:after="0" w:line="261" w:lineRule="auto"/>
        <w:tabs>
          <w:tab w:leader="none" w:pos="795"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Plan Document</w:t>
      </w:r>
      <w:r>
        <w:rPr>
          <w:rFonts w:ascii="Arial" w:cs="Arial" w:eastAsia="Arial" w:hAnsi="Arial"/>
          <w:sz w:val="18"/>
          <w:szCs w:val="18"/>
          <w:color w:val="auto"/>
        </w:rPr>
        <w:t>. The Restricted Shares granted to the Participant under this Agreement are subject to all the provisions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which are hereby made a part of this Agreement,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207" w:lineRule="exact"/>
        <w:rPr>
          <w:rFonts w:ascii="Arial" w:cs="Arial" w:eastAsia="Arial" w:hAnsi="Arial"/>
          <w:sz w:val="18"/>
          <w:szCs w:val="18"/>
          <w:color w:val="auto"/>
        </w:rPr>
      </w:pPr>
    </w:p>
    <w:p>
      <w:pPr>
        <w:ind w:left="780" w:hanging="30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u w:val="single" w:color="auto"/>
          <w:color w:val="auto"/>
        </w:rPr>
        <w:t>.</w:t>
      </w:r>
    </w:p>
    <w:p>
      <w:pPr>
        <w:spacing w:after="0" w:line="256" w:lineRule="exact"/>
        <w:rPr>
          <w:rFonts w:ascii="Arial" w:cs="Arial" w:eastAsia="Arial" w:hAnsi="Arial"/>
          <w:sz w:val="18"/>
          <w:szCs w:val="18"/>
          <w:color w:val="auto"/>
        </w:rPr>
      </w:pPr>
    </w:p>
    <w:p>
      <w:pPr>
        <w:ind w:left="1200" w:hanging="334"/>
        <w:spacing w:after="0"/>
        <w:tabs>
          <w:tab w:leader="none" w:pos="12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This Agreement shall be binding upon the parties hereto and their representatives, successors and assigns.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1200" w:hanging="334"/>
        <w:spacing w:after="0" w:line="264" w:lineRule="auto"/>
        <w:tabs>
          <w:tab w:leader="none" w:pos="12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Participant acknowledges and agrees that if he should become an executive officer of the Company, the Restricted Shares granted under this Agreement may be subject to the Company’s Policy on Recoupment of Executive Compensation, as it may be amended from time to time.</w:t>
      </w:r>
    </w:p>
    <w:p>
      <w:pPr>
        <w:spacing w:after="0" w:line="208" w:lineRule="exact"/>
        <w:rPr>
          <w:rFonts w:ascii="Arial" w:cs="Arial" w:eastAsia="Arial" w:hAnsi="Arial"/>
          <w:sz w:val="18"/>
          <w:szCs w:val="18"/>
          <w:color w:val="auto"/>
        </w:rPr>
      </w:pPr>
    </w:p>
    <w:p>
      <w:pPr>
        <w:ind w:left="1200" w:hanging="334"/>
        <w:spacing w:after="0"/>
        <w:tabs>
          <w:tab w:leader="none" w:pos="12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w:t>
      </w:r>
    </w:p>
    <w:p>
      <w:pPr>
        <w:spacing w:after="0" w:line="252" w:lineRule="exact"/>
        <w:rPr>
          <w:rFonts w:ascii="Arial" w:cs="Arial" w:eastAsia="Arial" w:hAnsi="Arial"/>
          <w:sz w:val="18"/>
          <w:szCs w:val="18"/>
          <w:color w:val="auto"/>
        </w:rPr>
      </w:pPr>
    </w:p>
    <w:p>
      <w:pPr>
        <w:jc w:val="both"/>
        <w:ind w:left="1200" w:hanging="334"/>
        <w:spacing w:after="0" w:line="255" w:lineRule="auto"/>
        <w:tabs>
          <w:tab w:leader="none" w:pos="12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requests or notices to be given hereunder shall be deemed given, and any elections or exercises to be made or accomplished shall be deemed made or accomplished, upon actual delivery thereof to the designated recipient, or three days after deposit thereof in the United States mail, registered, return receipt requested and postage prepaid, addressed, if to the Participant, at the most recent mailing address provided to the Company in writing, and, if to the Company, to the executive offices of the Company at 50 North Laura St., Suite 2500, Jacksonville, FL 32202, or at such other addresses that the parties provide to each other in accordance with the foregoing notice requirements.</w:t>
      </w:r>
    </w:p>
    <w:p>
      <w:pPr>
        <w:spacing w:after="0" w:line="193" w:lineRule="exact"/>
        <w:rPr>
          <w:rFonts w:ascii="Arial" w:cs="Arial" w:eastAsia="Arial" w:hAnsi="Arial"/>
          <w:sz w:val="18"/>
          <w:szCs w:val="18"/>
          <w:color w:val="auto"/>
        </w:rPr>
      </w:pPr>
    </w:p>
    <w:p>
      <w:pPr>
        <w:ind w:left="1200" w:hanging="334"/>
        <w:spacing w:after="0"/>
        <w:tabs>
          <w:tab w:leader="none" w:pos="12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This Agreement may not be modified except in writing executed by each of the parties to it.</w:t>
      </w:r>
    </w:p>
    <w:p>
      <w:pPr>
        <w:spacing w:after="0" w:line="252" w:lineRule="exact"/>
        <w:rPr>
          <w:rFonts w:ascii="Arial" w:cs="Arial" w:eastAsia="Arial" w:hAnsi="Arial"/>
          <w:sz w:val="18"/>
          <w:szCs w:val="18"/>
          <w:color w:val="auto"/>
        </w:rPr>
      </w:pPr>
    </w:p>
    <w:p>
      <w:pPr>
        <w:jc w:val="both"/>
        <w:ind w:left="1200" w:hanging="334"/>
        <w:spacing w:after="0" w:line="264" w:lineRule="auto"/>
        <w:tabs>
          <w:tab w:leader="none" w:pos="12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Neither this Agreement nor the Restricted Shares confer upon the Participant any right to continue to perform services for the Company as an employee or as a consultant, and this Agreement shall not in any way modify or restrict any rights the Company may have to terminate the Participant’s services under any employment or consulting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50430" cy="450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60" w:top="756"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10.8</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56"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on this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November, 2015 (the “Effective Date”), by and between TapImmune, Inc.,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Glynn Wilson, an individual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23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Executive has served as the Chief Executive Officer and Chairman of the Company, pursuant to the terms of an Employment Agreement entered into by the Company and the Executive as of March 16, 2011 (the “</w:t>
      </w:r>
      <w:r>
        <w:rPr>
          <w:rFonts w:ascii="Arial" w:cs="Arial" w:eastAsia="Arial" w:hAnsi="Arial"/>
          <w:sz w:val="18"/>
          <w:szCs w:val="18"/>
          <w:u w:val="single" w:color="auto"/>
          <w:color w:val="auto"/>
        </w:rPr>
        <w:t>Prior Employment Agreement</w:t>
      </w:r>
      <w:r>
        <w:rPr>
          <w:rFonts w:ascii="Arial" w:cs="Arial" w:eastAsia="Arial" w:hAnsi="Arial"/>
          <w:sz w:val="18"/>
          <w:szCs w:val="18"/>
          <w:color w:val="auto"/>
        </w:rPr>
        <w:t>”).</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Company desires to continue to employ the Executive as its Chief Executive Officer, President and Chairman, and the Executive desires to accept such employment with the Company, in each case upon the terms and conditions set forth herein.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WITNESSETH:</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Executive and the Company for themselves, their heirs, successors and assigns, in consideration of their mutual promises contained herein, intending to be legally bound, hereby agree to the following terms and conditions.</w:t>
      </w:r>
    </w:p>
    <w:p>
      <w:pPr>
        <w:spacing w:after="0" w:line="193" w:lineRule="exact"/>
        <w:rPr>
          <w:sz w:val="20"/>
          <w:szCs w:val="20"/>
          <w:color w:val="auto"/>
        </w:rPr>
      </w:pPr>
    </w:p>
    <w:p>
      <w:pPr>
        <w:ind w:firstLine="656"/>
        <w:spacing w:after="0" w:line="347" w:lineRule="auto"/>
        <w:tabs>
          <w:tab w:leader="none" w:pos="1332"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EMPLOYMENT. </w:t>
      </w:r>
      <w:r>
        <w:rPr>
          <w:rFonts w:ascii="Arial" w:cs="Arial" w:eastAsia="Arial" w:hAnsi="Arial"/>
          <w:sz w:val="16"/>
          <w:szCs w:val="16"/>
          <w:color w:val="auto"/>
        </w:rPr>
        <w:t>The Company will employ the Executive as the Chief Executive Officer, President and Chairman of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agrees to continue to serve in such capacities and provide his services to the Company on the terms and conditions set forth in this Agreement.</w:t>
      </w:r>
    </w:p>
    <w:p>
      <w:pPr>
        <w:spacing w:after="0" w:line="143" w:lineRule="exact"/>
        <w:rPr>
          <w:rFonts w:ascii="Arial" w:cs="Arial" w:eastAsia="Arial" w:hAnsi="Arial"/>
          <w:sz w:val="16"/>
          <w:szCs w:val="16"/>
          <w:color w:val="auto"/>
        </w:rPr>
      </w:pPr>
    </w:p>
    <w:p>
      <w:pPr>
        <w:jc w:val="both"/>
        <w:ind w:firstLine="656"/>
        <w:spacing w:after="0" w:line="272" w:lineRule="auto"/>
        <w:tabs>
          <w:tab w:leader="none" w:pos="1278"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 xml:space="preserve">POSITION AND DUTIES. </w:t>
      </w:r>
      <w:r>
        <w:rPr>
          <w:rFonts w:ascii="Arial" w:cs="Arial" w:eastAsia="Arial" w:hAnsi="Arial"/>
          <w:sz w:val="17"/>
          <w:szCs w:val="17"/>
          <w:color w:val="auto"/>
        </w:rPr>
        <w:t>On and after the date of this Agreement, the Executive will serve as the Chief Executive Officer, President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of the Company. The Executive agrees that during the Term (as defined below) he shall dedicate his full business time, attention and energies, consistent with historical past practices, to performing his duties to the Company, as prescribed by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The Executive will manage the business affairs of the Company and perform the duties typically assigned to the chief executive officer of a similarly situated company in the Company’s industry. The Executive shall also perform such other reasonable duties as may hereafter be assigned to him by the Board, consistent with his abilities and position as the Chief Executive Officer, President and Chairman, including serving as a member of the Board and providing such further services to the Company as may reasonably be requested of him. The Executive will report to the Board of the Company, and carry out the decisions and otherwise abide by and enforce the rules and policies of the Company.</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Executive shall devote his best efforts to the business and affairs of the Company and, during the Term, shall observe at all times the covenants regarding non-competition, and confidentiality provided in </w:t>
      </w:r>
      <w:r>
        <w:rPr>
          <w:rFonts w:ascii="Arial" w:cs="Arial" w:eastAsia="Arial" w:hAnsi="Arial"/>
          <w:sz w:val="18"/>
          <w:szCs w:val="18"/>
          <w:u w:val="single" w:color="auto"/>
          <w:color w:val="auto"/>
        </w:rPr>
        <w:t>Sections 5,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below. The Company and Executive acknowledge and agree that, during the Term, Executive shall be permitted to (i) serve on corporate, civic or charitable boards or committees, and (ii) manage passive personal investments, so long as any such activities do not unduly interfere with the performance of Executive’s responsibilities as an employee of the Company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color w:val="auto"/>
        </w:rPr>
        <w:t>The Executive will be based in Jacksonville, Florida.</w:t>
      </w:r>
    </w:p>
    <w:p>
      <w:pPr>
        <w:spacing w:after="0" w:line="248" w:lineRule="exact"/>
        <w:rPr>
          <w:sz w:val="20"/>
          <w:szCs w:val="20"/>
          <w:color w:val="auto"/>
        </w:rPr>
      </w:pPr>
    </w:p>
    <w:p>
      <w:pPr>
        <w:jc w:val="both"/>
        <w:ind w:firstLine="818"/>
        <w:spacing w:after="0" w:line="255" w:lineRule="auto"/>
        <w:tabs>
          <w:tab w:leader="none" w:pos="1395" w:val="left"/>
        </w:tabs>
        <w:numPr>
          <w:ilvl w:val="1"/>
          <w:numId w:val="82"/>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The term of this Agreement shall start on the Effective Date and end on the day preceding the second anniversary of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w:t>
      </w:r>
      <w:r>
        <w:rPr>
          <w:rFonts w:ascii="Arial" w:cs="Arial" w:eastAsia="Arial" w:hAnsi="Arial"/>
          <w:sz w:val="18"/>
          <w:szCs w:val="18"/>
          <w:u w:val="single" w:color="auto"/>
          <w:color w:val="auto"/>
        </w:rPr>
        <w:t>Initial Term</w:t>
      </w:r>
      <w:r>
        <w:rPr>
          <w:rFonts w:ascii="Arial" w:cs="Arial" w:eastAsia="Arial" w:hAnsi="Arial"/>
          <w:sz w:val="18"/>
          <w:szCs w:val="18"/>
          <w:color w:val="auto"/>
        </w:rPr>
        <w:t xml:space="preserve">”). The term of the Agreement will be automatically extended for an additional twelve (12) months after the end of the Initial Term, unless terminated by the Company or the Executive by written notice to the other Party provided not later than twelve (12) months prior to the end of such Initial Term, and shall be further extended for an additional twelve (12) months after the end of each such extended term unless terminated by the Company or the Executive by written notice no later than ninety (90) days prior to the end of such term, subject to termination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below (the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However, the provisions of </w:t>
      </w:r>
      <w:r>
        <w:rPr>
          <w:rFonts w:ascii="Arial" w:cs="Arial" w:eastAsia="Arial" w:hAnsi="Arial"/>
          <w:sz w:val="18"/>
          <w:szCs w:val="18"/>
          <w:u w:val="single" w:color="auto"/>
          <w:color w:val="auto"/>
        </w:rPr>
        <w:t>Sections 5,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shall continue in force in accordance with the provisions therein and shall survive the expiration or termination of the Term and this Agreement.</w:t>
      </w:r>
    </w:p>
    <w:p>
      <w:pPr>
        <w:spacing w:after="0" w:line="216" w:lineRule="exact"/>
        <w:rPr>
          <w:rFonts w:ascii="Arial" w:cs="Arial" w:eastAsia="Arial" w:hAnsi="Arial"/>
          <w:sz w:val="18"/>
          <w:szCs w:val="18"/>
          <w:color w:val="auto"/>
        </w:rPr>
      </w:pPr>
    </w:p>
    <w:p>
      <w:pPr>
        <w:ind w:left="1400" w:hanging="582"/>
        <w:spacing w:after="0"/>
        <w:tabs>
          <w:tab w:leader="none" w:pos="1400" w:val="left"/>
        </w:tabs>
        <w:numPr>
          <w:ilvl w:val="1"/>
          <w:numId w:val="82"/>
        </w:numPr>
        <w:rPr>
          <w:rFonts w:ascii="Arial" w:cs="Arial" w:eastAsia="Arial" w:hAnsi="Arial"/>
          <w:sz w:val="18"/>
          <w:szCs w:val="18"/>
          <w:color w:val="auto"/>
        </w:rPr>
      </w:pPr>
      <w:r>
        <w:rPr>
          <w:rFonts w:ascii="Arial" w:cs="Arial" w:eastAsia="Arial" w:hAnsi="Arial"/>
          <w:sz w:val="18"/>
          <w:szCs w:val="18"/>
          <w:b w:val="1"/>
          <w:bCs w:val="1"/>
          <w:color w:val="auto"/>
        </w:rPr>
        <w:t>COMPENSATION AND BENEFITS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jc w:val="both"/>
        <w:ind w:firstLine="8"/>
        <w:spacing w:after="0" w:line="259" w:lineRule="auto"/>
        <w:tabs>
          <w:tab w:leader="none" w:pos="749"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Executive’s annual base salary shall be two hundred and eighty thousand dollars ($280,000) per year, which shall be paid by the Company to the Executive monthly in accordance with the Company’s customary payroll practices, subject to customary withholding as required by applicable law. This annual base salary shall be reviewed by the Board periodically, and the Board may increase the Executive’s annual base salary from time to time as the Board deems to be appropriate subject to performance and market conditions.</w:t>
      </w:r>
    </w:p>
    <w:p>
      <w:pPr>
        <w:spacing w:after="0" w:line="213" w:lineRule="exact"/>
        <w:rPr>
          <w:rFonts w:ascii="Arial" w:cs="Arial" w:eastAsia="Arial" w:hAnsi="Arial"/>
          <w:sz w:val="18"/>
          <w:szCs w:val="18"/>
          <w:color w:val="auto"/>
        </w:rPr>
      </w:pPr>
    </w:p>
    <w:p>
      <w:pPr>
        <w:jc w:val="both"/>
        <w:ind w:firstLine="8"/>
        <w:spacing w:after="0" w:line="257" w:lineRule="auto"/>
        <w:tabs>
          <w:tab w:leader="none" w:pos="74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Annual Incentive Compensation</w:t>
      </w:r>
      <w:r>
        <w:rPr>
          <w:rFonts w:ascii="Arial" w:cs="Arial" w:eastAsia="Arial" w:hAnsi="Arial"/>
          <w:sz w:val="18"/>
          <w:szCs w:val="18"/>
          <w:color w:val="auto"/>
        </w:rPr>
        <w:t>. During the Term, the Executive shall be eligible for an annual performance bonus of up to fifty percent (50%) of the Executive’s annual base salary, based on goals and other conditions as the Board, in its sole discretion, shall determine on an annual basis (the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Performance Bonus</w:t>
      </w:r>
      <w:r>
        <w:rPr>
          <w:rFonts w:ascii="Arial" w:cs="Arial" w:eastAsia="Arial" w:hAnsi="Arial"/>
          <w:sz w:val="18"/>
          <w:szCs w:val="18"/>
          <w:color w:val="auto"/>
        </w:rPr>
        <w:t>”). The Annual Performance Bonus will be payable in the form of cash, shares of the Company’s common stock or stock options, at the Board’s discretion, in any case to be paid or delivered as soon as practicable after the end of the year in which they are earned and in any event not less than sixty (60) days after the end of such year.</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such Annual Performance Bonus, as well as any equity awards which are granted to the Executive or which become vested as a result of the satisfaction of financial performance goals of the Company, shall be subject to the Company’s Policy on Recoupment of Executive Incentive Compensation, and that the Executive shall be obligated to repay to the Company, any and all amounts received with respect to the Annual Performance Bonus or performance-based equity awards, to the extent such a repayment is required by the terms of the Policy on Recoupment of Executive Incentive Compensation, as such policy may be amended from time to time</w:t>
      </w:r>
    </w:p>
    <w:p>
      <w:pPr>
        <w:spacing w:after="0" w:line="215" w:lineRule="exact"/>
        <w:rPr>
          <w:sz w:val="20"/>
          <w:szCs w:val="20"/>
          <w:color w:val="auto"/>
        </w:rPr>
      </w:pPr>
    </w:p>
    <w:p>
      <w:pPr>
        <w:jc w:val="both"/>
        <w:ind w:firstLine="8"/>
        <w:spacing w:after="0" w:line="277" w:lineRule="auto"/>
        <w:tabs>
          <w:tab w:leader="none" w:pos="735"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The Executive will be granted equity awards under the Company’s 2014 Omnibus Stock Ownership Plan consisting of (i) 315,000 shares of unregistered, restricted common stock, all of which shall be immediately vested, and (ii) stock options to purchase 2,000,000 shares of the Company’s common stock at an exercise price equal to the fair market value of the common stock on the date of this Agreement, which options shall vest one-half (1 million) immediately and the remaining options shall vest in 23 equal monthly installments of 41,666 options on the last day of each of the 23 months following the grant date, and the remaining 41,682 options shall vest on the last day of the 24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1" w:name="page72"/>
    <w:bookmarkEnd w:id="71"/>
    <w:p>
      <w:pPr>
        <w:jc w:val="both"/>
        <w:ind w:firstLine="8"/>
        <w:spacing w:after="0" w:line="257"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The Executive shall be entitled to participate in all group insurance, vacation, retirement and other employee benefits established by Company for its full time employees generally, on terms comparable to those provided to such employees from time to time by the Company. Nothing in this Agreement will preclude the Company from terminating or amending any employee benefit plan so as to change eligibility or other requirements or eliminate, reduce or otherwise change any benefit,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or amendment applies equally to the Executive and other full time employees of the Company.</w:t>
      </w:r>
    </w:p>
    <w:p>
      <w:pPr>
        <w:spacing w:after="0" w:line="215" w:lineRule="exact"/>
        <w:rPr>
          <w:rFonts w:ascii="Arial" w:cs="Arial" w:eastAsia="Arial" w:hAnsi="Arial"/>
          <w:sz w:val="18"/>
          <w:szCs w:val="18"/>
          <w:color w:val="auto"/>
        </w:rPr>
      </w:pPr>
    </w:p>
    <w:p>
      <w:pPr>
        <w:ind w:firstLine="8"/>
        <w:spacing w:after="0" w:line="277" w:lineRule="auto"/>
        <w:tabs>
          <w:tab w:leader="none" w:pos="76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twenty-one (21) days paid vacation per calendar year plus such sick leave as he may reasonably and actually require.</w:t>
      </w:r>
    </w:p>
    <w:p>
      <w:pPr>
        <w:spacing w:after="0" w:line="197" w:lineRule="exact"/>
        <w:rPr>
          <w:rFonts w:ascii="Arial" w:cs="Arial" w:eastAsia="Arial" w:hAnsi="Arial"/>
          <w:sz w:val="18"/>
          <w:szCs w:val="18"/>
          <w:color w:val="auto"/>
        </w:rPr>
      </w:pPr>
    </w:p>
    <w:p>
      <w:pPr>
        <w:ind w:firstLine="8"/>
        <w:spacing w:after="0" w:line="308" w:lineRule="auto"/>
        <w:tabs>
          <w:tab w:leader="none" w:pos="742"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Reimbursement of Business Expenses</w:t>
      </w:r>
      <w:r>
        <w:rPr>
          <w:rFonts w:ascii="Arial" w:cs="Arial" w:eastAsia="Arial" w:hAnsi="Arial"/>
          <w:sz w:val="17"/>
          <w:szCs w:val="17"/>
          <w:color w:val="auto"/>
        </w:rPr>
        <w:t>. The Executive shall be entitled to receive reimbursement for all appropriate business expenses incurred by him in connection with his duties under this Agreement in accordance with the written policies of the Company as in effect from time to time.</w:t>
      </w:r>
    </w:p>
    <w:p>
      <w:pPr>
        <w:spacing w:after="0" w:line="174"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The Company shall use its commercially reasonable efforts to maintain a Directors and Officers Insurance policy with no less than $2 million coverage, and to list the Executive as one of the covered management employees under such policy.</w:t>
      </w:r>
    </w:p>
    <w:p>
      <w:pPr>
        <w:spacing w:after="0" w:line="193" w:lineRule="exact"/>
        <w:rPr>
          <w:sz w:val="20"/>
          <w:szCs w:val="20"/>
          <w:color w:val="auto"/>
        </w:rPr>
      </w:pPr>
    </w:p>
    <w:p>
      <w:pPr>
        <w:jc w:val="both"/>
        <w:ind w:firstLine="656"/>
        <w:spacing w:after="0" w:line="268" w:lineRule="auto"/>
        <w:tabs>
          <w:tab w:leader="none" w:pos="1373"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CONFIDENTIAL INFORMATION. </w:t>
      </w:r>
      <w:r>
        <w:rPr>
          <w:rFonts w:ascii="Arial" w:cs="Arial" w:eastAsia="Arial" w:hAnsi="Arial"/>
          <w:sz w:val="17"/>
          <w:szCs w:val="17"/>
          <w:color w:val="auto"/>
        </w:rPr>
        <w:t>The Executive agrees that during and after his employment with the Company, he will hold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strictest confidence, and will not use (except for the benefit of the Company, or any of the Company’s other subsidiaries or affiliates) or disclose to any person, firm, or corporation any Company Confidential Information except as necessary in carrying out his work for the Company. The Executive understands that his unauthorized use or disclosure of Company Confidential Information during his employment may lead to disciplinary action, up to and including immediate termination and legal action by the Company. The Executive understands that “</w:t>
      </w:r>
      <w:r>
        <w:rPr>
          <w:rFonts w:ascii="Arial" w:cs="Arial" w:eastAsia="Arial" w:hAnsi="Arial"/>
          <w:sz w:val="17"/>
          <w:szCs w:val="17"/>
          <w:u w:val="single" w:color="auto"/>
          <w:color w:val="auto"/>
        </w:rPr>
        <w:t>Company Confidential Information</w:t>
      </w:r>
      <w:r>
        <w:rPr>
          <w:rFonts w:ascii="Arial" w:cs="Arial" w:eastAsia="Arial" w:hAnsi="Arial"/>
          <w:sz w:val="17"/>
          <w:szCs w:val="17"/>
          <w:color w:val="auto"/>
        </w:rPr>
        <w:t>” means any non-public information that relates to the actual or anticipated business, research or development of the Company, or subsidiaries or affiliates (collectively, for the purposes of this section, the “</w:t>
      </w:r>
      <w:r>
        <w:rPr>
          <w:rFonts w:ascii="Arial" w:cs="Arial" w:eastAsia="Arial" w:hAnsi="Arial"/>
          <w:sz w:val="17"/>
          <w:szCs w:val="17"/>
          <w:u w:val="single" w:color="auto"/>
          <w:color w:val="auto"/>
        </w:rPr>
        <w:t>Company</w:t>
      </w:r>
      <w:r>
        <w:rPr>
          <w:rFonts w:ascii="Arial" w:cs="Arial" w:eastAsia="Arial" w:hAnsi="Arial"/>
          <w:sz w:val="17"/>
          <w:szCs w:val="17"/>
          <w:color w:val="auto"/>
        </w:rPr>
        <w:t>”), or to the Company’s technical data, trade secrets, or know-how, including, but not limited to, research, product plans, or other information regarding the Company’s products or services and markets therefor, customer lists and customers (including, but not limited to, customers of the Company on which the Executive called or with which he may become acquainted during the term of his employment), software, developments, inventions, processes, formulas, technology, designs, drawings, engineering, hardware configuration information, marketing, finances, and other business information; provided, however, Company Confidential Information does not include any of the foregoing items to the extent the same have become publicly known and made generally available through no wrongful act of the Executive or, to the extent known by the Executive, of others. The Executive understands that nothing in this Agreement is intended to limit employees’ rights to discuss the terms, wages, and working conditions of his employment, as protected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72" w:name="page73"/>
    <w:bookmarkEnd w:id="72"/>
    <w:p>
      <w:pPr>
        <w:jc w:val="both"/>
        <w:spacing w:after="0" w:line="269" w:lineRule="auto"/>
        <w:rPr>
          <w:sz w:val="20"/>
          <w:szCs w:val="20"/>
          <w:color w:val="auto"/>
        </w:rPr>
      </w:pPr>
      <w:r>
        <w:rPr>
          <w:rFonts w:ascii="Arial" w:cs="Arial" w:eastAsia="Arial" w:hAnsi="Arial"/>
          <w:sz w:val="17"/>
          <w:szCs w:val="17"/>
          <w:color w:val="auto"/>
        </w:rPr>
        <w:t>The Executive recognizes that the Company may have received and in the future may receive from third parties associated with the Company, e.g., the Company’s customers, suppliers, licensors, licensees, partners, or collaborators (“</w:t>
      </w:r>
      <w:r>
        <w:rPr>
          <w:rFonts w:ascii="Arial" w:cs="Arial" w:eastAsia="Arial" w:hAnsi="Arial"/>
          <w:sz w:val="17"/>
          <w:szCs w:val="17"/>
          <w:u w:val="single" w:color="auto"/>
          <w:color w:val="auto"/>
        </w:rPr>
        <w:t>Associated Third Parties</w:t>
      </w:r>
      <w:r>
        <w:rPr>
          <w:rFonts w:ascii="Arial" w:cs="Arial" w:eastAsia="Arial" w:hAnsi="Arial"/>
          <w:sz w:val="17"/>
          <w:szCs w:val="17"/>
          <w:color w:val="auto"/>
        </w:rPr>
        <w:t>”), their confidential or proprietary information (“</w:t>
      </w:r>
      <w:r>
        <w:rPr>
          <w:rFonts w:ascii="Arial" w:cs="Arial" w:eastAsia="Arial" w:hAnsi="Arial"/>
          <w:sz w:val="17"/>
          <w:szCs w:val="17"/>
          <w:u w:val="single" w:color="auto"/>
          <w:color w:val="auto"/>
        </w:rPr>
        <w:t>Associated Third Party Confidential Information</w:t>
      </w:r>
      <w:r>
        <w:rPr>
          <w:rFonts w:ascii="Arial" w:cs="Arial" w:eastAsia="Arial" w:hAnsi="Arial"/>
          <w:sz w:val="17"/>
          <w:szCs w:val="17"/>
          <w:color w:val="auto"/>
        </w:rPr>
        <w:t>”). By way of example, Associated Third Party Confidential Information may include the habits or practices of Associated Third Parties, the technology of Associated Third Parties, requirements of Associated Third Parties, and information related to the business conducted between the Company and such Associated Third Parties. The Executive agrees at all times during his employment with the Company and thereafter to hold in the strictest confidence, and not to use or to disclose to any person, firm, or corporation, any Associated Third Party Confidential Information, except as necessary in carrying out his work for the Company consistent with the Company’s agreement with such Associated Third Parties. The Executive further agrees to comply with any and all written Company policies and guidelines that may be adopted from time to time regarding Associated Third Parties and Associated Third Party Confidential Information. The Executive understands that his unauthorized use or disclosure of Associated Third Party Confidential Information or violation of any Company policies during his employment may lead to disciplinary action, up to and including immediate termination and legal action by the Company.</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Upon termination of his employment with the Company, the Executive will promptly deliver to the Company, and will not keep in his possession, recreate, or deliver to anyone else, any and all Company property, including, but not limited to, Company Confidential Information, Associated Third Party Confidential Information, as well as all devices and equipment belonging to the Company (including computers, handheld electronic devices, telephone equipment, and other electronic devices), Company credit cards, records, data, notes, notebooks, reports, files, proposals, lists, correspondence, specifications, drawings, blueprints, sketches, materials, photographs, charts, any other documents and property, and reproductions of any and all of the aforementioned items that were developed by him pursuant to his employment with the Company, obtained by him in connection with his employment with the Company, or otherwise belonging to the Company, its successors, or assigns. The Executive also consents to an exit interview to confirm his compliance with this </w:t>
      </w:r>
      <w:r>
        <w:rPr>
          <w:rFonts w:ascii="Arial" w:cs="Arial" w:eastAsia="Arial" w:hAnsi="Arial"/>
          <w:sz w:val="18"/>
          <w:szCs w:val="18"/>
          <w:u w:val="single" w:color="auto"/>
          <w:color w:val="auto"/>
        </w:rPr>
        <w:t>Section 5</w:t>
      </w:r>
      <w:r>
        <w:rPr>
          <w:rFonts w:ascii="Arial" w:cs="Arial" w:eastAsia="Arial" w:hAnsi="Arial"/>
          <w:sz w:val="18"/>
          <w:szCs w:val="18"/>
          <w:color w:val="auto"/>
        </w:rPr>
        <w:t>, if requested by the Company.</w:t>
      </w:r>
    </w:p>
    <w:p>
      <w:pPr>
        <w:spacing w:after="0" w:line="215" w:lineRule="exact"/>
        <w:rPr>
          <w:sz w:val="20"/>
          <w:szCs w:val="20"/>
          <w:color w:val="auto"/>
        </w:rPr>
      </w:pPr>
    </w:p>
    <w:p>
      <w:pPr>
        <w:jc w:val="both"/>
        <w:ind w:firstLine="656"/>
        <w:spacing w:after="0" w:line="272" w:lineRule="auto"/>
        <w:tabs>
          <w:tab w:leader="none" w:pos="1481"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 xml:space="preserve">INTELLECTUAL PROPERTY RIGHTS. </w:t>
      </w:r>
      <w:r>
        <w:rPr>
          <w:rFonts w:ascii="Arial" w:cs="Arial" w:eastAsia="Arial" w:hAnsi="Arial"/>
          <w:sz w:val="17"/>
          <w:szCs w:val="17"/>
          <w:color w:val="auto"/>
        </w:rPr>
        <w:t>Any and all concepts, improvements, computer software, articles, pamphlets, brochures,</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plans, or other information (collectively, “</w:t>
      </w:r>
      <w:r>
        <w:rPr>
          <w:rFonts w:ascii="Arial" w:cs="Arial" w:eastAsia="Arial" w:hAnsi="Arial"/>
          <w:sz w:val="17"/>
          <w:szCs w:val="17"/>
          <w:u w:val="single" w:color="auto"/>
          <w:color w:val="auto"/>
        </w:rPr>
        <w:t>Developments</w:t>
      </w:r>
      <w:r>
        <w:rPr>
          <w:rFonts w:ascii="Arial" w:cs="Arial" w:eastAsia="Arial" w:hAnsi="Arial"/>
          <w:sz w:val="17"/>
          <w:szCs w:val="17"/>
          <w:color w:val="auto"/>
        </w:rPr>
        <w:t>”) which the Executive discovers, edits or develops during the Term of his/her employment, which relates to or is useful in connection with the business of Company, shall be deemed work for hire and shall be the sole and exclusive property of the Company. The Executive hereby assigns, transfers and conveys to the Company all right, title and interest in, and to all such Developments. The Executive shall make full disclosure thereof to the Company and shall do such acts and deliver all such instruments as the Company shall reasonably require of Executive, at the Company’s expense, to effect such ownership and to enable the Company to file and prosecute applications for and to acquire, maintain and enforce any and all patents, trademark, registrations or copyrights under United States or foreign law with respect to such Developments or to obtain any extension, valid action, reissuance, continuance or renewal of any such patent, trademark or copyright.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3" w:name="page74"/>
    <w:bookmarkEnd w:id="73"/>
    <w:p>
      <w:pPr>
        <w:ind w:left="-656" w:right="20" w:firstLine="656"/>
        <w:spacing w:after="0" w:line="282" w:lineRule="auto"/>
        <w:tabs>
          <w:tab w:leader="none" w:pos="811"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AND NON-SOLICITATION COVENANTS. </w:t>
      </w:r>
      <w:r>
        <w:rPr>
          <w:rFonts w:ascii="Arial" w:cs="Arial" w:eastAsia="Arial" w:hAnsi="Arial"/>
          <w:sz w:val="18"/>
          <w:szCs w:val="18"/>
          <w:color w:val="auto"/>
        </w:rPr>
        <w:t>As additional consideration to the Company for entering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Executive covenants that during the Restricted Period (as defined below), he shall not:</w:t>
      </w:r>
    </w:p>
    <w:p>
      <w:pPr>
        <w:spacing w:after="0" w:line="192" w:lineRule="exact"/>
        <w:rPr>
          <w:rFonts w:ascii="Arial" w:cs="Arial" w:eastAsia="Arial" w:hAnsi="Arial"/>
          <w:sz w:val="18"/>
          <w:szCs w:val="18"/>
          <w:color w:val="auto"/>
        </w:rPr>
      </w:pPr>
    </w:p>
    <w:p>
      <w:pPr>
        <w:jc w:val="both"/>
        <w:ind w:left="4" w:firstLine="645"/>
        <w:spacing w:after="0" w:line="268" w:lineRule="auto"/>
        <w:tabs>
          <w:tab w:leader="none" w:pos="1443" w:val="left"/>
        </w:tabs>
        <w:numPr>
          <w:ilvl w:val="1"/>
          <w:numId w:val="88"/>
        </w:numPr>
        <w:rPr>
          <w:rFonts w:ascii="Arial" w:cs="Arial" w:eastAsia="Arial" w:hAnsi="Arial"/>
          <w:sz w:val="17"/>
          <w:szCs w:val="17"/>
          <w:color w:val="auto"/>
        </w:rPr>
      </w:pPr>
      <w:r>
        <w:rPr>
          <w:rFonts w:ascii="Arial" w:cs="Arial" w:eastAsia="Arial" w:hAnsi="Arial"/>
          <w:sz w:val="17"/>
          <w:szCs w:val="17"/>
          <w:color w:val="auto"/>
        </w:rPr>
        <w:t>compete against the Company, or any subsidiary or affiliate of the Company that is engaged in the Business (as defined below) (collectively, the “</w:t>
      </w:r>
      <w:r>
        <w:rPr>
          <w:rFonts w:ascii="Arial" w:cs="Arial" w:eastAsia="Arial" w:hAnsi="Arial"/>
          <w:sz w:val="17"/>
          <w:szCs w:val="17"/>
          <w:u w:val="single" w:color="auto"/>
          <w:color w:val="auto"/>
        </w:rPr>
        <w:t>Applicable Entities</w:t>
      </w:r>
      <w:r>
        <w:rPr>
          <w:rFonts w:ascii="Arial" w:cs="Arial" w:eastAsia="Arial" w:hAnsi="Arial"/>
          <w:sz w:val="17"/>
          <w:szCs w:val="17"/>
          <w:color w:val="auto"/>
        </w:rPr>
        <w:t xml:space="preserve">”), either directly or indirectly, by taking employment, gratuitously assisting or serving as an independent contractor, consultant, partner, director or officer with a competitor of any of the Applicable Entities, or starting his own business that would compete directly or indirectly with any of the Applicable Entities, or have a material interest in any business, corporation, partnership, limited liability company or other business entity which competes directly or indirectly with any of the Applicable Entities. For purposes of this covenant, the term “the Business” shall mean developing, producing, designing, providing, soliciting orders for, selling, distributing, or marketing Company Products and Services in any state of the United States of America in which any of the Applicable Entities does business. For purposes hereof, “Company Products and Services” means any cancer immunotherapy vaccines and related applications (i) which the Applicable Entities currently anticipate developing, producing, designing, providing, marketing, distributing or selling, (ii) which the Applicable Entities develop, produce, design, provide, market or distribute while Executive is employed by the Applicable Entities or is otherwise providing services to the Applicable Entities, or (iii) that compete with any of the products and services of the Applicable Entities referenced in (i) or (ii) above. For the purpose of defining and enforcing this covenant, the competitors of the Applicable Entities will be identified at the time the Company seeks enforcement of this covenant. This determination shall be based on the then-existing market area of the Applicable Entities at the time enforcement of this covenant is sought. Notwithstanding the foregoing, investment by the Executive constituting less than five percent (5%) of the outstanding securities in a publicly-traded entity that may compete with the Applicable Entities shall not constitute a violation of this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as long as the Executive is not actively involved in such entity’s business.</w:t>
      </w:r>
    </w:p>
    <w:p>
      <w:pPr>
        <w:spacing w:after="0" w:line="207" w:lineRule="exact"/>
        <w:rPr>
          <w:rFonts w:ascii="Arial" w:cs="Arial" w:eastAsia="Arial" w:hAnsi="Arial"/>
          <w:sz w:val="17"/>
          <w:szCs w:val="17"/>
          <w:color w:val="auto"/>
        </w:rPr>
      </w:pPr>
    </w:p>
    <w:p>
      <w:pPr>
        <w:jc w:val="both"/>
        <w:ind w:left="4" w:firstLine="645"/>
        <w:spacing w:after="0" w:line="273" w:lineRule="auto"/>
        <w:tabs>
          <w:tab w:leader="none" w:pos="1482" w:val="left"/>
        </w:tabs>
        <w:numPr>
          <w:ilvl w:val="1"/>
          <w:numId w:val="88"/>
        </w:numPr>
        <w:rPr>
          <w:rFonts w:ascii="Arial" w:cs="Arial" w:eastAsia="Arial" w:hAnsi="Arial"/>
          <w:sz w:val="17"/>
          <w:szCs w:val="17"/>
          <w:color w:val="auto"/>
        </w:rPr>
      </w:pPr>
      <w:r>
        <w:rPr>
          <w:rFonts w:ascii="Arial" w:cs="Arial" w:eastAsia="Arial" w:hAnsi="Arial"/>
          <w:sz w:val="17"/>
          <w:szCs w:val="17"/>
          <w:color w:val="auto"/>
        </w:rPr>
        <w:t xml:space="preserve">solicit or encourage, or attempt to solicit or encourage, any current customer or vendor of any of the Applicable Entities to do business with any person or entity in competition with any of the Applicable Entities or to reduce the amount of business which any such customer or vendor has customarily done or contemplates doing with any of the Applicable Entities, whether or not the relationship between any of the Applicable Entities and such customer or vendor was originally established in whole or in part through the Executive’s efforts;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shall not be interpreted as preventing the Executive from conducting a business that does not consist of the Business conducted by the Applicable Entities with any customers or vendors of the Applicable Entities;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549275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756" w:right="239" w:bottom="1440" w:gutter="0" w:footer="0" w:header="0"/>
        </w:sectPr>
      </w:pPr>
    </w:p>
    <w:bookmarkStart w:id="74" w:name="page75"/>
    <w:bookmarkEnd w:id="74"/>
    <w:p>
      <w:pPr>
        <w:jc w:val="both"/>
        <w:ind w:left="660" w:firstLine="645"/>
        <w:spacing w:after="0" w:line="255" w:lineRule="auto"/>
        <w:tabs>
          <w:tab w:leader="none" w:pos="2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solicit or encourage, or attempt to solicit or encourage, any employee of the Company or any of the Applicable Entities, whether as an officer, employee, consultant, agent or independent contractor, or any person who was so employed or engaged at any time during the six (6) month period prior to the date of the Executive’s solicitation, to leave his or her employment with the Company or any of the Applicable Entities, to cease providing services to the Company or any of the Applicable Entities, or to accept employment with any other person or entity;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general solicitations not specifically targeted to employees of the Company or any of the Applicable Entities shall not constitute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breach of this </w:t>
      </w:r>
      <w:r>
        <w:rPr>
          <w:rFonts w:ascii="Arial" w:cs="Arial" w:eastAsia="Arial" w:hAnsi="Arial"/>
          <w:sz w:val="18"/>
          <w:szCs w:val="18"/>
          <w:u w:val="single" w:color="auto"/>
          <w:color w:val="auto"/>
        </w:rPr>
        <w:t>Section 7(c)</w:t>
      </w:r>
      <w:r>
        <w:rPr>
          <w:rFonts w:ascii="Arial" w:cs="Arial" w:eastAsia="Arial" w:hAnsi="Arial"/>
          <w:sz w:val="18"/>
          <w:szCs w:val="18"/>
          <w:color w:val="auto"/>
        </w:rPr>
        <w:t>.</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covenants not to compete and not to solicit shall apply during the entire Term of the Executive’s employment with the Company and for a period of twelve (12) months following the date on which Executive is last employed by the Company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xml:space="preserve">”). In the event of a breach by the Executive of any of the covenants in this </w:t>
      </w:r>
      <w:r>
        <w:rPr>
          <w:rFonts w:ascii="Arial" w:cs="Arial" w:eastAsia="Arial" w:hAnsi="Arial"/>
          <w:sz w:val="17"/>
          <w:szCs w:val="17"/>
          <w:u w:val="single" w:color="auto"/>
          <w:color w:val="auto"/>
        </w:rPr>
        <w:t>Section 7</w:t>
      </w:r>
      <w:r>
        <w:rPr>
          <w:rFonts w:ascii="Arial" w:cs="Arial" w:eastAsia="Arial" w:hAnsi="Arial"/>
          <w:sz w:val="17"/>
          <w:szCs w:val="17"/>
          <w:color w:val="auto"/>
        </w:rPr>
        <w:t>, the term of the Restricted Period will be extended by the period of the duration of such breach.</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Executive agrees that the relevant public policy and legal aspects of covenants not to compete have been discussed with him and that every effort has been made to limit the restrictions placed upon Executive to those that are reasonable and necessary to protect the legitimate interests of the Company, and the other Applicable Entities. The Executive acknowledges that, based upon his education, experience, and training, the non-compete and non-solicitation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will not prevent the Executive from earning a livelihood and supporting the Executive and his family during the relevant time period.</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Executive and the Company agree that the restrictions set forth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not prevent the Executive from serving as a member of the board of directors or board of managers of any organization after the Executive’s employment with the Company ends provided that: (a) the Executive does not provide services to such organization other than through Executive’s role as a member of its board of directors or board of managers; and (b) the Executive does not violate his confidentiality and intellectual property obligations set forth in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of this Agreement.</w:t>
      </w:r>
    </w:p>
    <w:p>
      <w:pPr>
        <w:spacing w:after="0" w:line="19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existence of a claim, charge, or cause of action by the Executive against the Company, or any other Applicable Entity shall not constitute a defense to the enforcement by the Company, or any other Applicable Entity of the foregoing restrictive covenants, but such claim, charge, or cause of action shall be litigated separately.</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If any restriction set forth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is found by any court of competent jurisdiction to be unenforceable because it extends for too long a period of time or over too great a range of activities or in too broad a geographic area, the court is hereby expressly authorized to modify this Agreement or to interpret this Agreement to extend only over the maximum period of time, range of activities, or geographic areas as to which it may be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5" w:name="page76"/>
    <w:bookmarkEnd w:id="75"/>
    <w:p>
      <w:pPr>
        <w:jc w:val="both"/>
        <w:ind w:left="-656" w:firstLine="656"/>
        <w:spacing w:after="0" w:line="255" w:lineRule="auto"/>
        <w:tabs>
          <w:tab w:leader="none" w:pos="635"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Notwithstanding anything else contained in this Agreement, the Term of Executive's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this Agreement may be terminated prior to the end of the Term stated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above upon the earliest to occur of the events described in </w:t>
      </w:r>
      <w:r>
        <w:rPr>
          <w:rFonts w:ascii="Arial" w:cs="Arial" w:eastAsia="Arial" w:hAnsi="Arial"/>
          <w:sz w:val="18"/>
          <w:szCs w:val="18"/>
          <w:u w:val="single" w:color="auto"/>
          <w:color w:val="auto"/>
        </w:rPr>
        <w:t>Subsections 8(a)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8(b)</w:t>
      </w:r>
      <w:r>
        <w:rPr>
          <w:rFonts w:ascii="Arial" w:cs="Arial" w:eastAsia="Arial" w:hAnsi="Arial"/>
          <w:sz w:val="18"/>
          <w:szCs w:val="18"/>
          <w:color w:val="auto"/>
        </w:rPr>
        <w:t xml:space="preserve"> below. To terminate the Executive's employment with the Company and the Term pursuant to this </w:t>
      </w:r>
      <w:r>
        <w:rPr>
          <w:rFonts w:ascii="Arial" w:cs="Arial" w:eastAsia="Arial" w:hAnsi="Arial"/>
          <w:sz w:val="18"/>
          <w:szCs w:val="18"/>
          <w:u w:val="single" w:color="auto"/>
          <w:color w:val="auto"/>
        </w:rPr>
        <w:t>Section 8</w:t>
      </w:r>
      <w:r>
        <w:rPr>
          <w:rFonts w:ascii="Arial" w:cs="Arial" w:eastAsia="Arial" w:hAnsi="Arial"/>
          <w:sz w:val="18"/>
          <w:szCs w:val="18"/>
          <w:color w:val="auto"/>
        </w:rPr>
        <w:t>, the terminating party shall provide to the other party a written notice of termination (a “</w:t>
      </w:r>
      <w:r>
        <w:rPr>
          <w:rFonts w:ascii="Arial" w:cs="Arial" w:eastAsia="Arial" w:hAnsi="Arial"/>
          <w:sz w:val="18"/>
          <w:szCs w:val="18"/>
          <w:u w:val="single" w:color="auto"/>
          <w:color w:val="auto"/>
        </w:rPr>
        <w:t>Termination Notice</w:t>
      </w:r>
      <w:r>
        <w:rPr>
          <w:rFonts w:ascii="Arial" w:cs="Arial" w:eastAsia="Arial" w:hAnsi="Arial"/>
          <w:sz w:val="18"/>
          <w:szCs w:val="18"/>
          <w:color w:val="auto"/>
        </w:rPr>
        <w:t>”), which shall (i) indicate the specific termination provision of this Agreement relied upon, (ii) briefly summarize the facts and circumstances that provide the bases for such termination, (iii) specify the termination date in accordance with the requirements of this Agreement, and (iv) otherwise comply with any notice-related term in this Agreement applicable to the specific type of termination.</w:t>
      </w:r>
    </w:p>
    <w:p>
      <w:pPr>
        <w:spacing w:after="0" w:line="220" w:lineRule="exact"/>
        <w:rPr>
          <w:rFonts w:ascii="Arial" w:cs="Arial" w:eastAsia="Arial" w:hAnsi="Arial"/>
          <w:sz w:val="18"/>
          <w:szCs w:val="18"/>
          <w:color w:val="auto"/>
        </w:rPr>
      </w:pPr>
    </w:p>
    <w:p>
      <w:pPr>
        <w:ind w:left="1164" w:hanging="515"/>
        <w:spacing w:after="0"/>
        <w:tabs>
          <w:tab w:leader="none" w:pos="1164"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w:t>
      </w:r>
      <w:r>
        <w:rPr>
          <w:rFonts w:ascii="Arial" w:cs="Arial" w:eastAsia="Arial" w:hAnsi="Arial"/>
          <w:sz w:val="16"/>
          <w:szCs w:val="16"/>
          <w:color w:val="auto"/>
        </w:rPr>
        <w:t>. The Company may terminate the Executive’s employment with the Company and the Term under this</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38" w:lineRule="exact"/>
        <w:rPr>
          <w:sz w:val="20"/>
          <w:szCs w:val="20"/>
          <w:color w:val="auto"/>
        </w:rPr>
      </w:pPr>
    </w:p>
    <w:p>
      <w:pPr>
        <w:jc w:val="both"/>
        <w:ind w:left="1304" w:hanging="655"/>
        <w:spacing w:after="0" w:line="264" w:lineRule="auto"/>
        <w:tabs>
          <w:tab w:leader="none" w:pos="1304" w:val="left"/>
        </w:tabs>
        <w:numPr>
          <w:ilvl w:val="0"/>
          <w:numId w:val="91"/>
        </w:numPr>
        <w:rPr>
          <w:rFonts w:ascii="Arial" w:cs="Arial" w:eastAsia="Arial" w:hAnsi="Arial"/>
          <w:sz w:val="18"/>
          <w:szCs w:val="18"/>
          <w:color w:val="auto"/>
        </w:rPr>
      </w:pPr>
      <w:r>
        <w:rPr>
          <w:rFonts w:ascii="Arial" w:cs="Arial" w:eastAsia="Arial" w:hAnsi="Arial"/>
          <w:sz w:val="18"/>
          <w:szCs w:val="18"/>
          <w:color w:val="auto"/>
        </w:rPr>
        <w:t>Upon the Executive's Disability (as defined below), such termination to be effective on the date of written notice by the Company that the Executive’s employment is being terminated as a result of such Disability or such later date as may be specified in writing by the Company;</w:t>
      </w:r>
    </w:p>
    <w:p>
      <w:pPr>
        <w:spacing w:after="0" w:line="208" w:lineRule="exact"/>
        <w:rPr>
          <w:rFonts w:ascii="Arial" w:cs="Arial" w:eastAsia="Arial" w:hAnsi="Arial"/>
          <w:sz w:val="18"/>
          <w:szCs w:val="18"/>
          <w:color w:val="auto"/>
        </w:rPr>
      </w:pPr>
    </w:p>
    <w:p>
      <w:pPr>
        <w:ind w:left="1304" w:hanging="655"/>
        <w:spacing w:after="0"/>
        <w:tabs>
          <w:tab w:leader="none" w:pos="1304" w:val="left"/>
        </w:tabs>
        <w:numPr>
          <w:ilvl w:val="0"/>
          <w:numId w:val="91"/>
        </w:numPr>
        <w:rPr>
          <w:rFonts w:ascii="Arial" w:cs="Arial" w:eastAsia="Arial" w:hAnsi="Arial"/>
          <w:sz w:val="18"/>
          <w:szCs w:val="18"/>
          <w:color w:val="auto"/>
        </w:rPr>
      </w:pPr>
      <w:r>
        <w:rPr>
          <w:rFonts w:ascii="Arial" w:cs="Arial" w:eastAsia="Arial" w:hAnsi="Arial"/>
          <w:sz w:val="18"/>
          <w:szCs w:val="18"/>
          <w:color w:val="auto"/>
        </w:rPr>
        <w:t>Upon the Executive's death, to be effective immediately upon the date of death;</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Cause (as defined below), which termination shall be effective on the date specified in the Termination Notice;</w:t>
      </w:r>
    </w:p>
    <w:p>
      <w:pPr>
        <w:spacing w:after="0" w:line="252"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the Board determines in good faith that Company is unable to continue to pay the level of compensation due to the Executive under Section 4 of this Agreement, whether as a result of the Company’s failure to obtain additional equity funding as needed to sustain its operations, or otherwise; or</w:t>
      </w:r>
    </w:p>
    <w:p>
      <w:pPr>
        <w:spacing w:after="0" w:line="208"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By the Company for any reason other than under </w:t>
      </w:r>
      <w:r>
        <w:rPr>
          <w:rFonts w:ascii="Arial" w:cs="Arial" w:eastAsia="Arial" w:hAnsi="Arial"/>
          <w:sz w:val="18"/>
          <w:szCs w:val="18"/>
          <w:u w:val="single" w:color="auto"/>
          <w:color w:val="auto"/>
        </w:rPr>
        <w:t>Subsections (a)(1)</w:t>
      </w:r>
      <w:r>
        <w:rPr>
          <w:rFonts w:ascii="Arial" w:cs="Arial" w:eastAsia="Arial" w:hAnsi="Arial"/>
          <w:sz w:val="18"/>
          <w:szCs w:val="18"/>
          <w:color w:val="auto"/>
        </w:rPr>
        <w:t xml:space="preserve">, </w:t>
      </w:r>
      <w:r>
        <w:rPr>
          <w:rFonts w:ascii="Arial" w:cs="Arial" w:eastAsia="Arial" w:hAnsi="Arial"/>
          <w:sz w:val="18"/>
          <w:szCs w:val="18"/>
          <w:u w:val="single" w:color="auto"/>
          <w:color w:val="auto"/>
        </w:rPr>
        <w:t>(2), (3)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w:t>
      </w:r>
      <w:r>
        <w:rPr>
          <w:rFonts w:ascii="Arial" w:cs="Arial" w:eastAsia="Arial" w:hAnsi="Arial"/>
          <w:sz w:val="18"/>
          <w:szCs w:val="18"/>
          <w:color w:val="auto"/>
        </w:rPr>
        <w:t>, or for no reason (it being understood that Executive’s employment is “at will”), upon written notice by the Company to the Executive that the Executive’s employment is being terminated, which termination shall be effective on the date of such notice or such later date as may be specified in writing by the Company.</w:t>
      </w:r>
    </w:p>
    <w:p>
      <w:pPr>
        <w:spacing w:after="0" w:line="214" w:lineRule="exact"/>
        <w:rPr>
          <w:sz w:val="20"/>
          <w:szCs w:val="20"/>
          <w:color w:val="auto"/>
        </w:rPr>
      </w:pPr>
    </w:p>
    <w:p>
      <w:pPr>
        <w:jc w:val="both"/>
        <w:ind w:left="4" w:firstLine="645"/>
        <w:spacing w:after="0" w:line="264" w:lineRule="auto"/>
        <w:tabs>
          <w:tab w:leader="none" w:pos="1614"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his employment with the Company and the Term under this Agreement either (i) for Good Reason (as defined below) by providing a Termination Notice to the Company as described above; or (ii) without Good Reason by written notice of termination of his employment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551180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756" w:right="239" w:bottom="1440" w:gutter="0" w:footer="0" w:header="0"/>
        </w:sectPr>
      </w:pPr>
    </w:p>
    <w:bookmarkStart w:id="76" w:name="page77"/>
    <w:bookmarkEnd w:id="76"/>
    <w:p>
      <w:pPr>
        <w:jc w:val="both"/>
        <w:ind w:left="-540" w:firstLine="645"/>
        <w:spacing w:after="0" w:line="255" w:lineRule="auto"/>
        <w:tabs>
          <w:tab w:leader="none" w:pos="100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Definition of "Disability</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Executive's incapacity or inability to perform his duties and responsibilities as contemplated under this Agreement with any reasonable accommodation that the Company may be required to provide in accordance with the Americans with Disabilities Act for one hundred twenty (120) consecutive days or for more than one hundred twenty (120) days within any one (1) year period (cumulative or consecutive) due to impairment to his physical or mental health. For this purpose, the Executive shall be presumed to have suffered a Disability if he is determined to be entitled to Social Security disability benefits by the Social Security Administration. The Executive hereby consents to a medical examination and consultation, at the Company’s sole expense, regarding his health and ability to perform as aforesaid.</w:t>
      </w:r>
    </w:p>
    <w:p>
      <w:pPr>
        <w:spacing w:after="0" w:line="216" w:lineRule="exact"/>
        <w:rPr>
          <w:rFonts w:ascii="Arial" w:cs="Arial" w:eastAsia="Arial" w:hAnsi="Arial"/>
          <w:sz w:val="18"/>
          <w:szCs w:val="18"/>
          <w:color w:val="auto"/>
        </w:rPr>
      </w:pPr>
    </w:p>
    <w:p>
      <w:pPr>
        <w:ind w:left="800" w:hanging="695"/>
        <w:spacing w:after="0"/>
        <w:tabs>
          <w:tab w:leader="none" w:pos="80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Definition of "Cause</w:t>
      </w:r>
      <w:r>
        <w:rPr>
          <w:rFonts w:ascii="Arial" w:cs="Arial" w:eastAsia="Arial" w:hAnsi="Arial"/>
          <w:sz w:val="17"/>
          <w:szCs w:val="17"/>
          <w:color w:val="auto"/>
        </w:rPr>
        <w:t>.” The Company shall have “Cause” to terminate the Executive only for any of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-37465</wp:posOffset>
            </wp:positionV>
            <wp:extent cx="196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685" cy="8890"/>
                    </a:xfrm>
                    <a:prstGeom prst="rect">
                      <a:avLst/>
                    </a:prstGeom>
                    <a:noFill/>
                  </pic:spPr>
                </pic:pic>
              </a:graphicData>
            </a:graphic>
          </wp:anchor>
        </w:drawing>
      </w:r>
    </w:p>
    <w:p>
      <w:pPr>
        <w:spacing w:after="0" w:line="244" w:lineRule="exact"/>
        <w:rPr>
          <w:sz w:val="20"/>
          <w:szCs w:val="20"/>
          <w:color w:val="auto"/>
        </w:rPr>
      </w:pPr>
    </w:p>
    <w:p>
      <w:pPr>
        <w:jc w:val="both"/>
        <w:ind w:left="760" w:hanging="655"/>
        <w:spacing w:after="0" w:line="286" w:lineRule="auto"/>
        <w:tabs>
          <w:tab w:leader="none" w:pos="7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Executive’s fraudulent, dishonest or illegal conduct in the performance of services for or on behalf of the Company or any of its subsidiaries or affiliates or other conduct in violation of Company policy or detrimental to the business, operations or reputation of the Company or any of its subsidiaries or affiliates, as determined by the Board in good faith;</w:t>
      </w:r>
    </w:p>
    <w:p>
      <w:pPr>
        <w:spacing w:after="0" w:line="192" w:lineRule="exact"/>
        <w:rPr>
          <w:rFonts w:ascii="Arial" w:cs="Arial" w:eastAsia="Arial" w:hAnsi="Arial"/>
          <w:sz w:val="17"/>
          <w:szCs w:val="17"/>
          <w:color w:val="auto"/>
        </w:rPr>
      </w:pPr>
    </w:p>
    <w:p>
      <w:pPr>
        <w:ind w:left="760" w:hanging="655"/>
        <w:spacing w:after="0"/>
        <w:tabs>
          <w:tab w:leader="none" w:pos="7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Executive’s embezzlement, misappropriation of funds or fraud, whether or not related to his employment with the Company;</w:t>
      </w:r>
    </w:p>
    <w:p>
      <w:pPr>
        <w:spacing w:after="0" w:line="275" w:lineRule="exact"/>
        <w:rPr>
          <w:rFonts w:ascii="Arial" w:cs="Arial" w:eastAsia="Arial" w:hAnsi="Arial"/>
          <w:sz w:val="16"/>
          <w:szCs w:val="16"/>
          <w:color w:val="auto"/>
        </w:rPr>
      </w:pPr>
    </w:p>
    <w:p>
      <w:pPr>
        <w:ind w:left="760" w:hanging="655"/>
        <w:spacing w:after="0"/>
        <w:tabs>
          <w:tab w:leader="none" w:pos="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Executive’s engaging in conduct involving an act of moral turpitude;</w:t>
      </w:r>
    </w:p>
    <w:p>
      <w:pPr>
        <w:spacing w:after="0" w:line="252" w:lineRule="exact"/>
        <w:rPr>
          <w:rFonts w:ascii="Arial" w:cs="Arial" w:eastAsia="Arial" w:hAnsi="Arial"/>
          <w:sz w:val="18"/>
          <w:szCs w:val="18"/>
          <w:color w:val="auto"/>
        </w:rPr>
      </w:pPr>
    </w:p>
    <w:p>
      <w:pPr>
        <w:ind w:left="760" w:hanging="655"/>
        <w:spacing w:after="0"/>
        <w:tabs>
          <w:tab w:leader="none" w:pos="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Insubordination, negligence, willful misconduct or failure to comply with directions of the Board;</w:t>
      </w:r>
    </w:p>
    <w:p>
      <w:pPr>
        <w:spacing w:after="0" w:line="252" w:lineRule="exact"/>
        <w:rPr>
          <w:rFonts w:ascii="Arial" w:cs="Arial" w:eastAsia="Arial" w:hAnsi="Arial"/>
          <w:sz w:val="18"/>
          <w:szCs w:val="18"/>
          <w:color w:val="auto"/>
        </w:rPr>
      </w:pPr>
    </w:p>
    <w:p>
      <w:pPr>
        <w:ind w:left="760" w:hanging="655"/>
        <w:spacing w:after="0"/>
        <w:tabs>
          <w:tab w:leader="none" w:pos="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breach of the Executive’s duty of loyalty to the Company or any of its subsidiaries;</w:t>
      </w:r>
    </w:p>
    <w:p>
      <w:pPr>
        <w:spacing w:after="0" w:line="252" w:lineRule="exact"/>
        <w:rPr>
          <w:rFonts w:ascii="Arial" w:cs="Arial" w:eastAsia="Arial" w:hAnsi="Arial"/>
          <w:sz w:val="18"/>
          <w:szCs w:val="18"/>
          <w:color w:val="auto"/>
        </w:rPr>
      </w:pPr>
    </w:p>
    <w:p>
      <w:pPr>
        <w:ind w:left="760" w:right="20" w:hanging="655"/>
        <w:spacing w:after="0" w:line="277" w:lineRule="auto"/>
        <w:tabs>
          <w:tab w:leader="none" w:pos="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Executive’s violation of any Company policy, including but not limited to the Company’s Code of Ethics, and its policies regarding discrimination, harassment and retaliation;</w:t>
      </w:r>
    </w:p>
    <w:p>
      <w:pPr>
        <w:spacing w:after="0" w:line="197"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Executive’s gross misconduct or intentional failure to comply with any lawful direction of the Board consistent with his duties hereunder;</w:t>
      </w:r>
    </w:p>
    <w:p>
      <w:pPr>
        <w:spacing w:after="0" w:line="197" w:lineRule="exact"/>
        <w:rPr>
          <w:rFonts w:ascii="Arial" w:cs="Arial" w:eastAsia="Arial" w:hAnsi="Arial"/>
          <w:sz w:val="18"/>
          <w:szCs w:val="18"/>
          <w:color w:val="auto"/>
        </w:rPr>
      </w:pPr>
    </w:p>
    <w:p>
      <w:pPr>
        <w:ind w:left="760" w:right="20" w:hanging="655"/>
        <w:spacing w:after="0" w:line="277" w:lineRule="auto"/>
        <w:tabs>
          <w:tab w:leader="none" w:pos="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conviction by a court of competent jurisdiction of the Executive of, or the entry of a plea of guilty or nolo contendere by the Executive to, any crime involving moral turpitude or any felony;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544195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60" w:right="239" w:bottom="1440" w:gutter="0" w:footer="0" w:header="0"/>
        </w:sectPr>
      </w:pPr>
    </w:p>
    <w:bookmarkStart w:id="77" w:name="page78"/>
    <w:bookmarkEnd w:id="77"/>
    <w:p>
      <w:pPr>
        <w:ind w:left="1304" w:hanging="655"/>
        <w:spacing w:after="0" w:line="277" w:lineRule="auto"/>
        <w:tabs>
          <w:tab w:leader="none" w:pos="1304"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determination by the Board that the Executive has committed an act of fraud, embezzlement or conversion of property related to the Company or any of its customers or suppliers; or</w:t>
      </w:r>
    </w:p>
    <w:p>
      <w:pPr>
        <w:spacing w:after="0" w:line="197" w:lineRule="exact"/>
        <w:rPr>
          <w:rFonts w:ascii="Arial" w:cs="Arial" w:eastAsia="Arial" w:hAnsi="Arial"/>
          <w:sz w:val="18"/>
          <w:szCs w:val="18"/>
          <w:color w:val="auto"/>
        </w:rPr>
      </w:pPr>
    </w:p>
    <w:p>
      <w:pPr>
        <w:ind w:left="1304" w:hanging="655"/>
        <w:spacing w:after="0" w:line="277" w:lineRule="auto"/>
        <w:tabs>
          <w:tab w:leader="none" w:pos="1304"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intentional breach of the Executive’s obligations under this Agreement which is not promptly cured after notice and demand by the Board.</w:t>
      </w:r>
    </w:p>
    <w:p>
      <w:pPr>
        <w:spacing w:after="0" w:line="200" w:lineRule="exact"/>
        <w:rPr>
          <w:sz w:val="20"/>
          <w:szCs w:val="20"/>
          <w:color w:val="auto"/>
        </w:rPr>
      </w:pPr>
    </w:p>
    <w:p>
      <w:pPr>
        <w:spacing w:after="0" w:line="214" w:lineRule="exact"/>
        <w:rPr>
          <w:sz w:val="20"/>
          <w:szCs w:val="20"/>
          <w:color w:val="auto"/>
        </w:rPr>
      </w:pPr>
    </w:p>
    <w:p>
      <w:pPr>
        <w:ind w:left="1384" w:hanging="735"/>
        <w:spacing w:after="0"/>
        <w:tabs>
          <w:tab w:leader="none" w:pos="1384"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Definition of "Good Reason</w:t>
      </w:r>
      <w:r>
        <w:rPr>
          <w:rFonts w:ascii="Arial" w:cs="Arial" w:eastAsia="Arial" w:hAnsi="Arial"/>
          <w:sz w:val="16"/>
          <w:szCs w:val="16"/>
          <w:color w:val="auto"/>
        </w:rPr>
        <w:t>.” For the purposes of this Agreement, "Good Reason" shall mean without the prior written consent</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of the Executive:</w:t>
      </w:r>
    </w:p>
    <w:p>
      <w:pPr>
        <w:spacing w:after="0" w:line="238" w:lineRule="exact"/>
        <w:rPr>
          <w:sz w:val="20"/>
          <w:szCs w:val="20"/>
          <w:color w:val="auto"/>
        </w:rPr>
      </w:pPr>
    </w:p>
    <w:p>
      <w:pPr>
        <w:jc w:val="both"/>
        <w:ind w:left="1304" w:hanging="655"/>
        <w:spacing w:after="0" w:line="302" w:lineRule="auto"/>
        <w:tabs>
          <w:tab w:leader="none" w:pos="1304"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A reduction by the Company of the Executive's annual base salary from the amount specified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a reduction shall not be considered “Good Reason” if the reduction results from a determination by the Board in good faith that Company is unable to continue to pay the level of executive compensation due to the Executive and similarly situated executives, whether as a result of the Company’s failure to obtain additional equity funding as needed to sustain its operations, or otherwise;</w:t>
      </w:r>
    </w:p>
    <w:p>
      <w:pPr>
        <w:spacing w:after="0" w:line="181" w:lineRule="exact"/>
        <w:rPr>
          <w:rFonts w:ascii="Arial" w:cs="Arial" w:eastAsia="Arial" w:hAnsi="Arial"/>
          <w:sz w:val="16"/>
          <w:szCs w:val="16"/>
          <w:color w:val="auto"/>
        </w:rPr>
      </w:pPr>
    </w:p>
    <w:p>
      <w:pPr>
        <w:ind w:left="1304" w:hanging="655"/>
        <w:spacing w:after="0" w:line="277" w:lineRule="auto"/>
        <w:tabs>
          <w:tab w:leader="none" w:pos="1304"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A demotion or other material diminution by the Company in the Executive's authority, duties, or responsibilities from those specified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A change by the Company of the principal location at which the Executive is required to perform his duties for Company to a new location that is at least fifty (50) miles from </w:t>
      </w:r>
      <w:r>
        <w:rPr>
          <w:rFonts w:ascii="Arial" w:cs="Arial" w:eastAsia="Arial" w:hAnsi="Arial"/>
          <w:sz w:val="18"/>
          <w:szCs w:val="18"/>
          <w:color w:val="222222"/>
        </w:rPr>
        <w:t>the Company’s headquarters in Jacksonville, Florida;</w:t>
      </w:r>
      <w:r>
        <w:rPr>
          <w:rFonts w:ascii="Arial" w:cs="Arial" w:eastAsia="Arial" w:hAnsi="Arial"/>
          <w:sz w:val="18"/>
          <w:szCs w:val="18"/>
          <w:color w:val="auto"/>
        </w:rPr>
        <w:t xml:space="preserve"> or</w:t>
      </w:r>
    </w:p>
    <w:p>
      <w:pPr>
        <w:spacing w:after="0" w:line="197" w:lineRule="exact"/>
        <w:rPr>
          <w:rFonts w:ascii="Arial" w:cs="Arial" w:eastAsia="Arial" w:hAnsi="Arial"/>
          <w:sz w:val="18"/>
          <w:szCs w:val="18"/>
          <w:color w:val="auto"/>
        </w:rPr>
      </w:pPr>
    </w:p>
    <w:p>
      <w:pPr>
        <w:ind w:left="1304" w:hanging="655"/>
        <w:spacing w:after="0"/>
        <w:tabs>
          <w:tab w:leader="none" w:pos="1304"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other material breach of this Agreement by the Company.</w:t>
      </w:r>
    </w:p>
    <w:p>
      <w:pPr>
        <w:spacing w:after="0" w:line="252" w:lineRule="exact"/>
        <w:rPr>
          <w:rFonts w:ascii="Arial" w:cs="Arial" w:eastAsia="Arial" w:hAnsi="Arial"/>
          <w:sz w:val="18"/>
          <w:szCs w:val="18"/>
          <w:color w:val="auto"/>
        </w:rPr>
      </w:pPr>
    </w:p>
    <w:p>
      <w:pPr>
        <w:jc w:val="both"/>
        <w:ind w:left="4" w:right="60" w:hanging="4"/>
        <w:spacing w:after="0" w:line="290" w:lineRule="auto"/>
        <w:tabs>
          <w:tab w:leader="none" w:pos="724"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Termination Notice and Cure</w:t>
      </w:r>
      <w:r>
        <w:rPr>
          <w:rFonts w:ascii="Arial" w:cs="Arial" w:eastAsia="Arial" w:hAnsi="Arial"/>
          <w:sz w:val="16"/>
          <w:szCs w:val="16"/>
          <w:color w:val="auto"/>
        </w:rPr>
        <w:t xml:space="preserve">. Notwithstanding the foregoing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"Good Reason" shall not be deemed to have occurred, and the Executive shall be deemed to have irrevocably waived his right to terminate the Executive’s employment with the Company and the Term under this Agreement with respect thereto, unless: (i) the Executive has provided the Company with a Termination Notice describing one or more of the grounds set forth in </w:t>
      </w:r>
      <w:r>
        <w:rPr>
          <w:rFonts w:ascii="Arial" w:cs="Arial" w:eastAsia="Arial" w:hAnsi="Arial"/>
          <w:sz w:val="16"/>
          <w:szCs w:val="16"/>
          <w:u w:val="single" w:color="auto"/>
          <w:color w:val="auto"/>
        </w:rPr>
        <w:t>Section 8(e)</w:t>
      </w:r>
      <w:r>
        <w:rPr>
          <w:rFonts w:ascii="Arial" w:cs="Arial" w:eastAsia="Arial" w:hAnsi="Arial"/>
          <w:sz w:val="16"/>
          <w:szCs w:val="16"/>
          <w:color w:val="auto"/>
        </w:rPr>
        <w:t xml:space="preserve"> as soon as reasonably practicable, but in no event later than one hundred fifty (150) days after such ground occurring or is discovered (as applicable), (ii) if such ground is capable of being cured, the Company has failed to cure such ground within a period of thirty (30) days from the date of such written notice, and (iii) the Executive terminates the Executive’s employment with the Company within six (6) months from the date on which the event constituting Good Reason first occurs or is discovered (as applicable). The Executive shall have the burden of proving the occurrence of an event constituting “Good Reason”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541655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760" w:right="239" w:bottom="1440" w:gutter="0" w:footer="0" w:header="0"/>
        </w:sectPr>
      </w:pPr>
    </w:p>
    <w:bookmarkStart w:id="78" w:name="page79"/>
    <w:bookmarkEnd w:id="78"/>
    <w:p>
      <w:pPr>
        <w:jc w:val="both"/>
        <w:ind w:left="660"/>
        <w:spacing w:after="0" w:line="284" w:lineRule="auto"/>
        <w:rPr>
          <w:sz w:val="20"/>
          <w:szCs w:val="20"/>
          <w:color w:val="auto"/>
        </w:rPr>
      </w:pPr>
      <w:r>
        <w:rPr>
          <w:rFonts w:ascii="Arial" w:cs="Arial" w:eastAsia="Arial" w:hAnsi="Arial"/>
          <w:sz w:val="16"/>
          <w:szCs w:val="16"/>
          <w:color w:val="auto"/>
        </w:rPr>
        <w:t xml:space="preserve">Similarly, notwithstanding the foregoing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"Cause" shall not be deemed to have occurred, and the Company shall be deemed to have irrevocably waived their right to terminate the Executive’s employment with the Company and the Term under this Agreement with respect thereto, unless: (i) the Company has provided the Executive with a Termination Notice describing one or more of the grounds set forth in </w:t>
      </w:r>
      <w:r>
        <w:rPr>
          <w:rFonts w:ascii="Arial" w:cs="Arial" w:eastAsia="Arial" w:hAnsi="Arial"/>
          <w:sz w:val="16"/>
          <w:szCs w:val="16"/>
          <w:u w:val="single" w:color="auto"/>
          <w:color w:val="auto"/>
        </w:rPr>
        <w:t>Section 8(d)</w:t>
      </w:r>
      <w:r>
        <w:rPr>
          <w:rFonts w:ascii="Arial" w:cs="Arial" w:eastAsia="Arial" w:hAnsi="Arial"/>
          <w:sz w:val="16"/>
          <w:szCs w:val="16"/>
          <w:color w:val="auto"/>
        </w:rPr>
        <w:t xml:space="preserve"> as soon as reasonably practicable, but in no event later than one hundred fifty (150) days after the Board first receives notice of the grounds for termination (as applicable), (ii) if such ground is capable of being cured, the Executive has failed to cure such ground within a period of thirty (30) days from the date of such written notice, and (iii) the Company terminates the Executive’s employment with the Company within nine</w:t>
      </w:r>
    </w:p>
    <w:p>
      <w:pPr>
        <w:spacing w:after="0" w:line="5" w:lineRule="exact"/>
        <w:rPr>
          <w:sz w:val="20"/>
          <w:szCs w:val="20"/>
          <w:color w:val="auto"/>
        </w:rPr>
      </w:pPr>
    </w:p>
    <w:p>
      <w:pPr>
        <w:ind w:left="920" w:hanging="264"/>
        <w:spacing w:after="0"/>
        <w:tabs>
          <w:tab w:leader="none" w:pos="9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months from the date on which the Board first received notice of the event constituting Cause.</w:t>
      </w:r>
    </w:p>
    <w:p>
      <w:pPr>
        <w:spacing w:after="0" w:line="233" w:lineRule="exact"/>
        <w:rPr>
          <w:rFonts w:ascii="Arial" w:cs="Arial" w:eastAsia="Arial" w:hAnsi="Arial"/>
          <w:sz w:val="18"/>
          <w:szCs w:val="18"/>
          <w:color w:val="auto"/>
        </w:rPr>
      </w:pPr>
    </w:p>
    <w:p>
      <w:pPr>
        <w:ind w:left="640" w:hanging="632"/>
        <w:spacing w:after="0"/>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SEVERANCE PAY</w:t>
      </w:r>
      <w:r>
        <w:rPr>
          <w:rFonts w:ascii="Arial" w:cs="Arial" w:eastAsia="Arial" w:hAnsi="Arial"/>
          <w:sz w:val="18"/>
          <w:szCs w:val="18"/>
          <w:color w:val="auto"/>
        </w:rPr>
        <w:t>.</w:t>
      </w:r>
    </w:p>
    <w:p>
      <w:pPr>
        <w:spacing w:after="0" w:line="256" w:lineRule="exact"/>
        <w:rPr>
          <w:sz w:val="20"/>
          <w:szCs w:val="20"/>
          <w:color w:val="auto"/>
        </w:rPr>
      </w:pPr>
    </w:p>
    <w:p>
      <w:pPr>
        <w:jc w:val="both"/>
        <w:ind w:left="660" w:hanging="652"/>
        <w:spacing w:after="0" w:line="264"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In the event the Executive’s employment with the Company is terminated by the Company during the Term for Cause (as defined in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above), or by the Executive other than for Good Reason (as defined in </w:t>
      </w:r>
      <w:r>
        <w:rPr>
          <w:rFonts w:ascii="Arial" w:cs="Arial" w:eastAsia="Arial" w:hAnsi="Arial"/>
          <w:sz w:val="18"/>
          <w:szCs w:val="18"/>
          <w:u w:val="single" w:color="auto"/>
          <w:color w:val="auto"/>
        </w:rPr>
        <w:t>Section 8(e)</w:t>
      </w:r>
      <w:r>
        <w:rPr>
          <w:rFonts w:ascii="Arial" w:cs="Arial" w:eastAsia="Arial" w:hAnsi="Arial"/>
          <w:sz w:val="18"/>
          <w:szCs w:val="18"/>
          <w:color w:val="auto"/>
        </w:rPr>
        <w:t xml:space="preserve"> above), the compensation and benefits the Executive shall be entitled to receive from the Company shall be limited to:</w:t>
      </w:r>
    </w:p>
    <w:p>
      <w:pPr>
        <w:spacing w:after="0" w:line="208" w:lineRule="exact"/>
        <w:rPr>
          <w:sz w:val="20"/>
          <w:szCs w:val="20"/>
          <w:color w:val="auto"/>
        </w:rPr>
      </w:pPr>
    </w:p>
    <w:p>
      <w:pPr>
        <w:ind w:firstLine="8"/>
        <w:spacing w:after="0" w:line="277" w:lineRule="auto"/>
        <w:tabs>
          <w:tab w:leader="none" w:pos="66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his then-current annual base salary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through the date of termination, payable in accordance with the Company’s standard payroll practices;</w:t>
      </w:r>
    </w:p>
    <w:p>
      <w:pPr>
        <w:spacing w:after="0" w:line="197" w:lineRule="exact"/>
        <w:rPr>
          <w:rFonts w:ascii="Arial" w:cs="Arial" w:eastAsia="Arial" w:hAnsi="Arial"/>
          <w:sz w:val="18"/>
          <w:szCs w:val="18"/>
          <w:color w:val="auto"/>
        </w:rPr>
      </w:pPr>
    </w:p>
    <w:p>
      <w:pPr>
        <w:ind w:left="1380" w:hanging="724"/>
        <w:spacing w:after="0"/>
        <w:tabs>
          <w:tab w:leader="none" w:pos="13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reimbursable expenses for which the Executive has not yet been reimbursed as of the date of termination; and</w:t>
      </w:r>
    </w:p>
    <w:p>
      <w:pPr>
        <w:spacing w:after="0" w:line="252" w:lineRule="exact"/>
        <w:rPr>
          <w:rFonts w:ascii="Arial" w:cs="Arial" w:eastAsia="Arial" w:hAnsi="Arial"/>
          <w:sz w:val="18"/>
          <w:szCs w:val="18"/>
          <w:color w:val="auto"/>
        </w:rPr>
      </w:pPr>
    </w:p>
    <w:p>
      <w:pPr>
        <w:ind w:firstLine="656"/>
        <w:spacing w:after="0" w:line="277" w:lineRule="auto"/>
        <w:tabs>
          <w:tab w:leader="none" w:pos="167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other rights and vested benefits (if any) provided under employee benefit plans and programs of the Company, determined in accordance with the applicable terms and provisions of such plans and programs.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Any annual performance bonus under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earned for a prior year but not yet paid by the Company shall be forfeited if the Executive’s employment with the Company is terminated by the Company for Cause or is terminated by the Executive for other than Good Reason.</w:t>
      </w:r>
    </w:p>
    <w:p>
      <w:pPr>
        <w:spacing w:after="0" w:line="197" w:lineRule="exact"/>
        <w:rPr>
          <w:sz w:val="20"/>
          <w:szCs w:val="20"/>
          <w:color w:val="auto"/>
        </w:rPr>
      </w:pPr>
    </w:p>
    <w:p>
      <w:pPr>
        <w:jc w:val="both"/>
        <w:ind w:left="660" w:hanging="652"/>
        <w:spacing w:after="0" w:line="271" w:lineRule="auto"/>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If the Executive’s employment with the Company is terminated during the Term, either by the Company without Cause or by the Executive for Good Reason, in addition to the amounts in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the Executive shall also be entitled to receive severance pay equal to eight (8) months of his annual base salary pursuant to </w:t>
      </w:r>
      <w:r>
        <w:rPr>
          <w:rFonts w:ascii="Arial" w:cs="Arial" w:eastAsia="Arial" w:hAnsi="Arial"/>
          <w:sz w:val="17"/>
          <w:szCs w:val="17"/>
          <w:u w:val="single" w:color="auto"/>
          <w:color w:val="auto"/>
        </w:rPr>
        <w:t>Section 3</w:t>
      </w:r>
      <w:r>
        <w:rPr>
          <w:rFonts w:ascii="Arial" w:cs="Arial" w:eastAsia="Arial" w:hAnsi="Arial"/>
          <w:sz w:val="17"/>
          <w:szCs w:val="17"/>
          <w:color w:val="auto"/>
        </w:rPr>
        <w:t>, at the rate in effect on the date of termination. This severance pay shall be paid to the Executive in cash in a single lump sum payment, within sixty (60) days after the date of the termination of the Executive’s employment with the Company, but no earlier than fifteen (15) days after the Executive’s execution and non-revocation of a general release of all claims against the Company, its officers, directors, employees and affiliates, in form and substance satisfactory to the Company (the “</w:t>
      </w:r>
      <w:r>
        <w:rPr>
          <w:rFonts w:ascii="Arial" w:cs="Arial" w:eastAsia="Arial" w:hAnsi="Arial"/>
          <w:sz w:val="17"/>
          <w:szCs w:val="17"/>
          <w:u w:val="single" w:color="auto"/>
          <w:color w:val="auto"/>
        </w:rPr>
        <w:t>Release</w:t>
      </w:r>
      <w:r>
        <w:rPr>
          <w:rFonts w:ascii="Arial" w:cs="Arial" w:eastAsia="Arial" w:hAnsi="Arial"/>
          <w:sz w:val="17"/>
          <w:szCs w:val="17"/>
          <w:color w:val="auto"/>
        </w:rPr>
        <w:t>”). In addition, the Executive shall also receive upon termination any annual performance bonus that, as of the date of termination, has been earned by the Executive but has not yet been paid by the Company to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703580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9" w:name="page80"/>
    <w:bookmarkEnd w:id="79"/>
    <w:p>
      <w:pPr>
        <w:jc w:val="both"/>
        <w:ind w:left="652" w:hanging="652"/>
        <w:spacing w:after="0" w:line="302" w:lineRule="auto"/>
        <w:tabs>
          <w:tab w:leader="none" w:pos="65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it will be a condition to the Executive’s right to receive any severance benefits under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that he execute and deliver the Release to the Company upon his separation from service, and that he does not revoke the Release during the fifteen (15) day period thereafter. Subject to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below, the severance payments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will be made no earlier than fifteen (15) days after the Executive has executed, delivered and not revoked the Release as required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w:t>
      </w:r>
    </w:p>
    <w:p>
      <w:pPr>
        <w:spacing w:after="0" w:line="177" w:lineRule="exact"/>
        <w:rPr>
          <w:rFonts w:ascii="Arial" w:cs="Arial" w:eastAsia="Arial" w:hAnsi="Arial"/>
          <w:sz w:val="16"/>
          <w:szCs w:val="16"/>
          <w:color w:val="auto"/>
        </w:rPr>
      </w:pPr>
    </w:p>
    <w:p>
      <w:pPr>
        <w:ind w:left="1332" w:hanging="720"/>
        <w:spacing w:after="0"/>
        <w:tabs>
          <w:tab w:leader="none" w:pos="1332" w:val="left"/>
        </w:tabs>
        <w:numPr>
          <w:ilvl w:val="1"/>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w:t>
      </w:r>
    </w:p>
    <w:p>
      <w:pPr>
        <w:spacing w:after="0" w:line="256" w:lineRule="exact"/>
        <w:rPr>
          <w:rFonts w:ascii="Arial" w:cs="Arial" w:eastAsia="Arial" w:hAnsi="Arial"/>
          <w:sz w:val="18"/>
          <w:szCs w:val="18"/>
          <w:b w:val="1"/>
          <w:bCs w:val="1"/>
          <w:color w:val="auto"/>
        </w:rPr>
      </w:pPr>
    </w:p>
    <w:p>
      <w:pPr>
        <w:jc w:val="both"/>
        <w:ind w:left="652" w:firstLine="645"/>
        <w:spacing w:after="0" w:line="288" w:lineRule="auto"/>
        <w:tabs>
          <w:tab w:leader="none" w:pos="2129" w:val="left"/>
        </w:tabs>
        <w:numPr>
          <w:ilvl w:val="2"/>
          <w:numId w:val="104"/>
        </w:numPr>
        <w:rPr>
          <w:rFonts w:ascii="Arial" w:cs="Arial" w:eastAsia="Arial" w:hAnsi="Arial"/>
          <w:sz w:val="16"/>
          <w:szCs w:val="16"/>
          <w:color w:val="auto"/>
        </w:rPr>
      </w:pPr>
      <w:r>
        <w:rPr>
          <w:rFonts w:ascii="Arial" w:cs="Arial" w:eastAsia="Arial" w:hAnsi="Arial"/>
          <w:sz w:val="16"/>
          <w:szCs w:val="16"/>
          <w:color w:val="auto"/>
        </w:rPr>
        <w:t xml:space="preserve">If the Executive’s employment with the Company is terminated either by the Company without Cause or by the Executive for Good Reason during the period of ninety (90) days following a Change in Control of the Company (as that term is defined below), in addition to the amounts in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but in lieu of any severance payments under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the Executive shall be entitled to receive a severance payment equal to the sum of (i) eight (8) months of his annual base salary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at the higher of the base salary rate in effect on the date of termination or the base salary rate in effect immediately before the effective date of the Change of Control, and (ii) the Executive’s Annual Performance Bonus for the year which includes the effective date of the Change in Control, payable at the target level of performance. This severance pay shall be paid to the Executive in cash in a single lump sum payment, within sixty (60) days after the date of the termination of the Executive’s employment with the Company, but no earlier than fifteen (15) days after the Executive’s execution and non-revocation of the Release. In addition, the Executive shall also receive in the same payment the amount of any annual performance bonus that, as of the date of termination, has been earned by the Executive but has not yet been paid by the Company to the Executive.</w:t>
      </w:r>
    </w:p>
    <w:p>
      <w:pPr>
        <w:spacing w:after="0" w:line="196" w:lineRule="exact"/>
        <w:rPr>
          <w:rFonts w:ascii="Arial" w:cs="Arial" w:eastAsia="Arial" w:hAnsi="Arial"/>
          <w:sz w:val="16"/>
          <w:szCs w:val="16"/>
          <w:color w:val="auto"/>
        </w:rPr>
      </w:pPr>
    </w:p>
    <w:p>
      <w:pPr>
        <w:jc w:val="both"/>
        <w:ind w:left="652" w:firstLine="645"/>
        <w:spacing w:after="0" w:line="286" w:lineRule="auto"/>
        <w:tabs>
          <w:tab w:leader="none" w:pos="2183" w:val="left"/>
        </w:tabs>
        <w:numPr>
          <w:ilvl w:val="2"/>
          <w:numId w:val="104"/>
        </w:numPr>
        <w:rPr>
          <w:rFonts w:ascii="Arial" w:cs="Arial" w:eastAsia="Arial" w:hAnsi="Arial"/>
          <w:sz w:val="17"/>
          <w:szCs w:val="17"/>
          <w:color w:val="auto"/>
        </w:rPr>
      </w:pPr>
      <w:r>
        <w:rPr>
          <w:rFonts w:ascii="Arial" w:cs="Arial" w:eastAsia="Arial" w:hAnsi="Arial"/>
          <w:sz w:val="17"/>
          <w:szCs w:val="17"/>
          <w:color w:val="auto"/>
        </w:rPr>
        <w:t>If the Executive holds any stock options or other stock awards granted under the Company’s equity plan which are not fully vested at the time his employment with the Company is terminated either by the Company without Cause or by the Executive for Good Reason during the period of ninety (90) days following a Change in Control, such equity awards shall become fully vested as of the termination date.</w:t>
      </w:r>
    </w:p>
    <w:p>
      <w:pPr>
        <w:spacing w:after="0" w:line="192" w:lineRule="exact"/>
        <w:rPr>
          <w:rFonts w:ascii="Arial" w:cs="Arial" w:eastAsia="Arial" w:hAnsi="Arial"/>
          <w:sz w:val="17"/>
          <w:szCs w:val="17"/>
          <w:color w:val="auto"/>
        </w:rPr>
      </w:pPr>
    </w:p>
    <w:p>
      <w:pPr>
        <w:jc w:val="both"/>
        <w:ind w:left="652" w:right="20" w:firstLine="645"/>
        <w:spacing w:after="0" w:line="279" w:lineRule="auto"/>
        <w:tabs>
          <w:tab w:leader="none" w:pos="2028" w:val="left"/>
        </w:tabs>
        <w:numPr>
          <w:ilvl w:val="2"/>
          <w:numId w:val="104"/>
        </w:numPr>
        <w:rPr>
          <w:rFonts w:ascii="Arial" w:cs="Arial" w:eastAsia="Arial" w:hAnsi="Arial"/>
          <w:sz w:val="17"/>
          <w:szCs w:val="17"/>
          <w:color w:val="auto"/>
        </w:rPr>
      </w:pPr>
      <w:r>
        <w:rPr>
          <w:rFonts w:ascii="Arial" w:cs="Arial" w:eastAsia="Arial" w:hAnsi="Arial"/>
          <w:sz w:val="17"/>
          <w:szCs w:val="17"/>
          <w:color w:val="auto"/>
        </w:rPr>
        <w:t>For purposes of this Agreement, the term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mean a transaction or series of transactions which constitutes a sale of control of the Company, a change in effective control of the Company, or a sale of all or substantially all of the assets of the Company, or a transaction which qualifies as a “change in ownership” or “change in effective control” of the Company or a “change in ownership of substantially all of the assets” of the Company under the standards set forth in Treasury Regulation section 1.409A-3(i)(5).</w:t>
      </w:r>
    </w:p>
    <w:p>
      <w:pPr>
        <w:spacing w:after="0" w:line="198" w:lineRule="exact"/>
        <w:rPr>
          <w:rFonts w:ascii="Arial" w:cs="Arial" w:eastAsia="Arial" w:hAnsi="Arial"/>
          <w:sz w:val="17"/>
          <w:szCs w:val="17"/>
          <w:color w:val="auto"/>
        </w:rPr>
      </w:pPr>
    </w:p>
    <w:p>
      <w:pPr>
        <w:jc w:val="both"/>
        <w:ind w:left="652" w:firstLine="645"/>
        <w:spacing w:after="0" w:line="264" w:lineRule="auto"/>
        <w:tabs>
          <w:tab w:leader="none" w:pos="2169" w:val="left"/>
        </w:tabs>
        <w:numPr>
          <w:ilvl w:val="2"/>
          <w:numId w:val="104"/>
        </w:numPr>
        <w:rPr>
          <w:rFonts w:ascii="Arial" w:cs="Arial" w:eastAsia="Arial" w:hAnsi="Arial"/>
          <w:sz w:val="18"/>
          <w:szCs w:val="18"/>
          <w:color w:val="auto"/>
        </w:rPr>
      </w:pPr>
      <w:r>
        <w:rPr>
          <w:rFonts w:ascii="Arial" w:cs="Arial" w:eastAsia="Arial" w:hAnsi="Arial"/>
          <w:sz w:val="18"/>
          <w:szCs w:val="18"/>
          <w:color w:val="auto"/>
        </w:rPr>
        <w:t>If any severance payments otherwise payable to the Executive under this Agreement in connection with a Change in Control would, when combined with any other payments or benefits the Executive becomes entitled to receive that are contingent on the same Change in Control (such payments and benefits to be referred to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760" w:right="239" w:bottom="1440" w:gutter="0" w:footer="0" w:header="0"/>
        </w:sectPr>
      </w:pPr>
    </w:p>
    <w:bookmarkStart w:id="80" w:name="page81"/>
    <w:bookmarkEnd w:id="80"/>
    <w:p>
      <w:pPr>
        <w:jc w:val="both"/>
        <w:ind w:left="49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Parachute Payments</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xml:space="preserve">"), then the severance payments payable to the Executive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be reduced to such extent which would result in no portion of such severance benefits being subject to the Excise Tax under Section 4999 of the Code (the “</w:t>
      </w:r>
      <w:r>
        <w:rPr>
          <w:rFonts w:ascii="Arial" w:cs="Arial" w:eastAsia="Arial" w:hAnsi="Arial"/>
          <w:sz w:val="17"/>
          <w:szCs w:val="17"/>
          <w:u w:val="single" w:color="auto"/>
          <w:color w:val="auto"/>
        </w:rPr>
        <w:t>Reduced Amount</w:t>
      </w:r>
      <w:r>
        <w:rPr>
          <w:rFonts w:ascii="Arial" w:cs="Arial" w:eastAsia="Arial" w:hAnsi="Arial"/>
          <w:sz w:val="17"/>
          <w:szCs w:val="17"/>
          <w:b w:val="1"/>
          <w:bCs w:val="1"/>
          <w:color w:val="auto"/>
        </w:rPr>
        <w:t>”)</w:t>
      </w:r>
      <w:r>
        <w:rPr>
          <w:rFonts w:ascii="Arial" w:cs="Arial" w:eastAsia="Arial" w:hAnsi="Arial"/>
          <w:sz w:val="17"/>
          <w:szCs w:val="17"/>
          <w:color w:val="auto"/>
        </w:rPr>
        <w:t xml:space="preserve">. Any determination of the Excise Tax or the Reduced Amount required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10(d)</w:t>
      </w:r>
      <w:r>
        <w:rPr>
          <w:rFonts w:ascii="Arial" w:cs="Arial" w:eastAsia="Arial" w:hAnsi="Arial"/>
          <w:sz w:val="17"/>
          <w:szCs w:val="17"/>
          <w:color w:val="auto"/>
        </w:rPr>
        <w:t xml:space="preserve"> shall be made in writing by the Company’s independent public accountants, whose determination shall be conclusive and binding upon the Company and the Executive for all purposes. For purposes of making the calculations required by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the accountants may make reasonable assumptions and approximations concerning applicable taxes and may rely on reasonable, good faith interpretations concerning the application of Sections 280G and 4999 of the Code. The Company and the Executive shall furnish such information and documents as the accountants may reasonably request in order to make a determination under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The Company shall bear all costs the accountants may reasonably incur in connection with any calculations contemplated by this </w:t>
      </w:r>
      <w:r>
        <w:rPr>
          <w:rFonts w:ascii="Arial" w:cs="Arial" w:eastAsia="Arial" w:hAnsi="Arial"/>
          <w:sz w:val="17"/>
          <w:szCs w:val="17"/>
          <w:u w:val="single" w:color="auto"/>
          <w:color w:val="auto"/>
        </w:rPr>
        <w:t>Section 10(d)</w:t>
      </w:r>
      <w:r>
        <w:rPr>
          <w:rFonts w:ascii="Arial" w:cs="Arial" w:eastAsia="Arial" w:hAnsi="Arial"/>
          <w:sz w:val="17"/>
          <w:szCs w:val="17"/>
          <w:color w:val="auto"/>
        </w:rPr>
        <w:t>.</w:t>
      </w:r>
    </w:p>
    <w:p>
      <w:pPr>
        <w:spacing w:after="0" w:line="201" w:lineRule="exact"/>
        <w:rPr>
          <w:sz w:val="20"/>
          <w:szCs w:val="20"/>
          <w:color w:val="auto"/>
        </w:rPr>
      </w:pPr>
    </w:p>
    <w:p>
      <w:pPr>
        <w:jc w:val="both"/>
        <w:ind w:left="10"/>
        <w:spacing w:after="0" w:line="273" w:lineRule="auto"/>
        <w:rPr>
          <w:sz w:val="20"/>
          <w:szCs w:val="20"/>
          <w:color w:val="auto"/>
        </w:rPr>
      </w:pPr>
      <w:r>
        <w:rPr>
          <w:rFonts w:ascii="Arial" w:cs="Arial" w:eastAsia="Arial" w:hAnsi="Arial"/>
          <w:sz w:val="17"/>
          <w:szCs w:val="17"/>
          <w:color w:val="auto"/>
        </w:rPr>
        <w:t>11</w:t>
      </w:r>
      <w:r>
        <w:rPr>
          <w:rFonts w:ascii="Arial" w:cs="Arial" w:eastAsia="Arial" w:hAnsi="Arial"/>
          <w:sz w:val="17"/>
          <w:szCs w:val="17"/>
          <w:b w:val="1"/>
          <w:bCs w:val="1"/>
          <w:color w:val="auto"/>
        </w:rPr>
        <w:t>. NO BREACH.</w:t>
      </w:r>
      <w:r>
        <w:rPr>
          <w:rFonts w:ascii="Arial" w:cs="Arial" w:eastAsia="Arial" w:hAnsi="Arial"/>
          <w:sz w:val="17"/>
          <w:szCs w:val="17"/>
          <w:color w:val="auto"/>
        </w:rPr>
        <w:t xml:space="preserve"> The Executive hereby represents to the Company that: (i) the execution and delivery of this Agreement by the Executive and the performance by the Executive of the Executive’s duties hereunder shall not constitute a breach of, or otherwise contravene, the terms of any other agreement or policy to which the Executive is a party or otherwise bound except for agreements entered into by and between the Executive and the Company or any other member of the Company’s group pursuant to applicable law, if any; (ii) that the Executive has no information (including, without limitation, confidential information and trade secrets) relating to any other person or entity that would prevent, or be violated by, the Executive entering into this Agreement or carrying out his duties hereunder; (iii) that the Executive is not bound by any confidentiality, trade secret or similar agreement (other than this) with any other person or entity except for the Company or other member(s) of the Company’s group, as the case may be.</w:t>
      </w:r>
    </w:p>
    <w:p>
      <w:pPr>
        <w:spacing w:after="0" w:line="199" w:lineRule="exact"/>
        <w:rPr>
          <w:sz w:val="20"/>
          <w:szCs w:val="20"/>
          <w:color w:val="auto"/>
        </w:rPr>
      </w:pPr>
    </w:p>
    <w:p>
      <w:pPr>
        <w:jc w:val="both"/>
        <w:ind w:left="10" w:hanging="10"/>
        <w:spacing w:after="0" w:line="224" w:lineRule="auto"/>
        <w:tabs>
          <w:tab w:leader="none" w:pos="811"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or communications required by or bearing upon this Agreement or between the Parties shall be in writing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duly given (i) on the date of delivery if delivered personally, (ii) on the first (1</w:t>
      </w:r>
      <w:r>
        <w:rPr>
          <w:rFonts w:ascii="Arial" w:cs="Arial" w:eastAsia="Arial" w:hAnsi="Arial"/>
          <w:sz w:val="25"/>
          <w:szCs w:val="25"/>
          <w:color w:val="auto"/>
          <w:vertAlign w:val="superscript"/>
        </w:rPr>
        <w:t>st</w:t>
      </w:r>
      <w:r>
        <w:rPr>
          <w:rFonts w:ascii="Arial" w:cs="Arial" w:eastAsia="Arial" w:hAnsi="Arial"/>
          <w:sz w:val="18"/>
          <w:szCs w:val="18"/>
          <w:color w:val="auto"/>
        </w:rPr>
        <w:t>) business day following the date of dispatch if delivered using a next-day service by a recognized next-day courier or (iii) on the earlier of confirmed receipt or the fifth (5</w:t>
      </w:r>
      <w:r>
        <w:rPr>
          <w:rFonts w:ascii="Arial" w:cs="Arial" w:eastAsia="Arial" w:hAnsi="Arial"/>
          <w:sz w:val="25"/>
          <w:szCs w:val="25"/>
          <w:color w:val="auto"/>
          <w:vertAlign w:val="superscript"/>
        </w:rPr>
        <w:t>th</w:t>
      </w:r>
      <w:r>
        <w:rPr>
          <w:rFonts w:ascii="Arial" w:cs="Arial" w:eastAsia="Arial" w:hAnsi="Arial"/>
          <w:sz w:val="18"/>
          <w:szCs w:val="18"/>
          <w:color w:val="auto"/>
        </w:rPr>
        <w:t>)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delivered to their respective addresses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567690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0"/>
          </w:cols>
          <w:pgMar w:left="410" w:top="760" w:right="239" w:bottom="1440" w:gutter="0" w:footer="0" w:header="0"/>
        </w:sectPr>
      </w:pPr>
    </w:p>
    <w:bookmarkStart w:id="81" w:name="page82"/>
    <w:bookmarkEnd w:id="81"/>
    <w:p>
      <w:pPr>
        <w:ind w:left="2020" w:hanging="553"/>
        <w:spacing w:after="0"/>
        <w:tabs>
          <w:tab w:leader="none" w:pos="20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to the Executive, to:</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Glynn Wilson</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420 E. Bay St.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Jacksonville, Florida 32202</w:t>
      </w:r>
    </w:p>
    <w:p>
      <w:pPr>
        <w:spacing w:after="0" w:line="238" w:lineRule="exact"/>
        <w:rPr>
          <w:sz w:val="20"/>
          <w:szCs w:val="20"/>
          <w:color w:val="auto"/>
        </w:rPr>
      </w:pPr>
    </w:p>
    <w:p>
      <w:pPr>
        <w:ind w:left="2040" w:hanging="573"/>
        <w:spacing w:after="0"/>
        <w:tabs>
          <w:tab w:leader="none" w:pos="20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50 N. Laura St. - Suite 2500</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Jacksonville, FL 32202</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Attn: Chairman of the Board</w:t>
      </w:r>
    </w:p>
    <w:p>
      <w:pPr>
        <w:spacing w:after="0" w:line="234" w:lineRule="exact"/>
        <w:rPr>
          <w:sz w:val="20"/>
          <w:szCs w:val="20"/>
          <w:color w:val="auto"/>
        </w:rPr>
      </w:pPr>
    </w:p>
    <w:p>
      <w:pPr>
        <w:jc w:val="both"/>
        <w:ind w:firstLine="8"/>
        <w:spacing w:after="0" w:line="295" w:lineRule="auto"/>
        <w:tabs>
          <w:tab w:leader="none" w:pos="828" w:val="left"/>
        </w:tabs>
        <w:numPr>
          <w:ilvl w:val="0"/>
          <w:numId w:val="108"/>
        </w:numPr>
        <w:rPr>
          <w:rFonts w:ascii="Arial" w:cs="Arial" w:eastAsia="Arial" w:hAnsi="Arial"/>
          <w:sz w:val="16"/>
          <w:szCs w:val="16"/>
          <w:color w:val="auto"/>
        </w:rPr>
      </w:pPr>
      <w:r>
        <w:rPr>
          <w:rFonts w:ascii="Arial" w:cs="Arial" w:eastAsia="Arial" w:hAnsi="Arial"/>
          <w:sz w:val="16"/>
          <w:szCs w:val="16"/>
          <w:b w:val="1"/>
          <w:bCs w:val="1"/>
          <w:color w:val="auto"/>
        </w:rPr>
        <w:t xml:space="preserve">NON-ASSIGNMENT. </w:t>
      </w:r>
      <w:r>
        <w:rPr>
          <w:rFonts w:ascii="Arial" w:cs="Arial" w:eastAsia="Arial" w:hAnsi="Arial"/>
          <w:sz w:val="16"/>
          <w:szCs w:val="16"/>
          <w:color w:val="auto"/>
        </w:rPr>
        <w:t>The Executive and the Company acknowledge the unique nature of services to be provided by the Executive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high degree of responsibility borne by him and the personal nature of his relationship to the Company’s business and customers. Therefore, the Executive and the Company agree that Executive may not assign this Agreement or any of his rights or responsibilities hereunder without the prior written consent of the Company. Similarly, the Company may not assign this Agreement or any of its rights or responsibilities hereunder without the prior written consent of the Executive except to another entity that survives a merger, acquisition or consolidation with the Company or which otherwise succeeds to all or substantially all of the Company’s assets or business. Any purported assignment in violation hereof is void.</w:t>
      </w:r>
    </w:p>
    <w:p>
      <w:pPr>
        <w:spacing w:after="0" w:line="182" w:lineRule="exact"/>
        <w:rPr>
          <w:rFonts w:ascii="Arial" w:cs="Arial" w:eastAsia="Arial" w:hAnsi="Arial"/>
          <w:sz w:val="16"/>
          <w:szCs w:val="16"/>
          <w:color w:val="auto"/>
        </w:rPr>
      </w:pPr>
    </w:p>
    <w:p>
      <w:pPr>
        <w:jc w:val="both"/>
        <w:ind w:firstLine="8"/>
        <w:spacing w:after="0" w:line="287" w:lineRule="auto"/>
        <w:tabs>
          <w:tab w:leader="none" w:pos="720" w:val="left"/>
        </w:tabs>
        <w:numPr>
          <w:ilvl w:val="0"/>
          <w:numId w:val="108"/>
        </w:numPr>
        <w:rPr>
          <w:rFonts w:ascii="Arial" w:cs="Arial" w:eastAsia="Arial" w:hAnsi="Arial"/>
          <w:sz w:val="16"/>
          <w:szCs w:val="16"/>
          <w:color w:val="auto"/>
        </w:rPr>
      </w:pPr>
      <w:r>
        <w:rPr>
          <w:rFonts w:ascii="Arial" w:cs="Arial" w:eastAsia="Arial" w:hAnsi="Arial"/>
          <w:sz w:val="16"/>
          <w:szCs w:val="16"/>
          <w:b w:val="1"/>
          <w:bCs w:val="1"/>
          <w:color w:val="auto"/>
        </w:rPr>
        <w:t xml:space="preserve">COMPLIANCE WITH SECTION 409A OF THE CODE. </w:t>
      </w:r>
      <w:r>
        <w:rPr>
          <w:rFonts w:ascii="Arial" w:cs="Arial" w:eastAsia="Arial" w:hAnsi="Arial"/>
          <w:sz w:val="16"/>
          <w:szCs w:val="16"/>
          <w:color w:val="auto"/>
        </w:rPr>
        <w:t>The Executive and the Company acknowledge that each of the payments and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promised to Executive under this Agreement must either comply with the requirements of Section 409A of the Code (“</w:t>
      </w: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and the regulations thereunder or qualify for an exception from compliance. To that end, the Executive and the Company agree that the severance payments described in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are intended to be excepted from compliance with Section 409A as either short-term deferrals pursuant to Treasury Regulation Section 1.409A-1(b)</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 or separation pay pursuant to Treasury Regulation Section 1.409A-1(b)(9).</w:t>
      </w:r>
    </w:p>
    <w:p>
      <w:pPr>
        <w:spacing w:after="0" w:line="2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case of a payment that is not excepted from compliance with Section 409A, and that is not otherwise designated to be paid immediately upon a permissible payment event within the meaning of Treasury Regulation Section 1.409A-3(a), the payment shall not be made prior to, and shall, if necessary, be deferred to and paid on the later of the date sixty (60) days after the Executive’s earliest separation from service (within the meaning of Treasury Regulation Section 1.409A-1(h)) and, if the Executive is a specified employee (within the meaning of Treasury Regulation Section 1.409A-1(i)) of the Company on the date of his separation from service, the first day of the seventh month following the Executive’s separation from service. Furthermore, this Agreement shall be construed and administered in such manner as shall be necessary to effect compliance with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549275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82" w:name="page83"/>
    <w:bookmarkEnd w:id="82"/>
    <w:p>
      <w:pPr>
        <w:jc w:val="both"/>
        <w:ind w:left="-656" w:firstLine="656"/>
        <w:spacing w:after="0" w:line="274" w:lineRule="auto"/>
        <w:tabs>
          <w:tab w:leader="none" w:pos="753"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 xml:space="preserve">INJUNCTIVE RELIEF. </w:t>
      </w:r>
      <w:r>
        <w:rPr>
          <w:rFonts w:ascii="Arial" w:cs="Arial" w:eastAsia="Arial" w:hAnsi="Arial"/>
          <w:sz w:val="17"/>
          <w:szCs w:val="17"/>
          <w:color w:val="auto"/>
        </w:rPr>
        <w:t>The Executive acknowledges and accepts that his compliance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5, 6</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b w:val="1"/>
          <w:bCs w:val="1"/>
          <w:color w:val="auto"/>
        </w:rPr>
        <w:t xml:space="preserve"> </w:t>
      </w:r>
      <w:r>
        <w:rPr>
          <w:rFonts w:ascii="Arial" w:cs="Arial" w:eastAsia="Arial" w:hAnsi="Arial"/>
          <w:sz w:val="17"/>
          <w:szCs w:val="17"/>
          <w:color w:val="auto"/>
        </w:rPr>
        <w:t>is an integral part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to be received by the Company and is necessary to protect the equity value, business and goodwill and other proprietary interests of the Company. The Executive and the Company each acknowledge that a breach by the other Party of this Agreement (including a breach by the Executive of Sections 5, 6 and 7 will result in irreparable and continuing damage to the other Party for which the remedies at law will be inadequate, and agrees that, in the event of any breach by the other Party of this Agreement, the non-breaching Party shall be entitled to injunctive relief and to have this Agreement specifically performed, which shall be in addition to, and not in lieu of, any other relief to which such Party shall be entitled.</w:t>
      </w:r>
    </w:p>
    <w:p>
      <w:pPr>
        <w:spacing w:after="0" w:line="200" w:lineRule="exact"/>
        <w:rPr>
          <w:rFonts w:ascii="Arial" w:cs="Arial" w:eastAsia="Arial" w:hAnsi="Arial"/>
          <w:sz w:val="17"/>
          <w:szCs w:val="17"/>
          <w:color w:val="auto"/>
        </w:rPr>
      </w:pPr>
    </w:p>
    <w:p>
      <w:pPr>
        <w:jc w:val="both"/>
        <w:ind w:left="-656" w:firstLine="656"/>
        <w:spacing w:after="0" w:line="261" w:lineRule="auto"/>
        <w:tabs>
          <w:tab w:leader="none" w:pos="109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ENFORCEABILITY. </w:t>
      </w:r>
      <w:r>
        <w:rPr>
          <w:rFonts w:ascii="Arial" w:cs="Arial" w:eastAsia="Arial" w:hAnsi="Arial"/>
          <w:sz w:val="18"/>
          <w:szCs w:val="18"/>
          <w:color w:val="auto"/>
        </w:rPr>
        <w:t>If any provision of this Agreement shall be found by a court with proper jurisdiction to be invalid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whole or in part, then such provision shall be deemed to be modified, narrowed, or restricted only to the limited extent and in the manner necessary to render the same valid and enforceable, as the case may require, and this Agreement shall be construed and enforced to the maximum extent permitted by law as if such provision had been originally incorporated herein as so modified, narrowed, or restricted.</w:t>
      </w:r>
    </w:p>
    <w:p>
      <w:pPr>
        <w:spacing w:after="0" w:line="207" w:lineRule="exact"/>
        <w:rPr>
          <w:rFonts w:ascii="Arial" w:cs="Arial" w:eastAsia="Arial" w:hAnsi="Arial"/>
          <w:sz w:val="18"/>
          <w:szCs w:val="18"/>
          <w:color w:val="auto"/>
        </w:rPr>
      </w:pPr>
    </w:p>
    <w:p>
      <w:pPr>
        <w:ind w:left="724" w:hanging="724"/>
        <w:spacing w:after="0"/>
        <w:tabs>
          <w:tab w:leader="none" w:pos="724"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GENERAL PROVISIONS.</w:t>
      </w:r>
    </w:p>
    <w:p>
      <w:pPr>
        <w:spacing w:after="0" w:line="256" w:lineRule="exact"/>
        <w:rPr>
          <w:rFonts w:ascii="Arial" w:cs="Arial" w:eastAsia="Arial" w:hAnsi="Arial"/>
          <w:sz w:val="18"/>
          <w:szCs w:val="18"/>
          <w:color w:val="auto"/>
        </w:rPr>
      </w:pPr>
    </w:p>
    <w:p>
      <w:pPr>
        <w:ind w:left="4" w:firstLine="645"/>
        <w:spacing w:after="0" w:line="277" w:lineRule="auto"/>
        <w:tabs>
          <w:tab w:leader="none" w:pos="144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 without giving effect to any principles of conflicts of law that would result in application of the law of any other jurisdiction.</w:t>
      </w:r>
    </w:p>
    <w:p>
      <w:pPr>
        <w:spacing w:after="0" w:line="197" w:lineRule="exact"/>
        <w:rPr>
          <w:rFonts w:ascii="Arial" w:cs="Arial" w:eastAsia="Arial" w:hAnsi="Arial"/>
          <w:sz w:val="18"/>
          <w:szCs w:val="18"/>
          <w:color w:val="auto"/>
        </w:rPr>
      </w:pPr>
    </w:p>
    <w:p>
      <w:pPr>
        <w:jc w:val="both"/>
        <w:ind w:left="4" w:firstLine="645"/>
        <w:spacing w:after="0" w:line="264" w:lineRule="auto"/>
        <w:tabs>
          <w:tab w:leader="none" w:pos="157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This Agreement represents the sole agreement of the Executive and the Company concerning the subject matter hereof and supersedes all prior communications, representations and negotiations, whether oral or written, concerning such subject matter, including the Prior Employment Agreement.</w:t>
      </w:r>
    </w:p>
    <w:p>
      <w:pPr>
        <w:spacing w:after="0" w:line="208" w:lineRule="exact"/>
        <w:rPr>
          <w:rFonts w:ascii="Arial" w:cs="Arial" w:eastAsia="Arial" w:hAnsi="Arial"/>
          <w:sz w:val="18"/>
          <w:szCs w:val="18"/>
          <w:color w:val="auto"/>
        </w:rPr>
      </w:pPr>
    </w:p>
    <w:p>
      <w:pPr>
        <w:ind w:left="4" w:right="20" w:firstLine="645"/>
        <w:spacing w:after="0" w:line="277" w:lineRule="auto"/>
        <w:tabs>
          <w:tab w:leader="none" w:pos="137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This Agreement can only be modified or amended by the written consent of both Executive and the Company hereto which states that it constitutes an amendment hereto.</w:t>
      </w:r>
    </w:p>
    <w:p>
      <w:pPr>
        <w:spacing w:after="0" w:line="197" w:lineRule="exact"/>
        <w:rPr>
          <w:rFonts w:ascii="Arial" w:cs="Arial" w:eastAsia="Arial" w:hAnsi="Arial"/>
          <w:sz w:val="18"/>
          <w:szCs w:val="18"/>
          <w:color w:val="auto"/>
        </w:rPr>
      </w:pPr>
    </w:p>
    <w:p>
      <w:pPr>
        <w:jc w:val="both"/>
        <w:ind w:left="4" w:firstLine="645"/>
        <w:spacing w:after="0" w:line="276" w:lineRule="auto"/>
        <w:tabs>
          <w:tab w:leader="none" w:pos="1357" w:val="left"/>
        </w:tabs>
        <w:numPr>
          <w:ilvl w:val="1"/>
          <w:numId w:val="109"/>
        </w:numPr>
        <w:rPr>
          <w:rFonts w:ascii="Arial" w:cs="Arial" w:eastAsia="Arial" w:hAnsi="Arial"/>
          <w:sz w:val="17"/>
          <w:szCs w:val="17"/>
          <w:color w:val="auto"/>
        </w:rPr>
      </w:pPr>
      <w:r>
        <w:rPr>
          <w:rFonts w:ascii="Arial" w:cs="Arial" w:eastAsia="Arial" w:hAnsi="Arial"/>
          <w:sz w:val="17"/>
          <w:szCs w:val="17"/>
          <w:color w:val="auto"/>
        </w:rPr>
        <w:t>No purported waiver of any provision of this Agreement shall be legally effective unless upon the Party providing such waiver has duly executed and delivered to the other Party a written instrument which states that it constitutes a waiver of one or more provisions of this Agreement and specifies the provision(s) that are being waived. Failure by either Party to pursue remedies or assert rights under this Agreement shall not be construed as waiver of that Party’s rights or remedies, nor shall a Party’s failure to demand strict compliance with the terms and conditions of this Agreement prohibit or estop that Party from insisting upon strict compliance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545465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756" w:right="239" w:bottom="1440" w:gutter="0" w:footer="0" w:header="0"/>
        </w:sectPr>
      </w:pPr>
    </w:p>
    <w:bookmarkStart w:id="83" w:name="page84"/>
    <w:bookmarkEnd w:id="83"/>
    <w:p>
      <w:pPr>
        <w:ind w:left="800" w:hanging="695"/>
        <w:spacing w:after="0"/>
        <w:tabs>
          <w:tab w:leader="none" w:pos="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This Agreement shall bind the Parties’ respective heirs, successors, representatives and permitted assigns</w:t>
      </w:r>
    </w:p>
    <w:p>
      <w:pPr>
        <w:spacing w:after="0" w:line="252" w:lineRule="exact"/>
        <w:rPr>
          <w:rFonts w:ascii="Arial" w:cs="Arial" w:eastAsia="Arial" w:hAnsi="Arial"/>
          <w:sz w:val="18"/>
          <w:szCs w:val="18"/>
          <w:color w:val="auto"/>
        </w:rPr>
      </w:pPr>
    </w:p>
    <w:p>
      <w:pPr>
        <w:ind w:left="-540" w:firstLine="645"/>
        <w:spacing w:after="0" w:line="277" w:lineRule="auto"/>
        <w:tabs>
          <w:tab w:leader="none" w:pos="86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Person other than Parties and their respective heirs, successors, representatives and permitted assigns of the parties is a party to, or shall otherwise have any rights with respect to, this Agreement.</w:t>
      </w:r>
    </w:p>
    <w:p>
      <w:pPr>
        <w:spacing w:after="0" w:line="197" w:lineRule="exact"/>
        <w:rPr>
          <w:rFonts w:ascii="Arial" w:cs="Arial" w:eastAsia="Arial" w:hAnsi="Arial"/>
          <w:sz w:val="18"/>
          <w:szCs w:val="18"/>
          <w:color w:val="auto"/>
        </w:rPr>
      </w:pPr>
    </w:p>
    <w:p>
      <w:pPr>
        <w:jc w:val="both"/>
        <w:ind w:left="-540" w:firstLine="645"/>
        <w:spacing w:after="0" w:line="312" w:lineRule="auto"/>
        <w:tabs>
          <w:tab w:leader="none" w:pos="84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This Agreement may be executed in any number of counterparts and it shall not be necessary for the parties to execute any of the same counterparts hereof. Counterparts to this Agreement may be delivered via facsimile, electronic mail (including pdf) or other transmission method and any counterpart so delivered shall be deemed to have been duly and validly delivered and be valid and effective for all purposes.</w:t>
      </w:r>
    </w:p>
    <w:p>
      <w:pPr>
        <w:spacing w:after="0" w:line="200" w:lineRule="exact"/>
        <w:rPr>
          <w:sz w:val="20"/>
          <w:szCs w:val="20"/>
          <w:color w:val="auto"/>
        </w:rPr>
      </w:pPr>
    </w:p>
    <w:p>
      <w:pPr>
        <w:spacing w:after="0" w:line="21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581660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60" w:right="239" w:bottom="1440" w:gutter="0" w:footer="0" w:header="0"/>
        </w:sectPr>
      </w:pPr>
    </w:p>
    <w:bookmarkStart w:id="84" w:name="page85"/>
    <w:bookmarkEnd w:id="84"/>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written above, to be effective on the Effective Date,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herein contained.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COMPANY – TapImmune, Inc.</w:t>
            </w:r>
          </w:p>
        </w:tc>
        <w:tc>
          <w:tcPr>
            <w:tcW w:w="1760" w:type="dxa"/>
            <w:vAlign w:val="bottom"/>
          </w:tcPr>
          <w:p>
            <w:pPr>
              <w:spacing w:after="0"/>
              <w:rPr>
                <w:sz w:val="20"/>
                <w:szCs w:val="20"/>
                <w:color w:val="auto"/>
              </w:rPr>
            </w:pPr>
          </w:p>
        </w:tc>
        <w:tc>
          <w:tcPr>
            <w:tcW w:w="5460" w:type="dxa"/>
            <w:vAlign w:val="bottom"/>
            <w:gridSpan w:val="2"/>
          </w:tcPr>
          <w:p>
            <w:pPr>
              <w:ind w:left="800"/>
              <w:spacing w:after="0"/>
              <w:rPr>
                <w:sz w:val="20"/>
                <w:szCs w:val="20"/>
                <w:color w:val="auto"/>
              </w:rPr>
            </w:pPr>
            <w:r>
              <w:rPr>
                <w:rFonts w:ascii="Arial" w:cs="Arial" w:eastAsia="Arial" w:hAnsi="Arial"/>
                <w:sz w:val="18"/>
                <w:szCs w:val="18"/>
                <w:b w:val="1"/>
                <w:bCs w:val="1"/>
                <w:color w:val="auto"/>
              </w:rPr>
              <w:t>EXECUTIVE</w:t>
            </w:r>
          </w:p>
        </w:tc>
      </w:tr>
      <w:tr>
        <w:trPr>
          <w:trHeight w:val="662"/>
        </w:trPr>
        <w:tc>
          <w:tcPr>
            <w:tcW w:w="4200" w:type="dxa"/>
            <w:vAlign w:val="bottom"/>
            <w:gridSpan w:val="3"/>
          </w:tcPr>
          <w:p>
            <w:pPr>
              <w:spacing w:after="0"/>
              <w:rPr>
                <w:sz w:val="20"/>
                <w:szCs w:val="20"/>
                <w:color w:val="auto"/>
              </w:rPr>
            </w:pPr>
            <w:r>
              <w:rPr>
                <w:rFonts w:ascii="Arial" w:cs="Arial" w:eastAsia="Arial" w:hAnsi="Arial"/>
                <w:sz w:val="18"/>
                <w:szCs w:val="18"/>
                <w:color w:val="auto"/>
              </w:rPr>
              <w:t>By: /s/ David Laskow-Pooley</w:t>
            </w:r>
          </w:p>
        </w:tc>
        <w:tc>
          <w:tcPr>
            <w:tcW w:w="7220" w:type="dxa"/>
            <w:vAlign w:val="bottom"/>
            <w:gridSpan w:val="3"/>
          </w:tcPr>
          <w:p>
            <w:pPr>
              <w:ind w:left="1760"/>
              <w:spacing w:after="0"/>
              <w:rPr>
                <w:sz w:val="20"/>
                <w:szCs w:val="20"/>
                <w:color w:val="auto"/>
              </w:rPr>
            </w:pPr>
            <w:r>
              <w:rPr>
                <w:rFonts w:ascii="Arial" w:cs="Arial" w:eastAsia="Arial" w:hAnsi="Arial"/>
                <w:sz w:val="18"/>
                <w:szCs w:val="18"/>
                <w:color w:val="auto"/>
              </w:rPr>
              <w:t>/s/ Glynn Wilson</w:t>
            </w:r>
          </w:p>
        </w:tc>
      </w:tr>
      <w:tr>
        <w:trPr>
          <w:trHeight w:val="20"/>
        </w:trPr>
        <w:tc>
          <w:tcPr>
            <w:tcW w:w="3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37"/>
        </w:trPr>
        <w:tc>
          <w:tcPr>
            <w:tcW w:w="4200" w:type="dxa"/>
            <w:vAlign w:val="bottom"/>
            <w:gridSpan w:val="3"/>
          </w:tcPr>
          <w:p>
            <w:pPr>
              <w:spacing w:after="0"/>
              <w:rPr>
                <w:sz w:val="20"/>
                <w:szCs w:val="20"/>
                <w:color w:val="auto"/>
              </w:rPr>
            </w:pPr>
            <w:r>
              <w:rPr>
                <w:rFonts w:ascii="Arial" w:cs="Arial" w:eastAsia="Arial" w:hAnsi="Arial"/>
                <w:sz w:val="18"/>
                <w:szCs w:val="18"/>
                <w:color w:val="auto"/>
              </w:rPr>
              <w:t>David Laskow-Pooley, Director</w:t>
            </w:r>
          </w:p>
        </w:tc>
        <w:tc>
          <w:tcPr>
            <w:tcW w:w="1760" w:type="dxa"/>
            <w:vAlign w:val="bottom"/>
          </w:tcPr>
          <w:p>
            <w:pPr>
              <w:spacing w:after="0"/>
              <w:rPr>
                <w:sz w:val="20"/>
                <w:szCs w:val="20"/>
                <w:color w:val="auto"/>
              </w:rPr>
            </w:pP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Glynn Wilson</w:t>
            </w:r>
          </w:p>
        </w:tc>
      </w:tr>
      <w:tr>
        <w:trPr>
          <w:trHeight w:val="4251"/>
        </w:trPr>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71"/>
        </w:trPr>
        <w:tc>
          <w:tcPr>
            <w:tcW w:w="320" w:type="dxa"/>
            <w:vAlign w:val="bottom"/>
            <w:shd w:val="clear" w:color="auto" w:fill="808080"/>
          </w:tcPr>
          <w:p>
            <w:pPr>
              <w:spacing w:after="0"/>
              <w:rPr>
                <w:sz w:val="6"/>
                <w:szCs w:val="6"/>
                <w:color w:val="auto"/>
              </w:rPr>
            </w:pPr>
          </w:p>
        </w:tc>
        <w:tc>
          <w:tcPr>
            <w:tcW w:w="1820" w:type="dxa"/>
            <w:vAlign w:val="bottom"/>
            <w:shd w:val="clear" w:color="auto" w:fill="808080"/>
          </w:tcPr>
          <w:p>
            <w:pPr>
              <w:spacing w:after="0"/>
              <w:rPr>
                <w:sz w:val="6"/>
                <w:szCs w:val="6"/>
                <w:color w:val="auto"/>
              </w:rPr>
            </w:pPr>
          </w:p>
        </w:tc>
        <w:tc>
          <w:tcPr>
            <w:tcW w:w="2060" w:type="dxa"/>
            <w:vAlign w:val="bottom"/>
            <w:shd w:val="clear" w:color="auto" w:fill="808080"/>
          </w:tcPr>
          <w:p>
            <w:pPr>
              <w:spacing w:after="0"/>
              <w:rPr>
                <w:sz w:val="6"/>
                <w:szCs w:val="6"/>
                <w:color w:val="auto"/>
              </w:rPr>
            </w:pPr>
          </w:p>
        </w:tc>
        <w:tc>
          <w:tcPr>
            <w:tcW w:w="1760" w:type="dxa"/>
            <w:vAlign w:val="bottom"/>
            <w:shd w:val="clear" w:color="auto" w:fill="808080"/>
          </w:tcPr>
          <w:p>
            <w:pPr>
              <w:spacing w:after="0"/>
              <w:rPr>
                <w:sz w:val="6"/>
                <w:szCs w:val="6"/>
                <w:color w:val="auto"/>
              </w:rPr>
            </w:pPr>
          </w:p>
        </w:tc>
        <w:tc>
          <w:tcPr>
            <w:tcW w:w="1240" w:type="dxa"/>
            <w:vAlign w:val="bottom"/>
            <w:shd w:val="clear" w:color="auto" w:fill="808080"/>
          </w:tcPr>
          <w:p>
            <w:pPr>
              <w:spacing w:after="0"/>
              <w:rPr>
                <w:sz w:val="6"/>
                <w:szCs w:val="6"/>
                <w:color w:val="auto"/>
              </w:rPr>
            </w:pPr>
          </w:p>
        </w:tc>
        <w:tc>
          <w:tcPr>
            <w:tcW w:w="422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999"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 and Business Conduct</w:t>
      </w:r>
    </w:p>
    <w:p>
      <w:pPr>
        <w:spacing w:after="0" w:line="200" w:lineRule="exact"/>
        <w:rPr>
          <w:sz w:val="20"/>
          <w:szCs w:val="20"/>
          <w:color w:val="auto"/>
        </w:rPr>
      </w:pPr>
    </w:p>
    <w:p>
      <w:pPr>
        <w:spacing w:after="0" w:line="299" w:lineRule="exact"/>
        <w:rPr>
          <w:sz w:val="20"/>
          <w:szCs w:val="20"/>
          <w:color w:val="auto"/>
        </w:rPr>
      </w:pPr>
    </w:p>
    <w:p>
      <w:pPr>
        <w:ind w:left="420" w:hanging="412"/>
        <w:spacing w:after="0"/>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Introduction</w:t>
      </w:r>
      <w:r>
        <w:rPr>
          <w:rFonts w:ascii="Arial" w:cs="Arial" w:eastAsia="Arial" w:hAnsi="Arial"/>
          <w:sz w:val="18"/>
          <w:szCs w:val="18"/>
          <w:color w:val="auto"/>
        </w:rPr>
        <w:t>.</w:t>
      </w:r>
    </w:p>
    <w:p>
      <w:pPr>
        <w:spacing w:after="0" w:line="248" w:lineRule="exact"/>
        <w:rPr>
          <w:sz w:val="20"/>
          <w:szCs w:val="20"/>
          <w:color w:val="auto"/>
        </w:rPr>
      </w:pPr>
    </w:p>
    <w:p>
      <w:pPr>
        <w:ind w:right="560" w:firstLine="324"/>
        <w:spacing w:after="0" w:line="282" w:lineRule="auto"/>
        <w:rPr>
          <w:sz w:val="20"/>
          <w:szCs w:val="20"/>
          <w:color w:val="auto"/>
        </w:rPr>
      </w:pPr>
      <w:r>
        <w:rPr>
          <w:rFonts w:ascii="Arial" w:cs="Arial" w:eastAsia="Arial" w:hAnsi="Arial"/>
          <w:sz w:val="18"/>
          <w:szCs w:val="18"/>
          <w:color w:val="auto"/>
        </w:rPr>
        <w:t>1.1 The Board of Directors of TapImmune Inc. (together with its subsidiaries, the "</w:t>
      </w:r>
      <w:r>
        <w:rPr>
          <w:rFonts w:ascii="Arial" w:cs="Arial" w:eastAsia="Arial" w:hAnsi="Arial"/>
          <w:sz w:val="18"/>
          <w:szCs w:val="18"/>
          <w:b w:val="1"/>
          <w:bCs w:val="1"/>
          <w:color w:val="auto"/>
        </w:rPr>
        <w:t>Company</w:t>
      </w:r>
      <w:r>
        <w:rPr>
          <w:rFonts w:ascii="Arial" w:cs="Arial" w:eastAsia="Arial" w:hAnsi="Arial"/>
          <w:sz w:val="18"/>
          <w:szCs w:val="18"/>
          <w:color w:val="auto"/>
        </w:rPr>
        <w:t>") has adopted this Code of Ethics and Business Conduct (the "</w:t>
      </w:r>
      <w:r>
        <w:rPr>
          <w:rFonts w:ascii="Arial" w:cs="Arial" w:eastAsia="Arial" w:hAnsi="Arial"/>
          <w:sz w:val="18"/>
          <w:szCs w:val="18"/>
          <w:b w:val="1"/>
          <w:bCs w:val="1"/>
          <w:color w:val="auto"/>
        </w:rPr>
        <w:t>Code</w:t>
      </w:r>
      <w:r>
        <w:rPr>
          <w:rFonts w:ascii="Arial" w:cs="Arial" w:eastAsia="Arial" w:hAnsi="Arial"/>
          <w:sz w:val="18"/>
          <w:szCs w:val="18"/>
          <w:color w:val="auto"/>
        </w:rPr>
        <w:t>") in order to:</w:t>
      </w:r>
    </w:p>
    <w:p>
      <w:pPr>
        <w:spacing w:after="0" w:line="193" w:lineRule="exact"/>
        <w:rPr>
          <w:sz w:val="20"/>
          <w:szCs w:val="20"/>
          <w:color w:val="auto"/>
        </w:rPr>
      </w:pPr>
    </w:p>
    <w:p>
      <w:pPr>
        <w:ind w:left="1340" w:hanging="522"/>
        <w:spacing w:after="0"/>
        <w:tabs>
          <w:tab w:leader="none" w:pos="1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promote honest and ethical conduct, including the ethical handling of actual or apparent conflicts of interest;</w:t>
      </w:r>
    </w:p>
    <w:p>
      <w:pPr>
        <w:spacing w:after="0" w:line="252" w:lineRule="exact"/>
        <w:rPr>
          <w:rFonts w:ascii="Arial" w:cs="Arial" w:eastAsia="Arial" w:hAnsi="Arial"/>
          <w:sz w:val="18"/>
          <w:szCs w:val="18"/>
          <w:color w:val="auto"/>
        </w:rPr>
      </w:pPr>
    </w:p>
    <w:p>
      <w:pPr>
        <w:ind w:right="160" w:firstLine="818"/>
        <w:spacing w:after="0" w:line="277" w:lineRule="auto"/>
        <w:tabs>
          <w:tab w:leader="none" w:pos="13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promote full, fair, accurate, timely and understandable disclosure in reports and documents that the Company files with, or submits to,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and in other public communications made by the Company;</w:t>
      </w:r>
    </w:p>
    <w:p>
      <w:pPr>
        <w:spacing w:after="0" w:line="197" w:lineRule="exact"/>
        <w:rPr>
          <w:rFonts w:ascii="Arial" w:cs="Arial" w:eastAsia="Arial" w:hAnsi="Arial"/>
          <w:sz w:val="18"/>
          <w:szCs w:val="18"/>
          <w:color w:val="auto"/>
        </w:rPr>
      </w:pPr>
    </w:p>
    <w:p>
      <w:pPr>
        <w:ind w:left="1340" w:hanging="522"/>
        <w:spacing w:after="0"/>
        <w:tabs>
          <w:tab w:leader="none" w:pos="1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promote compliance with applicable governmental laws, rules and regulations;</w:t>
      </w:r>
    </w:p>
    <w:p>
      <w:pPr>
        <w:spacing w:after="0" w:line="252" w:lineRule="exact"/>
        <w:rPr>
          <w:rFonts w:ascii="Arial" w:cs="Arial" w:eastAsia="Arial" w:hAnsi="Arial"/>
          <w:sz w:val="18"/>
          <w:szCs w:val="18"/>
          <w:color w:val="auto"/>
        </w:rPr>
      </w:pPr>
    </w:p>
    <w:p>
      <w:pPr>
        <w:ind w:left="1340" w:hanging="522"/>
        <w:spacing w:after="0"/>
        <w:tabs>
          <w:tab w:leader="none" w:pos="1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promote the protection of Company assets, including corporate opportunities and confidential information;</w:t>
      </w:r>
    </w:p>
    <w:p>
      <w:pPr>
        <w:spacing w:after="0" w:line="252" w:lineRule="exact"/>
        <w:rPr>
          <w:rFonts w:ascii="Arial" w:cs="Arial" w:eastAsia="Arial" w:hAnsi="Arial"/>
          <w:sz w:val="18"/>
          <w:szCs w:val="18"/>
          <w:color w:val="auto"/>
        </w:rPr>
      </w:pPr>
    </w:p>
    <w:p>
      <w:pPr>
        <w:ind w:left="1340" w:hanging="522"/>
        <w:spacing w:after="0"/>
        <w:tabs>
          <w:tab w:leader="none" w:pos="1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promote fair dealing practices;</w:t>
      </w:r>
    </w:p>
    <w:p>
      <w:pPr>
        <w:spacing w:after="0" w:line="252" w:lineRule="exact"/>
        <w:rPr>
          <w:rFonts w:ascii="Arial" w:cs="Arial" w:eastAsia="Arial" w:hAnsi="Arial"/>
          <w:sz w:val="18"/>
          <w:szCs w:val="18"/>
          <w:color w:val="auto"/>
        </w:rPr>
      </w:pPr>
    </w:p>
    <w:p>
      <w:pPr>
        <w:ind w:left="1320" w:hanging="502"/>
        <w:spacing w:after="0"/>
        <w:tabs>
          <w:tab w:leader="none" w:pos="13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deter wrongdoing; and</w:t>
      </w:r>
    </w:p>
    <w:p>
      <w:pPr>
        <w:spacing w:after="0" w:line="252" w:lineRule="exact"/>
        <w:rPr>
          <w:rFonts w:ascii="Arial" w:cs="Arial" w:eastAsia="Arial" w:hAnsi="Arial"/>
          <w:sz w:val="18"/>
          <w:szCs w:val="18"/>
          <w:color w:val="auto"/>
        </w:rPr>
      </w:pPr>
    </w:p>
    <w:p>
      <w:pPr>
        <w:ind w:left="1340" w:hanging="522"/>
        <w:spacing w:after="0"/>
        <w:tabs>
          <w:tab w:leader="none" w:pos="1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ensure accountability for adherence to the Code.</w:t>
      </w:r>
    </w:p>
    <w:p>
      <w:pPr>
        <w:spacing w:after="0" w:line="252" w:lineRule="exact"/>
        <w:rPr>
          <w:sz w:val="20"/>
          <w:szCs w:val="20"/>
          <w:color w:val="auto"/>
        </w:rPr>
      </w:pPr>
    </w:p>
    <w:p>
      <w:pPr>
        <w:ind w:right="80" w:firstLine="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1.2 All directors, officers and employees are required to be familiar with the Code, comply with its provisions and report any suspected violations as described below in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hyperlink w:anchor="page88">
        <w:r>
          <w:rPr>
            <w:rFonts w:ascii="Arial" w:cs="Arial" w:eastAsia="Arial" w:hAnsi="Arial"/>
            <w:sz w:val="18"/>
            <w:szCs w:val="18"/>
            <w:b w:val="1"/>
            <w:bCs w:val="1"/>
            <w:u w:val="single" w:color="auto"/>
            <w:color w:val="0000EE"/>
          </w:rPr>
          <w:t>10</w:t>
        </w:r>
      </w:hyperlink>
      <w:r>
        <w:rPr>
          <w:rFonts w:ascii="Arial" w:cs="Arial" w:eastAsia="Arial" w:hAnsi="Arial"/>
          <w:sz w:val="18"/>
          <w:szCs w:val="18"/>
          <w:color w:val="auto"/>
        </w:rPr>
        <w:t>., Reporting and Enforcement.</w:t>
      </w:r>
    </w:p>
    <w:p>
      <w:pPr>
        <w:spacing w:after="0" w:line="197" w:lineRule="exact"/>
        <w:rPr>
          <w:sz w:val="20"/>
          <w:szCs w:val="20"/>
          <w:color w:val="auto"/>
        </w:rPr>
      </w:pPr>
    </w:p>
    <w:p>
      <w:pPr>
        <w:ind w:left="420" w:hanging="412"/>
        <w:spacing w:after="0"/>
        <w:tabs>
          <w:tab w:leader="none" w:pos="4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Honest and Ethical Conduct</w:t>
      </w:r>
      <w:r>
        <w:rPr>
          <w:rFonts w:ascii="Arial" w:cs="Arial" w:eastAsia="Arial" w:hAnsi="Arial"/>
          <w:sz w:val="18"/>
          <w:szCs w:val="18"/>
          <w:color w:val="auto"/>
        </w:rPr>
        <w:t>.</w:t>
      </w:r>
    </w:p>
    <w:p>
      <w:pPr>
        <w:spacing w:after="0" w:line="252"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Company's policy is to promote high standards of integrity by conducting its affairs honestly and ethically.</w:t>
      </w:r>
    </w:p>
    <w:p>
      <w:pPr>
        <w:spacing w:after="0" w:line="25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2.2 Each director, officer and employee must act with integrity and observe the highest ethical standards of business conduct in his or her dealings with the Company's customers, suppliers, partners, service providers, competitors, employees and anyone else with whom he or she has contact in the course of performing his or her job.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86" w:name="page87"/>
    <w:bookmarkEnd w:id="86"/>
    <w:p>
      <w:pPr>
        <w:ind w:left="420" w:hanging="412"/>
        <w:spacing w:after="0"/>
        <w:tabs>
          <w:tab w:leader="none" w:pos="42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Conflicts of Interest</w:t>
      </w:r>
      <w:r>
        <w:rPr>
          <w:rFonts w:ascii="Arial" w:cs="Arial" w:eastAsia="Arial" w:hAnsi="Arial"/>
          <w:sz w:val="18"/>
          <w:szCs w:val="18"/>
          <w:color w:val="auto"/>
        </w:rPr>
        <w:t>.</w:t>
      </w:r>
    </w:p>
    <w:p>
      <w:pPr>
        <w:spacing w:after="0" w:line="25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3.1 A conflict of interest occurs when an individual's private interest (or the interest of a member of his or her family) interferes, or even appears to interfere, with the interests of the Company as a whole. A conflict of interest can arise when an employee, officer or director (or a member of his or her family) takes actions or has interests that may make it difficult to perform his or her work for the Company objectively and effectively. Conflicts of interest also arise when an employee, officer or director (or a member of his or her family) receives improper personal benefits as a result of his or her position in the Company.</w:t>
      </w:r>
    </w:p>
    <w:p>
      <w:pPr>
        <w:spacing w:after="0" w:line="21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3.2 Loans by the Company to, or guarantees by the Company of obligations of, employees or their family members are of special concern and could constitute improper personal benefits to the recipients of such loans or guarantees, depending on the facts and circumstances. Loans by the Company to, or guarantees by the Company of obligations of, any director or executive officer or their family members are expressly prohibited.</w:t>
      </w:r>
    </w:p>
    <w:p>
      <w:pPr>
        <w:spacing w:after="0" w:line="193" w:lineRule="exact"/>
        <w:rPr>
          <w:sz w:val="20"/>
          <w:szCs w:val="20"/>
          <w:color w:val="auto"/>
        </w:rPr>
      </w:pPr>
    </w:p>
    <w:p>
      <w:pPr>
        <w:ind w:right="180" w:firstLine="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3.3 Whether or not a conflict of interest exists or will exist can be unclear. Conflicts of interest should be avoided unless specifically authorized as described in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hyperlink w:anchor="page87">
        <w:r>
          <w:rPr>
            <w:rFonts w:ascii="Arial" w:cs="Arial" w:eastAsia="Arial" w:hAnsi="Arial"/>
            <w:sz w:val="18"/>
            <w:szCs w:val="18"/>
            <w:b w:val="1"/>
            <w:bCs w:val="1"/>
            <w:u w:val="single" w:color="auto"/>
            <w:color w:val="0000EE"/>
          </w:rPr>
          <w:t>3.4</w:t>
        </w:r>
      </w:hyperlink>
      <w:r>
        <w:rPr>
          <w:rFonts w:ascii="Arial" w:cs="Arial" w:eastAsia="Arial" w:hAnsi="Arial"/>
          <w:sz w:val="18"/>
          <w:szCs w:val="18"/>
          <w:color w:val="auto"/>
        </w:rPr>
        <w:t>.</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3.4 Persons other than directors and executive officers who have questions about a potential conflict of interest or who become aware of an actual or potential conflict should discuss the matter with, and seek a determination and prior authorization or approval from, their supervisor or the Chief Executive Officer. A supervisor may not authorize or approve conflict of interest matters or make determinations as to whether a problematic conflict of interest exists without first providing the Chief Executive Officer with a written description of the activity and seeking the Chief Executive Officer's written approval. If the Chief Executive Officer is himself involved in the potential or actual conflict, the matter should instead be discussed directly with the Chairman of the Audit Committee.</w:t>
      </w:r>
    </w:p>
    <w:p>
      <w:pPr>
        <w:spacing w:after="0" w:line="22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Directors and executive officers must seek determinations and prior authorizations or approvals of potential conflicts of interest exclusively from the Audit Committee.</w:t>
      </w:r>
    </w:p>
    <w:p>
      <w:pPr>
        <w:spacing w:after="0" w:line="197" w:lineRule="exact"/>
        <w:rPr>
          <w:sz w:val="20"/>
          <w:szCs w:val="20"/>
          <w:color w:val="auto"/>
        </w:rPr>
      </w:pPr>
    </w:p>
    <w:p>
      <w:pPr>
        <w:ind w:left="420" w:hanging="412"/>
        <w:spacing w:after="0"/>
        <w:tabs>
          <w:tab w:leader="none" w:pos="42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w:t>
      </w:r>
    </w:p>
    <w:p>
      <w:pPr>
        <w:spacing w:after="0" w:line="25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4.1 Employees, officers and directors should comply, both in letter and spirit, with all applicable laws, rules and regulations in the cities, states and countries in which the Company operates.</w:t>
      </w:r>
    </w:p>
    <w:p>
      <w:pPr>
        <w:spacing w:after="0" w:line="19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4.2 Although not all employees, officers and directors are expected to know the details of all applicable laws, rules and regulations, it is important to know enough to determine when to seek advice from appropriate personnel. Questions about compliance should be addressed to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87" w:name="page88"/>
    <w:bookmarkEnd w:id="87"/>
    <w:p>
      <w:pPr>
        <w:jc w:val="both"/>
        <w:ind w:right="80" w:firstLine="324"/>
        <w:spacing w:after="0" w:line="259" w:lineRule="auto"/>
        <w:rPr>
          <w:sz w:val="20"/>
          <w:szCs w:val="20"/>
          <w:color w:val="auto"/>
        </w:rPr>
      </w:pPr>
      <w:r>
        <w:rPr>
          <w:rFonts w:ascii="Arial" w:cs="Arial" w:eastAsia="Arial" w:hAnsi="Arial"/>
          <w:sz w:val="18"/>
          <w:szCs w:val="18"/>
          <w:color w:val="auto"/>
        </w:rPr>
        <w:t>4.3 No director, officer or employee may purchase or sell any Company securities while in possession of material non-public information regarding the Company, nor may any director, officer or employee purchase or sell another company's securities while in possession of material non-public information regarding that company. It is against Company policies and illegal for any director, officer or employee to use material non-public information regarding the Company or any other company to:</w:t>
      </w:r>
    </w:p>
    <w:p>
      <w:pPr>
        <w:spacing w:after="0" w:line="214" w:lineRule="exact"/>
        <w:rPr>
          <w:sz w:val="20"/>
          <w:szCs w:val="20"/>
          <w:color w:val="auto"/>
        </w:rPr>
      </w:pPr>
    </w:p>
    <w:p>
      <w:pPr>
        <w:ind w:left="1340" w:hanging="522"/>
        <w:spacing w:after="0"/>
        <w:tabs>
          <w:tab w:leader="none" w:pos="13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obtain profit for himself or herself; or</w:t>
      </w:r>
    </w:p>
    <w:p>
      <w:pPr>
        <w:spacing w:after="0" w:line="252" w:lineRule="exact"/>
        <w:rPr>
          <w:rFonts w:ascii="Arial" w:cs="Arial" w:eastAsia="Arial" w:hAnsi="Arial"/>
          <w:sz w:val="18"/>
          <w:szCs w:val="18"/>
          <w:color w:val="auto"/>
        </w:rPr>
      </w:pPr>
    </w:p>
    <w:p>
      <w:pPr>
        <w:ind w:left="1340" w:hanging="522"/>
        <w:spacing w:after="0"/>
        <w:tabs>
          <w:tab w:leader="none" w:pos="13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directly or indirectly "tip" others who might make an investment decision on the basis of that information.</w:t>
      </w:r>
    </w:p>
    <w:p>
      <w:pPr>
        <w:spacing w:after="0" w:line="252" w:lineRule="exact"/>
        <w:rPr>
          <w:rFonts w:ascii="Arial" w:cs="Arial" w:eastAsia="Arial" w:hAnsi="Arial"/>
          <w:sz w:val="18"/>
          <w:szCs w:val="18"/>
          <w:color w:val="auto"/>
        </w:rPr>
      </w:pPr>
    </w:p>
    <w:p>
      <w:pPr>
        <w:ind w:left="420" w:hanging="412"/>
        <w:spacing w:after="0"/>
        <w:tabs>
          <w:tab w:leader="none" w:pos="42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25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5.1 The Company's periodic reports and other documents filed with the SEC, including all financial statements and other financial information, must comply with applicable federal securities laws and SEC rules.</w:t>
      </w:r>
    </w:p>
    <w:p>
      <w:pPr>
        <w:spacing w:after="0" w:line="19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5.2 Each director, officer and employee who contributes in any way to the preparation or verification of the Company's financial statements and other financial information must ensure that the Company's books, records and accounts are accurately maintained. Each director, officer and employee must cooperate fully with the Company's accounting and internal audit departments, as well as the Company's independent public accountants and counsel.</w:t>
      </w:r>
    </w:p>
    <w:p>
      <w:pPr>
        <w:spacing w:after="0" w:line="174"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Each director, officer and employee who is involved in the Company's disclosure process must:</w:t>
      </w:r>
    </w:p>
    <w:p>
      <w:pPr>
        <w:spacing w:after="0" w:line="252" w:lineRule="exact"/>
        <w:rPr>
          <w:sz w:val="20"/>
          <w:szCs w:val="20"/>
          <w:color w:val="auto"/>
        </w:rPr>
      </w:pPr>
    </w:p>
    <w:p>
      <w:pPr>
        <w:ind w:left="1340" w:hanging="522"/>
        <w:spacing w:after="0"/>
        <w:tabs>
          <w:tab w:leader="none" w:pos="134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be familiar with and comply with the Company's disclosure controls and procedures and its internal control over financial reporting; and</w:t>
      </w:r>
    </w:p>
    <w:p>
      <w:pPr>
        <w:spacing w:after="0" w:line="275" w:lineRule="exact"/>
        <w:rPr>
          <w:rFonts w:ascii="Arial" w:cs="Arial" w:eastAsia="Arial" w:hAnsi="Arial"/>
          <w:sz w:val="16"/>
          <w:szCs w:val="16"/>
          <w:color w:val="auto"/>
        </w:rPr>
      </w:pPr>
    </w:p>
    <w:p>
      <w:pPr>
        <w:ind w:right="640" w:firstLine="818"/>
        <w:spacing w:after="0" w:line="277" w:lineRule="auto"/>
        <w:tabs>
          <w:tab w:leader="none" w:pos="133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take all necessary steps to ensure that all filings with the SEC and all other public communications about the financial and business condition of the Company provide full, fair, accurate, timely and understandable disclosure.</w:t>
      </w:r>
    </w:p>
    <w:p>
      <w:pPr>
        <w:spacing w:after="0" w:line="197" w:lineRule="exact"/>
        <w:rPr>
          <w:rFonts w:ascii="Arial" w:cs="Arial" w:eastAsia="Arial" w:hAnsi="Arial"/>
          <w:sz w:val="18"/>
          <w:szCs w:val="18"/>
          <w:color w:val="auto"/>
        </w:rPr>
      </w:pPr>
    </w:p>
    <w:p>
      <w:pPr>
        <w:ind w:left="420" w:hanging="412"/>
        <w:spacing w:after="0"/>
        <w:tabs>
          <w:tab w:leader="none" w:pos="4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Protection and Proper Use of Company Assets</w:t>
      </w:r>
      <w:r>
        <w:rPr>
          <w:rFonts w:ascii="Arial" w:cs="Arial" w:eastAsia="Arial" w:hAnsi="Arial"/>
          <w:sz w:val="18"/>
          <w:szCs w:val="18"/>
          <w:color w:val="auto"/>
        </w:rPr>
        <w:t>.</w:t>
      </w:r>
    </w:p>
    <w:p>
      <w:pPr>
        <w:spacing w:after="0" w:line="25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6.1 All directors, officers and employees should protect the Company's assets and ensure their efficient use. Theft, carelessness and waste have a direct impact on the Company's profitability and are prohibited.</w:t>
      </w:r>
    </w:p>
    <w:p>
      <w:pPr>
        <w:spacing w:after="0" w:line="19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6.2 All Company assets should be used only for legitimate business purposes. Any suspected incident of fraud or theft should be reported for investigation immediately.</w:t>
      </w:r>
    </w:p>
    <w:p>
      <w:pPr>
        <w:spacing w:after="0" w:line="19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6.3 The obligation to protect Company assets includes the Company's proprietary information. Proprietary information includes intellectual property such as trade secrets, patents, trademarks, and copyrights, as well as business and marketing plans, engineering and manufacturing ideas, designs, databases, records and any non-public financial data or reports. Unauthorized use or distribution of this information is prohibited and could also be illegal and result in civil or criminal penalties.</w:t>
      </w:r>
    </w:p>
    <w:p>
      <w:pPr>
        <w:spacing w:after="0" w:line="214" w:lineRule="exact"/>
        <w:rPr>
          <w:sz w:val="20"/>
          <w:szCs w:val="20"/>
          <w:color w:val="auto"/>
        </w:rPr>
      </w:pPr>
    </w:p>
    <w:p>
      <w:pPr>
        <w:ind w:right="40" w:firstLine="8"/>
        <w:spacing w:after="0" w:line="257" w:lineRule="auto"/>
        <w:tabs>
          <w:tab w:leader="none" w:pos="405"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Corporate Opportunities</w:t>
      </w:r>
      <w:r>
        <w:rPr>
          <w:rFonts w:ascii="Arial" w:cs="Arial" w:eastAsia="Arial" w:hAnsi="Arial"/>
          <w:sz w:val="18"/>
          <w:szCs w:val="18"/>
          <w:color w:val="auto"/>
        </w:rPr>
        <w:t>. All directors, officers and employees owe a duty to the Company to advance its interests when the opportunity arises. Directors, officers and employees are prohibited from taking for themselves personally (or for the benefit of friends or family members) opportunities that are discovered through the use of Company assets, property, information or position. Directors, officers and employees may not use Company assets, property, information or position for personal gain (including gain of friends or family members). In addition, no director, officer or employee may compete with the Company.</w:t>
      </w:r>
    </w:p>
    <w:p>
      <w:pPr>
        <w:spacing w:after="0" w:line="215" w:lineRule="exact"/>
        <w:rPr>
          <w:rFonts w:ascii="Arial" w:cs="Arial" w:eastAsia="Arial" w:hAnsi="Arial"/>
          <w:sz w:val="18"/>
          <w:szCs w:val="18"/>
          <w:color w:val="auto"/>
        </w:rPr>
      </w:pPr>
    </w:p>
    <w:p>
      <w:pPr>
        <w:ind w:right="80" w:firstLine="8"/>
        <w:spacing w:after="0" w:line="259" w:lineRule="auto"/>
        <w:tabs>
          <w:tab w:leader="none" w:pos="405"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Directors, officers and employees should maintain the confidentiality of information entrusted to them by the Company or by its customers, suppliers or partners, except when disclosure is expressly authorized or is required or permitted by law. Confidential information includes all non-public information (regardless of its source) that might be of use to the Company's competitors or harmful to the Company or its customers, suppliers or partners if disclosed.</w:t>
      </w:r>
    </w:p>
    <w:p>
      <w:pPr>
        <w:spacing w:after="0" w:line="213" w:lineRule="exact"/>
        <w:rPr>
          <w:rFonts w:ascii="Arial" w:cs="Arial" w:eastAsia="Arial" w:hAnsi="Arial"/>
          <w:sz w:val="18"/>
          <w:szCs w:val="18"/>
          <w:color w:val="auto"/>
        </w:rPr>
      </w:pPr>
    </w:p>
    <w:p>
      <w:pPr>
        <w:ind w:right="300" w:firstLine="8"/>
        <w:spacing w:after="0" w:line="312" w:lineRule="auto"/>
        <w:tabs>
          <w:tab w:leader="none" w:pos="405"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Fair Dealing</w:t>
      </w:r>
      <w:r>
        <w:rPr>
          <w:rFonts w:ascii="Arial" w:cs="Arial" w:eastAsia="Arial" w:hAnsi="Arial"/>
          <w:sz w:val="16"/>
          <w:szCs w:val="16"/>
          <w:color w:val="auto"/>
        </w:rPr>
        <w:t>. Each director, officer and employee must deal fairly with the Company's customers, suppliers, partners, service providers, competitors, employees and anyone else with whom he or she has contact in the course of performing his or her job. No director, officer or employee may take unfair advantage of anyone through manipulation, concealment, abuse or privileged information, misrepresentation of facts or any other unfair dealing practice.</w:t>
      </w:r>
    </w:p>
    <w:p>
      <w:pPr>
        <w:spacing w:after="0" w:line="173" w:lineRule="exact"/>
        <w:rPr>
          <w:rFonts w:ascii="Arial" w:cs="Arial" w:eastAsia="Arial" w:hAnsi="Arial"/>
          <w:sz w:val="16"/>
          <w:szCs w:val="16"/>
          <w:color w:val="auto"/>
        </w:rPr>
      </w:pPr>
    </w:p>
    <w:p>
      <w:pPr>
        <w:ind w:left="500" w:hanging="492"/>
        <w:spacing w:after="0"/>
        <w:tabs>
          <w:tab w:leader="none" w:pos="50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Reporting and Enforcement</w:t>
      </w:r>
      <w:r>
        <w:rPr>
          <w:rFonts w:ascii="Arial" w:cs="Arial" w:eastAsia="Arial" w:hAnsi="Arial"/>
          <w:sz w:val="18"/>
          <w:szCs w:val="18"/>
          <w:color w:val="auto"/>
        </w:rPr>
        <w:t>.</w:t>
      </w:r>
    </w:p>
    <w:p>
      <w:pPr>
        <w:spacing w:after="0" w:line="252"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Reporting and Investigation of Violations.</w:t>
      </w:r>
    </w:p>
    <w:p>
      <w:pPr>
        <w:spacing w:after="0" w:line="252" w:lineRule="exact"/>
        <w:rPr>
          <w:sz w:val="20"/>
          <w:szCs w:val="20"/>
          <w:color w:val="auto"/>
        </w:rPr>
      </w:pPr>
    </w:p>
    <w:p>
      <w:pPr>
        <w:ind w:left="1320" w:hanging="502"/>
        <w:spacing w:after="0"/>
        <w:tabs>
          <w:tab w:leader="none" w:pos="1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Actions prohibited by this code involving directors or executive officers must be reported to the Audit Committee.</w:t>
      </w:r>
    </w:p>
    <w:p>
      <w:pPr>
        <w:spacing w:after="0" w:line="252" w:lineRule="exact"/>
        <w:rPr>
          <w:rFonts w:ascii="Arial" w:cs="Arial" w:eastAsia="Arial" w:hAnsi="Arial"/>
          <w:sz w:val="18"/>
          <w:szCs w:val="18"/>
          <w:color w:val="auto"/>
        </w:rPr>
      </w:pPr>
    </w:p>
    <w:p>
      <w:pPr>
        <w:ind w:right="240" w:firstLine="818"/>
        <w:spacing w:after="0" w:line="277" w:lineRule="auto"/>
        <w:tabs>
          <w:tab w:leader="none" w:pos="132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Actions prohibited by this code involving anyone other than a director or executive officer must be reported to person’s supervisor or the Chief Executive Officer.</w:t>
      </w:r>
    </w:p>
    <w:p>
      <w:pPr>
        <w:spacing w:after="0" w:line="197" w:lineRule="exact"/>
        <w:rPr>
          <w:rFonts w:ascii="Arial" w:cs="Arial" w:eastAsia="Arial" w:hAnsi="Arial"/>
          <w:sz w:val="18"/>
          <w:szCs w:val="18"/>
          <w:color w:val="auto"/>
        </w:rPr>
      </w:pPr>
    </w:p>
    <w:p>
      <w:pPr>
        <w:ind w:right="160" w:firstLine="818"/>
        <w:spacing w:after="0" w:line="277" w:lineRule="auto"/>
        <w:tabs>
          <w:tab w:leader="none" w:pos="13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After receiving a report of an alleged prohibited action, Chief Executive Officer (or the Audit Committee if the Chief Executive Officer is involved in the conflict) must promptly take all appropriate actions necessary to investigate.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098" w:gutter="0" w:footer="0" w:header="0"/>
        </w:sectPr>
      </w:pPr>
    </w:p>
    <w:bookmarkStart w:id="88" w:name="page89"/>
    <w:bookmarkEnd w:id="88"/>
    <w:p>
      <w:pPr>
        <w:ind w:left="1340" w:hanging="522"/>
        <w:spacing w:after="0"/>
        <w:tabs>
          <w:tab w:leader="none" w:pos="1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directors, officers and employees are expected to cooperate in any internal investigation of misconduct.</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10.2</w:t>
      </w:r>
      <w:r>
        <w:rPr>
          <w:rFonts w:ascii="Arial" w:cs="Arial" w:eastAsia="Arial" w:hAnsi="Arial"/>
          <w:sz w:val="16"/>
          <w:szCs w:val="16"/>
          <w:color w:val="auto"/>
        </w:rPr>
        <w:t>Enforcement.</w:t>
      </w:r>
    </w:p>
    <w:p>
      <w:pPr>
        <w:spacing w:after="0" w:line="252" w:lineRule="exact"/>
        <w:rPr>
          <w:sz w:val="20"/>
          <w:szCs w:val="20"/>
          <w:color w:val="auto"/>
        </w:rPr>
      </w:pPr>
    </w:p>
    <w:p>
      <w:pPr>
        <w:ind w:left="1320" w:hanging="502"/>
        <w:spacing w:after="0"/>
        <w:tabs>
          <w:tab w:leader="none" w:pos="1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must ensure prompt and consistent action against violations of this Code.</w:t>
      </w:r>
    </w:p>
    <w:p>
      <w:pPr>
        <w:spacing w:after="0" w:line="252" w:lineRule="exact"/>
        <w:rPr>
          <w:rFonts w:ascii="Arial" w:cs="Arial" w:eastAsia="Arial" w:hAnsi="Arial"/>
          <w:sz w:val="18"/>
          <w:szCs w:val="18"/>
          <w:color w:val="auto"/>
        </w:rPr>
      </w:pPr>
    </w:p>
    <w:p>
      <w:pPr>
        <w:ind w:right="420" w:firstLine="818"/>
        <w:spacing w:after="0" w:line="277" w:lineRule="auto"/>
        <w:tabs>
          <w:tab w:leader="none" w:pos="13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after investigating a report of an alleged prohibited action by a director or executive officer, the Audit Committee determines that a violation of this Code has occurred, the Audit Committee will report such determination to the Board of Directors.</w:t>
      </w:r>
    </w:p>
    <w:p>
      <w:pPr>
        <w:spacing w:after="0" w:line="197" w:lineRule="exact"/>
        <w:rPr>
          <w:rFonts w:ascii="Arial" w:cs="Arial" w:eastAsia="Arial" w:hAnsi="Arial"/>
          <w:sz w:val="18"/>
          <w:szCs w:val="18"/>
          <w:color w:val="auto"/>
        </w:rPr>
      </w:pPr>
    </w:p>
    <w:p>
      <w:pPr>
        <w:ind w:right="140" w:firstLine="818"/>
        <w:spacing w:after="0" w:line="342" w:lineRule="auto"/>
        <w:tabs>
          <w:tab w:leader="none" w:pos="132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after investigating a report of an alleged prohibited action by any other person, the relevant supervisor or the Chief Executive Officer determines that a violation of this Code has occurred, the supervisor or the Chief Executive Officer will report such determination to the Board of Directors.</w:t>
      </w:r>
    </w:p>
    <w:p>
      <w:pPr>
        <w:spacing w:after="0" w:line="150" w:lineRule="exact"/>
        <w:rPr>
          <w:rFonts w:ascii="Arial" w:cs="Arial" w:eastAsia="Arial" w:hAnsi="Arial"/>
          <w:sz w:val="16"/>
          <w:szCs w:val="16"/>
          <w:color w:val="auto"/>
        </w:rPr>
      </w:pPr>
    </w:p>
    <w:p>
      <w:pPr>
        <w:ind w:right="380" w:firstLine="818"/>
        <w:spacing w:after="0" w:line="264" w:lineRule="auto"/>
        <w:tabs>
          <w:tab w:leader="none" w:pos="13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Upon receipt of a determination that there has been a violation of this Code, the Board of Directors will take such preventative or disciplinary action as it deems appropriate, including, but not limited to, reassignment, demotion, dismissal and, in the event of criminal conduct or other serious violations of the law, notification of appropriate governmental authorities.</w:t>
      </w:r>
    </w:p>
    <w:p>
      <w:pPr>
        <w:spacing w:after="0" w:line="208"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Waivers.</w:t>
      </w:r>
    </w:p>
    <w:p>
      <w:pPr>
        <w:spacing w:after="0" w:line="252" w:lineRule="exact"/>
        <w:rPr>
          <w:sz w:val="20"/>
          <w:szCs w:val="20"/>
          <w:color w:val="auto"/>
        </w:rPr>
      </w:pPr>
    </w:p>
    <w:p>
      <w:pPr>
        <w:ind w:right="60" w:firstLine="818"/>
        <w:spacing w:after="0" w:line="277" w:lineRule="auto"/>
        <w:tabs>
          <w:tab w:leader="none" w:pos="132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of the Chief Executive Officer or Audit Committee (in the case of a violation by a director or executive officer) may, in its discretion, waive any violation of this Code.</w:t>
      </w:r>
    </w:p>
    <w:p>
      <w:pPr>
        <w:spacing w:after="0" w:line="197" w:lineRule="exact"/>
        <w:rPr>
          <w:rFonts w:ascii="Arial" w:cs="Arial" w:eastAsia="Arial" w:hAnsi="Arial"/>
          <w:sz w:val="18"/>
          <w:szCs w:val="18"/>
          <w:color w:val="auto"/>
        </w:rPr>
      </w:pPr>
    </w:p>
    <w:p>
      <w:pPr>
        <w:ind w:right="360" w:firstLine="818"/>
        <w:spacing w:after="0" w:line="277" w:lineRule="auto"/>
        <w:tabs>
          <w:tab w:leader="none" w:pos="132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waiver for a director or an executive officer shall be disclosed as required by the applicable rules of the SEC and any exchange on which the Company’s stock is listed.</w:t>
      </w:r>
    </w:p>
    <w:p>
      <w:pPr>
        <w:spacing w:after="0" w:line="197"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Prohibition on Retaliation.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does not tolerate acts of retaliation against any director, officer or employee who makes a good faith report of known or suspected acts of misconduct or other violations of this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852805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89" w:name="page90"/>
    <w:bookmarkEnd w:id="89"/>
    <w:p>
      <w:pPr>
        <w:ind w:left="660" w:right="3420" w:firstLine="2923"/>
        <w:spacing w:after="0" w:line="534" w:lineRule="auto"/>
        <w:rPr>
          <w:sz w:val="20"/>
          <w:szCs w:val="20"/>
          <w:color w:val="auto"/>
        </w:rPr>
      </w:pPr>
      <w:r>
        <w:rPr>
          <w:rFonts w:ascii="Arial" w:cs="Arial" w:eastAsia="Arial" w:hAnsi="Arial"/>
          <w:sz w:val="18"/>
          <w:szCs w:val="18"/>
          <w:b w:val="1"/>
          <w:bCs w:val="1"/>
          <w:color w:val="auto"/>
        </w:rPr>
        <w:t xml:space="preserve">ACKNOWLEDGMENT OF RECEIPT AND REVIEW </w:t>
      </w:r>
      <w:r>
        <w:rPr>
          <w:rFonts w:ascii="Arial" w:cs="Arial" w:eastAsia="Arial" w:hAnsi="Arial"/>
          <w:sz w:val="18"/>
          <w:szCs w:val="18"/>
          <w:color w:val="auto"/>
        </w:rPr>
        <w:t>[To be signed and returned to the Chief Executive Officer.]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_______________________, acknowledge that I have received and read a copy of the TapImmune Inc. Code of Ethics and Business Conduct. 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understand the contents of the Code and I agree to comply with the policies and procedures set out in the Code.</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understand that I should approach the Chief Executive Officer if I have any questions about the Code generally or any questions about reporting a suspected conflict of interest or other violation of the Code.</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[PRINTED NAME]</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3476625</wp:posOffset>
            </wp:positionV>
            <wp:extent cx="7250430" cy="450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260"/>
          </w:cols>
          <w:pgMar w:left="240" w:top="756" w:right="39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252"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September 30, 2015 of TapImmune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0840" w:type="dxa"/>
            <w:vAlign w:val="bottom"/>
            <w:gridSpan w:val="2"/>
          </w:tcPr>
          <w:p>
            <w:pPr>
              <w:ind w:left="320"/>
              <w:spacing w:after="0"/>
              <w:rPr>
                <w:sz w:val="20"/>
                <w:szCs w:val="20"/>
                <w:color w:val="auto"/>
              </w:rPr>
            </w:pPr>
            <w:r>
              <w:rPr>
                <w:rFonts w:ascii="Arial" w:cs="Arial" w:eastAsia="Arial" w:hAnsi="Arial"/>
                <w:sz w:val="18"/>
                <w:szCs w:val="18"/>
                <w:color w:val="auto"/>
              </w:rPr>
              <w:t>November 16, 2015</w:t>
            </w:r>
          </w:p>
        </w:tc>
      </w:tr>
      <w:tr>
        <w:trPr>
          <w:trHeight w:val="419"/>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90"/>
              </w:rPr>
              <w:t>/s/ Glynn Wilson</w:t>
            </w:r>
          </w:p>
        </w:tc>
        <w:tc>
          <w:tcPr>
            <w:tcW w:w="10220" w:type="dxa"/>
            <w:vAlign w:val="bottom"/>
          </w:tcPr>
          <w:p>
            <w:pPr>
              <w:spacing w:after="0"/>
              <w:rPr>
                <w:sz w:val="24"/>
                <w:szCs w:val="24"/>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840" w:type="dxa"/>
            <w:vAlign w:val="bottom"/>
            <w:gridSpan w:val="2"/>
          </w:tcPr>
          <w:p>
            <w:pPr>
              <w:ind w:left="180"/>
              <w:spacing w:after="0"/>
              <w:rPr>
                <w:sz w:val="20"/>
                <w:szCs w:val="20"/>
                <w:color w:val="auto"/>
              </w:rPr>
            </w:pPr>
            <w:r>
              <w:rPr>
                <w:rFonts w:ascii="Arial" w:cs="Arial" w:eastAsia="Arial" w:hAnsi="Arial"/>
                <w:sz w:val="18"/>
                <w:szCs w:val="18"/>
                <w:b w:val="1"/>
                <w:bCs w:val="1"/>
                <w:color w:val="auto"/>
              </w:rPr>
              <w:t>Glynn Wilson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Chairman, Chief Executive Officer, Principal Executive Officer and Acting Principal Accounting Officer</w:t>
            </w:r>
          </w:p>
        </w:tc>
      </w:tr>
      <w:tr>
        <w:trPr>
          <w:trHeight w:val="605"/>
        </w:trPr>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20" w:type="dxa"/>
            <w:vAlign w:val="bottom"/>
          </w:tcPr>
          <w:p>
            <w:pPr>
              <w:spacing w:after="0"/>
              <w:rPr>
                <w:sz w:val="24"/>
                <w:szCs w:val="24"/>
                <w:color w:val="auto"/>
              </w:rPr>
            </w:pPr>
          </w:p>
        </w:tc>
      </w:tr>
      <w:tr>
        <w:trPr>
          <w:trHeight w:val="71"/>
        </w:trPr>
        <w:tc>
          <w:tcPr>
            <w:tcW w:w="580" w:type="dxa"/>
            <w:vAlign w:val="bottom"/>
            <w:shd w:val="clear" w:color="auto" w:fill="808080"/>
          </w:tcPr>
          <w:p>
            <w:pPr>
              <w:spacing w:after="0"/>
              <w:rPr>
                <w:sz w:val="6"/>
                <w:szCs w:val="6"/>
                <w:color w:val="auto"/>
              </w:rPr>
            </w:pPr>
          </w:p>
        </w:tc>
        <w:tc>
          <w:tcPr>
            <w:tcW w:w="620" w:type="dxa"/>
            <w:vAlign w:val="bottom"/>
            <w:shd w:val="clear" w:color="auto" w:fill="808080"/>
          </w:tcPr>
          <w:p>
            <w:pPr>
              <w:spacing w:after="0"/>
              <w:rPr>
                <w:sz w:val="6"/>
                <w:szCs w:val="6"/>
                <w:color w:val="auto"/>
              </w:rPr>
            </w:pPr>
          </w:p>
        </w:tc>
        <w:tc>
          <w:tcPr>
            <w:tcW w:w="1022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688"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ACCOUNTING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Glynn Wilson, the Principal Executive Officer and Acting Principal Accounting Officer of TapImmune Inc. (the “Company”) hereby certifies, pursuant to 18 U.S.C. Section 1350, as adopted pursuant to Section 906 of the Sarbanes-Oxley Act of 2002, that the Report on Form 10-Q of TapImmune Inc., for the quarterly period ended September 30, 2015,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2015</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Glynn Wilson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Principal Executive Officer and Acting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2550795</wp:posOffset>
            </wp:positionV>
            <wp:extent cx="7250430" cy="450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11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AE35EB"/>
    <w:multiLevelType w:val="hybridMultilevel"/>
    <w:lvl w:ilvl="0">
      <w:lvlJc w:val="left"/>
      <w:lvlText w:val="(%1)"/>
      <w:numFmt w:val="lowerRoman"/>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1."/>
      <w:numFmt w:val="decimal"/>
      <w:start w:val="1"/>
    </w:lvl>
  </w:abstractNum>
  <w:abstractNum w:abstractNumId="3">
    <w:nsid w:val="5FF87E05"/>
    <w:multiLevelType w:val="hybridMultilevel"/>
    <w:lvl w:ilvl="0">
      <w:lvlJc w:val="left"/>
      <w:lvlText w:val="%1."/>
      <w:numFmt w:val="decimal"/>
      <w:start w:val="3"/>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1."/>
      <w:numFmt w:val="decimal"/>
      <w:start w:val="1"/>
    </w:lvl>
  </w:abstractNum>
  <w:abstractNum w:abstractNumId="9">
    <w:nsid w:val="1381823A"/>
    <w:multiLevelType w:val="hybridMultilevel"/>
    <w:lvl w:ilvl="0">
      <w:lvlJc w:val="left"/>
      <w:lvlText w:val="%1."/>
      <w:numFmt w:val="decimal"/>
      <w:start w:val="2"/>
    </w:lvl>
  </w:abstractNum>
  <w:abstractNum w:abstractNumId="10">
    <w:nsid w:val="5DB70AE5"/>
    <w:multiLevelType w:val="hybridMultilevel"/>
    <w:lvl w:ilvl="0">
      <w:lvlJc w:val="left"/>
      <w:lvlText w:val="(%1)"/>
      <w:numFmt w:val="decimal"/>
      <w:start w:val="2"/>
    </w:lvl>
  </w:abstractNum>
  <w:abstractNum w:abstractNumId="11">
    <w:nsid w:val="100F8FCA"/>
    <w:multiLevelType w:val="hybridMultilevel"/>
    <w:lvl w:ilvl="0">
      <w:lvlJc w:val="left"/>
      <w:lvlText w:val="%1"/>
      <w:numFmt w:val="decimal"/>
      <w:start w:val="1"/>
    </w:lvl>
    <w:lvl w:ilvl="1">
      <w:lvlJc w:val="left"/>
      <w:lvlText w:val="(%2)"/>
      <w:numFmt w:val="lowerLetter"/>
      <w:start w:val="41"/>
    </w:lvl>
  </w:abstractNum>
  <w:abstractNum w:abstractNumId="12">
    <w:nsid w:val="6590700B"/>
    <w:multiLevelType w:val="hybridMultilevel"/>
    <w:lvl w:ilvl="0">
      <w:lvlJc w:val="left"/>
      <w:lvlText w:val="%1."/>
      <w:numFmt w:val="decimal"/>
      <w:start w:val="3"/>
    </w:lvl>
    <w:lvl w:ilvl="1">
      <w:lvlJc w:val="left"/>
      <w:lvlText w:val="%2"/>
      <w:numFmt w:val="lowerLetter"/>
      <w:start w:val="1"/>
    </w:lvl>
  </w:abstractNum>
  <w:abstractNum w:abstractNumId="13">
    <w:nsid w:val="15014ACB"/>
    <w:multiLevelType w:val="hybridMultilevel"/>
    <w:lvl w:ilvl="0">
      <w:lvlJc w:val="left"/>
      <w:lvlText w:val="%1."/>
      <w:numFmt w:val="decimal"/>
      <w:start w:val="5"/>
    </w:lvl>
  </w:abstractNum>
  <w:abstractNum w:abstractNumId="14">
    <w:nsid w:val="5F5E7FD0"/>
    <w:multiLevelType w:val="hybridMultilevel"/>
    <w:lvl w:ilvl="0">
      <w:lvlJc w:val="left"/>
      <w:lvlText w:val="%1."/>
      <w:numFmt w:val="decimal"/>
      <w:start w:val="6"/>
    </w:lvl>
  </w:abstractNum>
  <w:abstractNum w:abstractNumId="15">
    <w:nsid w:val="98A3148"/>
    <w:multiLevelType w:val="hybridMultilevel"/>
    <w:lvl w:ilvl="0">
      <w:lvlJc w:val="left"/>
      <w:lvlText w:val="%1."/>
      <w:numFmt w:val="decimal"/>
      <w:start w:val="7"/>
    </w:lvl>
  </w:abstractNum>
  <w:abstractNum w:abstractNumId="16">
    <w:nsid w:val="799D0247"/>
    <w:multiLevelType w:val="hybridMultilevel"/>
    <w:lvl w:ilvl="0">
      <w:lvlJc w:val="left"/>
      <w:lvlText w:val="%1."/>
      <w:numFmt w:val="decimal"/>
      <w:start w:val="8"/>
    </w:lvl>
  </w:abstractNum>
  <w:abstractNum w:abstractNumId="17">
    <w:nsid w:val="6B94764"/>
    <w:multiLevelType w:val="hybridMultilevel"/>
    <w:lvl w:ilvl="0">
      <w:lvlJc w:val="left"/>
      <w:lvlText w:val="%1."/>
      <w:numFmt w:val="decimal"/>
      <w:start w:val="9"/>
    </w:lvl>
  </w:abstractNum>
  <w:abstractNum w:abstractNumId="18">
    <w:nsid w:val="42C296BD"/>
    <w:multiLevelType w:val="hybridMultilevel"/>
    <w:lvl w:ilvl="0">
      <w:lvlJc w:val="left"/>
      <w:lvlText w:val="%1."/>
      <w:numFmt w:val="decimal"/>
      <w:start w:val="10"/>
    </w:lvl>
  </w:abstractNum>
  <w:abstractNum w:abstractNumId="19">
    <w:nsid w:val="168E121F"/>
    <w:multiLevelType w:val="hybridMultilevel"/>
    <w:lvl w:ilvl="0">
      <w:lvlJc w:val="left"/>
      <w:lvlText w:val="%1."/>
      <w:numFmt w:val="decimal"/>
      <w:start w:val="11"/>
    </w:lvl>
  </w:abstractNum>
  <w:abstractNum w:abstractNumId="20">
    <w:nsid w:val="1EBA5D23"/>
    <w:multiLevelType w:val="hybridMultilevel"/>
    <w:lvl w:ilvl="0">
      <w:lvlJc w:val="left"/>
      <w:lvlText w:val="%1."/>
      <w:numFmt w:val="decimal"/>
      <w:start w:val="12"/>
    </w:lvl>
  </w:abstractNum>
  <w:abstractNum w:abstractNumId="21">
    <w:nsid w:val="661E3F1E"/>
    <w:multiLevelType w:val="hybridMultilevel"/>
    <w:lvl w:ilvl="0">
      <w:lvlJc w:val="left"/>
      <w:lvlText w:val="%1."/>
      <w:numFmt w:val="decimal"/>
      <w:start w:val="13"/>
    </w:lvl>
  </w:abstractNum>
  <w:abstractNum w:abstractNumId="22">
    <w:nsid w:val="5DC79EA8"/>
    <w:multiLevelType w:val="hybridMultilevel"/>
    <w:lvl w:ilvl="0">
      <w:lvlJc w:val="left"/>
      <w:lvlText w:val="%1."/>
      <w:numFmt w:val="decimal"/>
      <w:start w:val="14"/>
    </w:lvl>
  </w:abstractNum>
  <w:abstractNum w:abstractNumId="23">
    <w:nsid w:val="540A471C"/>
    <w:multiLevelType w:val="hybridMultilevel"/>
    <w:lvl w:ilvl="0">
      <w:lvlJc w:val="left"/>
      <w:lvlText w:val="%1."/>
      <w:numFmt w:val="decimal"/>
      <w:start w:val="15"/>
    </w:lvl>
  </w:abstractNum>
  <w:abstractNum w:abstractNumId="24">
    <w:nsid w:val="7BD3EE7B"/>
    <w:multiLevelType w:val="hybridMultilevel"/>
    <w:lvl w:ilvl="0">
      <w:lvlJc w:val="left"/>
      <w:lvlText w:val="%1."/>
      <w:numFmt w:val="decimal"/>
      <w:start w:val="16"/>
    </w:lvl>
  </w:abstractNum>
  <w:abstractNum w:abstractNumId="25">
    <w:nsid w:val="51D9C564"/>
    <w:multiLevelType w:val="hybridMultilevel"/>
    <w:lvl w:ilvl="0">
      <w:lvlJc w:val="left"/>
      <w:lvlText w:val="%1."/>
      <w:numFmt w:val="decimal"/>
      <w:start w:val="17"/>
    </w:lvl>
  </w:abstractNum>
  <w:abstractNum w:abstractNumId="26">
    <w:nsid w:val="613EFDC5"/>
    <w:multiLevelType w:val="hybridMultilevel"/>
    <w:lvl w:ilvl="0">
      <w:lvlJc w:val="left"/>
      <w:lvlText w:val="%1."/>
      <w:numFmt w:val="decimal"/>
      <w:start w:val="18"/>
    </w:lvl>
  </w:abstractNum>
  <w:abstractNum w:abstractNumId="27">
    <w:nsid w:val="BF72B14"/>
    <w:multiLevelType w:val="hybridMultilevel"/>
    <w:lvl w:ilvl="0">
      <w:lvlJc w:val="left"/>
      <w:lvlText w:val="%1."/>
      <w:numFmt w:val="decimal"/>
      <w:start w:val="19"/>
    </w:lvl>
  </w:abstractNum>
  <w:abstractNum w:abstractNumId="28">
    <w:nsid w:val="11447B73"/>
    <w:multiLevelType w:val="hybridMultilevel"/>
    <w:lvl w:ilvl="0">
      <w:lvlJc w:val="left"/>
      <w:lvlText w:val="(%1)"/>
      <w:numFmt w:val="lowerLetter"/>
      <w:start w:val="2"/>
    </w:lvl>
  </w:abstractNum>
  <w:abstractNum w:abstractNumId="29">
    <w:nsid w:val="42963E5A"/>
    <w:multiLevelType w:val="hybridMultilevel"/>
    <w:lvl w:ilvl="0">
      <w:lvlJc w:val="left"/>
      <w:lvlText w:val="%1."/>
      <w:numFmt w:val="decimal"/>
      <w:start w:val="20"/>
    </w:lvl>
  </w:abstractNum>
  <w:abstractNum w:abstractNumId="30">
    <w:nsid w:val="A0382C5"/>
    <w:multiLevelType w:val="hybridMultilevel"/>
    <w:lvl w:ilvl="0">
      <w:lvlJc w:val="left"/>
      <w:lvlText w:val="%1."/>
      <w:numFmt w:val="decimal"/>
      <w:start w:val="21"/>
    </w:lvl>
  </w:abstractNum>
  <w:abstractNum w:abstractNumId="31">
    <w:nsid w:val="8F2B15E"/>
    <w:multiLevelType w:val="hybridMultilevel"/>
    <w:lvl w:ilvl="0">
      <w:lvlJc w:val="left"/>
      <w:lvlText w:val="%1."/>
      <w:numFmt w:val="decimal"/>
      <w:start w:val="23"/>
    </w:lvl>
  </w:abstractNum>
  <w:abstractNum w:abstractNumId="32">
    <w:nsid w:val="1A32234B"/>
    <w:multiLevelType w:val="hybridMultilevel"/>
    <w:lvl w:ilvl="0">
      <w:lvlJc w:val="left"/>
      <w:lvlText w:val="%1."/>
      <w:numFmt w:val="decimal"/>
      <w:start w:val="24"/>
    </w:lvl>
  </w:abstractNum>
  <w:abstractNum w:abstractNumId="33">
    <w:nsid w:val="3B0FD379"/>
    <w:multiLevelType w:val="hybridMultilevel"/>
    <w:lvl w:ilvl="0">
      <w:lvlJc w:val="left"/>
      <w:lvlText w:val="%1."/>
      <w:numFmt w:val="decimal"/>
      <w:start w:val="25"/>
    </w:lvl>
  </w:abstractNum>
  <w:abstractNum w:abstractNumId="34">
    <w:nsid w:val="68EB2F63"/>
    <w:multiLevelType w:val="hybridMultilevel"/>
    <w:lvl w:ilvl="0">
      <w:lvlJc w:val="left"/>
      <w:lvlText w:val="%1."/>
      <w:numFmt w:val="decimal"/>
      <w:start w:val="26"/>
    </w:lvl>
  </w:abstractNum>
  <w:abstractNum w:abstractNumId="35">
    <w:nsid w:val="4962813B"/>
    <w:multiLevelType w:val="hybridMultilevel"/>
    <w:lvl w:ilvl="0">
      <w:lvlJc w:val="left"/>
      <w:lvlText w:val="%1."/>
      <w:numFmt w:val="decimal"/>
      <w:start w:val="27"/>
    </w:lvl>
  </w:abstractNum>
  <w:abstractNum w:abstractNumId="36">
    <w:nsid w:val="60B6DF70"/>
    <w:multiLevelType w:val="hybridMultilevel"/>
    <w:lvl w:ilvl="0">
      <w:lvlJc w:val="left"/>
      <w:lvlText w:val="%1."/>
      <w:numFmt w:val="decimal"/>
      <w:start w:val="28"/>
    </w:lvl>
  </w:abstractNum>
  <w:abstractNum w:abstractNumId="37">
    <w:nsid w:val="6A5EE64"/>
    <w:multiLevelType w:val="hybridMultilevel"/>
    <w:lvl w:ilvl="0">
      <w:lvlJc w:val="left"/>
      <w:lvlText w:val="%1."/>
      <w:numFmt w:val="decimal"/>
      <w:start w:val="29"/>
    </w:lvl>
  </w:abstractNum>
  <w:abstractNum w:abstractNumId="38">
    <w:nsid w:val="14330624"/>
    <w:multiLevelType w:val="hybridMultilevel"/>
    <w:lvl w:ilvl="0">
      <w:lvlJc w:val="left"/>
      <w:lvlText w:val="%1."/>
      <w:numFmt w:val="decimal"/>
      <w:start w:val="1"/>
    </w:lvl>
    <w:lvl w:ilvl="1">
      <w:lvlJc w:val="left"/>
      <w:lvlText w:val="(%2)"/>
      <w:numFmt w:val="lowerLetter"/>
      <w:start w:val="42"/>
    </w:lvl>
  </w:abstractNum>
  <w:abstractNum w:abstractNumId="39">
    <w:nsid w:val="7FFFCA11"/>
    <w:multiLevelType w:val="hybridMultilevel"/>
    <w:lvl w:ilvl="0">
      <w:lvlJc w:val="left"/>
      <w:lvlText w:val="%1"/>
      <w:numFmt w:val="decimal"/>
      <w:start w:val="1"/>
    </w:lvl>
    <w:lvl w:ilvl="1">
      <w:lvlJc w:val="left"/>
      <w:lvlText w:val="(%2)"/>
      <w:numFmt w:val="lowerLetter"/>
      <w:start w:val="41"/>
    </w:lvl>
  </w:abstractNum>
  <w:abstractNum w:abstractNumId="40">
    <w:nsid w:val="1A27709E"/>
    <w:multiLevelType w:val="hybridMultilevel"/>
    <w:lvl w:ilvl="0">
      <w:lvlJc w:val="left"/>
      <w:lvlText w:val="%1."/>
      <w:numFmt w:val="decimal"/>
      <w:start w:val="3"/>
    </w:lvl>
    <w:lvl w:ilvl="1">
      <w:lvlJc w:val="left"/>
      <w:lvlText w:val="%2"/>
      <w:numFmt w:val="lowerLetter"/>
      <w:start w:val="1"/>
    </w:lvl>
  </w:abstractNum>
  <w:abstractNum w:abstractNumId="41">
    <w:nsid w:val="71EA1109"/>
    <w:multiLevelType w:val="hybridMultilevel"/>
    <w:lvl w:ilvl="0">
      <w:lvlJc w:val="left"/>
      <w:lvlText w:val="%1."/>
      <w:numFmt w:val="decimal"/>
      <w:start w:val="4"/>
    </w:lvl>
  </w:abstractNum>
  <w:abstractNum w:abstractNumId="42">
    <w:nsid w:val="100F59DC"/>
    <w:multiLevelType w:val="hybridMultilevel"/>
    <w:lvl w:ilvl="0">
      <w:lvlJc w:val="left"/>
      <w:lvlText w:val="%1."/>
      <w:numFmt w:val="decimal"/>
      <w:start w:val="5"/>
    </w:lvl>
  </w:abstractNum>
  <w:abstractNum w:abstractNumId="43">
    <w:nsid w:val="7FB7E0AA"/>
    <w:multiLevelType w:val="hybridMultilevel"/>
    <w:lvl w:ilvl="0">
      <w:lvlJc w:val="left"/>
      <w:lvlText w:val="%1."/>
      <w:numFmt w:val="decimal"/>
      <w:start w:val="1"/>
    </w:lvl>
  </w:abstractNum>
  <w:abstractNum w:abstractNumId="44">
    <w:nsid w:val="6EB5BD4"/>
    <w:multiLevelType w:val="hybridMultilevel"/>
    <w:lvl w:ilvl="0">
      <w:lvlJc w:val="left"/>
      <w:lvlText w:val="%1."/>
      <w:numFmt w:val="decimal"/>
      <w:start w:val="3"/>
    </w:lvl>
  </w:abstractNum>
  <w:abstractNum w:abstractNumId="45">
    <w:nsid w:val="6F6DD9AC"/>
    <w:multiLevelType w:val="hybridMultilevel"/>
    <w:lvl w:ilvl="0">
      <w:lvlJc w:val="left"/>
      <w:lvlText w:val="%1."/>
      <w:numFmt w:val="decimal"/>
      <w:start w:val="4"/>
    </w:lvl>
  </w:abstractNum>
  <w:abstractNum w:abstractNumId="46">
    <w:nsid w:val="94211F2"/>
    <w:multiLevelType w:val="hybridMultilevel"/>
    <w:lvl w:ilvl="0">
      <w:lvlJc w:val="left"/>
      <w:lvlText w:val="%1."/>
      <w:numFmt w:val="decimal"/>
      <w:start w:val="1"/>
    </w:lvl>
  </w:abstractNum>
  <w:abstractNum w:abstractNumId="47">
    <w:nsid w:val="885E1B"/>
    <w:multiLevelType w:val="hybridMultilevel"/>
    <w:lvl w:ilvl="0">
      <w:lvlJc w:val="left"/>
      <w:lvlText w:val="%1."/>
      <w:numFmt w:val="decimal"/>
      <w:start w:val="2"/>
    </w:lvl>
  </w:abstractNum>
  <w:abstractNum w:abstractNumId="48">
    <w:nsid w:val="76272110"/>
    <w:multiLevelType w:val="hybridMultilevel"/>
    <w:lvl w:ilvl="0">
      <w:lvlJc w:val="left"/>
      <w:lvlText w:val="(%1)"/>
      <w:numFmt w:val="lowerLetter"/>
      <w:start w:val="1"/>
    </w:lvl>
  </w:abstractNum>
  <w:abstractNum w:abstractNumId="49">
    <w:nsid w:val="4C04A8AF"/>
    <w:multiLevelType w:val="hybridMultilevel"/>
    <w:lvl w:ilvl="0">
      <w:lvlJc w:val="left"/>
      <w:lvlText w:val="%1."/>
      <w:numFmt w:val="decimal"/>
      <w:start w:val="6"/>
    </w:lvl>
    <w:lvl w:ilvl="1">
      <w:lvlJc w:val="left"/>
      <w:lvlText w:val="(%2)"/>
      <w:numFmt w:val="lowerLetter"/>
      <w:start w:val="1"/>
    </w:lvl>
  </w:abstractNum>
  <w:abstractNum w:abstractNumId="50">
    <w:nsid w:val="1716703B"/>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51">
    <w:nsid w:val="14E17E3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52">
    <w:nsid w:val="3222E7CD"/>
    <w:multiLevelType w:val="hybridMultilevel"/>
    <w:lvl w:ilvl="0">
      <w:lvlJc w:val="left"/>
      <w:lvlText w:val="%1."/>
      <w:numFmt w:val="decimal"/>
      <w:start w:val="11"/>
    </w:lvl>
    <w:lvl w:ilvl="1">
      <w:lvlJc w:val="left"/>
      <w:lvlText w:val="(%2)"/>
      <w:numFmt w:val="lowerLetter"/>
      <w:start w:val="1"/>
    </w:lvl>
  </w:abstractNum>
  <w:abstractNum w:abstractNumId="53">
    <w:nsid w:val="74DE0EE3"/>
    <w:multiLevelType w:val="hybridMultilevel"/>
    <w:lvl w:ilvl="0">
      <w:lvlJc w:val="left"/>
      <w:lvlText w:val="%1."/>
      <w:numFmt w:val="decimal"/>
      <w:start w:val="14"/>
    </w:lvl>
    <w:lvl w:ilvl="1">
      <w:lvlJc w:val="left"/>
      <w:lvlText w:val="(%2)"/>
      <w:numFmt w:val="lowerLetter"/>
      <w:start w:val="1"/>
    </w:lvl>
  </w:abstractNum>
  <w:abstractNum w:abstractNumId="54">
    <w:nsid w:val="68EBC550"/>
    <w:multiLevelType w:val="hybridMultilevel"/>
    <w:lvl w:ilvl="0">
      <w:lvlJc w:val="left"/>
      <w:lvlText w:val="%1."/>
      <w:numFmt w:val="decimal"/>
      <w:start w:val="1"/>
    </w:lvl>
  </w:abstractNum>
  <w:abstractNum w:abstractNumId="55">
    <w:nsid w:val="2DF6D648"/>
    <w:multiLevelType w:val="hybridMultilevel"/>
    <w:lvl w:ilvl="0">
      <w:lvlJc w:val="left"/>
      <w:lvlText w:val="%1."/>
      <w:numFmt w:val="decimal"/>
      <w:start w:val="2"/>
    </w:lvl>
  </w:abstractNum>
  <w:abstractNum w:abstractNumId="56">
    <w:nsid w:val="46B7D447"/>
    <w:multiLevelType w:val="hybridMultilevel"/>
    <w:lvl w:ilvl="0">
      <w:lvlJc w:val="left"/>
      <w:lvlText w:val="(%1)"/>
      <w:numFmt w:val="lowerLetter"/>
      <w:start w:val="1"/>
    </w:lvl>
  </w:abstractNum>
  <w:abstractNum w:abstractNumId="57">
    <w:nsid w:val="4A2AC315"/>
    <w:multiLevelType w:val="hybridMultilevel"/>
    <w:lvl w:ilvl="0">
      <w:lvlJc w:val="left"/>
      <w:lvlText w:val="%1."/>
      <w:numFmt w:val="decimal"/>
      <w:start w:val="6"/>
    </w:lvl>
    <w:lvl w:ilvl="1">
      <w:lvlJc w:val="left"/>
      <w:lvlText w:val="(%2)"/>
      <w:numFmt w:val="lowerLetter"/>
      <w:start w:val="1"/>
    </w:lvl>
  </w:abstractNum>
  <w:abstractNum w:abstractNumId="58">
    <w:nsid w:val="39EE015C"/>
    <w:multiLevelType w:val="hybridMultilevel"/>
    <w:lvl w:ilvl="0">
      <w:lvlJc w:val="left"/>
      <w:lvlText w:val="%1."/>
      <w:numFmt w:val="decimal"/>
      <w:start w:val="8"/>
    </w:lvl>
    <w:lvl w:ilvl="1">
      <w:lvlJc w:val="left"/>
      <w:lvlText w:val="(%2)"/>
      <w:numFmt w:val="lowerLetter"/>
      <w:start w:val="1"/>
    </w:lvl>
  </w:abstractNum>
  <w:abstractNum w:abstractNumId="59">
    <w:nsid w:val="57FC4FBB"/>
    <w:multiLevelType w:val="hybridMultilevel"/>
    <w:lvl w:ilvl="0">
      <w:lvlJc w:val="left"/>
      <w:lvlText w:val="%1."/>
      <w:numFmt w:val="decimal"/>
      <w:start w:val="11"/>
    </w:lvl>
    <w:lvl w:ilvl="1">
      <w:lvlJc w:val="left"/>
      <w:lvlText w:val="(%2)"/>
      <w:numFmt w:val="lowerLetter"/>
      <w:start w:val="1"/>
    </w:lvl>
  </w:abstractNum>
  <w:abstractNum w:abstractNumId="60">
    <w:nsid w:val="CC1016F"/>
    <w:multiLevelType w:val="hybridMultilevel"/>
    <w:lvl w:ilvl="0">
      <w:lvlJc w:val="left"/>
      <w:lvlText w:val="%1."/>
      <w:numFmt w:val="decimal"/>
      <w:start w:val="14"/>
    </w:lvl>
    <w:lvl w:ilvl="1">
      <w:lvlJc w:val="left"/>
      <w:lvlText w:val="(%2)"/>
      <w:numFmt w:val="lowerLetter"/>
      <w:start w:val="1"/>
    </w:lvl>
  </w:abstractNum>
  <w:abstractNum w:abstractNumId="61">
    <w:nsid w:val="43F18422"/>
    <w:multiLevelType w:val="hybridMultilevel"/>
    <w:lvl w:ilvl="0">
      <w:lvlJc w:val="left"/>
      <w:lvlText w:val="%1."/>
      <w:numFmt w:val="decimal"/>
      <w:start w:val="1"/>
    </w:lvl>
  </w:abstractNum>
  <w:abstractNum w:abstractNumId="62">
    <w:nsid w:val="60EF0119"/>
    <w:multiLevelType w:val="hybridMultilevel"/>
    <w:lvl w:ilvl="0">
      <w:lvlJc w:val="left"/>
      <w:lvlText w:val="%1."/>
      <w:numFmt w:val="decimal"/>
      <w:start w:val="2"/>
    </w:lvl>
  </w:abstractNum>
  <w:abstractNum w:abstractNumId="63">
    <w:nsid w:val="26F324BA"/>
    <w:multiLevelType w:val="hybridMultilevel"/>
    <w:lvl w:ilvl="0">
      <w:lvlJc w:val="left"/>
      <w:lvlText w:val="(%1)"/>
      <w:numFmt w:val="lowerLetter"/>
      <w:start w:val="1"/>
    </w:lvl>
  </w:abstractNum>
  <w:abstractNum w:abstractNumId="64">
    <w:nsid w:val="7F01579B"/>
    <w:multiLevelType w:val="hybridMultilevel"/>
    <w:lvl w:ilvl="0">
      <w:lvlJc w:val="left"/>
      <w:lvlText w:val="%1."/>
      <w:numFmt w:val="decimal"/>
      <w:start w:val="6"/>
    </w:lvl>
    <w:lvl w:ilvl="1">
      <w:lvlJc w:val="left"/>
      <w:lvlText w:val="(%2)"/>
      <w:numFmt w:val="lowerLetter"/>
      <w:start w:val="1"/>
    </w:lvl>
  </w:abstractNum>
  <w:abstractNum w:abstractNumId="65">
    <w:nsid w:val="49DA307D"/>
    <w:multiLevelType w:val="hybridMultilevel"/>
    <w:lvl w:ilvl="0">
      <w:lvlJc w:val="left"/>
      <w:lvlText w:val="%1."/>
      <w:numFmt w:val="decimal"/>
      <w:start w:val="8"/>
    </w:lvl>
    <w:lvl w:ilvl="1">
      <w:lvlJc w:val="left"/>
      <w:lvlText w:val="(%2)"/>
      <w:numFmt w:val="lowerLetter"/>
      <w:start w:val="1"/>
    </w:lvl>
  </w:abstractNum>
  <w:abstractNum w:abstractNumId="66">
    <w:nsid w:val="7055A5F5"/>
    <w:multiLevelType w:val="hybridMultilevel"/>
    <w:lvl w:ilvl="0">
      <w:lvlJc w:val="left"/>
      <w:lvlText w:val="%1."/>
      <w:numFmt w:val="decimal"/>
      <w:start w:val="11"/>
    </w:lvl>
    <w:lvl w:ilvl="1">
      <w:lvlJc w:val="left"/>
      <w:lvlText w:val="(%2)"/>
      <w:numFmt w:val="lowerLetter"/>
      <w:start w:val="1"/>
    </w:lvl>
  </w:abstractNum>
  <w:abstractNum w:abstractNumId="67">
    <w:nsid w:val="5FB8370B"/>
    <w:multiLevelType w:val="hybridMultilevel"/>
    <w:lvl w:ilvl="0">
      <w:lvlJc w:val="left"/>
      <w:lvlText w:val="%1."/>
      <w:numFmt w:val="decimal"/>
      <w:start w:val="13"/>
    </w:lvl>
    <w:lvl w:ilvl="1">
      <w:lvlJc w:val="left"/>
      <w:lvlText w:val="(%2)"/>
      <w:numFmt w:val="lowerLetter"/>
      <w:start w:val="1"/>
    </w:lvl>
  </w:abstractNum>
  <w:abstractNum w:abstractNumId="68">
    <w:nsid w:val="50801EE1"/>
    <w:multiLevelType w:val="hybridMultilevel"/>
    <w:lvl w:ilvl="0">
      <w:lvlJc w:val="left"/>
      <w:lvlText w:val="%1."/>
      <w:numFmt w:val="decimal"/>
      <w:start w:val="1"/>
    </w:lvl>
  </w:abstractNum>
  <w:abstractNum w:abstractNumId="69">
    <w:nsid w:val="488AC1A"/>
    <w:multiLevelType w:val="hybridMultilevel"/>
    <w:lvl w:ilvl="0">
      <w:lvlJc w:val="left"/>
      <w:lvlText w:val="%1."/>
      <w:numFmt w:val="decimal"/>
      <w:start w:val="2"/>
    </w:lvl>
  </w:abstractNum>
  <w:abstractNum w:abstractNumId="70">
    <w:nsid w:val="5FB8011C"/>
    <w:multiLevelType w:val="hybridMultilevel"/>
    <w:lvl w:ilvl="0">
      <w:lvlJc w:val="left"/>
      <w:lvlText w:val="(%1)"/>
      <w:numFmt w:val="lowerLetter"/>
      <w:start w:val="1"/>
    </w:lvl>
    <w:lvl w:ilvl="1">
      <w:lvlJc w:val="left"/>
      <w:lvlText w:val="(%2)"/>
      <w:numFmt w:val="lowerLetter"/>
      <w:start w:val="2"/>
    </w:lvl>
  </w:abstractNum>
  <w:abstractNum w:abstractNumId="71">
    <w:nsid w:val="6AA78F7F"/>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72">
    <w:nsid w:val="7672BD23"/>
    <w:multiLevelType w:val="hybridMultilevel"/>
    <w:lvl w:ilvl="0">
      <w:lvlJc w:val="left"/>
      <w:lvlText w:val="%1."/>
      <w:numFmt w:val="decimal"/>
      <w:start w:val="7"/>
    </w:lvl>
  </w:abstractNum>
  <w:abstractNum w:abstractNumId="73">
    <w:nsid w:val="6FC75AF8"/>
    <w:multiLevelType w:val="hybridMultilevel"/>
    <w:lvl w:ilvl="0">
      <w:lvlJc w:val="left"/>
      <w:lvlText w:val="%1."/>
      <w:numFmt w:val="decimal"/>
      <w:start w:val="8"/>
    </w:lvl>
    <w:lvl w:ilvl="1">
      <w:lvlJc w:val="left"/>
      <w:lvlText w:val="(%2)"/>
      <w:numFmt w:val="lowerLetter"/>
      <w:start w:val="1"/>
    </w:lvl>
  </w:abstractNum>
  <w:abstractNum w:abstractNumId="74">
    <w:nsid w:val="6A5F7029"/>
    <w:multiLevelType w:val="hybridMultilevel"/>
    <w:lvl w:ilvl="0">
      <w:lvlJc w:val="left"/>
      <w:lvlText w:val="%1"/>
      <w:numFmt w:val="decimal"/>
      <w:start w:val="1"/>
    </w:lvl>
    <w:lvl w:ilvl="1">
      <w:lvlJc w:val="left"/>
      <w:lvlText w:val="(%2)"/>
      <w:numFmt w:val="lowerLetter"/>
      <w:start w:val="2"/>
    </w:lvl>
  </w:abstractNum>
  <w:abstractNum w:abstractNumId="75">
    <w:nsid w:val="7D5E18F8"/>
    <w:multiLevelType w:val="hybridMultilevel"/>
    <w:lvl w:ilvl="0">
      <w:lvlJc w:val="left"/>
      <w:lvlText w:val="%1."/>
      <w:numFmt w:val="decimal"/>
      <w:start w:val="9"/>
    </w:lvl>
    <w:lvl w:ilvl="1">
      <w:lvlJc w:val="left"/>
      <w:lvlText w:val="%2"/>
      <w:numFmt w:val="lowerLetter"/>
      <w:start w:val="1"/>
    </w:lvl>
  </w:abstractNum>
  <w:abstractNum w:abstractNumId="76">
    <w:nsid w:val="5F3534A4"/>
    <w:multiLevelType w:val="hybridMultilevel"/>
    <w:lvl w:ilvl="0">
      <w:lvlJc w:val="left"/>
      <w:lvlText w:val="%1."/>
      <w:numFmt w:val="decimal"/>
      <w:start w:val="10"/>
    </w:lvl>
  </w:abstractNum>
  <w:abstractNum w:abstractNumId="77">
    <w:nsid w:val="73A1821B"/>
    <w:multiLevelType w:val="hybridMultilevel"/>
    <w:lvl w:ilvl="0">
      <w:lvlJc w:val="left"/>
      <w:lvlText w:val="(%1)"/>
      <w:numFmt w:val="lowerLetter"/>
      <w:start w:val="1"/>
    </w:lvl>
  </w:abstractNum>
  <w:abstractNum w:abstractNumId="78">
    <w:nsid w:val="7DE67713"/>
    <w:multiLevelType w:val="hybridMultilevel"/>
    <w:lvl w:ilvl="0">
      <w:lvlJc w:val="left"/>
      <w:lvlText w:val="%1."/>
      <w:numFmt w:val="decimal"/>
      <w:start w:val="11"/>
    </w:lvl>
  </w:abstractNum>
  <w:abstractNum w:abstractNumId="79">
    <w:nsid w:val="555C55B5"/>
    <w:multiLevelType w:val="hybridMultilevel"/>
    <w:lvl w:ilvl="0">
      <w:lvlJc w:val="left"/>
      <w:lvlText w:val="%1."/>
      <w:numFmt w:val="decimal"/>
      <w:start w:val="12"/>
    </w:lvl>
    <w:lvl w:ilvl="1">
      <w:lvlJc w:val="left"/>
      <w:lvlText w:val="(%2)"/>
      <w:numFmt w:val="lowerLetter"/>
      <w:start w:val="1"/>
    </w:lvl>
  </w:abstractNum>
  <w:abstractNum w:abstractNumId="80">
    <w:nsid w:val="3FA62ACA"/>
    <w:multiLevelType w:val="hybridMultilevel"/>
    <w:lvl w:ilvl="0">
      <w:lvlJc w:val="left"/>
      <w:lvlText w:val="%1."/>
      <w:numFmt w:val="decimal"/>
      <w:start w:val="1"/>
    </w:lvl>
  </w:abstractNum>
  <w:abstractNum w:abstractNumId="81">
    <w:nsid w:val="14FCE74E"/>
    <w:multiLevelType w:val="hybridMultilevel"/>
    <w:lvl w:ilvl="0">
      <w:lvlJc w:val="left"/>
      <w:lvlText w:val="%1"/>
      <w:numFmt w:val="lowerLetter"/>
      <w:start w:val="1"/>
    </w:lvl>
    <w:lvl w:ilvl="1">
      <w:lvlJc w:val="left"/>
      <w:lvlText w:val="%2."/>
      <w:numFmt w:val="decimal"/>
      <w:start w:val="3"/>
    </w:lvl>
  </w:abstractNum>
  <w:abstractNum w:abstractNumId="82">
    <w:nsid w:val="6A3DD3E8"/>
    <w:multiLevelType w:val="hybridMultilevel"/>
    <w:lvl w:ilvl="0">
      <w:lvlJc w:val="left"/>
      <w:lvlText w:val="(%1)"/>
      <w:numFmt w:val="lowerLetter"/>
      <w:start w:val="1"/>
    </w:lvl>
    <w:lvl w:ilvl="1">
      <w:lvlJc w:val="left"/>
      <w:lvlText w:val="%2"/>
      <w:numFmt w:val="decimal"/>
      <w:start w:val="1"/>
    </w:lvl>
  </w:abstractNum>
  <w:abstractNum w:abstractNumId="83">
    <w:nsid w:val="71C91298"/>
    <w:multiLevelType w:val="hybridMultilevel"/>
    <w:lvl w:ilvl="0">
      <w:lvlJc w:val="left"/>
      <w:lvlText w:val="(%1)"/>
      <w:numFmt w:val="lowerLetter"/>
      <w:start w:val="3"/>
    </w:lvl>
  </w:abstractNum>
  <w:abstractNum w:abstractNumId="84">
    <w:nsid w:val="9DAF632"/>
    <w:multiLevelType w:val="hybridMultilevel"/>
    <w:lvl w:ilvl="0">
      <w:lvlJc w:val="left"/>
      <w:lvlText w:val="(%1)"/>
      <w:numFmt w:val="lowerLetter"/>
      <w:start w:val="4"/>
    </w:lvl>
  </w:abstractNum>
  <w:abstractNum w:abstractNumId="85">
    <w:nsid w:val="53299938"/>
    <w:multiLevelType w:val="hybridMultilevel"/>
    <w:lvl w:ilvl="0">
      <w:lvlJc w:val="left"/>
      <w:lvlText w:val="%1."/>
      <w:numFmt w:val="decimal"/>
      <w:start w:val="5"/>
    </w:lvl>
  </w:abstractNum>
  <w:abstractNum w:abstractNumId="86">
    <w:nsid w:val="1FBFE8E0"/>
    <w:multiLevelType w:val="hybridMultilevel"/>
    <w:lvl w:ilvl="0">
      <w:lvlJc w:val="left"/>
      <w:lvlText w:val="%1."/>
      <w:numFmt w:val="decimal"/>
      <w:start w:val="6"/>
    </w:lvl>
  </w:abstractNum>
  <w:abstractNum w:abstractNumId="87">
    <w:nsid w:val="5092CA79"/>
    <w:multiLevelType w:val="hybridMultilevel"/>
    <w:lvl w:ilvl="0">
      <w:lvlJc w:val="left"/>
      <w:lvlText w:val="%1."/>
      <w:numFmt w:val="decimal"/>
      <w:start w:val="7"/>
    </w:lvl>
    <w:lvl w:ilvl="1">
      <w:lvlJc w:val="left"/>
      <w:lvlText w:val="(%2)"/>
      <w:numFmt w:val="lowerLetter"/>
      <w:start w:val="1"/>
    </w:lvl>
  </w:abstractNum>
  <w:abstractNum w:abstractNumId="88">
    <w:nsid w:val="1D545C4D"/>
    <w:multiLevelType w:val="hybridMultilevel"/>
    <w:lvl w:ilvl="0">
      <w:lvlJc w:val="left"/>
      <w:lvlText w:val="(%1)"/>
      <w:numFmt w:val="lowerLetter"/>
      <w:start w:val="3"/>
    </w:lvl>
  </w:abstractNum>
  <w:abstractNum w:abstractNumId="89">
    <w:nsid w:val="59ADEA3D"/>
    <w:multiLevelType w:val="hybridMultilevel"/>
    <w:lvl w:ilvl="0">
      <w:lvlJc w:val="left"/>
      <w:lvlText w:val="%1."/>
      <w:numFmt w:val="decimal"/>
      <w:start w:val="8"/>
    </w:lvl>
    <w:lvl w:ilvl="1">
      <w:lvlJc w:val="left"/>
      <w:lvlText w:val="(%2)"/>
      <w:numFmt w:val="lowerLetter"/>
      <w:start w:val="1"/>
    </w:lvl>
  </w:abstractNum>
  <w:abstractNum w:abstractNumId="90">
    <w:nsid w:val="288F1A34"/>
    <w:multiLevelType w:val="hybridMultilevel"/>
    <w:lvl w:ilvl="0">
      <w:lvlJc w:val="left"/>
      <w:lvlText w:val="(%1)"/>
      <w:numFmt w:val="decimal"/>
      <w:start w:val="1"/>
    </w:lvl>
  </w:abstractNum>
  <w:abstractNum w:abstractNumId="91">
    <w:nsid w:val="2A155DBC"/>
    <w:multiLevelType w:val="hybridMultilevel"/>
    <w:lvl w:ilvl="0">
      <w:lvlJc w:val="left"/>
      <w:lvlText w:val="(%1)"/>
      <w:numFmt w:val="lowerLetter"/>
      <w:start w:val="2"/>
    </w:lvl>
  </w:abstractNum>
  <w:abstractNum w:abstractNumId="92">
    <w:nsid w:val="1D9F6E5F"/>
    <w:multiLevelType w:val="hybridMultilevel"/>
    <w:lvl w:ilvl="0">
      <w:lvlJc w:val="left"/>
      <w:lvlText w:val="(%1)"/>
      <w:numFmt w:val="lowerLetter"/>
      <w:start w:val="3"/>
    </w:lvl>
  </w:abstractNum>
  <w:abstractNum w:abstractNumId="93">
    <w:nsid w:val="97E1B4E"/>
    <w:multiLevelType w:val="hybridMultilevel"/>
    <w:lvl w:ilvl="0">
      <w:lvlJc w:val="left"/>
      <w:lvlText w:val="(%1)"/>
      <w:numFmt w:val="decimal"/>
      <w:start w:val="1"/>
    </w:lvl>
  </w:abstractNum>
  <w:abstractNum w:abstractNumId="94">
    <w:nsid w:val="51088277"/>
    <w:multiLevelType w:val="hybridMultilevel"/>
    <w:lvl w:ilvl="0">
      <w:lvlJc w:val="left"/>
      <w:lvlText w:val="(%1)"/>
      <w:numFmt w:val="decimal"/>
      <w:start w:val="9"/>
    </w:lvl>
  </w:abstractNum>
  <w:abstractNum w:abstractNumId="95">
    <w:nsid w:val="1CA0C5FA"/>
    <w:multiLevelType w:val="hybridMultilevel"/>
    <w:lvl w:ilvl="0">
      <w:lvlJc w:val="left"/>
      <w:lvlText w:val="(%1)"/>
      <w:numFmt w:val="lowerLetter"/>
      <w:start w:val="5"/>
    </w:lvl>
  </w:abstractNum>
  <w:abstractNum w:abstractNumId="96">
    <w:nsid w:val="53584BCB"/>
    <w:multiLevelType w:val="hybridMultilevel"/>
    <w:lvl w:ilvl="0">
      <w:lvlJc w:val="left"/>
      <w:lvlText w:val="%1"/>
      <w:numFmt w:val="lowerLetter"/>
      <w:start w:val="1"/>
    </w:lvl>
    <w:lvl w:ilvl="1">
      <w:lvlJc w:val="left"/>
      <w:lvlText w:val="(%2)"/>
      <w:numFmt w:val="decimal"/>
      <w:start w:val="1"/>
    </w:lvl>
  </w:abstractNum>
  <w:abstractNum w:abstractNumId="97">
    <w:nsid w:val="415E286C"/>
    <w:multiLevelType w:val="hybridMultilevel"/>
    <w:lvl w:ilvl="0">
      <w:lvlJc w:val="left"/>
      <w:lvlText w:val="(%1)"/>
      <w:numFmt w:val="lowerLetter"/>
      <w:start w:val="6"/>
    </w:lvl>
    <w:lvl w:ilvl="1">
      <w:lvlJc w:val="left"/>
      <w:lvlText w:val="%2"/>
      <w:numFmt w:val="decimal"/>
      <w:start w:val="1"/>
    </w:lvl>
  </w:abstractNum>
  <w:abstractNum w:abstractNumId="98">
    <w:nsid w:val="7C58FD05"/>
    <w:multiLevelType w:val="hybridMultilevel"/>
    <w:lvl w:ilvl="0">
      <w:lvlJc w:val="left"/>
      <w:lvlText w:val="%1"/>
      <w:numFmt w:val="decimal"/>
      <w:start w:val="1"/>
    </w:lvl>
    <w:lvl w:ilvl="1">
      <w:lvlJc w:val="left"/>
      <w:lvlText w:val="(%2)"/>
      <w:numFmt w:val="decimal"/>
      <w:start w:val="9"/>
    </w:lvl>
  </w:abstractNum>
  <w:abstractNum w:abstractNumId="99">
    <w:nsid w:val="23D86AAC"/>
    <w:multiLevelType w:val="hybridMultilevel"/>
    <w:lvl w:ilvl="0">
      <w:lvlJc w:val="left"/>
      <w:lvlText w:val="%1."/>
      <w:numFmt w:val="decimal"/>
      <w:start w:val="9"/>
    </w:lvl>
    <w:lvl w:ilvl="1">
      <w:lvlJc w:val="left"/>
      <w:lvlText w:val="%2"/>
      <w:numFmt w:val="decimal"/>
      <w:start w:val="1"/>
    </w:lvl>
  </w:abstractNum>
  <w:abstractNum w:abstractNumId="100">
    <w:nsid w:val="45E6D486"/>
    <w:multiLevelType w:val="hybridMultilevel"/>
    <w:lvl w:ilvl="0">
      <w:lvlJc w:val="left"/>
      <w:lvlText w:val="(%1)"/>
      <w:numFmt w:val="lowerLetter"/>
      <w:start w:val="1"/>
    </w:lvl>
  </w:abstractNum>
  <w:abstractNum w:abstractNumId="101">
    <w:nsid w:val="5C10FE21"/>
    <w:multiLevelType w:val="hybridMultilevel"/>
    <w:lvl w:ilvl="0">
      <w:lvlJc w:val="left"/>
      <w:lvlText w:val="(%1)"/>
      <w:numFmt w:val="lowerRoman"/>
      <w:start w:val="1"/>
    </w:lvl>
    <w:lvl w:ilvl="1">
      <w:lvlJc w:val="left"/>
      <w:lvlText w:val="(%2)"/>
      <w:numFmt w:val="lowerRoman"/>
      <w:start w:val="2"/>
    </w:lvl>
  </w:abstractNum>
  <w:abstractNum w:abstractNumId="102">
    <w:nsid w:val="E7FFA2B"/>
    <w:multiLevelType w:val="hybridMultilevel"/>
    <w:lvl w:ilvl="0">
      <w:lvlJc w:val="left"/>
      <w:lvlText w:val="(%1)"/>
      <w:numFmt w:val="lowerLetter"/>
      <w:start w:val="2"/>
    </w:lvl>
  </w:abstractNum>
  <w:abstractNum w:abstractNumId="103">
    <w:nsid w:val="3C5991AA"/>
    <w:multiLevelType w:val="hybridMultilevel"/>
    <w:lvl w:ilvl="0">
      <w:lvlJc w:val="left"/>
      <w:lvlText w:val="(%1)"/>
      <w:numFmt w:val="lowerLetter"/>
      <w:start w:val="3"/>
    </w:lvl>
    <w:lvl w:ilvl="1">
      <w:lvlJc w:val="left"/>
      <w:lvlText w:val="%2."/>
      <w:numFmt w:val="decimal"/>
      <w:start w:val="10"/>
    </w:lvl>
    <w:lvl w:ilvl="2">
      <w:lvlJc w:val="left"/>
      <w:lvlText w:val="(%3)"/>
      <w:numFmt w:val="lowerLetter"/>
      <w:start w:val="1"/>
    </w:lvl>
  </w:abstractNum>
  <w:abstractNum w:abstractNumId="104">
    <w:nsid w:val="4BD8591A"/>
    <w:multiLevelType w:val="hybridMultilevel"/>
    <w:lvl w:ilvl="0">
      <w:lvlJc w:val="left"/>
      <w:lvlText w:val="%1."/>
      <w:numFmt w:val="decimal"/>
      <w:start w:val="12"/>
    </w:lvl>
  </w:abstractNum>
  <w:abstractNum w:abstractNumId="105">
    <w:nsid w:val="78DF6A55"/>
    <w:multiLevelType w:val="hybridMultilevel"/>
    <w:lvl w:ilvl="0">
      <w:lvlJc w:val="left"/>
      <w:lvlText w:val="(%1)"/>
      <w:numFmt w:val="lowerLetter"/>
      <w:start w:val="1"/>
    </w:lvl>
  </w:abstractNum>
  <w:abstractNum w:abstractNumId="106">
    <w:nsid w:val="39B7AAA2"/>
    <w:multiLevelType w:val="hybridMultilevel"/>
    <w:lvl w:ilvl="0">
      <w:lvlJc w:val="left"/>
      <w:lvlText w:val="(%1)"/>
      <w:numFmt w:val="lowerLetter"/>
      <w:start w:val="2"/>
    </w:lvl>
  </w:abstractNum>
  <w:abstractNum w:abstractNumId="107">
    <w:nsid w:val="2B0D8DBE"/>
    <w:multiLevelType w:val="hybridMultilevel"/>
    <w:lvl w:ilvl="0">
      <w:lvlJc w:val="left"/>
      <w:lvlText w:val="%1."/>
      <w:numFmt w:val="decimal"/>
      <w:start w:val="13"/>
    </w:lvl>
  </w:abstractNum>
  <w:abstractNum w:abstractNumId="108">
    <w:nsid w:val="6C80EC70"/>
    <w:multiLevelType w:val="hybridMultilevel"/>
    <w:lvl w:ilvl="0">
      <w:lvlJc w:val="left"/>
      <w:lvlText w:val="%1."/>
      <w:numFmt w:val="decimal"/>
      <w:start w:val="15"/>
    </w:lvl>
    <w:lvl w:ilvl="1">
      <w:lvlJc w:val="left"/>
      <w:lvlText w:val="(%2)"/>
      <w:numFmt w:val="lowerLetter"/>
      <w:start w:val="1"/>
    </w:lvl>
  </w:abstractNum>
  <w:abstractNum w:abstractNumId="109">
    <w:nsid w:val="379E21B5"/>
    <w:multiLevelType w:val="hybridMultilevel"/>
    <w:lvl w:ilvl="0">
      <w:lvlJc w:val="left"/>
      <w:lvlText w:val="(%1)"/>
      <w:numFmt w:val="lowerLetter"/>
      <w:start w:val="5"/>
    </w:lvl>
  </w:abstractNum>
  <w:abstractNum w:abstractNumId="110">
    <w:nsid w:val="69E373"/>
    <w:multiLevelType w:val="hybridMultilevel"/>
    <w:lvl w:ilvl="0">
      <w:lvlJc w:val="left"/>
      <w:lvlText w:val="%1."/>
      <w:numFmt w:val="decimal"/>
      <w:start w:val="1"/>
    </w:lvl>
  </w:abstractNum>
  <w:abstractNum w:abstractNumId="111">
    <w:nsid w:val="2C27173B"/>
    <w:multiLevelType w:val="hybridMultilevel"/>
    <w:lvl w:ilvl="0">
      <w:lvlJc w:val="left"/>
      <w:lvlText w:val="(%1)"/>
      <w:numFmt w:val="lowerLetter"/>
      <w:start w:val="1"/>
    </w:lvl>
  </w:abstractNum>
  <w:abstractNum w:abstractNumId="112">
    <w:nsid w:val="4C9B0904"/>
    <w:multiLevelType w:val="hybridMultilevel"/>
    <w:lvl w:ilvl="0">
      <w:lvlJc w:val="left"/>
      <w:lvlText w:val="%1."/>
      <w:numFmt w:val="decimal"/>
      <w:start w:val="2"/>
    </w:lvl>
  </w:abstractNum>
  <w:abstractNum w:abstractNumId="113">
    <w:nsid w:val="6AA7B75C"/>
    <w:multiLevelType w:val="hybridMultilevel"/>
    <w:lvl w:ilvl="0">
      <w:lvlJc w:val="left"/>
      <w:lvlText w:val="%1."/>
      <w:numFmt w:val="decimal"/>
      <w:start w:val="3"/>
    </w:lvl>
  </w:abstractNum>
  <w:abstractNum w:abstractNumId="114">
    <w:nsid w:val="1DF029D3"/>
    <w:multiLevelType w:val="hybridMultilevel"/>
    <w:lvl w:ilvl="0">
      <w:lvlJc w:val="left"/>
      <w:lvlText w:val="%1."/>
      <w:numFmt w:val="decimal"/>
      <w:start w:val="4"/>
    </w:lvl>
  </w:abstractNum>
  <w:abstractNum w:abstractNumId="115">
    <w:nsid w:val="5675FF36"/>
    <w:multiLevelType w:val="hybridMultilevel"/>
    <w:lvl w:ilvl="0">
      <w:lvlJc w:val="left"/>
      <w:lvlText w:val="%1"/>
      <w:numFmt w:val="decimal"/>
      <w:start w:val="1"/>
    </w:lvl>
    <w:lvl w:ilvl="1">
      <w:lvlJc w:val="left"/>
      <w:lvlText w:val="(%2)"/>
      <w:numFmt w:val="lowerLetter"/>
      <w:start w:val="1"/>
    </w:lvl>
  </w:abstractNum>
  <w:abstractNum w:abstractNumId="116">
    <w:nsid w:val="3DD15094"/>
    <w:multiLevelType w:val="hybridMultilevel"/>
    <w:lvl w:ilvl="0">
      <w:lvlJc w:val="left"/>
      <w:lvlText w:val="%1."/>
      <w:numFmt w:val="decimal"/>
      <w:start w:val="5"/>
    </w:lvl>
    <w:lvl w:ilvl="1">
      <w:lvlJc w:val="left"/>
      <w:lvlText w:val="%2"/>
      <w:numFmt w:val="lowerLetter"/>
      <w:start w:val="1"/>
    </w:lvl>
  </w:abstractNum>
  <w:abstractNum w:abstractNumId="117">
    <w:nsid w:val="3DB012B3"/>
    <w:multiLevelType w:val="hybridMultilevel"/>
    <w:lvl w:ilvl="0">
      <w:lvlJc w:val="left"/>
      <w:lvlText w:val="%1"/>
      <w:numFmt w:val="decimal"/>
      <w:start w:val="1"/>
    </w:lvl>
    <w:lvl w:ilvl="1">
      <w:lvlJc w:val="left"/>
      <w:lvlText w:val="(%2)"/>
      <w:numFmt w:val="lowerLetter"/>
      <w:start w:val="1"/>
    </w:lvl>
  </w:abstractNum>
  <w:abstractNum w:abstractNumId="118">
    <w:nsid w:val="2708C9AF"/>
    <w:multiLevelType w:val="hybridMultilevel"/>
    <w:lvl w:ilvl="0">
      <w:lvlJc w:val="left"/>
      <w:lvlText w:val="%1."/>
      <w:numFmt w:val="decimal"/>
      <w:start w:val="6"/>
    </w:lvl>
    <w:lvl w:ilvl="1">
      <w:lvlJc w:val="left"/>
      <w:lvlText w:val="%2"/>
      <w:numFmt w:val="lowerLetter"/>
      <w:start w:val="1"/>
    </w:lvl>
  </w:abstractNum>
  <w:abstractNum w:abstractNumId="119">
    <w:nsid w:val="5B25ACE2"/>
    <w:multiLevelType w:val="hybridMultilevel"/>
    <w:lvl w:ilvl="0">
      <w:lvlJc w:val="left"/>
      <w:lvlText w:val="%1."/>
      <w:numFmt w:val="decimal"/>
      <w:start w:val="7"/>
    </w:lvl>
  </w:abstractNum>
  <w:abstractNum w:abstractNumId="120">
    <w:nsid w:val="175DFCF0"/>
    <w:multiLevelType w:val="hybridMultilevel"/>
    <w:lvl w:ilvl="0">
      <w:lvlJc w:val="left"/>
      <w:lvlText w:val="(%1)"/>
      <w:numFmt w:val="lowerLetter"/>
      <w:start w:val="1"/>
    </w:lvl>
  </w:abstractNum>
  <w:abstractNum w:abstractNumId="121">
    <w:nsid w:val="4F97E3E4"/>
    <w:multiLevelType w:val="hybridMultilevel"/>
    <w:lvl w:ilvl="0">
      <w:lvlJc w:val="left"/>
      <w:lvlText w:val="(%1)"/>
      <w:numFmt w:val="lowerLetter"/>
      <w:start w:val="4"/>
    </w:lvl>
  </w:abstractNum>
  <w:abstractNum w:abstractNumId="122">
    <w:nsid w:val="53B0A9E"/>
    <w:multiLevelType w:val="hybridMultilevel"/>
    <w:lvl w:ilvl="0">
      <w:lvlJc w:val="left"/>
      <w:lvlText w:val="(%1)"/>
      <w:numFmt w:val="lowerLetter"/>
      <w:start w:val="1"/>
    </w:lvl>
  </w:abstractNum>
  <w:abstractNum w:abstractNumId="123">
    <w:nsid w:val="34FD6B4F"/>
    <w:multiLevelType w:val="hybridMultilevel"/>
    <w:lvl w:ilvl="0">
      <w:lvlJc w:val="left"/>
      <w:lvlText w:val="(%1)"/>
      <w:numFmt w:val="lowerLetter"/>
      <w:start w:val="1"/>
    </w:lvl>
  </w:abstractNum>
  <w:abstractNum w:abstractNumId="124">
    <w:nsid w:val="5915FF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2020-01-25T08:30:04Z</dcterms:created>
  <dcterms:modified xsi:type="dcterms:W3CDTF">2020-01-25T08:30:04Z</dcterms:modified>
</cp:coreProperties>
</file>