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Vera Juan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MARKER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4551 KENNEDY COMMERCE DR.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Marker Therapeutics, Inc.</w:t>
              </w:r>
            </w:hyperlink>
            <w:r>
              <w:rPr/>
              <w:t xml:space="preserve"> [ </w:t>
            </w:r>
            <w:r>
              <w:rPr>
                <w:rFonts w:ascii="Times;serif" w:hAnsi="Times;serif"/>
                <w:color w:val="0000FF"/>
                <w:sz w:val="24"/>
                <w:shd w:fill="FFFFFF" w:val="clear"/>
              </w:rPr>
              <w:t>MRKR</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05/10/2023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05/10/2033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vests in equal annual installments on May 10, 2024, May 10, 2025, May 10, 2026 and May 10, 2027 subject to the continued service by the Reporting Person to the Issuer as of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Loiacono,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55495" TargetMode="External"/><Relationship Id="rId4" Type="http://schemas.openxmlformats.org/officeDocument/2006/relationships/hyperlink" Target="http://www.sec.gov/cgi-bin/browse-edgar?action=getcompany&amp;CIK=000109403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3305</Characters>
  <CharactersWithSpaces>3848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