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366395</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t>Filed pursuant to Rule 424(b)(3) Registration No. 333-205757.</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2845435</wp:posOffset>
            </wp:positionH>
            <wp:positionV relativeFrom="paragraph">
              <wp:posOffset>262890</wp:posOffset>
            </wp:positionV>
            <wp:extent cx="1565910" cy="869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5910" cy="869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24,640,000 Shares of Common Stock</w:t>
      </w: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Arial" w:cs="Arial" w:eastAsia="Arial" w:hAnsi="Arial"/>
          <w:sz w:val="15"/>
          <w:szCs w:val="15"/>
          <w:color w:val="auto"/>
        </w:rPr>
        <w:t>This prospectus covers the resale of:</w:t>
      </w:r>
    </w:p>
    <w:p>
      <w:pPr>
        <w:spacing w:after="0" w:line="212" w:lineRule="exact"/>
        <w:rPr>
          <w:sz w:val="24"/>
          <w:szCs w:val="24"/>
          <w:color w:val="auto"/>
        </w:rPr>
      </w:pPr>
    </w:p>
    <w:p>
      <w:pPr>
        <w:ind w:left="1080" w:hanging="547"/>
        <w:spacing w:after="0"/>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7,320,000 shares of common stock issuable upon exercise of 7,320,000 Series B Warrants issued on May 28, 2015;</w:t>
      </w:r>
    </w:p>
    <w:p>
      <w:pPr>
        <w:spacing w:after="0" w:line="212" w:lineRule="exact"/>
        <w:rPr>
          <w:rFonts w:ascii="Arial" w:cs="Arial" w:eastAsia="Arial" w:hAnsi="Arial"/>
          <w:sz w:val="15"/>
          <w:szCs w:val="15"/>
          <w:color w:val="auto"/>
        </w:rPr>
      </w:pPr>
    </w:p>
    <w:p>
      <w:pPr>
        <w:ind w:left="1080" w:hanging="547"/>
        <w:spacing w:after="0"/>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7,320,000 shares of common stock issuable upon exercise of 7,320,000 Series C Warrants issued on May 28, 2015;</w:t>
      </w:r>
    </w:p>
    <w:p>
      <w:pPr>
        <w:spacing w:after="0" w:line="212" w:lineRule="exact"/>
        <w:rPr>
          <w:rFonts w:ascii="Arial" w:cs="Arial" w:eastAsia="Arial" w:hAnsi="Arial"/>
          <w:sz w:val="15"/>
          <w:szCs w:val="15"/>
          <w:color w:val="auto"/>
        </w:rPr>
      </w:pPr>
    </w:p>
    <w:p>
      <w:pPr>
        <w:ind w:left="1080" w:hanging="547"/>
        <w:spacing w:after="0"/>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5,000,000 shares of common stock issuable upon exercise of 5,000,000 Series B-1 Warrants issued on May 28, 2015; and</w:t>
      </w:r>
    </w:p>
    <w:p>
      <w:pPr>
        <w:spacing w:after="0" w:line="212" w:lineRule="exact"/>
        <w:rPr>
          <w:rFonts w:ascii="Arial" w:cs="Arial" w:eastAsia="Arial" w:hAnsi="Arial"/>
          <w:sz w:val="15"/>
          <w:szCs w:val="15"/>
          <w:color w:val="auto"/>
        </w:rPr>
      </w:pPr>
    </w:p>
    <w:p>
      <w:pPr>
        <w:ind w:left="1080" w:hanging="547"/>
        <w:spacing w:after="0"/>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5,000,000 shares of common stock issued to a shareholder on June 16, 2015.</w:t>
      </w:r>
    </w:p>
    <w:p>
      <w:pPr>
        <w:spacing w:after="0" w:line="189" w:lineRule="exact"/>
        <w:rPr>
          <w:sz w:val="24"/>
          <w:szCs w:val="24"/>
          <w:color w:val="auto"/>
        </w:rPr>
      </w:pPr>
    </w:p>
    <w:p>
      <w:pPr>
        <w:ind w:right="20"/>
        <w:spacing w:after="0" w:line="276" w:lineRule="auto"/>
        <w:rPr>
          <w:sz w:val="20"/>
          <w:szCs w:val="20"/>
          <w:color w:val="auto"/>
        </w:rPr>
      </w:pPr>
      <w:r>
        <w:rPr>
          <w:rFonts w:ascii="Arial" w:cs="Arial" w:eastAsia="Arial" w:hAnsi="Arial"/>
          <w:sz w:val="15"/>
          <w:szCs w:val="15"/>
          <w:color w:val="auto"/>
        </w:rPr>
        <w:t>Our common stock is quoted on the OTCQB under the symbol “TPIV.” On July 15, 2015, the last reported sale price of our common stock on the OTCQB was $0.79 per share, and we had approximately 38,073,791 shares of common stock outstanding.</w:t>
      </w:r>
    </w:p>
    <w:p>
      <w:pPr>
        <w:spacing w:after="0" w:line="146"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The selling stockholders may offer all or part of the shares for resale from time to time through public or private transactions, at either prevailing market prices or at privately negotiated prices.</w:t>
      </w:r>
    </w:p>
    <w:p>
      <w:pPr>
        <w:spacing w:after="0" w:line="146"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Investing in our securities involves risks. You should review carefully the risks and uncertainties described under the heading “</w:t>
      </w:r>
      <w:r>
        <w:rPr>
          <w:rFonts w:ascii="Arial" w:cs="Arial" w:eastAsia="Arial" w:hAnsi="Arial"/>
          <w:sz w:val="15"/>
          <w:szCs w:val="15"/>
          <w:b w:val="1"/>
          <w:bCs w:val="1"/>
          <w:u w:val="single" w:color="auto"/>
          <w:color w:val="auto"/>
        </w:rPr>
        <w:t>Risk Factors</w:t>
      </w:r>
      <w:r>
        <w:rPr>
          <w:rFonts w:ascii="Arial" w:cs="Arial" w:eastAsia="Arial" w:hAnsi="Arial"/>
          <w:sz w:val="15"/>
          <w:szCs w:val="15"/>
          <w:b w:val="1"/>
          <w:bCs w:val="1"/>
          <w:color w:val="auto"/>
        </w:rPr>
        <w:t>” on page 1.</w:t>
      </w:r>
    </w:p>
    <w:p>
      <w:pPr>
        <w:spacing w:after="0" w:line="189" w:lineRule="exact"/>
        <w:rPr>
          <w:sz w:val="24"/>
          <w:szCs w:val="24"/>
          <w:color w:val="auto"/>
        </w:rPr>
      </w:pPr>
    </w:p>
    <w:p>
      <w:pPr>
        <w:spacing w:after="0" w:line="282"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The date of this prospectus is August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856615</wp:posOffset>
            </wp:positionV>
            <wp:extent cx="727456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82"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080" w:type="dxa"/>
            <w:vAlign w:val="bottom"/>
          </w:tcPr>
          <w:p>
            <w:pPr>
              <w:ind w:left="5120"/>
              <w:spacing w:after="0"/>
              <w:rPr>
                <w:sz w:val="20"/>
                <w:szCs w:val="20"/>
                <w:color w:val="auto"/>
              </w:rPr>
            </w:pPr>
            <w:r>
              <w:rPr>
                <w:rFonts w:ascii="Arial" w:cs="Arial" w:eastAsia="Arial" w:hAnsi="Arial"/>
                <w:sz w:val="15"/>
                <w:szCs w:val="15"/>
                <w:b w:val="1"/>
                <w:bCs w:val="1"/>
                <w:color w:val="auto"/>
              </w:rPr>
              <w:t>Table of Contents</w:t>
            </w:r>
          </w:p>
        </w:tc>
        <w:tc>
          <w:tcPr>
            <w:tcW w:w="1340" w:type="dxa"/>
            <w:vAlign w:val="bottom"/>
          </w:tcPr>
          <w:p>
            <w:pPr>
              <w:spacing w:after="0"/>
              <w:rPr>
                <w:sz w:val="16"/>
                <w:szCs w:val="16"/>
                <w:color w:val="auto"/>
              </w:rPr>
            </w:pPr>
          </w:p>
        </w:tc>
      </w:tr>
      <w:tr>
        <w:trPr>
          <w:trHeight w:val="388"/>
        </w:trPr>
        <w:tc>
          <w:tcPr>
            <w:tcW w:w="2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Page</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Prospectus Summary</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i</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Risk Factors</w:t>
            </w:r>
          </w:p>
        </w:tc>
        <w:tc>
          <w:tcPr>
            <w:tcW w:w="13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Use of Proceeds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Determination of Offering Price</w:t>
            </w:r>
          </w:p>
        </w:tc>
        <w:tc>
          <w:tcPr>
            <w:tcW w:w="13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Selling Stockholders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Plan of Distribution</w:t>
            </w:r>
          </w:p>
        </w:tc>
        <w:tc>
          <w:tcPr>
            <w:tcW w:w="13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Description of Securities to be Registered</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Business</w:t>
            </w:r>
          </w:p>
        </w:tc>
        <w:tc>
          <w:tcPr>
            <w:tcW w:w="13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Market For Common Equity and Related Stockholder Matters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3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Management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Transactions with Related Persons</w:t>
            </w:r>
          </w:p>
        </w:tc>
        <w:tc>
          <w:tcPr>
            <w:tcW w:w="134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Executive Compensation</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Beneficial Ownership of Principal Stockholders, Officers and Directors</w:t>
            </w:r>
          </w:p>
        </w:tc>
        <w:tc>
          <w:tcPr>
            <w:tcW w:w="13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Experts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Legal Matters</w:t>
            </w:r>
          </w:p>
        </w:tc>
        <w:tc>
          <w:tcPr>
            <w:tcW w:w="13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Disclosure of Commission Position of Indemnification For Securities Act Liabilities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5"/>
                <w:szCs w:val="15"/>
                <w:color w:val="auto"/>
              </w:rPr>
              <w:t>Where You Can Find Additional Information</w:t>
            </w:r>
          </w:p>
        </w:tc>
        <w:tc>
          <w:tcPr>
            <w:tcW w:w="13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1"/>
        </w:trPr>
        <w:tc>
          <w:tcPr>
            <w:tcW w:w="20" w:type="dxa"/>
            <w:vAlign w:val="bottom"/>
          </w:tcPr>
          <w:p>
            <w:pPr>
              <w:spacing w:after="0"/>
              <w:rPr>
                <w:sz w:val="15"/>
                <w:szCs w:val="15"/>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5"/>
                <w:szCs w:val="15"/>
                <w:color w:val="auto"/>
              </w:rPr>
              <w:t>Index to Financial Statements</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3921"/>
        </w:trPr>
        <w:tc>
          <w:tcPr>
            <w:tcW w:w="20" w:type="dxa"/>
            <w:vAlign w:val="bottom"/>
          </w:tcPr>
          <w:p>
            <w:pPr>
              <w:spacing w:after="0"/>
              <w:rPr>
                <w:sz w:val="24"/>
                <w:szCs w:val="24"/>
                <w:color w:val="auto"/>
              </w:rPr>
            </w:pPr>
          </w:p>
        </w:tc>
        <w:tc>
          <w:tcPr>
            <w:tcW w:w="100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PROSPECTUS SUMMARY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Our principal product candidates are:</w:t>
      </w:r>
    </w:p>
    <w:p>
      <w:pPr>
        <w:spacing w:after="0" w:line="212" w:lineRule="exact"/>
        <w:rPr>
          <w:sz w:val="20"/>
          <w:szCs w:val="20"/>
          <w:color w:val="auto"/>
        </w:rPr>
      </w:pPr>
    </w:p>
    <w:p>
      <w:pPr>
        <w:ind w:left="1160" w:hanging="627"/>
        <w:spacing w:after="0"/>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new Her2/neu breast cancer immunotherapeutic vaccine technology in-licensed from the Mayo Clinic, MN,</w:t>
      </w:r>
    </w:p>
    <w:p>
      <w:pPr>
        <w:spacing w:after="0" w:line="17" w:lineRule="exact"/>
        <w:rPr>
          <w:rFonts w:ascii="Arial" w:cs="Arial" w:eastAsia="Arial" w:hAnsi="Arial"/>
          <w:sz w:val="15"/>
          <w:szCs w:val="15"/>
          <w:color w:val="auto"/>
        </w:rPr>
      </w:pPr>
    </w:p>
    <w:p>
      <w:pPr>
        <w:ind w:left="1160" w:hanging="627"/>
        <w:spacing w:after="0" w:line="251" w:lineRule="auto"/>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Folate Alpha Receptor immunotherapeutic vaccine comprised of a set of unique peptide epitopes targeting both breast cancer and ovarian cancer that we have an option to in-license from the Mayo Clinic,</w:t>
      </w:r>
    </w:p>
    <w:p>
      <w:pPr>
        <w:spacing w:after="0" w:line="1" w:lineRule="exact"/>
        <w:rPr>
          <w:rFonts w:ascii="Arial" w:cs="Arial" w:eastAsia="Arial" w:hAnsi="Arial"/>
          <w:sz w:val="15"/>
          <w:szCs w:val="15"/>
          <w:color w:val="auto"/>
        </w:rPr>
      </w:pPr>
    </w:p>
    <w:p>
      <w:pPr>
        <w:ind w:left="1160" w:hanging="627"/>
        <w:spacing w:after="0"/>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Polystart™, our proprietary immunotherapeutic, nucleic acid-based expression technology,</w:t>
      </w:r>
    </w:p>
    <w:p>
      <w:pPr>
        <w:spacing w:after="0" w:line="8" w:lineRule="exact"/>
        <w:rPr>
          <w:rFonts w:ascii="Arial" w:cs="Arial" w:eastAsia="Arial" w:hAnsi="Arial"/>
          <w:sz w:val="15"/>
          <w:szCs w:val="15"/>
          <w:color w:val="auto"/>
        </w:rPr>
      </w:pPr>
    </w:p>
    <w:p>
      <w:pPr>
        <w:ind w:left="1160" w:hanging="627"/>
        <w:spacing w:after="0"/>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TAP, a DNA technology expressing Transporter associated with Antigen Processing, and</w:t>
      </w:r>
    </w:p>
    <w:p>
      <w:pPr>
        <w:spacing w:after="0" w:line="8" w:lineRule="exact"/>
        <w:rPr>
          <w:rFonts w:ascii="Arial" w:cs="Arial" w:eastAsia="Arial" w:hAnsi="Arial"/>
          <w:sz w:val="15"/>
          <w:szCs w:val="15"/>
          <w:color w:val="auto"/>
        </w:rPr>
      </w:pPr>
    </w:p>
    <w:p>
      <w:pPr>
        <w:ind w:left="1160" w:hanging="627"/>
        <w:spacing w:after="0"/>
        <w:tabs>
          <w:tab w:leader="none" w:pos="11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the field of infectious diseases, use of our technology platforms to create and improve on therapeutic vaccines for pandemic diseases and national preparedness.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Candidates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current operations are focused on developing four product candidates. Two of these candidates are completing Phase I clinical trials, and we plan to progress them into Phase II clinical trials in 2015. The remaining product candidates are proprietary immunotherapeutic technologies that are in preclinical trials.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Folate Alpha Receptor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March 2014, we acquired the option to in-license the technology being used in a late stage 24 patient, Phase l clinical program in ovarian cancer (Folate Alpha) being conducted by the Mayo Clinic. We have the exclusive option to in-license the Folate Alpha Receptor upon the completion of Phase I. We may exercise our option to acquire that license prior to the completion of Phase I. This product candidate was generally well tolerated and safe and generated immune responses in the majority of patients in Phase I, and planning for Phase II is well underway</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Folate Alpha Receptor is expressed in over 90% of ovarian cancer and in 86% of triple negative breast cancer, for which the only treatment options are surgery and chemotherapy, leaving a very important and urgent clinical need for new therapeutics. In ovarian cancer, time to recurrence is relatively short for this type of cancer and survival prognosis is extremely poor after recurrence. We intend to initiate a Phase II trial in the second or third quarter of 2015 to include the Folate Alpha Receptor epitopes. This trial will likely focus on either triple-negative breast or ovarian cancer. As both of these cancer indications have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5"/>
          <w:szCs w:val="15"/>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Her2neu breast cancer and triple negative breast cancer.</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Her2/NEU</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2015. An additional secondary endpoint incorporated into this Phase I trial will be a two-year follow-on recording time to disease recurrence in the participating breast cancer patients. The assessment of vaccine safety (primary endpoint) was completed in 2014 and evaluation of immunogenicity (secondary endpoint) for this trial is currently scheduled for completion in 2015 with a full set of interim data expected in Q1 of 2015.</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2015 is to progress the Her2/neu vaccine into the above mentioned Phase 1(b)/II clinical trial.</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15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Our business strategy with respect to the peptide vaccines is to take them through Phase II clinical trials and then partner with pharmaceutical marketing organizations ahead of Phase III trials.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Polystart™</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We have undertaken preclinical studies with our Polystart™/PAA technology in connection with a vaccine candidate, and we have been encouraged by the results.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 w:name="page5"/>
    <w:bookmarkEnd w:id="4"/>
    <w:p>
      <w:pPr>
        <w:ind w:left="260"/>
        <w:spacing w:after="0"/>
        <w:rPr>
          <w:sz w:val="20"/>
          <w:szCs w:val="20"/>
          <w:color w:val="auto"/>
        </w:rPr>
      </w:pPr>
      <w:r>
        <w:rPr>
          <w:rFonts w:ascii="Arial" w:cs="Arial" w:eastAsia="Arial" w:hAnsi="Arial"/>
          <w:sz w:val="15"/>
          <w:szCs w:val="15"/>
          <w:b w:val="1"/>
          <w:bCs w:val="1"/>
          <w:i w:val="1"/>
          <w:iCs w:val="1"/>
          <w:color w:val="auto"/>
        </w:rPr>
        <w:t>TAP</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TAP is our DNA expression technology designed to make cancer cells more immunogenic. In many solid cancer tumors, the TAP (</w:t>
      </w:r>
      <w:r>
        <w:rPr>
          <w:rFonts w:ascii="Arial" w:cs="Arial" w:eastAsia="Arial" w:hAnsi="Arial"/>
          <w:sz w:val="15"/>
          <w:szCs w:val="15"/>
          <w:b w:val="1"/>
          <w:bCs w:val="1"/>
          <w:color w:val="auto"/>
        </w:rPr>
        <w:t>T</w:t>
      </w:r>
      <w:r>
        <w:rPr>
          <w:rFonts w:ascii="Arial" w:cs="Arial" w:eastAsia="Arial" w:hAnsi="Arial"/>
          <w:sz w:val="15"/>
          <w:szCs w:val="15"/>
          <w:color w:val="auto"/>
        </w:rPr>
        <w:t xml:space="preserve">ransporter associated with </w:t>
      </w:r>
      <w:r>
        <w:rPr>
          <w:rFonts w:ascii="Arial" w:cs="Arial" w:eastAsia="Arial" w:hAnsi="Arial"/>
          <w:sz w:val="15"/>
          <w:szCs w:val="15"/>
          <w:b w:val="1"/>
          <w:bCs w:val="1"/>
          <w:color w:val="auto"/>
        </w:rPr>
        <w:t>A</w:t>
      </w:r>
      <w:r>
        <w:rPr>
          <w:rFonts w:ascii="Arial" w:cs="Arial" w:eastAsia="Arial" w:hAnsi="Arial"/>
          <w:sz w:val="15"/>
          <w:szCs w:val="15"/>
          <w:color w:val="auto"/>
        </w:rPr>
        <w:t xml:space="preserve">ntigen </w:t>
      </w:r>
      <w:r>
        <w:rPr>
          <w:rFonts w:ascii="Arial" w:cs="Arial" w:eastAsia="Arial" w:hAnsi="Arial"/>
          <w:sz w:val="15"/>
          <w:szCs w:val="15"/>
          <w:b w:val="1"/>
          <w:bCs w:val="1"/>
          <w:color w:val="auto"/>
        </w:rPr>
        <w:t>P</w:t>
      </w:r>
      <w:r>
        <w:rPr>
          <w:rFonts w:ascii="Arial" w:cs="Arial" w:eastAsia="Arial" w:hAnsi="Arial"/>
          <w:sz w:val="15"/>
          <w:szCs w:val="15"/>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Our TAP technology was acquired from the University of British Columbia in full and is therefore not subject to any licensing fees or downstream royalty payments.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Our principal executive offices are located at 1551 Eastlake Avenue East, Suite 100, Seattle, WA 98102 and our telephone number is (206) 504-7278.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94"/>
        </w:trPr>
        <w:tc>
          <w:tcPr>
            <w:tcW w:w="3800" w:type="dxa"/>
            <w:vAlign w:val="bottom"/>
          </w:tcPr>
          <w:p>
            <w:pPr>
              <w:spacing w:after="0"/>
              <w:rPr>
                <w:sz w:val="20"/>
                <w:szCs w:val="20"/>
                <w:color w:val="auto"/>
              </w:rPr>
            </w:pPr>
            <w:r>
              <w:rPr>
                <w:rFonts w:ascii="Arial" w:cs="Arial" w:eastAsia="Arial" w:hAnsi="Arial"/>
                <w:sz w:val="15"/>
                <w:szCs w:val="15"/>
                <w:b w:val="1"/>
                <w:bCs w:val="1"/>
                <w:color w:val="auto"/>
              </w:rPr>
              <w:t>Common stock outstanding:</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38,073,791 shares as of July 15, 2015</w:t>
            </w:r>
          </w:p>
        </w:tc>
        <w:tc>
          <w:tcPr>
            <w:tcW w:w="0" w:type="dxa"/>
            <w:vAlign w:val="bottom"/>
          </w:tcPr>
          <w:p>
            <w:pPr>
              <w:spacing w:after="0"/>
              <w:rPr>
                <w:sz w:val="1"/>
                <w:szCs w:val="1"/>
                <w:color w:val="auto"/>
              </w:rPr>
            </w:pPr>
          </w:p>
        </w:tc>
      </w:tr>
      <w:tr>
        <w:trPr>
          <w:trHeight w:val="362"/>
        </w:trPr>
        <w:tc>
          <w:tcPr>
            <w:tcW w:w="3800" w:type="dxa"/>
            <w:vAlign w:val="bottom"/>
          </w:tcPr>
          <w:p>
            <w:pPr>
              <w:spacing w:after="0"/>
              <w:rPr>
                <w:sz w:val="20"/>
                <w:szCs w:val="20"/>
                <w:color w:val="auto"/>
              </w:rPr>
            </w:pPr>
            <w:r>
              <w:rPr>
                <w:rFonts w:ascii="Arial" w:cs="Arial" w:eastAsia="Arial" w:hAnsi="Arial"/>
                <w:sz w:val="15"/>
                <w:szCs w:val="15"/>
                <w:b w:val="1"/>
                <w:bCs w:val="1"/>
                <w:color w:val="auto"/>
              </w:rPr>
              <w:t>Common stock offered by selling stockholders:</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24,640,000 shares</w:t>
            </w:r>
          </w:p>
        </w:tc>
        <w:tc>
          <w:tcPr>
            <w:tcW w:w="0" w:type="dxa"/>
            <w:vAlign w:val="bottom"/>
          </w:tcPr>
          <w:p>
            <w:pPr>
              <w:spacing w:after="0"/>
              <w:rPr>
                <w:sz w:val="1"/>
                <w:szCs w:val="1"/>
                <w:color w:val="auto"/>
              </w:rPr>
            </w:pPr>
          </w:p>
        </w:tc>
      </w:tr>
      <w:tr>
        <w:trPr>
          <w:trHeight w:val="362"/>
        </w:trPr>
        <w:tc>
          <w:tcPr>
            <w:tcW w:w="3800" w:type="dxa"/>
            <w:vAlign w:val="bottom"/>
          </w:tcPr>
          <w:p>
            <w:pPr>
              <w:spacing w:after="0"/>
              <w:rPr>
                <w:sz w:val="20"/>
                <w:szCs w:val="20"/>
                <w:color w:val="auto"/>
              </w:rPr>
            </w:pPr>
            <w:r>
              <w:rPr>
                <w:rFonts w:ascii="Arial" w:cs="Arial" w:eastAsia="Arial" w:hAnsi="Arial"/>
                <w:sz w:val="15"/>
                <w:szCs w:val="15"/>
                <w:b w:val="1"/>
                <w:bCs w:val="1"/>
                <w:color w:val="auto"/>
              </w:rPr>
              <w:t>Common stock outstanding after the offering:</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57,713,791 shares(1)</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0"/>
                <w:szCs w:val="20"/>
                <w:color w:val="auto"/>
              </w:rPr>
            </w:pPr>
            <w:r>
              <w:rPr>
                <w:rFonts w:ascii="Arial" w:cs="Arial" w:eastAsia="Arial" w:hAnsi="Arial"/>
                <w:sz w:val="15"/>
                <w:szCs w:val="15"/>
                <w:b w:val="1"/>
                <w:bCs w:val="1"/>
                <w:color w:val="auto"/>
              </w:rPr>
              <w:t>Use of Proceeds:</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1"/>
              </w:rPr>
              <w:t>We will not receive any proceeds from the sale of the common stock by the selling stockholders. We may receive</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proceeds if the following warrants are exercised:</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5"/>
                <w:szCs w:val="15"/>
                <w:color w:val="auto"/>
              </w:rPr>
              <w:t>(i)</w:t>
            </w:r>
          </w:p>
        </w:tc>
        <w:tc>
          <w:tcPr>
            <w:tcW w:w="6180" w:type="dxa"/>
            <w:vAlign w:val="bottom"/>
          </w:tcPr>
          <w:p>
            <w:pPr>
              <w:ind w:left="40"/>
              <w:spacing w:after="0"/>
              <w:rPr>
                <w:sz w:val="20"/>
                <w:szCs w:val="20"/>
                <w:color w:val="auto"/>
              </w:rPr>
            </w:pPr>
            <w:r>
              <w:rPr>
                <w:rFonts w:ascii="Arial" w:cs="Arial" w:eastAsia="Arial" w:hAnsi="Arial"/>
                <w:sz w:val="15"/>
                <w:szCs w:val="15"/>
                <w:color w:val="auto"/>
              </w:rPr>
              <w:t>up to $1,464,000 if the Series B Warrants are exercised;</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1460" w:type="dxa"/>
            <w:vAlign w:val="bottom"/>
          </w:tcPr>
          <w:p>
            <w:pPr>
              <w:ind w:left="1200"/>
              <w:spacing w:after="0"/>
              <w:rPr>
                <w:sz w:val="20"/>
                <w:szCs w:val="20"/>
                <w:color w:val="auto"/>
              </w:rPr>
            </w:pPr>
            <w:r>
              <w:rPr>
                <w:rFonts w:ascii="Arial" w:cs="Arial" w:eastAsia="Arial" w:hAnsi="Arial"/>
                <w:sz w:val="15"/>
                <w:szCs w:val="15"/>
                <w:color w:val="auto"/>
              </w:rPr>
              <w:t>(iv)</w:t>
            </w:r>
          </w:p>
        </w:tc>
        <w:tc>
          <w:tcPr>
            <w:tcW w:w="6180" w:type="dxa"/>
            <w:vAlign w:val="bottom"/>
          </w:tcPr>
          <w:p>
            <w:pPr>
              <w:ind w:left="40"/>
              <w:spacing w:after="0"/>
              <w:rPr>
                <w:sz w:val="20"/>
                <w:szCs w:val="20"/>
                <w:color w:val="auto"/>
              </w:rPr>
            </w:pPr>
            <w:r>
              <w:rPr>
                <w:rFonts w:ascii="Arial" w:cs="Arial" w:eastAsia="Arial" w:hAnsi="Arial"/>
                <w:sz w:val="15"/>
                <w:szCs w:val="15"/>
                <w:color w:val="auto"/>
              </w:rPr>
              <w:t>up to $3,660,000 if the Series C Warrants are exercised; and</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460" w:type="dxa"/>
            <w:vAlign w:val="bottom"/>
          </w:tcPr>
          <w:p>
            <w:pPr>
              <w:ind w:left="1200"/>
              <w:spacing w:after="0"/>
              <w:rPr>
                <w:sz w:val="20"/>
                <w:szCs w:val="20"/>
                <w:color w:val="auto"/>
              </w:rPr>
            </w:pPr>
            <w:r>
              <w:rPr>
                <w:rFonts w:ascii="Arial" w:cs="Arial" w:eastAsia="Arial" w:hAnsi="Arial"/>
                <w:sz w:val="15"/>
                <w:szCs w:val="15"/>
                <w:color w:val="auto"/>
              </w:rPr>
              <w:t>(iii)</w:t>
            </w:r>
          </w:p>
        </w:tc>
        <w:tc>
          <w:tcPr>
            <w:tcW w:w="6180" w:type="dxa"/>
            <w:vAlign w:val="bottom"/>
          </w:tcPr>
          <w:p>
            <w:pPr>
              <w:ind w:left="40"/>
              <w:spacing w:after="0"/>
              <w:rPr>
                <w:sz w:val="20"/>
                <w:szCs w:val="20"/>
                <w:color w:val="auto"/>
              </w:rPr>
            </w:pPr>
            <w:r>
              <w:rPr>
                <w:rFonts w:ascii="Arial" w:cs="Arial" w:eastAsia="Arial" w:hAnsi="Arial"/>
                <w:sz w:val="15"/>
                <w:szCs w:val="15"/>
                <w:color w:val="auto"/>
              </w:rPr>
              <w:t>up to $1,000,000 if the Series B-1 Warrants are exercised</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4"/>
                <w:szCs w:val="24"/>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2"/>
              </w:rPr>
              <w:t>(to the extent the registration statement of which this prospectus is a part is then effective and, if applicable, the</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2"/>
              </w:rPr>
              <w:t>“cashless exercise” provision is not utilized by the holder). Any proceeds will be used for general corporate and</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6"/>
              </w:rPr>
              <w:t>working capital or for other purposes that the Board of Directors, in their good faith, deems to be in the best</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3"/>
              </w:rPr>
              <w:t>interest of the Company. No assurances can be given that any of such warrants will be exercised. See “Use of</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460" w:type="dxa"/>
            <w:vAlign w:val="bottom"/>
          </w:tcPr>
          <w:p>
            <w:pPr>
              <w:ind w:left="800"/>
              <w:spacing w:after="0"/>
              <w:rPr>
                <w:sz w:val="20"/>
                <w:szCs w:val="20"/>
                <w:color w:val="auto"/>
              </w:rPr>
            </w:pPr>
            <w:r>
              <w:rPr>
                <w:rFonts w:ascii="Arial" w:cs="Arial" w:eastAsia="Arial" w:hAnsi="Arial"/>
                <w:sz w:val="15"/>
                <w:szCs w:val="15"/>
                <w:color w:val="auto"/>
                <w:w w:val="88"/>
              </w:rPr>
              <w:t>Proceeds.”</w:t>
            </w:r>
          </w:p>
        </w:tc>
        <w:tc>
          <w:tcPr>
            <w:tcW w:w="6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800" w:type="dxa"/>
            <w:vAlign w:val="bottom"/>
          </w:tcPr>
          <w:p>
            <w:pPr>
              <w:spacing w:after="0"/>
              <w:rPr>
                <w:sz w:val="20"/>
                <w:szCs w:val="20"/>
                <w:color w:val="auto"/>
              </w:rPr>
            </w:pPr>
            <w:r>
              <w:rPr>
                <w:rFonts w:ascii="Arial" w:cs="Arial" w:eastAsia="Arial" w:hAnsi="Arial"/>
                <w:sz w:val="15"/>
                <w:szCs w:val="15"/>
                <w:b w:val="1"/>
                <w:bCs w:val="1"/>
                <w:color w:val="auto"/>
              </w:rPr>
              <w:t>Quotation of common stock:</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Our common stock is listed for quotation on the OTCQB market under the symbol “TPIV.”</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0"/>
                <w:szCs w:val="20"/>
                <w:color w:val="auto"/>
              </w:rPr>
            </w:pPr>
            <w:r>
              <w:rPr>
                <w:rFonts w:ascii="Arial" w:cs="Arial" w:eastAsia="Arial" w:hAnsi="Arial"/>
                <w:sz w:val="15"/>
                <w:szCs w:val="15"/>
                <w:b w:val="1"/>
                <w:bCs w:val="1"/>
                <w:color w:val="auto"/>
              </w:rPr>
              <w:t>Dividend policy:</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1"/>
              </w:rPr>
              <w:t>We currently intend to retain any future earnings to fund the development and growth of our business. Therefore,</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we do not currently anticipate paying cash dividends on our common stock.</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0"/>
                <w:szCs w:val="20"/>
                <w:color w:val="auto"/>
              </w:rPr>
            </w:pPr>
            <w:r>
              <w:rPr>
                <w:rFonts w:ascii="Arial" w:cs="Arial" w:eastAsia="Arial" w:hAnsi="Arial"/>
                <w:sz w:val="15"/>
                <w:szCs w:val="15"/>
                <w:b w:val="1"/>
                <w:bCs w:val="1"/>
                <w:color w:val="auto"/>
              </w:rPr>
              <w:t>Risk factors:</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2"/>
              </w:rPr>
              <w:t>An investment in our company is highly speculative and involves a significant degree of risk. See “Risk Factors”</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w w:val="92"/>
              </w:rPr>
              <w:t>and other information included in this prospectus for a discussion of factors you should carefully consider before</w:t>
            </w:r>
          </w:p>
        </w:tc>
        <w:tc>
          <w:tcPr>
            <w:tcW w:w="0" w:type="dxa"/>
            <w:vAlign w:val="bottom"/>
          </w:tcPr>
          <w:p>
            <w:pPr>
              <w:spacing w:after="0"/>
              <w:rPr>
                <w:sz w:val="1"/>
                <w:szCs w:val="1"/>
                <w:color w:val="auto"/>
              </w:rPr>
            </w:pPr>
          </w:p>
        </w:tc>
      </w:tr>
      <w:tr>
        <w:trPr>
          <w:trHeight w:val="190"/>
        </w:trPr>
        <w:tc>
          <w:tcPr>
            <w:tcW w:w="3800" w:type="dxa"/>
            <w:vAlign w:val="bottom"/>
            <w:vMerge w:val="restart"/>
          </w:tcPr>
          <w:p>
            <w:pPr>
              <w:spacing w:after="0"/>
              <w:rPr>
                <w:sz w:val="20"/>
                <w:szCs w:val="20"/>
                <w:color w:val="auto"/>
              </w:rPr>
            </w:pPr>
            <w:r>
              <w:rPr>
                <w:rFonts w:ascii="Arial" w:cs="Arial" w:eastAsia="Arial" w:hAnsi="Arial"/>
                <w:sz w:val="15"/>
                <w:szCs w:val="15"/>
                <w:color w:val="auto"/>
              </w:rPr>
              <w:t>________</w:t>
            </w:r>
          </w:p>
        </w:tc>
        <w:tc>
          <w:tcPr>
            <w:tcW w:w="7640" w:type="dxa"/>
            <w:vAlign w:val="bottom"/>
            <w:gridSpan w:val="2"/>
          </w:tcPr>
          <w:p>
            <w:pPr>
              <w:ind w:left="800"/>
              <w:spacing w:after="0"/>
              <w:rPr>
                <w:sz w:val="20"/>
                <w:szCs w:val="20"/>
                <w:color w:val="auto"/>
              </w:rPr>
            </w:pPr>
            <w:r>
              <w:rPr>
                <w:rFonts w:ascii="Arial" w:cs="Arial" w:eastAsia="Arial" w:hAnsi="Arial"/>
                <w:sz w:val="15"/>
                <w:szCs w:val="15"/>
                <w:color w:val="auto"/>
              </w:rPr>
              <w:t>deciding to invest in shares of our common stock.</w:t>
            </w:r>
          </w:p>
        </w:tc>
        <w:tc>
          <w:tcPr>
            <w:tcW w:w="0" w:type="dxa"/>
            <w:vAlign w:val="bottom"/>
          </w:tcPr>
          <w:p>
            <w:pPr>
              <w:spacing w:after="0"/>
              <w:rPr>
                <w:sz w:val="1"/>
                <w:szCs w:val="1"/>
                <w:color w:val="auto"/>
              </w:rPr>
            </w:pPr>
          </w:p>
        </w:tc>
      </w:tr>
      <w:tr>
        <w:trPr>
          <w:trHeight w:val="181"/>
        </w:trPr>
        <w:tc>
          <w:tcPr>
            <w:tcW w:w="380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0" w:hanging="10"/>
        <w:spacing w:after="0" w:line="263" w:lineRule="auto"/>
        <w:tabs>
          <w:tab w:leader="none" w:pos="592" w:val="left"/>
        </w:tabs>
        <w:numPr>
          <w:ilvl w:val="0"/>
          <w:numId w:val="3"/>
        </w:numPr>
        <w:rPr>
          <w:rFonts w:ascii="Arial" w:cs="Arial" w:eastAsia="Arial" w:hAnsi="Arial"/>
          <w:sz w:val="15"/>
          <w:szCs w:val="15"/>
          <w:color w:val="auto"/>
        </w:rPr>
      </w:pPr>
      <w:r>
        <w:rPr>
          <w:rFonts w:ascii="Arial" w:cs="Arial" w:eastAsia="Arial" w:hAnsi="Arial"/>
          <w:sz w:val="15"/>
          <w:szCs w:val="15"/>
          <w:color w:val="auto"/>
        </w:rPr>
        <w:t>Assumes the exercise of all warrants being resold pursuant to this prospectus, that none of the other outstanding warrants or options are exercised and that we do not issue any other shares of common stock.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34"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RISK FACTORS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Investing in our securities involves a high degree of risk. You should carefully consider and evaluate all of the information included and incorporated by reference or deemed to be incorporated by reference in this prospectus. Our business, results of operations or financial condition could be adversely affected by any of these risks or by additional risks and uncertainties not currently known to us or that we currently consider immaterial.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a development stage company with a history of operating losses.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sustained losses from operations in each fiscal year since our inception, and we expect losses to continue for the indefinite future due to the substantial investment in research and development. As of March 31, 2015, we had an accumulated deficit of $87,291,000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not yet sold any products or received regulatory approval to sell our products.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able to develop products successfully or develop them on a timely basis.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7" w:name="page8"/>
    <w:bookmarkEnd w:id="7"/>
    <w:p>
      <w:pPr>
        <w:jc w:val="both"/>
        <w:spacing w:after="0" w:line="258" w:lineRule="auto"/>
        <w:rPr>
          <w:sz w:val="20"/>
          <w:szCs w:val="20"/>
          <w:color w:val="auto"/>
        </w:rPr>
      </w:pPr>
      <w:r>
        <w:rPr>
          <w:rFonts w:ascii="Arial" w:cs="Arial" w:eastAsia="Arial" w:hAnsi="Arial"/>
          <w:sz w:val="15"/>
          <w:szCs w:val="15"/>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achieve commercial success even if our product candidates are approved for sale.</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46" w:lineRule="exact"/>
        <w:rPr>
          <w:sz w:val="20"/>
          <w:szCs w:val="20"/>
          <w:color w:val="auto"/>
        </w:rPr>
      </w:pPr>
    </w:p>
    <w:p>
      <w:pPr>
        <w:ind w:left="920" w:hanging="658"/>
        <w:spacing w:after="0"/>
        <w:tabs>
          <w:tab w:leader="none" w:pos="920" w:val="left"/>
        </w:tabs>
        <w:numPr>
          <w:ilvl w:val="0"/>
          <w:numId w:val="4"/>
        </w:numPr>
        <w:rPr>
          <w:rFonts w:ascii="Arial" w:cs="Arial" w:eastAsia="Arial" w:hAnsi="Arial"/>
          <w:sz w:val="15"/>
          <w:szCs w:val="15"/>
          <w:color w:val="auto"/>
        </w:rPr>
      </w:pPr>
      <w:r>
        <w:rPr>
          <w:rFonts w:ascii="Arial" w:cs="Arial" w:eastAsia="Arial" w:hAnsi="Arial"/>
          <w:sz w:val="15"/>
          <w:szCs w:val="15"/>
          <w:color w:val="auto"/>
        </w:rPr>
        <w:t>acceptance of the formulation of immunotherapies by health care professionals and patients;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of third-parties that we may enter into collaboration agreements with for the manufacture, sales, marketing and distribution of our products; and</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availability, effectiveness and relative cost of alternative treatments which may be developed by competitors.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legal claims; Litigation is expensive and we may not be able to afford the costs.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research and development programs are subject to uncertainty.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Factors affecting our research and development programs include, but are not limited to:</w:t>
      </w:r>
    </w:p>
    <w:p>
      <w:pPr>
        <w:spacing w:after="0" w:line="189" w:lineRule="exact"/>
        <w:rPr>
          <w:sz w:val="20"/>
          <w:szCs w:val="20"/>
          <w:color w:val="auto"/>
        </w:rPr>
      </w:pPr>
    </w:p>
    <w:p>
      <w:pPr>
        <w:ind w:left="940" w:hanging="678"/>
        <w:spacing w:after="0"/>
        <w:tabs>
          <w:tab w:leader="none" w:pos="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competition from companies that are substantially and financially stronger than we are;</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need for acceptance of our Immunotherapies;</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anticipate and adapt to a competitive market and rapid technological developments;</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amount and timing of operating costs and capital expenditures relating to expansion of our business, operations and infrastructure;</w:t>
      </w:r>
    </w:p>
    <w:p>
      <w:pPr>
        <w:spacing w:after="0" w:line="189" w:lineRule="exact"/>
        <w:rPr>
          <w:rFonts w:ascii="Arial" w:cs="Arial" w:eastAsia="Arial" w:hAnsi="Arial"/>
          <w:sz w:val="15"/>
          <w:szCs w:val="15"/>
          <w:color w:val="auto"/>
        </w:rPr>
      </w:pPr>
    </w:p>
    <w:p>
      <w:pPr>
        <w:ind w:left="660" w:hanging="398"/>
        <w:spacing w:after="0" w:line="276" w:lineRule="auto"/>
        <w:tabs>
          <w:tab w:leader="none" w:pos="984" w:val="left"/>
        </w:tabs>
        <w:numPr>
          <w:ilvl w:val="0"/>
          <w:numId w:val="5"/>
        </w:numPr>
        <w:rPr>
          <w:rFonts w:ascii="Arial" w:cs="Arial" w:eastAsia="Arial" w:hAnsi="Arial"/>
          <w:sz w:val="15"/>
          <w:szCs w:val="15"/>
          <w:color w:val="auto"/>
        </w:rPr>
      </w:pPr>
      <w:r>
        <w:rPr>
          <w:rFonts w:ascii="Arial" w:cs="Arial" w:eastAsia="Arial" w:hAnsi="Arial"/>
          <w:sz w:val="15"/>
          <w:szCs w:val="15"/>
          <w:color w:val="auto"/>
        </w:rPr>
        <w:t>need to rely on multiple levels of outside funding due to the length of drug development cycles and governmental approved protocols associated with the pharmaceutical industry; and</w:t>
      </w:r>
    </w:p>
    <w:p>
      <w:pPr>
        <w:spacing w:after="0" w:line="146" w:lineRule="exact"/>
        <w:rPr>
          <w:rFonts w:ascii="Arial" w:cs="Arial" w:eastAsia="Arial" w:hAnsi="Arial"/>
          <w:sz w:val="15"/>
          <w:szCs w:val="15"/>
          <w:color w:val="auto"/>
        </w:rPr>
      </w:pPr>
    </w:p>
    <w:p>
      <w:pPr>
        <w:ind w:left="940" w:hanging="678"/>
        <w:spacing w:after="0"/>
        <w:tabs>
          <w:tab w:leader="none" w:pos="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dependence upon key personnel including key independent consultants and advisors.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of our technologies are in-licensed from third parties, and the protection of those technologies is not entirely within our control.</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8" w:name="page9"/>
    <w:bookmarkEnd w:id="8"/>
    <w:p>
      <w:pPr>
        <w:ind w:left="660" w:right="20" w:hanging="398"/>
        <w:spacing w:after="0" w:line="276" w:lineRule="auto"/>
        <w:tabs>
          <w:tab w:leader="none" w:pos="991"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owners of the patent rights underlying the technologies that we license do not properly maintain or enforce the patents and intellectual property underlying those properties,</w:t>
      </w:r>
    </w:p>
    <w:p>
      <w:pPr>
        <w:spacing w:after="0" w:line="146" w:lineRule="exact"/>
        <w:rPr>
          <w:rFonts w:ascii="Arial" w:cs="Arial" w:eastAsia="Arial" w:hAnsi="Arial"/>
          <w:sz w:val="15"/>
          <w:szCs w:val="15"/>
          <w:color w:val="auto"/>
        </w:rPr>
      </w:pPr>
    </w:p>
    <w:p>
      <w:pPr>
        <w:ind w:left="920" w:hanging="658"/>
        <w:spacing w:after="0"/>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Mayo Clinic seeks to terminate our license in contravention of the license agreements,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fail to make all payments due and owing under any of the licenses or,</w:t>
      </w:r>
    </w:p>
    <w:p>
      <w:pPr>
        <w:spacing w:after="0" w:line="189" w:lineRule="exact"/>
        <w:rPr>
          <w:rFonts w:ascii="Arial" w:cs="Arial" w:eastAsia="Arial" w:hAnsi="Arial"/>
          <w:sz w:val="15"/>
          <w:szCs w:val="15"/>
          <w:color w:val="auto"/>
        </w:rPr>
      </w:pPr>
    </w:p>
    <w:p>
      <w:pPr>
        <w:ind w:left="660" w:right="20" w:hanging="398"/>
        <w:spacing w:after="0" w:line="276" w:lineRule="auto"/>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fail to obtain on commercially reasonable terms, if at all, in-licenses from the Mayo Clinic or other for other rights that are necessary to develop the technology that we have already in-licensed.</w:t>
      </w:r>
    </w:p>
    <w:p>
      <w:pPr>
        <w:spacing w:after="0" w:line="169"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We have an option to acquire an exclusive in-license technology from a third party, and if that party does not protect its license, we could lose the opportunity to develop that technology.</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We rely upon patents to protect our technology. We may be unable to protect our intellectual property rights, and we may be liable for infringing the intellectual property rights of others.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5"/>
          <w:szCs w:val="15"/>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adequately prevent disclosure of trade secrets and other proprietary information.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2"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obtain or maintain the benefits associated with orphan drug designation, including market exclusivity.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63" w:lineRule="exact"/>
        <w:rPr>
          <w:sz w:val="20"/>
          <w:szCs w:val="20"/>
          <w:color w:val="auto"/>
        </w:rPr>
      </w:pPr>
    </w:p>
    <w:p>
      <w:pPr>
        <w:jc w:val="both"/>
        <w:ind w:right="20"/>
        <w:spacing w:after="0" w:line="323" w:lineRule="auto"/>
        <w:rPr>
          <w:sz w:val="20"/>
          <w:szCs w:val="20"/>
          <w:color w:val="auto"/>
        </w:rPr>
      </w:pPr>
      <w:r>
        <w:rPr>
          <w:rFonts w:ascii="Arial" w:cs="Arial" w:eastAsia="Arial" w:hAnsi="Arial"/>
          <w:sz w:val="13"/>
          <w:szCs w:val="13"/>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no manufacturing, sales, marketing or distribution capability and we must rely upon third parties for such.</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We do not intend to create facilities to manufacture our products and therefore will depend upon third parties to do so. We currently have no agreements with any commercial manufacturers.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establish or manage strategic collaborations in the future, our revenue and drug development may be limited.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Management of our relationships with our collaborators will require:</w:t>
      </w:r>
    </w:p>
    <w:p>
      <w:pPr>
        <w:spacing w:after="0" w:line="189" w:lineRule="exact"/>
        <w:rPr>
          <w:sz w:val="20"/>
          <w:szCs w:val="20"/>
          <w:color w:val="auto"/>
        </w:rPr>
      </w:pPr>
    </w:p>
    <w:p>
      <w:pPr>
        <w:ind w:left="940" w:hanging="678"/>
        <w:spacing w:after="0"/>
        <w:tabs>
          <w:tab w:leader="none" w:pos="9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significant time and effort from our management team;</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coordination of our research and development programs with the research and development priorities of our collaborators; and</w:t>
      </w:r>
    </w:p>
    <w:p>
      <w:pPr>
        <w:spacing w:after="0" w:line="189" w:lineRule="exact"/>
        <w:rPr>
          <w:rFonts w:ascii="Arial" w:cs="Arial" w:eastAsia="Arial" w:hAnsi="Arial"/>
          <w:sz w:val="15"/>
          <w:szCs w:val="15"/>
          <w:color w:val="auto"/>
        </w:rPr>
      </w:pPr>
    </w:p>
    <w:p>
      <w:pPr>
        <w:ind w:left="940" w:hanging="678"/>
        <w:spacing w:after="0"/>
        <w:tabs>
          <w:tab w:leader="none" w:pos="940" w:val="left"/>
        </w:tabs>
        <w:numPr>
          <w:ilvl w:val="0"/>
          <w:numId w:val="7"/>
        </w:numPr>
        <w:rPr>
          <w:rFonts w:ascii="Arial" w:cs="Arial" w:eastAsia="Arial" w:hAnsi="Arial"/>
          <w:sz w:val="15"/>
          <w:szCs w:val="15"/>
          <w:color w:val="auto"/>
        </w:rPr>
      </w:pPr>
      <w:r>
        <w:rPr>
          <w:rFonts w:ascii="Arial" w:cs="Arial" w:eastAsia="Arial" w:hAnsi="Arial"/>
          <w:sz w:val="15"/>
          <w:szCs w:val="15"/>
          <w:color w:val="auto"/>
        </w:rPr>
        <w:t>effective allocation of our resources to multiple projects.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need to attract and retain highly skilled personnel; we may be unable to effectively manage growth with our limited resources.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of July 1, 2015, we had one full-time employee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depend upon our senior management and key consultants and their loss or unavailability could put us at a competitive disadvantage.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Industry</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The biotechnology and immunotherapy industries are characterized by rapid technological developments and a high degree of competition. We may be unable to compete with more substantial enterprises.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1" w:name="page12"/>
    <w:bookmarkEnd w:id="11"/>
    <w:p>
      <w:pPr>
        <w:jc w:val="both"/>
        <w:spacing w:after="0" w:line="280" w:lineRule="auto"/>
        <w:rPr>
          <w:sz w:val="20"/>
          <w:szCs w:val="20"/>
          <w:color w:val="auto"/>
        </w:rPr>
      </w:pPr>
      <w:r>
        <w:rPr>
          <w:rFonts w:ascii="Arial" w:cs="Arial" w:eastAsia="Arial" w:hAnsi="Arial"/>
          <w:sz w:val="14"/>
          <w:szCs w:val="14"/>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addition, certain of our Immunotherapies may be subject to competition from investigational new drugs and/or products developed using other technologies, some of which have completed numerous clinical trials.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subject to numerous risks inherent in conducting clinical trials.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successful development of immunotherapies is highly uncertain.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spacing w:after="0" w:line="146" w:lineRule="exact"/>
        <w:rPr>
          <w:sz w:val="20"/>
          <w:szCs w:val="20"/>
          <w:color w:val="auto"/>
        </w:rPr>
      </w:pPr>
    </w:p>
    <w:p>
      <w:pPr>
        <w:ind w:left="660" w:right="20" w:hanging="398"/>
        <w:spacing w:after="0" w:line="276" w:lineRule="auto"/>
        <w:tabs>
          <w:tab w:leader="none" w:pos="1011" w:val="left"/>
        </w:tabs>
        <w:numPr>
          <w:ilvl w:val="0"/>
          <w:numId w:val="8"/>
        </w:numPr>
        <w:rPr>
          <w:rFonts w:ascii="Arial" w:cs="Arial" w:eastAsia="Arial" w:hAnsi="Arial"/>
          <w:sz w:val="15"/>
          <w:szCs w:val="15"/>
          <w:color w:val="auto"/>
        </w:rPr>
      </w:pPr>
      <w:r>
        <w:rPr>
          <w:rFonts w:ascii="Arial" w:cs="Arial" w:eastAsia="Arial" w:hAnsi="Arial"/>
          <w:sz w:val="15"/>
          <w:szCs w:val="15"/>
          <w:color w:val="auto"/>
        </w:rPr>
        <w:t>preclinical study results that may show the immunotherapy to be less effective than desired (e.g., the study failed to meet its primary objectives) or to have harmful or problematic side effects;</w:t>
      </w:r>
    </w:p>
    <w:p>
      <w:pPr>
        <w:spacing w:after="0" w:line="146" w:lineRule="exact"/>
        <w:rPr>
          <w:rFonts w:ascii="Arial" w:cs="Arial" w:eastAsia="Arial" w:hAnsi="Arial"/>
          <w:sz w:val="15"/>
          <w:szCs w:val="15"/>
          <w:color w:val="auto"/>
        </w:rPr>
      </w:pPr>
    </w:p>
    <w:p>
      <w:pPr>
        <w:ind w:left="660" w:hanging="398"/>
        <w:spacing w:after="0" w:line="276" w:lineRule="auto"/>
        <w:tabs>
          <w:tab w:leader="none" w:pos="933" w:val="left"/>
        </w:tabs>
        <w:numPr>
          <w:ilvl w:val="0"/>
          <w:numId w:val="8"/>
        </w:numPr>
        <w:rPr>
          <w:rFonts w:ascii="Arial" w:cs="Arial" w:eastAsia="Arial" w:hAnsi="Arial"/>
          <w:sz w:val="15"/>
          <w:szCs w:val="15"/>
          <w:color w:val="auto"/>
        </w:rPr>
      </w:pPr>
      <w:r>
        <w:rPr>
          <w:rFonts w:ascii="Arial" w:cs="Arial" w:eastAsia="Arial" w:hAnsi="Arial"/>
          <w:sz w:val="15"/>
          <w:szCs w:val="15"/>
          <w:color w:val="auto"/>
        </w:rPr>
        <w:t>clinical study results that may show the immunotherapy to be less effective than expected (e.g., the study failed to meet its primary endpoint) or to have unacceptable side effects;</w:t>
      </w:r>
    </w:p>
    <w:p>
      <w:pPr>
        <w:spacing w:after="0" w:line="146" w:lineRule="exact"/>
        <w:rPr>
          <w:rFonts w:ascii="Arial" w:cs="Arial" w:eastAsia="Arial" w:hAnsi="Arial"/>
          <w:sz w:val="15"/>
          <w:szCs w:val="15"/>
          <w:color w:val="auto"/>
        </w:rPr>
      </w:pPr>
    </w:p>
    <w:p>
      <w:pPr>
        <w:jc w:val="both"/>
        <w:ind w:left="660" w:hanging="398"/>
        <w:spacing w:after="0" w:line="264" w:lineRule="auto"/>
        <w:tabs>
          <w:tab w:leader="none" w:pos="932" w:val="left"/>
        </w:tabs>
        <w:numPr>
          <w:ilvl w:val="0"/>
          <w:numId w:val="8"/>
        </w:numPr>
        <w:rPr>
          <w:rFonts w:ascii="Arial" w:cs="Arial" w:eastAsia="Arial" w:hAnsi="Arial"/>
          <w:sz w:val="15"/>
          <w:szCs w:val="15"/>
          <w:color w:val="auto"/>
        </w:rPr>
      </w:pPr>
      <w:r>
        <w:rPr>
          <w:rFonts w:ascii="Arial" w:cs="Arial" w:eastAsia="Arial" w:hAnsi="Arial"/>
          <w:sz w:val="15"/>
          <w:szCs w:val="15"/>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54" w:lineRule="exact"/>
        <w:rPr>
          <w:rFonts w:ascii="Arial" w:cs="Arial" w:eastAsia="Arial" w:hAnsi="Arial"/>
          <w:sz w:val="15"/>
          <w:szCs w:val="15"/>
          <w:color w:val="auto"/>
        </w:rPr>
      </w:pPr>
    </w:p>
    <w:p>
      <w:pPr>
        <w:ind w:left="920" w:hanging="658"/>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manufacturing costs, formulation issues, pricing or reimbursement issues, or other factors that make the immunotherapy uneconomical; and</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proprietary rights of others and their competing products and technologies that may prevent the immunotherapy from being commercialized.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5"/>
          <w:szCs w:val="15"/>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must comply with significant government regulations.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3" w:name="page14"/>
    <w:bookmarkEnd w:id="13"/>
    <w:p>
      <w:pPr>
        <w:ind w:right="20"/>
        <w:spacing w:after="0" w:line="276" w:lineRule="auto"/>
        <w:rPr>
          <w:sz w:val="20"/>
          <w:szCs w:val="20"/>
          <w:color w:val="auto"/>
        </w:rPr>
      </w:pPr>
      <w:r>
        <w:rPr>
          <w:rFonts w:ascii="Arial" w:cs="Arial" w:eastAsia="Arial" w:hAnsi="Arial"/>
          <w:sz w:val="15"/>
          <w:szCs w:val="15"/>
          <w:color w:val="auto"/>
        </w:rPr>
        <w:t>In addition, third parties may challenge or infringe upon our existing or future patents. Proceedings involving our patents or patent applications or those of others could result in adverse decisions regarding:</w:t>
      </w:r>
    </w:p>
    <w:p>
      <w:pPr>
        <w:spacing w:after="0" w:line="146" w:lineRule="exact"/>
        <w:rPr>
          <w:sz w:val="20"/>
          <w:szCs w:val="20"/>
          <w:color w:val="auto"/>
        </w:rPr>
      </w:pPr>
    </w:p>
    <w:p>
      <w:pPr>
        <w:ind w:left="920" w:hanging="658"/>
        <w:spacing w:after="0"/>
        <w:tabs>
          <w:tab w:leader="none" w:pos="9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patentability of our inventions relating to our product candidates; and/or</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enforceability, validity or scope of protection offered by our patents relating to our product candidates.</w:t>
      </w:r>
    </w:p>
    <w:p>
      <w:pPr>
        <w:spacing w:after="0" w:line="189"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43" w:lineRule="exact"/>
        <w:rPr>
          <w:sz w:val="20"/>
          <w:szCs w:val="20"/>
          <w:color w:val="auto"/>
        </w:rPr>
      </w:pPr>
    </w:p>
    <w:p>
      <w:pPr>
        <w:ind w:left="920" w:hanging="658"/>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incur substantial monetary damages;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encounter significant delays in bringing our product candidates to market; and/or</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be precluded from participating in the manufacture, use or sale of our product candidates or methods of treatment requiring licenses.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incur substantial liabilities from any product liability claims if our insurance coverage for those claims is inadequate.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38" w:lineRule="exact"/>
        <w:rPr>
          <w:sz w:val="20"/>
          <w:szCs w:val="20"/>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decreased demand for our Immunotherapies;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damage to our reputation;</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costs of related litigation;</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substantial monetary awards to patients or other claimants;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loss of revenues;</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inability to commercialize Immunotherapies; and</w:t>
      </w:r>
    </w:p>
    <w:p>
      <w:pPr>
        <w:spacing w:after="0" w:line="189" w:lineRule="exact"/>
        <w:rPr>
          <w:rFonts w:ascii="Arial" w:cs="Arial" w:eastAsia="Arial" w:hAnsi="Arial"/>
          <w:sz w:val="15"/>
          <w:szCs w:val="15"/>
          <w:color w:val="auto"/>
        </w:rPr>
      </w:pPr>
    </w:p>
    <w:p>
      <w:pPr>
        <w:ind w:left="920" w:hanging="65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increased difficulty in raising required additional funds in the private and public capital markets.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price of our common stock may be volatile.</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trading price of our common stock may fluctuate substantially. The price of our common stock that will prevail in the market may be higher or lower than the price at which our shares of common stock being registered by the registration statement of which this prospectus forms a part are resold,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4" w:name="page15"/>
    <w:bookmarkEnd w:id="14"/>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price and volume of fluctuations in the overall stock market from time to time;</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fluctuations in stock market prices and trading volumes of similar companies;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actual or anticipated changes in our net loss or fluctuations in our operating results or in the expectations of securities analysts;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issuance of new equity securities pursuant to a future offering, including issuances of preferred stock;</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general economic conditions and trends;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positive and negative events relating to healthcare and the overall pharmaceutical and biotech sector;</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major catastrophic events;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sales of large blocks of our stock;</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significant dilution caused by the anti-dilutive clauses in our financial agreements;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departures of key personnel;</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the regulatory status of our Immunotherapies, including results of our clinical trials;</w:t>
      </w:r>
    </w:p>
    <w:p>
      <w:pPr>
        <w:spacing w:after="0" w:line="189"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events affecting Mayo Clinic, Mayo Foundation for Medical Education and Research or any future collaborators;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announcements of new products or technologies, commercial relationships or other events by us or our competitors;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regulatory developments in the United States and other countries;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failure of our common stock to be listed or quoted on the OTCQB, the NASDAQ Capital Market, NYSE Amex Equities or other national market system;</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accounting principles; and</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discussion of us or our stock price by the financial and scientific press and in online investor communities.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DTC “Chill” on the electronic clearing of trades in our securities in the future may affect the liquidity of our stock and our ability to raise capital.</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 may have difficulty selling our shares because they may be deemed “penny stocks.”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46" w:lineRule="exact"/>
        <w:rPr>
          <w:sz w:val="20"/>
          <w:szCs w:val="20"/>
          <w:color w:val="auto"/>
        </w:rPr>
      </w:pPr>
    </w:p>
    <w:p>
      <w:pPr>
        <w:ind w:left="920" w:hanging="658"/>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with a price of less than $5.00 per share;</w:t>
      </w:r>
    </w:p>
    <w:p>
      <w:pPr>
        <w:spacing w:after="0" w:line="212" w:lineRule="exact"/>
        <w:rPr>
          <w:rFonts w:ascii="Arial" w:cs="Arial" w:eastAsia="Arial" w:hAnsi="Arial"/>
          <w:sz w:val="15"/>
          <w:szCs w:val="15"/>
          <w:color w:val="auto"/>
        </w:rPr>
      </w:pPr>
    </w:p>
    <w:p>
      <w:pPr>
        <w:ind w:left="660" w:right="20" w:hanging="398"/>
        <w:spacing w:after="0" w:line="276" w:lineRule="auto"/>
        <w:tabs>
          <w:tab w:leader="none" w:pos="947"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that are neither traded on a “recognized” national exchange nor listed on an automated quotation system sponsored by a registered national securities association meeting certain minimum initial listing standards; and</w:t>
      </w:r>
    </w:p>
    <w:p>
      <w:pPr>
        <w:spacing w:after="0" w:line="168" w:lineRule="exact"/>
        <w:rPr>
          <w:rFonts w:ascii="Arial" w:cs="Arial" w:eastAsia="Arial" w:hAnsi="Arial"/>
          <w:sz w:val="15"/>
          <w:szCs w:val="15"/>
          <w:color w:val="auto"/>
        </w:rPr>
      </w:pPr>
    </w:p>
    <w:p>
      <w:pPr>
        <w:ind w:left="660" w:hanging="398"/>
        <w:spacing w:after="0" w:line="276" w:lineRule="auto"/>
        <w:tabs>
          <w:tab w:leader="none" w:pos="917" w:val="left"/>
        </w:tabs>
        <w:numPr>
          <w:ilvl w:val="0"/>
          <w:numId w:val="13"/>
        </w:numPr>
        <w:rPr>
          <w:rFonts w:ascii="Arial" w:cs="Arial" w:eastAsia="Arial" w:hAnsi="Arial"/>
          <w:sz w:val="15"/>
          <w:szCs w:val="15"/>
          <w:color w:val="auto"/>
        </w:rPr>
      </w:pPr>
      <w:r>
        <w:rPr>
          <w:rFonts w:ascii="Arial" w:cs="Arial" w:eastAsia="Arial" w:hAnsi="Arial"/>
          <w:sz w:val="15"/>
          <w:szCs w:val="15"/>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5"/>
          <w:szCs w:val="15"/>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46" w:lineRule="exact"/>
        <w:rPr>
          <w:sz w:val="20"/>
          <w:szCs w:val="20"/>
          <w:color w:val="auto"/>
        </w:rPr>
      </w:pPr>
    </w:p>
    <w:p>
      <w:pPr>
        <w:ind w:left="920" w:hanging="658"/>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obtain from the investor information about his or her financial situation, investment experience and investment objectives;</w:t>
      </w:r>
    </w:p>
    <w:p>
      <w:pPr>
        <w:spacing w:after="0" w:line="212" w:lineRule="exact"/>
        <w:rPr>
          <w:rFonts w:ascii="Arial" w:cs="Arial" w:eastAsia="Arial" w:hAnsi="Arial"/>
          <w:sz w:val="15"/>
          <w:szCs w:val="15"/>
          <w:color w:val="auto"/>
        </w:rPr>
      </w:pPr>
    </w:p>
    <w:p>
      <w:pPr>
        <w:ind w:left="660" w:hanging="398"/>
        <w:spacing w:after="0" w:line="276" w:lineRule="auto"/>
        <w:tabs>
          <w:tab w:leader="none" w:pos="906"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68" w:lineRule="exact"/>
        <w:rPr>
          <w:rFonts w:ascii="Arial" w:cs="Arial" w:eastAsia="Arial" w:hAnsi="Arial"/>
          <w:sz w:val="15"/>
          <w:szCs w:val="15"/>
          <w:color w:val="auto"/>
        </w:rPr>
      </w:pPr>
    </w:p>
    <w:p>
      <w:pPr>
        <w:ind w:left="920" w:hanging="658"/>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provide the investor with a written statement setting forth the basis on which the broker-dealer made his or her determination; and</w:t>
      </w:r>
    </w:p>
    <w:p>
      <w:pPr>
        <w:spacing w:after="0" w:line="212" w:lineRule="exact"/>
        <w:rPr>
          <w:rFonts w:ascii="Arial" w:cs="Arial" w:eastAsia="Arial" w:hAnsi="Arial"/>
          <w:sz w:val="15"/>
          <w:szCs w:val="15"/>
          <w:color w:val="auto"/>
        </w:rPr>
      </w:pPr>
    </w:p>
    <w:p>
      <w:pPr>
        <w:ind w:left="660" w:right="20" w:hanging="398"/>
        <w:spacing w:after="0" w:line="276" w:lineRule="auto"/>
        <w:tabs>
          <w:tab w:leader="none" w:pos="992"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receive a signed and dated copy of the statement from the investor, confirming that it accurately reflects the investor’s financial situation, investment experience and investment objectives.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5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Our stock closed at $0.79 per share on July 15, 2015 and the per share price of our common stock might not obtain or maintain the necessary levels to prevent our stock being subject to these rules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limited public trading market may cause volatility in the price of our common stock.</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market prices for our common stock may be adversely impacted by future events.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common stock began trades on the over-the-counter-markets and is currently quoted on the OTCQB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55" w:lineRule="exact"/>
        <w:rPr>
          <w:sz w:val="20"/>
          <w:szCs w:val="20"/>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issuance of new equity securities pursuant to a future offering, including issuances of preferred stock;</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interest rates;</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significant dilution caused by the anti-dilutive clauses in our financial agreements;</w:t>
      </w:r>
    </w:p>
    <w:p>
      <w:pPr>
        <w:spacing w:after="0" w:line="212" w:lineRule="exact"/>
        <w:rPr>
          <w:rFonts w:ascii="Arial" w:cs="Arial" w:eastAsia="Arial" w:hAnsi="Arial"/>
          <w:sz w:val="15"/>
          <w:szCs w:val="15"/>
          <w:color w:val="auto"/>
        </w:rPr>
      </w:pPr>
    </w:p>
    <w:p>
      <w:pPr>
        <w:ind w:left="660" w:hanging="398"/>
        <w:spacing w:after="0" w:line="276" w:lineRule="auto"/>
        <w:tabs>
          <w:tab w:leader="none" w:pos="904"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competitive developments, including announcements by competitors of new products or services or significant contracts, acquisitions, strategic partnerships, joint ventures or capital commitments;</w:t>
      </w:r>
    </w:p>
    <w:p>
      <w:pPr>
        <w:spacing w:after="0" w:line="146" w:lineRule="exact"/>
        <w:rPr>
          <w:rFonts w:ascii="Arial" w:cs="Arial" w:eastAsia="Arial" w:hAnsi="Arial"/>
          <w:sz w:val="15"/>
          <w:szCs w:val="15"/>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variations in quarterly operating results;</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 in financial estimates by securities analysts;</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depth and liquidity of the market for our common stock and warrants;</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investor perceptions of our company and the pharmaceutical and biotech industries generally; and</w:t>
      </w:r>
    </w:p>
    <w:p>
      <w:pPr>
        <w:spacing w:after="0" w:line="212" w:lineRule="exact"/>
        <w:rPr>
          <w:rFonts w:ascii="Arial" w:cs="Arial" w:eastAsia="Arial" w:hAnsi="Arial"/>
          <w:sz w:val="15"/>
          <w:szCs w:val="15"/>
          <w:color w:val="auto"/>
        </w:rPr>
      </w:pPr>
    </w:p>
    <w:p>
      <w:pPr>
        <w:ind w:left="920" w:hanging="65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general economic and other national conditions.</w:t>
      </w:r>
    </w:p>
    <w:p>
      <w:pPr>
        <w:spacing w:after="0" w:line="20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b w:val="1"/>
          <w:bCs w:val="1"/>
          <w:color w:val="auto"/>
        </w:rPr>
        <w:t>If we fail to remain current with our listing requirements, we could be removed from the OTCQB which would limit the ability of broker-dealers to sell our securities and the ability of shareholders to sell their securities in the secondary market.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5"/>
          <w:szCs w:val="15"/>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shareholders to sell their securities in the secondary market.</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additional equity securities may adversely affect the market price of our common stock and your rights may be reduced.</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authorized shares of common stock available for issuance may adversely affect the market price of our securities.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We are currently authorized to issue 500,000,000 shares of our common stock. As of July 15, 2015, we had 38,073,791 shares of our common stock issued and outstanding, excluding shares issuable upon exercise of our outstanding warrants, options and shares of common stock earned but not yet issued under Omnibus Stock Option Plan. Those outstanding shares represent 6.5% of our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39"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2015, the fair value of the derivative liability – warrants was $2,052,975.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We do not intend to pay cash dividends.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Nevada law has anti-takeover provisions that could discourage, delay or prevent a change in control, which may cause our stock price to decline.</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50" w:lineRule="exact"/>
        <w:rPr>
          <w:sz w:val="20"/>
          <w:szCs w:val="20"/>
          <w:color w:val="auto"/>
        </w:rPr>
      </w:pPr>
    </w:p>
    <w:p>
      <w:pPr>
        <w:jc w:val="both"/>
        <w:ind w:right="20"/>
        <w:spacing w:after="0" w:line="356" w:lineRule="auto"/>
        <w:rPr>
          <w:sz w:val="20"/>
          <w:szCs w:val="20"/>
          <w:color w:val="auto"/>
        </w:rPr>
      </w:pPr>
      <w:r>
        <w:rPr>
          <w:rFonts w:ascii="Arial" w:cs="Arial" w:eastAsia="Arial" w:hAnsi="Arial"/>
          <w:sz w:val="13"/>
          <w:szCs w:val="13"/>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Properties.</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Our corporate offices are currently located at 1551 Eastlake Avenue East, Suite 100, Seattle, Washington, 98102.We are on a month-to-month basis with our landlord for our current facility which is approximately 2,682 square feet in Seattle, Washington.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will not receive any proceeds from the sale of shares by the selling stockholders. The shares being resold by the selling stockholders will only be issued if the warrants are exercised, and we may receive proceeds of up to $6,124,000 if all of those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DETERMINATION OF OFFERING PRICE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SELLING STOCKHOLDERS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shares of common stock being offered by the selling stockholders are those issuable to the selling stockholders upon the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18" w:name="page19"/>
    <w:bookmarkEnd w:id="18"/>
    <w:p>
      <w:pPr>
        <w:jc w:val="both"/>
        <w:ind w:left="10"/>
        <w:spacing w:after="0" w:line="264" w:lineRule="auto"/>
        <w:rPr>
          <w:sz w:val="20"/>
          <w:szCs w:val="20"/>
          <w:color w:val="auto"/>
        </w:rPr>
      </w:pPr>
      <w:r>
        <w:rPr>
          <w:rFonts w:ascii="Arial" w:cs="Arial" w:eastAsia="Arial" w:hAnsi="Arial"/>
          <w:sz w:val="15"/>
          <w:szCs w:val="15"/>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July 15, 2015, assuming exercise of the warrants held by each such selling stockholder on that date and not taking account of any limitations on conversion and exercise set forth therein.</w:t>
      </w:r>
    </w:p>
    <w:p>
      <w:pPr>
        <w:spacing w:after="0" w:line="155"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The third column lists the shares of common stock being offered by this Prospectus by the selling stockholders and does not take in account any limitations on exercise of the warrants set forth therein.</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fourth column assumes the sale of all of the shares offered by the selling stockholders pursuant to this Prospectus.</w:t>
      </w:r>
    </w:p>
    <w:p>
      <w:pPr>
        <w:spacing w:after="0" w:line="189"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Under the terms of the warrants, a selling stockholder may not (i) exercise the Series B or the Series C Warrants to the extent (but only to the extent) such selling stockholder or any of its affiliates would beneficially own a number of shares of our common stock which would exceed 9.9% or (ii) exercise the Series B-1 Warrants to the extent (but only to the extent) such selling stockholder or any of its affiliates would beneficially own a number of shares of our common stock which would exceed 49.9%. The number of shares in the second column and the third column do not reflect these limitations. The selling stockholders may sell all, some or none of their shares in this offering. See “Plan of Distribution”.</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Percentage of</w:t>
            </w:r>
          </w:p>
        </w:tc>
      </w:tr>
      <w:tr>
        <w:trPr>
          <w:trHeight w:val="181"/>
        </w:trPr>
        <w:tc>
          <w:tcPr>
            <w:tcW w:w="572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Number of</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Maximum Number of</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Number of</w:t>
            </w: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Shares of</w:t>
            </w:r>
          </w:p>
        </w:tc>
      </w:tr>
      <w:tr>
        <w:trPr>
          <w:trHeight w:val="181"/>
        </w:trPr>
        <w:tc>
          <w:tcPr>
            <w:tcW w:w="572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Shares of</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Shares of Common</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Shares of</w:t>
            </w: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Common Stock</w:t>
            </w:r>
          </w:p>
        </w:tc>
      </w:tr>
      <w:tr>
        <w:trPr>
          <w:trHeight w:val="181"/>
        </w:trPr>
        <w:tc>
          <w:tcPr>
            <w:tcW w:w="572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Common Stock</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Stock to be Sold</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Common Stock</w:t>
            </w: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w w:val="98"/>
              </w:rPr>
              <w:t>Owned After the</w:t>
            </w:r>
          </w:p>
        </w:tc>
      </w:tr>
      <w:tr>
        <w:trPr>
          <w:trHeight w:val="181"/>
        </w:trPr>
        <w:tc>
          <w:tcPr>
            <w:tcW w:w="572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Owned Prior to</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Pursuant to this</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Owned After</w:t>
            </w: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Offering</w:t>
            </w:r>
          </w:p>
        </w:tc>
      </w:tr>
      <w:tr>
        <w:trPr>
          <w:trHeight w:val="198"/>
        </w:trPr>
        <w:tc>
          <w:tcPr>
            <w:tcW w:w="5720" w:type="dxa"/>
            <w:vAlign w:val="bottom"/>
          </w:tcPr>
          <w:p>
            <w:pPr>
              <w:spacing w:after="0"/>
              <w:rPr>
                <w:sz w:val="20"/>
                <w:szCs w:val="20"/>
                <w:color w:val="auto"/>
              </w:rPr>
            </w:pPr>
            <w:r>
              <w:rPr>
                <w:rFonts w:ascii="Arial" w:cs="Arial" w:eastAsia="Arial" w:hAnsi="Arial"/>
                <w:sz w:val="15"/>
                <w:szCs w:val="15"/>
                <w:b w:val="1"/>
                <w:bCs w:val="1"/>
                <w:color w:val="auto"/>
              </w:rPr>
              <w:t>Name of Selling Stockholder</w:t>
            </w:r>
          </w:p>
        </w:tc>
        <w:tc>
          <w:tcPr>
            <w:tcW w:w="1480" w:type="dxa"/>
            <w:vAlign w:val="bottom"/>
            <w:gridSpan w:val="3"/>
          </w:tcPr>
          <w:p>
            <w:pPr>
              <w:ind w:left="120"/>
              <w:spacing w:after="0"/>
              <w:rPr>
                <w:sz w:val="20"/>
                <w:szCs w:val="20"/>
                <w:color w:val="auto"/>
              </w:rPr>
            </w:pPr>
            <w:r>
              <w:rPr>
                <w:rFonts w:ascii="Arial" w:cs="Arial" w:eastAsia="Arial" w:hAnsi="Arial"/>
                <w:sz w:val="15"/>
                <w:szCs w:val="15"/>
                <w:b w:val="1"/>
                <w:bCs w:val="1"/>
                <w:color w:val="auto"/>
              </w:rPr>
              <w:t>Offering</w:t>
            </w: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Prospectus (1)</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Offering</w:t>
            </w:r>
          </w:p>
        </w:tc>
        <w:tc>
          <w:tcPr>
            <w:tcW w:w="1140" w:type="dxa"/>
            <w:vAlign w:val="bottom"/>
          </w:tcPr>
          <w:p>
            <w:pPr>
              <w:spacing w:after="0"/>
              <w:rPr>
                <w:sz w:val="20"/>
                <w:szCs w:val="20"/>
                <w:color w:val="auto"/>
              </w:rPr>
            </w:pPr>
            <w:r>
              <w:rPr>
                <w:rFonts w:ascii="Arial" w:cs="Arial" w:eastAsia="Arial" w:hAnsi="Arial"/>
                <w:sz w:val="15"/>
                <w:szCs w:val="15"/>
                <w:b w:val="1"/>
                <w:bCs w:val="1"/>
                <w:color w:val="auto"/>
              </w:rPr>
              <w:t>(1) (2)</w:t>
            </w:r>
          </w:p>
        </w:tc>
        <w:tc>
          <w:tcPr>
            <w:tcW w:w="20" w:type="dxa"/>
            <w:vAlign w:val="bottom"/>
          </w:tcPr>
          <w:p>
            <w:pPr>
              <w:spacing w:after="0"/>
              <w:rPr>
                <w:sz w:val="17"/>
                <w:szCs w:val="17"/>
                <w:color w:val="auto"/>
              </w:rPr>
            </w:pPr>
          </w:p>
        </w:tc>
      </w:tr>
      <w:tr>
        <w:trPr>
          <w:trHeight w:val="184"/>
        </w:trPr>
        <w:tc>
          <w:tcPr>
            <w:tcW w:w="5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Empery Asset Master, LTD (3)</w:t>
            </w: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6,590,156</w:t>
            </w:r>
          </w:p>
        </w:tc>
        <w:tc>
          <w:tcPr>
            <w:tcW w:w="24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1,429,320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5,160,836</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Empery Tax Efficient, LP (4)</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1,495,465</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341,774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1,153,691</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Empery Tax Efficient II, LP (5)</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10,041,171</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2,868,906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7,172,265</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Iroquois Master Fund Ltd. (6)</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8,750,000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American Capital Management LLC (7)</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Merav Abbe Irrevocable Trust (8)</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Samantha Abbe Irrevocable Trust (9)</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666,680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500,010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Talia Abbe Irrevocable Trust (10)</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666,640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499,980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Bennett Abbe Irrevocable Trust (11)</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666,640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166,660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499,980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Brio Capital Master Fund, Ltd. (12)</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w:t>
            </w:r>
          </w:p>
        </w:tc>
        <w:tc>
          <w:tcPr>
            <w:tcW w:w="20" w:type="dxa"/>
            <w:vAlign w:val="bottom"/>
          </w:tcPr>
          <w:p>
            <w:pPr>
              <w:spacing w:after="0"/>
              <w:rPr>
                <w:sz w:val="15"/>
                <w:szCs w:val="15"/>
                <w:color w:val="auto"/>
              </w:rPr>
            </w:pPr>
          </w:p>
        </w:tc>
      </w:tr>
      <w:tr>
        <w:trPr>
          <w:trHeight w:val="184"/>
        </w:trPr>
        <w:tc>
          <w:tcPr>
            <w:tcW w:w="5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Eastern Capital Limited (13)</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40,000,000</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30,000,000</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w:t>
            </w:r>
          </w:p>
        </w:tc>
        <w:tc>
          <w:tcPr>
            <w:tcW w:w="20" w:type="dxa"/>
            <w:vAlign w:val="bottom"/>
          </w:tcPr>
          <w:p>
            <w:pPr>
              <w:spacing w:after="0"/>
              <w:rPr>
                <w:sz w:val="15"/>
                <w:szCs w:val="15"/>
                <w:color w:val="auto"/>
              </w:rPr>
            </w:pPr>
          </w:p>
        </w:tc>
      </w:tr>
    </w:tbl>
    <w:p>
      <w:pPr>
        <w:spacing w:after="0" w:line="170" w:lineRule="exact"/>
        <w:rPr>
          <w:sz w:val="20"/>
          <w:szCs w:val="20"/>
          <w:color w:val="auto"/>
        </w:rPr>
      </w:pPr>
    </w:p>
    <w:p>
      <w:pPr>
        <w:jc w:val="both"/>
        <w:ind w:left="650" w:hanging="650"/>
        <w:spacing w:after="0" w:line="255" w:lineRule="auto"/>
        <w:tabs>
          <w:tab w:leader="none" w:pos="6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shares of Common Stock underlying warrants held by the Selling Stockholder that are covered by this Prospectus, including any convertible securities that, due to contractual restrictions, may not be exercisable if such exercise would result in beneficial ownership greater than 4.9%, 9.9% and 49.9%,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jc w:val="both"/>
        <w:ind w:left="650" w:hanging="650"/>
        <w:spacing w:after="0" w:line="269" w:lineRule="auto"/>
        <w:tabs>
          <w:tab w:leader="none" w:pos="65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57,713,791 shares of common stock, which includes 38,073,791 shares of common stock issued and outstanding on July 15, 2015 and all 19,640,000 shares of common stock being offered in this Prospectus that may be issued upon exercise of the warrants. In determining this amount, we assumed that (i) all 19,640,000 shares of common stock being offered in this Prospectus that may be issued upon exercise of the warrants will be sold, (ii) no other warrants or options will be exercised (including 63,486,792 warrants whose underlying shares are registered under the Securities Act pursuant to Registration Statement 333-196115) and (iii) we issue no other shares of common stock. If these assumptions are incorrect, the number of shares and percentages included in this column will differ from what we have provided.</w:t>
      </w:r>
    </w:p>
    <w:p>
      <w:pPr>
        <w:spacing w:after="0" w:line="2" w:lineRule="exact"/>
        <w:rPr>
          <w:rFonts w:ascii="Arial" w:cs="Arial" w:eastAsia="Arial" w:hAnsi="Arial"/>
          <w:sz w:val="14"/>
          <w:szCs w:val="14"/>
          <w:color w:val="auto"/>
        </w:rPr>
      </w:pPr>
    </w:p>
    <w:p>
      <w:pPr>
        <w:jc w:val="both"/>
        <w:ind w:left="650" w:hanging="650"/>
        <w:spacing w:after="0" w:line="315" w:lineRule="auto"/>
        <w:tabs>
          <w:tab w:leader="none" w:pos="65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25" w:lineRule="exact"/>
        <w:rPr>
          <w:rFonts w:ascii="Arial" w:cs="Arial" w:eastAsia="Arial" w:hAnsi="Arial"/>
          <w:sz w:val="13"/>
          <w:szCs w:val="13"/>
          <w:color w:val="auto"/>
        </w:rPr>
      </w:pPr>
    </w:p>
    <w:p>
      <w:pPr>
        <w:jc w:val="both"/>
        <w:ind w:left="650" w:right="20"/>
        <w:spacing w:after="0" w:line="264" w:lineRule="auto"/>
        <w:rPr>
          <w:rFonts w:ascii="Arial" w:cs="Arial" w:eastAsia="Arial" w:hAnsi="Arial"/>
          <w:sz w:val="13"/>
          <w:szCs w:val="13"/>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5,160,836 shares issuable upon the exercise of other warrants held by the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3"/>
          <w:szCs w:val="13"/>
          <w:color w:val="auto"/>
        </w:rPr>
      </w:pPr>
    </w:p>
    <w:p>
      <w:pPr>
        <w:ind w:left="650" w:right="20"/>
        <w:spacing w:after="0" w:line="276" w:lineRule="auto"/>
        <w:rPr>
          <w:rFonts w:ascii="Arial" w:cs="Arial" w:eastAsia="Arial" w:hAnsi="Arial"/>
          <w:sz w:val="13"/>
          <w:szCs w:val="13"/>
          <w:color w:val="auto"/>
        </w:rPr>
      </w:pPr>
      <w:r>
        <w:rPr>
          <w:rFonts w:ascii="Arial" w:cs="Arial" w:eastAsia="Arial" w:hAnsi="Arial"/>
          <w:sz w:val="15"/>
          <w:szCs w:val="15"/>
          <w:color w:val="auto"/>
        </w:rPr>
        <w:t>“Shares of Common Stock to be Sold Pursuant to this Prospectus” includes (i) 714,660 shares of common stock issuable upon exercise of the Series B Warrants and (iv) 714,660 shares of common stock issuable upon exercise of the Series C Warrants.</w:t>
      </w:r>
    </w:p>
    <w:p>
      <w:pPr>
        <w:spacing w:after="0" w:line="29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457" w:right="219" w:bottom="1440" w:gutter="0" w:footer="0" w:header="0"/>
        </w:sectPr>
      </w:pPr>
    </w:p>
    <w:bookmarkStart w:id="19" w:name="page20"/>
    <w:bookmarkEnd w:id="19"/>
    <w:p>
      <w:pPr>
        <w:jc w:val="both"/>
        <w:ind w:left="650" w:hanging="612"/>
        <w:spacing w:after="0" w:line="291" w:lineRule="auto"/>
        <w:tabs>
          <w:tab w:leader="none" w:pos="650" w:val="left"/>
        </w:tabs>
        <w:numPr>
          <w:ilvl w:val="1"/>
          <w:numId w:val="17"/>
        </w:numPr>
        <w:rPr>
          <w:rFonts w:ascii="Arial" w:cs="Arial" w:eastAsia="Arial" w:hAnsi="Arial"/>
          <w:sz w:val="14"/>
          <w:szCs w:val="14"/>
          <w:color w:val="auto"/>
        </w:rPr>
      </w:pPr>
      <w:r>
        <w:rPr>
          <w:rFonts w:ascii="Arial" w:cs="Arial" w:eastAsia="Arial" w:hAnsi="Arial"/>
          <w:sz w:val="14"/>
          <w:szCs w:val="14"/>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38" w:lineRule="exact"/>
        <w:rPr>
          <w:rFonts w:ascii="Arial" w:cs="Arial" w:eastAsia="Arial" w:hAnsi="Arial"/>
          <w:sz w:val="14"/>
          <w:szCs w:val="14"/>
          <w:color w:val="auto"/>
        </w:rPr>
      </w:pPr>
    </w:p>
    <w:p>
      <w:pPr>
        <w:jc w:val="both"/>
        <w:ind w:left="650"/>
        <w:spacing w:after="0" w:line="264" w:lineRule="auto"/>
        <w:rPr>
          <w:rFonts w:ascii="Arial" w:cs="Arial" w:eastAsia="Arial" w:hAnsi="Arial"/>
          <w:sz w:val="14"/>
          <w:szCs w:val="14"/>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1,153,691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4"/>
          <w:szCs w:val="14"/>
          <w:color w:val="auto"/>
        </w:rPr>
      </w:pPr>
    </w:p>
    <w:p>
      <w:pPr>
        <w:ind w:left="650"/>
        <w:spacing w:after="0" w:line="258" w:lineRule="auto"/>
        <w:rPr>
          <w:rFonts w:ascii="Arial" w:cs="Arial" w:eastAsia="Arial" w:hAnsi="Arial"/>
          <w:sz w:val="14"/>
          <w:szCs w:val="14"/>
          <w:color w:val="auto"/>
        </w:rPr>
      </w:pPr>
      <w:r>
        <w:rPr>
          <w:rFonts w:ascii="Arial" w:cs="Arial" w:eastAsia="Arial" w:hAnsi="Arial"/>
          <w:sz w:val="15"/>
          <w:szCs w:val="15"/>
          <w:color w:val="auto"/>
        </w:rPr>
        <w:t>“Shares of Common Stock to be Sold Pursuant to this Prospectus” includes (i) 170,887 shares of common stock issuable upon exercise of the Series B Warrants and (ii) 170,887 shares of common stock issuable upon exercise of the Series C Warrants.</w:t>
      </w:r>
    </w:p>
    <w:p>
      <w:pPr>
        <w:jc w:val="both"/>
        <w:ind w:left="650" w:right="20" w:hanging="650"/>
        <w:spacing w:after="0" w:line="315" w:lineRule="auto"/>
        <w:tabs>
          <w:tab w:leader="none" w:pos="65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25" w:lineRule="exact"/>
        <w:rPr>
          <w:rFonts w:ascii="Arial" w:cs="Arial" w:eastAsia="Arial" w:hAnsi="Arial"/>
          <w:sz w:val="13"/>
          <w:szCs w:val="13"/>
          <w:color w:val="auto"/>
        </w:rPr>
      </w:pPr>
    </w:p>
    <w:p>
      <w:pPr>
        <w:jc w:val="both"/>
        <w:ind w:left="650" w:right="20"/>
        <w:spacing w:after="0" w:line="264" w:lineRule="auto"/>
        <w:rPr>
          <w:rFonts w:ascii="Arial" w:cs="Arial" w:eastAsia="Arial" w:hAnsi="Arial"/>
          <w:sz w:val="13"/>
          <w:szCs w:val="13"/>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7,172,265 shares issuable upon the exercise of certain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3"/>
          <w:szCs w:val="13"/>
          <w:color w:val="auto"/>
        </w:rPr>
      </w:pPr>
    </w:p>
    <w:p>
      <w:pPr>
        <w:ind w:left="650"/>
        <w:spacing w:after="0" w:line="258" w:lineRule="auto"/>
        <w:rPr>
          <w:rFonts w:ascii="Arial" w:cs="Arial" w:eastAsia="Arial" w:hAnsi="Arial"/>
          <w:sz w:val="13"/>
          <w:szCs w:val="13"/>
          <w:color w:val="auto"/>
        </w:rPr>
      </w:pPr>
      <w:r>
        <w:rPr>
          <w:rFonts w:ascii="Arial" w:cs="Arial" w:eastAsia="Arial" w:hAnsi="Arial"/>
          <w:sz w:val="15"/>
          <w:szCs w:val="15"/>
          <w:color w:val="auto"/>
        </w:rPr>
        <w:t>“Shares of Common Stock to be Sold Pursuant to this Prospectus” includes (i) 1,434,453 shares of common stock issuable upon exercise of the Series B Warrants and 1,434,453 shares of common stock issuable upon exercise of the Series C Warrants.</w:t>
      </w:r>
    </w:p>
    <w:p>
      <w:pPr>
        <w:jc w:val="both"/>
        <w:ind w:left="650" w:hanging="650"/>
        <w:spacing w:after="0" w:line="279" w:lineRule="auto"/>
        <w:tabs>
          <w:tab w:leader="none" w:pos="65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46" w:lineRule="exact"/>
        <w:rPr>
          <w:rFonts w:ascii="Arial" w:cs="Arial" w:eastAsia="Arial" w:hAnsi="Arial"/>
          <w:sz w:val="14"/>
          <w:szCs w:val="14"/>
          <w:color w:val="auto"/>
        </w:rPr>
      </w:pPr>
    </w:p>
    <w:p>
      <w:pPr>
        <w:jc w:val="both"/>
        <w:ind w:left="650"/>
        <w:spacing w:after="0" w:line="264" w:lineRule="auto"/>
        <w:rPr>
          <w:rFonts w:ascii="Arial" w:cs="Arial" w:eastAsia="Arial" w:hAnsi="Arial"/>
          <w:sz w:val="14"/>
          <w:szCs w:val="14"/>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6,250,000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4"/>
          <w:szCs w:val="14"/>
          <w:color w:val="auto"/>
        </w:rPr>
      </w:pPr>
    </w:p>
    <w:p>
      <w:pPr>
        <w:ind w:left="650"/>
        <w:spacing w:after="0" w:line="258" w:lineRule="auto"/>
        <w:rPr>
          <w:rFonts w:ascii="Arial" w:cs="Arial" w:eastAsia="Arial" w:hAnsi="Arial"/>
          <w:sz w:val="14"/>
          <w:szCs w:val="14"/>
          <w:color w:val="auto"/>
        </w:rPr>
      </w:pPr>
      <w:r>
        <w:rPr>
          <w:rFonts w:ascii="Arial" w:cs="Arial" w:eastAsia="Arial" w:hAnsi="Arial"/>
          <w:sz w:val="15"/>
          <w:szCs w:val="15"/>
          <w:color w:val="auto"/>
        </w:rPr>
        <w:t>“Shares of Common Stock to be Sold Pursuant to this Prospectus” includes (i) 1,250,000 shares of common stock issuable upon exercise of the Series B Warrants and (ii) 1,250,000 shares of common stock issuable upon exercise of the Series C Warrants.</w:t>
      </w:r>
    </w:p>
    <w:p>
      <w:pPr>
        <w:ind w:left="650" w:right="20" w:hanging="650"/>
        <w:spacing w:after="0" w:line="263" w:lineRule="auto"/>
        <w:tabs>
          <w:tab w:leader="none" w:pos="650" w:val="left"/>
        </w:tabs>
        <w:numPr>
          <w:ilvl w:val="0"/>
          <w:numId w:val="18"/>
        </w:numPr>
        <w:rPr>
          <w:rFonts w:ascii="Arial" w:cs="Arial" w:eastAsia="Arial" w:hAnsi="Arial"/>
          <w:sz w:val="15"/>
          <w:szCs w:val="15"/>
          <w:color w:val="auto"/>
        </w:rPr>
      </w:pPr>
      <w:r>
        <w:rPr>
          <w:rFonts w:ascii="Arial" w:cs="Arial" w:eastAsia="Arial" w:hAnsi="Arial"/>
          <w:sz w:val="15"/>
          <w:szCs w:val="15"/>
          <w:color w:val="auto"/>
        </w:rPr>
        <w:t>Kimberly Page has the authority and responsibility for the investments made on behalf of American Capital Management LLC (“ACM”) and accordingly, has voting and dispositive power over the securities held by ACM.</w:t>
      </w:r>
    </w:p>
    <w:p>
      <w:pPr>
        <w:spacing w:after="0" w:line="155"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750,000 shares of common stock issued to the shareholder in January 2015 (we have not verified that this shareholder still holds these shares), (ii) this shareholder’s “Shares of Common Stock to be Sold Pursuant to this Prospectus” and (iii) 3,750,000 shares issuable upon the exercise of certain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750,000 shares of common stock issuable upon exercise of the Series B Warrants and (ii) 750,000 shares of common stock issuable upon exercise of the Series C Warrants.</w:t>
      </w:r>
    </w:p>
    <w:p>
      <w:pPr>
        <w:ind w:left="650" w:hanging="650"/>
        <w:spacing w:after="0"/>
        <w:tabs>
          <w:tab w:leader="none" w:pos="65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By virtue of his position as trustee, Leo Abbe has voting and dispositive power over the securities held by The Merav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250,000 shares of common stock issued to the shareholder in January 2015 (we have not verified that this shareholder still holds these shares), (ii) this shareholder’s “Shares of Common Stock to be Sold Pursuant to this Prospectus” and (iii) 1,2500,000 shares issuable upon the exercise of certain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spacing w:after="0" w:line="276"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250,000 shares of common stock issuable upon exercise of the Series B Warrants and (ii) 250,000 shares of common stock issuable upon exercise of the Series C Warrants.</w:t>
      </w:r>
    </w:p>
    <w:p>
      <w:pPr>
        <w:spacing w:after="0" w:line="29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60" w:right="219" w:bottom="1440" w:gutter="0" w:footer="0" w:header="0"/>
        </w:sectPr>
      </w:pPr>
    </w:p>
    <w:bookmarkStart w:id="20" w:name="page21"/>
    <w:bookmarkEnd w:id="20"/>
    <w:p>
      <w:pPr>
        <w:ind w:left="650" w:hanging="650"/>
        <w:spacing w:after="0"/>
        <w:tabs>
          <w:tab w:leader="none" w:pos="6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Samantha Abbe Irrevocable Trust.</w:t>
      </w:r>
    </w:p>
    <w:p>
      <w:pPr>
        <w:spacing w:after="0" w:line="189"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83,335 shares of common stock issued to the shareholder in January 2015 (we have not verified that this shareholder still holds these shares), (ii) this shareholder’s “Shares of Common Stock to be Sold Pursuant to this Prospectus” and (iii) 416,675 shares issuable upon the exercise of certain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right="2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83,335 shares of common stock issuable upon exercise of the Series B Warrants and (ii) 83,335 shares of common stock issuable upon exercise of the Series C Warrants.</w:t>
      </w:r>
    </w:p>
    <w:p>
      <w:pPr>
        <w:ind w:left="650" w:hanging="650"/>
        <w:spacing w:after="0"/>
        <w:tabs>
          <w:tab w:leader="none" w:pos="6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Talia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and 416,660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right="2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83,330 shares of common stock issuable upon exercise of the Series B Warrants and (ii) 83,330 shares of common stock issuable upon exercise of the Series C Warrants.</w:t>
      </w:r>
    </w:p>
    <w:p>
      <w:pPr>
        <w:ind w:left="650" w:hanging="650"/>
        <w:spacing w:after="0"/>
        <w:tabs>
          <w:tab w:leader="none" w:pos="6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Bennett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416,660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ind w:left="650" w:right="2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83,330 shares of common stock issuable upon exercise of the Series B Warrants and (ii) 83,330 shares of common stock issuable upon exercise of the Series C Warrants.</w:t>
      </w:r>
    </w:p>
    <w:p>
      <w:pPr>
        <w:ind w:left="650" w:hanging="650"/>
        <w:spacing w:after="0"/>
        <w:tabs>
          <w:tab w:leader="none" w:pos="6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Shaye Hirsch has voting and dispositive power over the securities owned by the selling stockholder.</w:t>
      </w:r>
    </w:p>
    <w:p>
      <w:pPr>
        <w:spacing w:after="0" w:line="180" w:lineRule="exact"/>
        <w:rPr>
          <w:rFonts w:ascii="Arial" w:cs="Arial" w:eastAsia="Arial" w:hAnsi="Arial"/>
          <w:sz w:val="15"/>
          <w:szCs w:val="15"/>
          <w:color w:val="auto"/>
        </w:rPr>
      </w:pPr>
    </w:p>
    <w:p>
      <w:pPr>
        <w:jc w:val="both"/>
        <w:ind w:left="650"/>
        <w:spacing w:after="0" w:line="264"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12,500,000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5"/>
          <w:szCs w:val="15"/>
          <w:color w:val="auto"/>
        </w:rPr>
      </w:pPr>
    </w:p>
    <w:p>
      <w:pPr>
        <w:ind w:left="650"/>
        <w:spacing w:after="0" w:line="258"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2,500,000 shares of common stock issuable upon exercise of the Series B Warrants and (ii) 2,500,000 shares of common stock issuable upon exercise of the Series C Warrants.</w:t>
      </w:r>
    </w:p>
    <w:p>
      <w:pPr>
        <w:jc w:val="both"/>
        <w:ind w:left="650" w:hanging="650"/>
        <w:spacing w:after="0" w:line="257" w:lineRule="auto"/>
        <w:tabs>
          <w:tab w:leader="none" w:pos="65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60" w:lineRule="exact"/>
        <w:rPr>
          <w:rFonts w:ascii="Arial" w:cs="Arial" w:eastAsia="Arial" w:hAnsi="Arial"/>
          <w:sz w:val="15"/>
          <w:szCs w:val="15"/>
          <w:color w:val="auto"/>
        </w:rPr>
      </w:pPr>
    </w:p>
    <w:p>
      <w:pPr>
        <w:jc w:val="both"/>
        <w:ind w:left="650"/>
        <w:spacing w:after="0" w:line="323" w:lineRule="auto"/>
        <w:rPr>
          <w:rFonts w:ascii="Arial" w:cs="Arial" w:eastAsia="Arial" w:hAnsi="Arial"/>
          <w:sz w:val="15"/>
          <w:szCs w:val="15"/>
          <w:color w:val="auto"/>
        </w:rPr>
      </w:pPr>
      <w:r>
        <w:rPr>
          <w:rFonts w:ascii="Arial" w:cs="Arial" w:eastAsia="Arial" w:hAnsi="Arial"/>
          <w:sz w:val="13"/>
          <w:szCs w:val="13"/>
          <w:color w:val="auto"/>
        </w:rPr>
        <w:t>“Number of Shares of Common Stock Owned Prior to Offering” includes (i) 5,000,000 shares of common stock issued in March 2015, (ii) this shareholder’s “Shares of Common Stock to be Sold Pursuant to this Prospectus” and (iii) 25,000,000 shares issuable upon the exercise of other warrants held by this shareholder. This amount does not (i) give effect to limitations on ownership set out in any of the warrants that may be exercised into such shares or (ii) include any shares that may be beneficially owned by an affiliate.</w:t>
      </w:r>
    </w:p>
    <w:p>
      <w:pPr>
        <w:spacing w:after="0" w:line="120" w:lineRule="exact"/>
        <w:rPr>
          <w:rFonts w:ascii="Arial" w:cs="Arial" w:eastAsia="Arial" w:hAnsi="Arial"/>
          <w:sz w:val="15"/>
          <w:szCs w:val="15"/>
          <w:color w:val="auto"/>
        </w:rPr>
      </w:pPr>
    </w:p>
    <w:p>
      <w:pPr>
        <w:ind w:left="650"/>
        <w:spacing w:after="0" w:line="276"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5,000,000 shares of common stock issuable upon exercise of the Series B-1 Warrants and (ii) 5,000,000 shares issued in June 2015.</w:t>
      </w:r>
    </w:p>
    <w:p>
      <w:pPr>
        <w:spacing w:after="0" w:line="200" w:lineRule="exact"/>
        <w:rPr>
          <w:sz w:val="20"/>
          <w:szCs w:val="20"/>
          <w:color w:val="auto"/>
        </w:rPr>
      </w:pPr>
    </w:p>
    <w:p>
      <w:pPr>
        <w:spacing w:after="0" w:line="27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60"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193"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57" w:lineRule="exact"/>
        <w:rPr>
          <w:sz w:val="20"/>
          <w:szCs w:val="20"/>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ordinary brokerage transactions and transactions in which the broker-dealer solicits purchasers;</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transactions involving cross or block trades;</w:t>
      </w:r>
    </w:p>
    <w:p>
      <w:pPr>
        <w:spacing w:after="0" w:line="189" w:lineRule="exact"/>
        <w:rPr>
          <w:rFonts w:ascii="Arial" w:cs="Arial" w:eastAsia="Arial" w:hAnsi="Arial"/>
          <w:sz w:val="15"/>
          <w:szCs w:val="15"/>
          <w:color w:val="auto"/>
        </w:rPr>
      </w:pPr>
    </w:p>
    <w:p>
      <w:pPr>
        <w:ind w:left="980" w:hanging="756"/>
        <w:spacing w:after="0"/>
        <w:tabs>
          <w:tab w:leader="none" w:pos="9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purchases by a broker-dealer as principal and resale by the broker-dealer for its account;</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an exchange distribution in accordance with the rules of the applicable exchange;</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in privately negotiated transactions;</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short sales after the registration statement, of which this prospectus forms a part, becomes effective;</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broker-dealers may agree with the selling stockholders to sell a specified number of such shares at a stipulated price per share;</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“at the market” into an existing market for the common stock;</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through the writing of options on the shares;</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 combination of any such methods of sale; and</w:t>
      </w:r>
    </w:p>
    <w:p>
      <w:pPr>
        <w:spacing w:after="0" w:line="189" w:lineRule="exact"/>
        <w:rPr>
          <w:rFonts w:ascii="Arial" w:cs="Arial" w:eastAsia="Arial" w:hAnsi="Arial"/>
          <w:sz w:val="15"/>
          <w:szCs w:val="15"/>
          <w:color w:val="auto"/>
        </w:rPr>
      </w:pPr>
    </w:p>
    <w:p>
      <w:pPr>
        <w:ind w:left="1100" w:hanging="763"/>
        <w:spacing w:after="0"/>
        <w:tabs>
          <w:tab w:leader="none" w:pos="11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any other method permitted pursuant to applicable law.</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22" w:name="page23"/>
    <w:bookmarkEnd w:id="22"/>
    <w:p>
      <w:pPr>
        <w:jc w:val="both"/>
        <w:spacing w:after="0" w:line="313" w:lineRule="auto"/>
        <w:rPr>
          <w:sz w:val="20"/>
          <w:szCs w:val="20"/>
          <w:color w:val="auto"/>
        </w:rPr>
      </w:pPr>
      <w:r>
        <w:rPr>
          <w:rFonts w:ascii="Arial" w:cs="Arial" w:eastAsia="Arial" w:hAnsi="Arial"/>
          <w:sz w:val="14"/>
          <w:szCs w:val="14"/>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If any of the selling stockholders use this prospectus for any sale of the shares of common stock, such selling stockholder will be subject to the prospectus delivery requirements of the Securities Act.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Regulation M</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anti-manipulation rules of Regulation M under the Exchange Act of 1934, as amended (the “Exchange Act”) may apply to sales of our common stock and activities of the selling stockholder.</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9"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5"/>
          <w:szCs w:val="15"/>
          <w:b w:val="1"/>
          <w:bCs w:val="1"/>
          <w:color w:val="auto"/>
        </w:rPr>
        <w:t>DESCRIPTION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At the date hereof, we are authorized by our certificate of incorporation to issue an aggregate of 500,000,000 shares of common stock, par value $0.001 per share and 5,000,000 shares as blank check preferred shares, no par value.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This prospectus contains only a summary of the common stock the selling stockholders are offering</w:t>
      </w:r>
    </w:p>
    <w:p>
      <w:pPr>
        <w:spacing w:after="0" w:line="189"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Provisions</w:t>
      </w:r>
    </w:p>
    <w:p>
      <w:pPr>
        <w:spacing w:after="0" w:line="21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Nevada Law</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1"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15"/>
          <w:szCs w:val="15"/>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55"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Articles of Incorporation and Bylaws</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is Island Stock Transfer, 1550 Roosevelt Blvd Suite 301, Clearwater, FL 33760.</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shares of our common stock are quoted on the OTCQB under the symbol TPIV.OB. On July 8, 2015, the last reported sale price per share for our common stock on the OTCQB as reported was $0.97.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0"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5"/>
          <w:szCs w:val="15"/>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Cancer Vaccines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Unlike other vaccine technologies that narrowly address the initiation of an immune response, TapImmune's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Transporter associated with Antigen Presentation.</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are currently focusing on the clinical development and testing of our product candidates. In this regard, we have two Phase I studies being concluded at the Mayo Clinic (Rochester, MN) which are designed to evaluate the safety and immune response(s) of a set of proprietary HER2/neu antigens for a HER2/neu breast cancer vaccine and Folate Receptor Alpha for triple negative breast and ovarian cancer respectively. TapImmune has the exclusive option to license each of these technologies upon the completion of each Phase I. In addition, we plan to initiate Phase II studies in 2015. The first of which will likely include the novel folate alpha antigens in a Phase II study, providing a vaccine for triple negative breast cancer that can stimulate a T-cell response. The unmet demand for a promising therapeutic in this indication, we believe, will allow us to proceed with an orphan drug and FDA fast track applications pending discussion and approval from the FDA. The second Phase II trial is expected to include our HER2/neu epitopes and will likely focus on Her2 positive breast cancer. Interim data from both phase I trials has provided the technical rational for progressing these programs to phase II trials.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plans to incorporate the pre-clinical development of Polystart™ as a boost strategy for HER2/neu breast cancer, colorectal cancer, ovarian cancer and triple negative breast cancer.</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157"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Infectious Disease Program</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Regarding our programs for the development of vaccines aimed at viral pandemics/biodefense, our collaborations with the Mayo Clinic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the Company to focus the majority of its internal resources on HER2/neu breast, ovarian and triple negative cancers.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General</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The facilities at 1551 Eastlake Avenue, Seattle have exceeded our expectations and allowed us to continue to recruit top-class scientific staff while at the same time effectively leverage world-class resources made available to us and manage our cash flow. Our technical staff has proven experience and relevant expertise in the areas of molecular biology, cellular biology and immunology/oncology. Our small core team has allowed us to establish in-house technical expertise in molecular biology (expression vector development) and immunology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our core TAP IP and antigen specific IP from the Mayo Clinic for which we have either licensed outright or have exclusive options to license.</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Over the past two quarters, we have, in a challenging financing climate, raised working capital to fund and progress our operations and significantly restructured our balance sheet and capital structure. We believe that we continue to make good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History</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We currently trade on the OTC Bulletin Board (“OTCQB”) under the symbol “TPIV” and on the Frankfurt and Berlin Stock Exchanges under the symbol “GX1A.” The listing on the Berlin Stock Exchange was done without the Company’s knowledge and consent.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We were incorporated under the laws of the State of Nevada in 1991. We have one wholly owned subsidiary named GeneMax Pharmaceuticals Inc. (“GeneMax Pharmaceuticals”).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Immunotherapy Industry for Cancer</w:t>
      </w:r>
    </w:p>
    <w:p>
      <w:pPr>
        <w:spacing w:after="0" w:line="193" w:lineRule="exact"/>
        <w:rPr>
          <w:sz w:val="20"/>
          <w:szCs w:val="20"/>
          <w:color w:val="auto"/>
        </w:rPr>
      </w:pPr>
    </w:p>
    <w:p>
      <w:pPr>
        <w:jc w:val="both"/>
        <w:ind w:right="20"/>
        <w:spacing w:after="0" w:line="312" w:lineRule="auto"/>
        <w:rPr>
          <w:sz w:val="20"/>
          <w:szCs w:val="20"/>
          <w:color w:val="auto"/>
        </w:rPr>
      </w:pPr>
      <w:r>
        <w:rPr>
          <w:rFonts w:ascii="Arial" w:cs="Arial" w:eastAsia="Arial" w:hAnsi="Arial"/>
          <w:sz w:val="13"/>
          <w:szCs w:val="13"/>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addition, we continue to pursue the development of an approach which can allow the cellular immune system to make tumor cells more visible to the immune system. Many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55"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By restoring TAP expression to TAP-deficient cells, the MHC Class I protein peptide complexes could signal the immune system to attack the cancer. A strategic vision of TapImmune is to restore the TAP function within cancerous cells, thus making them immunogenic, or more “visible” to cancer fighting immune cells. Management believes that with further development and improvement of selectivity, this cancer vaccine strategy could provide a commercially viable therapeutic approach that addresses this problem of “non-immunogenicity” of cancer.</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TapImmune’s Target Market and Strategy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will focus our product development in oncology, both, alone and with corporate partners and/or collaborators including the Mayo Clinic for HER2/neu positive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ultimately have the FDA approve our cancer vaccines so that we can secure a portion of this market.</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5"/>
          <w:szCs w:val="15"/>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Efforts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 (2) 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 and Technology in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Clinical</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3"/>
          <w:szCs w:val="13"/>
          <w:i w:val="1"/>
          <w:iCs w:val="1"/>
          <w:color w:val="auto"/>
        </w:rPr>
        <w:t>i.e</w:t>
      </w:r>
      <w:r>
        <w:rPr>
          <w:rFonts w:ascii="Arial" w:cs="Arial" w:eastAsia="Arial" w:hAnsi="Arial"/>
          <w:sz w:val="13"/>
          <w:szCs w:val="13"/>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34" w:right="21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 xml:space="preserve">Phase I Human Clinical Trials – </w:t>
      </w:r>
      <w:r>
        <w:rPr>
          <w:rFonts w:ascii="Arial" w:cs="Arial" w:eastAsia="Arial" w:hAnsi="Arial"/>
          <w:sz w:val="15"/>
          <w:szCs w:val="15"/>
          <w:b w:val="1"/>
          <w:bCs w:val="1"/>
          <w:color w:val="auto"/>
        </w:rPr>
        <w:t>HER2/neu+ Breast Cancer – Mayo Clinic</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3"/>
          <w:szCs w:val="13"/>
          <w:u w:val="single" w:color="auto"/>
          <w:color w:val="auto"/>
        </w:rPr>
        <w:t>interim safety analysis</w:t>
      </w:r>
      <w:r>
        <w:rPr>
          <w:rFonts w:ascii="Arial" w:cs="Arial" w:eastAsia="Arial" w:hAnsi="Arial"/>
          <w:sz w:val="13"/>
          <w:szCs w:val="13"/>
          <w:color w:val="auto"/>
        </w:rPr>
        <w:t xml:space="preserve">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Phase I Human Clinical Trials – </w:t>
      </w:r>
      <w:r>
        <w:rPr>
          <w:rFonts w:ascii="Arial" w:cs="Arial" w:eastAsia="Arial" w:hAnsi="Arial"/>
          <w:sz w:val="15"/>
          <w:szCs w:val="15"/>
          <w:b w:val="1"/>
          <w:bCs w:val="1"/>
          <w:color w:val="auto"/>
        </w:rPr>
        <w:t>Folate Alpha Breast and Ovarian Cancer – Mayo Clinic</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March 19, 2014, the Company announced the signing of an exclusive option agreement for a set of unique peptide epitopes targeting Folate Receptor Alpha in both breast cancer and ovarian cancer.</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Folate Receptor Alpha is 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38"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 24 patient Phase I clinical trial is currently underway. The trial is fully enrolled and closed, and will be evaluated for Phase II advancement in 2015 when all Phase I data has been evaluated.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No serious adverse events have occurred to date and 20 out of 21 evaluable patients showed positive immune responses providing a strong rationale rational for progressing to phase 2 trials.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More information can be seen at: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http://clinicaltrials.gov/ct2/show/NCT01606241?term=folate+receptor+alpha&amp;rank=1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Preclinical</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Polystart™</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50"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We plan to develop or out-license our technologies for the creation of enhanced anti-viral vaccines, such as for smallpox and other viral diseases. We anticipate that we will complete these studies with a strategic partner involved in the vaccine and Biodefense space. We intend to progress our infectious disease programs with non-dilutive grant funding as well and to expand the use of our TAP platform to emerging pathogens that could be either pandemic or bioterrorist threats.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Relationships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Mayo Foundation for Medical Education and Research</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Following approval of the IND by the FDA in July, 2011, TapImmune and the Mayo Foundation executed a Sponsored Research Agreement for the clinical trial.</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May 4, 2012, Mayo IRB approval was confirmed and patient dosing started in August 2012. Interim safety analysis on the first five patients was completed successfully allowing continuation of the trial.</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TapImmune decided not to proceed into primate studies to devote resources to its oncology clinical programs.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MA, June 26, 2012. A peer-reviewed manuscript from the Knutson lab, which describes the science in detail, has been accepted for publication in Journal of Immunology.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0" w:right="21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auto"/>
        </w:rPr>
        <w:t>Intellectual Property, Patents and Trademarks</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157"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TapImmune currently owns a number of issued and pending patents covering composition of matter and use of TAP and PolyStart. In addition, a number of issued and pending patents cover the HER2/neu and Folate Receptor Alpha peptides in our Option to License or License Agreements from the Mayo Foundation for Education and Research.</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S.A., and Bavarian Nordic. Other immunotherapy approaches including adoptive T-cell therapies, monoclonal antibodies and checkpoint inhibitors also provide competition in the oncology space. In these areas competitors include, Lion Biotechnology, Juno, Kite, Roche, Merck, Bristol Myers Squibb, Astra Zeneca, Medimmune. We believe that our in vivo T-cell therapy approaches will be synergistic with these approaches and might even improve them.</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States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4"/>
          <w:szCs w:val="14"/>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 manufacturers of approved products and their manufacturing facilities are subject to continual review and periodic inspections.</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Canada</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38" w:lineRule="exact"/>
        <w:rPr>
          <w:sz w:val="20"/>
          <w:szCs w:val="20"/>
          <w:color w:val="auto"/>
        </w:rPr>
      </w:pPr>
    </w:p>
    <w:p>
      <w:pPr>
        <w:jc w:val="both"/>
        <w:spacing w:after="0" w:line="356" w:lineRule="auto"/>
        <w:rPr>
          <w:sz w:val="20"/>
          <w:szCs w:val="20"/>
          <w:color w:val="auto"/>
        </w:rPr>
      </w:pPr>
      <w:r>
        <w:rPr>
          <w:rFonts w:ascii="Arial" w:cs="Arial" w:eastAsia="Arial" w:hAnsi="Arial"/>
          <w:sz w:val="13"/>
          <w:szCs w:val="13"/>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3"/>
          <w:szCs w:val="13"/>
          <w:u w:val="single" w:color="auto"/>
          <w:color w:val="auto"/>
        </w:rPr>
        <w:t>www.hc-sc.gc.ca</w:t>
      </w:r>
      <w:r>
        <w:rPr>
          <w:rFonts w:ascii="Arial" w:cs="Arial" w:eastAsia="Arial" w:hAnsi="Arial"/>
          <w:sz w:val="13"/>
          <w:szCs w:val="13"/>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Jurisdictions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 Liability and Insurance</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TapImmune currently has one full-time employee. The management team is comprised of Dr. Glynn Wilson (Chief Executive Officer, Principal Executive Officer and Acting Principal Accounting Officer), and Dr. Robert Florkiewicz (Consulting, Head of Research) together with a number of consultants, corporate advisors and scientific collaborators.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We intend to settle that matter.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5"/>
          <w:szCs w:val="15"/>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177"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Our common stock is traded on the Over the Counter Bulletin Board (“OTCQB”) under the symbol “TPIV” and previously on the Frankfurt and subsequently on the Berlin and Munich Stock Exchanges under the symbol “GX1A.” The listing on the Frankfurt exchange is no longer valid however the Berlin and Munich Stock Exchange listing done without the Company’s knowledge and consent appear to still be active.</w:t>
      </w:r>
    </w:p>
    <w:p>
      <w:pPr>
        <w:spacing w:after="0" w:line="155"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The market for our common stock is limited, volatile and sporadic. The following table sets forth, for the periods indicated, the high and low bid prices of our common stock as reported on the OTCQB. The following quotations reflect inter-dealer prices, without retail mark-up, markdown, or commissions, and may not reflect actual transactions.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High Bid</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5"/>
                <w:szCs w:val="15"/>
                <w:b w:val="1"/>
                <w:bCs w:val="1"/>
                <w:color w:val="auto"/>
              </w:rPr>
              <w:t>Low Bid</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7"/>
        </w:trPr>
        <w:tc>
          <w:tcPr>
            <w:tcW w:w="8700" w:type="dxa"/>
            <w:vAlign w:val="bottom"/>
          </w:tcPr>
          <w:p>
            <w:pPr>
              <w:spacing w:after="0"/>
              <w:rPr>
                <w:sz w:val="20"/>
                <w:szCs w:val="20"/>
                <w:color w:val="auto"/>
              </w:rPr>
            </w:pPr>
            <w:r>
              <w:rPr>
                <w:rFonts w:ascii="Arial" w:cs="Arial" w:eastAsia="Arial" w:hAnsi="Arial"/>
                <w:sz w:val="15"/>
                <w:szCs w:val="15"/>
                <w:b w:val="1"/>
                <w:bCs w:val="1"/>
                <w:color w:val="auto"/>
              </w:rPr>
              <w:t>Fiscal Year 2015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June 30, 2015</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0.17</w:t>
            </w:r>
          </w:p>
        </w:tc>
      </w:tr>
      <w:tr>
        <w:trPr>
          <w:trHeight w:val="190"/>
        </w:trPr>
        <w:tc>
          <w:tcPr>
            <w:tcW w:w="8700" w:type="dxa"/>
            <w:vAlign w:val="bottom"/>
          </w:tcPr>
          <w:p>
            <w:pPr>
              <w:ind w:left="120"/>
              <w:spacing w:after="0"/>
              <w:rPr>
                <w:sz w:val="20"/>
                <w:szCs w:val="20"/>
                <w:color w:val="auto"/>
              </w:rPr>
            </w:pPr>
            <w:r>
              <w:rPr>
                <w:rFonts w:ascii="Arial" w:cs="Arial" w:eastAsia="Arial" w:hAnsi="Arial"/>
                <w:sz w:val="15"/>
                <w:szCs w:val="15"/>
                <w:color w:val="auto"/>
              </w:rPr>
              <w:t>March 31, 2015</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0.36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0.12</w:t>
            </w:r>
          </w:p>
        </w:tc>
      </w:tr>
      <w:tr>
        <w:trPr>
          <w:trHeight w:val="353"/>
        </w:trPr>
        <w:tc>
          <w:tcPr>
            <w:tcW w:w="8700" w:type="dxa"/>
            <w:vAlign w:val="bottom"/>
          </w:tcPr>
          <w:p>
            <w:pPr>
              <w:spacing w:after="0"/>
              <w:rPr>
                <w:sz w:val="20"/>
                <w:szCs w:val="20"/>
                <w:color w:val="auto"/>
              </w:rPr>
            </w:pPr>
            <w:r>
              <w:rPr>
                <w:rFonts w:ascii="Arial" w:cs="Arial" w:eastAsia="Arial" w:hAnsi="Arial"/>
                <w:sz w:val="15"/>
                <w:szCs w:val="15"/>
                <w:b w:val="1"/>
                <w:bCs w:val="1"/>
                <w:color w:val="auto"/>
              </w:rPr>
              <w:t>Fiscal Year 2014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December 31, 2014</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0.32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0.28</w:t>
            </w: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September 30, 2014</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0.66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0.62</w:t>
            </w: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June 28, 2014</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1.80</w:t>
            </w:r>
          </w:p>
        </w:tc>
      </w:tr>
      <w:tr>
        <w:trPr>
          <w:trHeight w:val="190"/>
        </w:trPr>
        <w:tc>
          <w:tcPr>
            <w:tcW w:w="8700" w:type="dxa"/>
            <w:vAlign w:val="bottom"/>
          </w:tcPr>
          <w:p>
            <w:pPr>
              <w:ind w:left="60"/>
              <w:spacing w:after="0"/>
              <w:rPr>
                <w:sz w:val="20"/>
                <w:szCs w:val="20"/>
                <w:color w:val="auto"/>
              </w:rPr>
            </w:pPr>
            <w:r>
              <w:rPr>
                <w:rFonts w:ascii="Arial" w:cs="Arial" w:eastAsia="Arial" w:hAnsi="Arial"/>
                <w:sz w:val="15"/>
                <w:szCs w:val="15"/>
                <w:color w:val="auto"/>
              </w:rPr>
              <w:t>March 31, 2014</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3.50</w:t>
            </w:r>
          </w:p>
        </w:tc>
      </w:tr>
      <w:tr>
        <w:trPr>
          <w:trHeight w:val="353"/>
        </w:trPr>
        <w:tc>
          <w:tcPr>
            <w:tcW w:w="8700" w:type="dxa"/>
            <w:vAlign w:val="bottom"/>
          </w:tcPr>
          <w:p>
            <w:pPr>
              <w:spacing w:after="0"/>
              <w:rPr>
                <w:sz w:val="20"/>
                <w:szCs w:val="20"/>
                <w:color w:val="auto"/>
              </w:rPr>
            </w:pPr>
            <w:r>
              <w:rPr>
                <w:rFonts w:ascii="Arial" w:cs="Arial" w:eastAsia="Arial" w:hAnsi="Arial"/>
                <w:sz w:val="15"/>
                <w:szCs w:val="15"/>
                <w:b w:val="1"/>
                <w:bCs w:val="1"/>
                <w:color w:val="auto"/>
              </w:rPr>
              <w:t>Fiscal Year 2013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December 31, 2013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1.91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1.60</w:t>
            </w: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September 30, 2013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1.00</w:t>
            </w: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June 28, 2013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2.35</w:t>
            </w:r>
          </w:p>
        </w:tc>
      </w:tr>
      <w:tr>
        <w:trPr>
          <w:trHeight w:val="191"/>
        </w:trPr>
        <w:tc>
          <w:tcPr>
            <w:tcW w:w="8700" w:type="dxa"/>
            <w:vAlign w:val="bottom"/>
          </w:tcPr>
          <w:p>
            <w:pPr>
              <w:ind w:left="60"/>
              <w:spacing w:after="0"/>
              <w:rPr>
                <w:sz w:val="20"/>
                <w:szCs w:val="20"/>
                <w:color w:val="auto"/>
              </w:rPr>
            </w:pPr>
            <w:r>
              <w:rPr>
                <w:rFonts w:ascii="Arial" w:cs="Arial" w:eastAsia="Arial" w:hAnsi="Arial"/>
                <w:sz w:val="15"/>
                <w:szCs w:val="15"/>
                <w:color w:val="auto"/>
              </w:rPr>
              <w:t>March 28, 2013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10.20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9.22</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last reported sales price for our shares on the OTCQB as of July 15, 2015, was $0.79 per share. As of July 15, 2015, we had 394 shareholders of record.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 dividends have been declared or paid on our common stock. We have incurred recurring losses and do not currently intend to pay any cash dividends in the foreseeable future.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as of December 31, 2014:</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144145</wp:posOffset>
            </wp:positionV>
            <wp:extent cx="726884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83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720"/>
        <w:spacing w:after="0" w:line="356" w:lineRule="auto"/>
        <w:rPr>
          <w:sz w:val="20"/>
          <w:szCs w:val="20"/>
          <w:color w:val="auto"/>
        </w:rPr>
      </w:pPr>
      <w:r>
        <w:rPr>
          <w:rFonts w:ascii="Arial" w:cs="Arial" w:eastAsia="Arial" w:hAnsi="Arial"/>
          <w:sz w:val="13"/>
          <w:szCs w:val="13"/>
          <w:color w:val="auto"/>
        </w:rPr>
        <w:t>(a)Equity compensation plans approved by security holders (b)Equity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-302895</wp:posOffset>
            </wp:positionV>
            <wp:extent cx="453199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-281305</wp:posOffset>
            </wp:positionV>
            <wp:extent cx="45319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45319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-22860</wp:posOffset>
            </wp:positionV>
            <wp:extent cx="45319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453199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120015</wp:posOffset>
            </wp:positionV>
            <wp:extent cx="453199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319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Number of</w:t>
            </w:r>
          </w:p>
        </w:tc>
      </w:t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88"/>
              </w:rPr>
              <w:t>securities</w:t>
            </w:r>
          </w:p>
        </w:tc>
      </w:t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remaining</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4"/>
              </w:rPr>
              <w:t>Number of</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3"/>
              </w:rPr>
              <w:t>available for</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securities to be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88"/>
              </w:rPr>
              <w:t>future issuance</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88"/>
              </w:rPr>
              <w:t>issued upon</w:t>
            </w:r>
          </w:p>
        </w:tc>
        <w:tc>
          <w:tcPr>
            <w:tcW w:w="1380" w:type="dxa"/>
            <w:vAlign w:val="bottom"/>
            <w:gridSpan w:val="3"/>
          </w:tcPr>
          <w:p>
            <w:pPr>
              <w:jc w:val="center"/>
              <w:ind w:right="260"/>
              <w:spacing w:after="0"/>
              <w:rPr>
                <w:sz w:val="20"/>
                <w:szCs w:val="20"/>
                <w:color w:val="auto"/>
              </w:rPr>
            </w:pPr>
            <w:r>
              <w:rPr>
                <w:rFonts w:ascii="Arial" w:cs="Arial" w:eastAsia="Arial" w:hAnsi="Arial"/>
                <w:sz w:val="15"/>
                <w:szCs w:val="15"/>
                <w:color w:val="auto"/>
                <w:w w:val="88"/>
              </w:rPr>
              <w:t>Weighted average</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2"/>
              </w:rPr>
              <w:t>under equity</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0"/>
              </w:rPr>
              <w:t>exercise of</w:t>
            </w:r>
          </w:p>
        </w:tc>
        <w:tc>
          <w:tcPr>
            <w:tcW w:w="1380" w:type="dxa"/>
            <w:vAlign w:val="bottom"/>
            <w:gridSpan w:val="3"/>
          </w:tcPr>
          <w:p>
            <w:pPr>
              <w:jc w:val="center"/>
              <w:ind w:right="240"/>
              <w:spacing w:after="0"/>
              <w:rPr>
                <w:sz w:val="20"/>
                <w:szCs w:val="20"/>
                <w:color w:val="auto"/>
              </w:rPr>
            </w:pPr>
            <w:r>
              <w:rPr>
                <w:rFonts w:ascii="Arial" w:cs="Arial" w:eastAsia="Arial" w:hAnsi="Arial"/>
                <w:sz w:val="15"/>
                <w:szCs w:val="15"/>
                <w:color w:val="auto"/>
                <w:w w:val="89"/>
              </w:rPr>
              <w:t>exercise price of</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89"/>
              </w:rPr>
              <w:t>compensation</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0"/>
              </w:rPr>
              <w:t>outstanding</w:t>
            </w: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5"/>
                <w:szCs w:val="15"/>
                <w:color w:val="auto"/>
                <w:w w:val="90"/>
              </w:rPr>
              <w:t>outstanding</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2"/>
              </w:rPr>
              <w:t>plans (excluding</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options, warrants</w:t>
            </w:r>
          </w:p>
        </w:tc>
        <w:tc>
          <w:tcPr>
            <w:tcW w:w="1380" w:type="dxa"/>
            <w:vAlign w:val="bottom"/>
            <w:gridSpan w:val="3"/>
          </w:tcPr>
          <w:p>
            <w:pPr>
              <w:jc w:val="center"/>
              <w:ind w:right="260"/>
              <w:spacing w:after="0"/>
              <w:rPr>
                <w:sz w:val="20"/>
                <w:szCs w:val="20"/>
                <w:color w:val="auto"/>
              </w:rPr>
            </w:pPr>
            <w:r>
              <w:rPr>
                <w:rFonts w:ascii="Arial" w:cs="Arial" w:eastAsia="Arial" w:hAnsi="Arial"/>
                <w:sz w:val="15"/>
                <w:szCs w:val="15"/>
                <w:color w:val="auto"/>
                <w:w w:val="91"/>
              </w:rPr>
              <w:t>options, warrants</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1"/>
              </w:rPr>
              <w:t>securities reflected</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and rights</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color w:val="auto"/>
                <w:w w:val="91"/>
              </w:rPr>
              <w:t>and rights</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in column (a)</w:t>
            </w:r>
          </w:p>
        </w:tc>
      </w:tr>
      <w:tr>
        <w:trPr>
          <w:trHeight w:val="19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(a)</w:t>
            </w:r>
          </w:p>
        </w:tc>
        <w:tc>
          <w:tcPr>
            <w:tcW w:w="3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97"/>
              </w:rPr>
              <w:t>(b)</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(c)</w:t>
            </w:r>
          </w:p>
        </w:tc>
        <w:tc>
          <w:tcPr>
            <w:tcW w:w="20" w:type="dxa"/>
            <w:vAlign w:val="bottom"/>
          </w:tcPr>
          <w:p>
            <w:pPr>
              <w:spacing w:after="0"/>
              <w:rPr>
                <w:sz w:val="16"/>
                <w:szCs w:val="16"/>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500" w:type="dxa"/>
            <w:vAlign w:val="bottom"/>
            <w:gridSpan w:val="3"/>
          </w:tcPr>
          <w:p>
            <w:pPr>
              <w:jc w:val="right"/>
              <w:ind w:right="200"/>
              <w:spacing w:after="0" w:line="156" w:lineRule="exact"/>
              <w:rPr>
                <w:sz w:val="20"/>
                <w:szCs w:val="20"/>
                <w:color w:val="auto"/>
              </w:rPr>
            </w:pPr>
            <w:r>
              <w:rPr>
                <w:rFonts w:ascii="Arial" w:cs="Arial" w:eastAsia="Arial" w:hAnsi="Arial"/>
                <w:sz w:val="15"/>
                <w:szCs w:val="15"/>
                <w:color w:val="auto"/>
              </w:rPr>
              <w:t>65,430(1)</w:t>
            </w: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18.00</w:t>
            </w:r>
          </w:p>
        </w:tc>
        <w:tc>
          <w:tcPr>
            <w:tcW w:w="24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34,570</w:t>
            </w:r>
          </w:p>
        </w:tc>
        <w:tc>
          <w:tcPr>
            <w:tcW w:w="20" w:type="dxa"/>
            <w:vAlign w:val="bottom"/>
          </w:tcPr>
          <w:p>
            <w:pPr>
              <w:spacing w:after="0"/>
              <w:rPr>
                <w:sz w:val="13"/>
                <w:szCs w:val="13"/>
                <w:color w:val="auto"/>
              </w:rPr>
            </w:pPr>
          </w:p>
        </w:tc>
      </w:tr>
      <w:tr>
        <w:trPr>
          <w:trHeight w:val="191"/>
        </w:trPr>
        <w:tc>
          <w:tcPr>
            <w:tcW w:w="114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Nil</w:t>
            </w: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Nil</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Nil</w:t>
            </w:r>
          </w:p>
        </w:tc>
        <w:tc>
          <w:tcPr>
            <w:tcW w:w="20" w:type="dxa"/>
            <w:vAlign w:val="bottom"/>
          </w:tcPr>
          <w:p>
            <w:pPr>
              <w:spacing w:after="0"/>
              <w:rPr>
                <w:sz w:val="16"/>
                <w:szCs w:val="16"/>
                <w:color w:val="auto"/>
              </w:rPr>
            </w:pPr>
          </w:p>
        </w:tc>
      </w:tr>
      <w:tr>
        <w:trPr>
          <w:trHeight w:val="20"/>
        </w:trPr>
        <w:tc>
          <w:tcPr>
            <w:tcW w:w="1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67"/>
        </w:trPr>
        <w:tc>
          <w:tcPr>
            <w:tcW w:w="112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65,430</w:t>
            </w:r>
          </w:p>
        </w:tc>
        <w:tc>
          <w:tcPr>
            <w:tcW w:w="380" w:type="dxa"/>
            <w:vAlign w:val="bottom"/>
            <w:gridSpan w:val="2"/>
          </w:tcPr>
          <w:p>
            <w:pPr>
              <w:jc w:val="right"/>
              <w:ind w:right="200"/>
              <w:spacing w:after="0" w:line="152" w:lineRule="exact"/>
              <w:rPr>
                <w:sz w:val="20"/>
                <w:szCs w:val="20"/>
                <w:color w:val="auto"/>
              </w:rPr>
            </w:pPr>
            <w:r>
              <w:rPr>
                <w:rFonts w:ascii="Arial" w:cs="Arial" w:eastAsia="Arial" w:hAnsi="Arial"/>
                <w:sz w:val="15"/>
                <w:szCs w:val="15"/>
                <w:color w:val="auto"/>
                <w:w w:val="87"/>
              </w:rPr>
              <w:t>(1)</w:t>
            </w:r>
          </w:p>
        </w:tc>
        <w:tc>
          <w:tcPr>
            <w:tcW w:w="1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18.00</w:t>
            </w:r>
          </w:p>
        </w:tc>
        <w:tc>
          <w:tcPr>
            <w:tcW w:w="240" w:type="dxa"/>
            <w:vAlign w:val="bottom"/>
          </w:tcPr>
          <w:p>
            <w:pPr>
              <w:spacing w:after="0"/>
              <w:rPr>
                <w:sz w:val="14"/>
                <w:szCs w:val="14"/>
                <w:color w:val="auto"/>
              </w:rPr>
            </w:pPr>
          </w:p>
        </w:tc>
        <w:tc>
          <w:tcPr>
            <w:tcW w:w="116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34,570</w:t>
            </w:r>
          </w:p>
        </w:tc>
        <w:tc>
          <w:tcPr>
            <w:tcW w:w="20" w:type="dxa"/>
            <w:vAlign w:val="bottom"/>
          </w:tcPr>
          <w:p>
            <w:pPr>
              <w:spacing w:after="0"/>
              <w:rPr>
                <w:sz w:val="14"/>
                <w:szCs w:val="14"/>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6540" w:space="720"/>
            <w:col w:w="4180"/>
          </w:cols>
          <w:pgMar w:left="240" w:top="837" w:right="219" w:bottom="1440" w:gutter="0" w:footer="0" w:header="0"/>
          <w:type w:val="continuous"/>
        </w:sectPr>
      </w:pPr>
    </w:p>
    <w:p>
      <w:pPr>
        <w:spacing w:after="0"/>
        <w:rPr>
          <w:sz w:val="20"/>
          <w:szCs w:val="20"/>
          <w:color w:val="auto"/>
        </w:rPr>
      </w:pPr>
      <w:r>
        <w:rPr>
          <w:rFonts w:ascii="Arial" w:cs="Arial" w:eastAsia="Arial" w:hAnsi="Arial"/>
          <w:sz w:val="14"/>
          <w:szCs w:val="14"/>
          <w:color w:val="auto"/>
        </w:rPr>
        <w:t>(1) The plan under which these shares were issued was approved by the Board of Directors and the shareholders in 2009 but did not come into effect until February 22, 2010.</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Incentive Plan</w:t>
      </w:r>
    </w:p>
    <w:p>
      <w:pPr>
        <w:spacing w:after="0" w:line="193"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foregoing summary of the 2009 Stock Incentive Plan is not complete and is qualified in its entirety by reference to the 2009 Stock Incentive Plan, a copy of which has been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To date, 65,430 options have been issued under the 2009 Plan. Of those options, 42,500 were issued to members of our scientific advisory board, and our Chief Executive Officer.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On March 19, 2014, we adopted the 2014 Omnibus Stock Option Plan (“2014 Plan”). The 2014 Plan allows for the issuance of 2,000,000 options to acquire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As of June 18, 2015, there are an aggregate of 84,382,892 common stock purchase warrants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previously reported all issuances of unregistered equity during the year ended December 31, 2014 through June 19,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RESULTS OF OPERATIONS</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reviewing “Management’s Discussion and Analysis of Financial Condition and Results of Operations”, you should refer to our Consolidated Financial Statements and the notes related thereto.</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 this discussion of the Company’s results of operations and financial condition, amounts, other than per-share amounts, have been rounded to the nearest thousand dollars.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March 31, 2015 Compared to Three Months Ended March 31, 2014</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recorded a net loss of $982,000 or ($0.04) per share during the three months ended March 31, 2015 compared to $29,707,000 or ($3.89) per share for the three months ended March 31, 2014. $27,663,430 of the net loss in the three months ended March 31, 2014 resulted from the conversion in that quarter of approximately $5,231,950 of debt and all outstanding Preferred B shares into 14,211,684 shares of common stock. As required by US GAAP we recorded the value of these shares at fair value at the time of issuance. As a result of the debt settlements and conversions, the Company recorded a loss on settlement of debt of $27,663,430, which is the difference between the carrying value of the debt settled and the value of the common stock issued at the time of issuance.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37" w:right="219" w:bottom="1440" w:gutter="0" w:footer="0" w:header="0"/>
          <w:type w:val="continuous"/>
        </w:sectPr>
      </w:pPr>
    </w:p>
    <w:bookmarkStart w:id="34" w:name="page35"/>
    <w:bookmarkEnd w:id="34"/>
    <w:p>
      <w:pPr>
        <w:ind w:left="10"/>
        <w:spacing w:after="0" w:line="276" w:lineRule="auto"/>
        <w:rPr>
          <w:sz w:val="20"/>
          <w:szCs w:val="20"/>
          <w:color w:val="auto"/>
        </w:rPr>
      </w:pPr>
      <w:r>
        <w:rPr>
          <w:rFonts w:ascii="Arial" w:cs="Arial" w:eastAsia="Arial" w:hAnsi="Arial"/>
          <w:sz w:val="15"/>
          <w:szCs w:val="15"/>
          <w:color w:val="auto"/>
        </w:rPr>
        <w:t>Operating costs decreased to $1,028,000 during the three months ended March 31, 2015 compared to $1,187,000 in the prior period. Significant changes in operating expenses are outlined as follows:</w:t>
      </w:r>
    </w:p>
    <w:p>
      <w:pPr>
        <w:spacing w:after="0" w:line="146" w:lineRule="exact"/>
        <w:rPr>
          <w:sz w:val="20"/>
          <w:szCs w:val="20"/>
          <w:color w:val="auto"/>
        </w:rPr>
      </w:pPr>
    </w:p>
    <w:p>
      <w:pPr>
        <w:jc w:val="both"/>
        <w:ind w:left="390" w:right="20" w:hanging="390"/>
        <w:spacing w:after="0" w:line="291" w:lineRule="auto"/>
        <w:tabs>
          <w:tab w:leader="none" w:pos="39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General and administrative expenses decreased to $419,000 during the three months ended March 31, 2015 from $1,164,000 during the prior period. The decrease was primarily due to absence of non-cash consulting fees paid as stock-based compensation during the three months ended March 31, 2015 from $686,000 during the prior period. The decrease in non-cash consulting fees from the prior year was due to the Company curtailing its business development activities in the current year.</w:t>
      </w:r>
    </w:p>
    <w:p>
      <w:pPr>
        <w:spacing w:after="0" w:line="138" w:lineRule="exact"/>
        <w:rPr>
          <w:rFonts w:ascii="Arial" w:cs="Arial" w:eastAsia="Arial" w:hAnsi="Arial"/>
          <w:sz w:val="14"/>
          <w:szCs w:val="14"/>
          <w:color w:val="auto"/>
        </w:rPr>
      </w:pPr>
    </w:p>
    <w:p>
      <w:pPr>
        <w:ind w:left="390" w:hanging="390"/>
        <w:spacing w:after="0" w:line="313" w:lineRule="auto"/>
        <w:tabs>
          <w:tab w:leader="none" w:pos="39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Research and development costs during the three months ended March 31, 2015 were $609,000 compared to $23,000 during the prior period. This was due to the Company exercising its option to acquire Mayo Clinic technology as part of an agreement entered into in March 2014 and increased in in-house research activity in the current period.</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weighted average number of shares outstanding was 27,611,255 for the three months ended March 31, 2015 compared to 7,631,669 for the prior year.</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Year Ended December 31, 2014 Compared to the Year Ended December 31, 2013</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recorded a net loss of $30,883,000 during the year ended December 31, 2014 compared to $5,533,000 for the year ended December 31, 2013.</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Operating Expenses</w:t>
      </w:r>
    </w:p>
    <w:p>
      <w:pPr>
        <w:spacing w:after="0" w:line="189"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Operating expenses incurred during the fiscal year ended December 31, 2014 were $3,425,000 compared to $2,664,000 in the prior year. Significant changes and expenditures are outlined as follows:</w:t>
      </w:r>
    </w:p>
    <w:p>
      <w:pPr>
        <w:spacing w:after="0" w:line="146" w:lineRule="exact"/>
        <w:rPr>
          <w:sz w:val="20"/>
          <w:szCs w:val="20"/>
          <w:color w:val="auto"/>
        </w:rPr>
      </w:pPr>
    </w:p>
    <w:p>
      <w:pPr>
        <w:jc w:val="both"/>
        <w:ind w:left="390" w:hanging="390"/>
        <w:spacing w:after="0" w:line="260" w:lineRule="auto"/>
        <w:tabs>
          <w:tab w:leader="none" w:pos="390" w:val="left"/>
        </w:tabs>
        <w:numPr>
          <w:ilvl w:val="0"/>
          <w:numId w:val="22"/>
        </w:numPr>
        <w:rPr>
          <w:rFonts w:ascii="Arial" w:cs="Arial" w:eastAsia="Arial" w:hAnsi="Arial"/>
          <w:sz w:val="15"/>
          <w:szCs w:val="15"/>
          <w:color w:val="auto"/>
        </w:rPr>
      </w:pPr>
      <w:r>
        <w:rPr>
          <w:rFonts w:ascii="Arial" w:cs="Arial" w:eastAsia="Arial" w:hAnsi="Arial"/>
          <w:sz w:val="15"/>
          <w:szCs w:val="15"/>
          <w:color w:val="auto"/>
        </w:rPr>
        <w:t>General and administrative expenses increased to $3,182,000 during the year ended December 31, 2014 from $1,967,000 during the prior period. The increase was primarily due to higher non-cash consulting fees paid as stock-based compensation of $1,391,000 during the year ended December 31, 2014 from $85,000 during the prior period offset by professional fees which were $474,000 in the year ended December 31, 2014 compared to $845,000 in the prior year. The decrease in professional fee from the prior year was due to lower legal fees incurred relating to debt issuance and settlements in the current year.</w:t>
      </w:r>
    </w:p>
    <w:p>
      <w:pPr>
        <w:spacing w:after="0" w:line="157" w:lineRule="exact"/>
        <w:rPr>
          <w:rFonts w:ascii="Arial" w:cs="Arial" w:eastAsia="Arial" w:hAnsi="Arial"/>
          <w:sz w:val="15"/>
          <w:szCs w:val="15"/>
          <w:color w:val="auto"/>
        </w:rPr>
      </w:pPr>
    </w:p>
    <w:p>
      <w:pPr>
        <w:ind w:left="390" w:right="20" w:hanging="390"/>
        <w:spacing w:after="0" w:line="276" w:lineRule="auto"/>
        <w:tabs>
          <w:tab w:leader="none" w:pos="39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Research and development costs during the fiscal year ended December 31, 2014 were $189,000 compared to $698,000 during the prior fiscal year. This was due to lower technology licensing fee accrued for payment due to Mayo clinic and decreased in house research activity in the current year.</w:t>
      </w:r>
    </w:p>
    <w:p>
      <w:pPr>
        <w:spacing w:after="0" w:line="146"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color w:val="auto"/>
        </w:rPr>
        <w:t>Our net loss for the year ended December 31, 2014 was $30,883,000 or ($2.00) per share, compared to a net loss of $5,533,000 or ($4.87) per share in the prior year. The weighted average number of shares outstanding was 15,465,213 for the year ended December 31, 2014 compared to 1,136,115 for the prior year.</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Liquidity and Capital Resources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following table sets forth our cash and working capital as of March 31, 2015 and December 31, 2014:</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0"/>
              </w:rPr>
              <w:t>December 31,</w:t>
            </w:r>
          </w:p>
        </w:tc>
      </w:tr>
      <w:tr>
        <w:trPr>
          <w:trHeight w:val="195"/>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1"/>
              </w:rPr>
              <w:t>March 31, 2015</w:t>
            </w:r>
          </w:p>
        </w:tc>
        <w:tc>
          <w:tcPr>
            <w:tcW w:w="120" w:type="dxa"/>
            <w:vAlign w:val="bottom"/>
          </w:tcPr>
          <w:p>
            <w:pPr>
              <w:spacing w:after="0"/>
              <w:rPr>
                <w:sz w:val="16"/>
                <w:szCs w:val="16"/>
                <w:color w:val="auto"/>
              </w:rPr>
            </w:pPr>
          </w:p>
        </w:tc>
        <w:tc>
          <w:tcPr>
            <w:tcW w:w="1060" w:type="dxa"/>
            <w:vAlign w:val="bottom"/>
          </w:tcPr>
          <w:p>
            <w:pPr>
              <w:jc w:val="right"/>
              <w:ind w:right="369"/>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6"/>
                <w:szCs w:val="16"/>
                <w:color w:val="auto"/>
              </w:rPr>
            </w:pP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7"/>
        </w:trPr>
        <w:tc>
          <w:tcPr>
            <w:tcW w:w="8580" w:type="dxa"/>
            <w:vAlign w:val="bottom"/>
          </w:tcPr>
          <w:p>
            <w:pPr>
              <w:spacing w:after="0"/>
              <w:rPr>
                <w:sz w:val="20"/>
                <w:szCs w:val="20"/>
                <w:color w:val="auto"/>
              </w:rPr>
            </w:pPr>
            <w:r>
              <w:rPr>
                <w:rFonts w:ascii="Arial" w:cs="Arial" w:eastAsia="Arial" w:hAnsi="Arial"/>
                <w:sz w:val="15"/>
                <w:szCs w:val="15"/>
                <w:color w:val="auto"/>
              </w:rPr>
              <w:t>Cash reserves</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1,454,000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142,000</w:t>
            </w:r>
          </w:p>
        </w:tc>
      </w:tr>
      <w:tr>
        <w:trPr>
          <w:trHeight w:val="192"/>
        </w:trPr>
        <w:tc>
          <w:tcPr>
            <w:tcW w:w="8580" w:type="dxa"/>
            <w:vAlign w:val="bottom"/>
          </w:tcPr>
          <w:p>
            <w:pPr>
              <w:spacing w:after="0"/>
              <w:rPr>
                <w:sz w:val="20"/>
                <w:szCs w:val="20"/>
                <w:color w:val="auto"/>
              </w:rPr>
            </w:pPr>
            <w:r>
              <w:rPr>
                <w:rFonts w:ascii="Arial" w:cs="Arial" w:eastAsia="Arial" w:hAnsi="Arial"/>
                <w:sz w:val="15"/>
                <w:szCs w:val="15"/>
                <w:color w:val="auto"/>
              </w:rPr>
              <w:t>Working capital (deficit)</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00"/>
              <w:spacing w:after="0" w:line="172" w:lineRule="exact"/>
              <w:rPr>
                <w:sz w:val="20"/>
                <w:szCs w:val="20"/>
                <w:color w:val="auto"/>
              </w:rPr>
            </w:pPr>
            <w:r>
              <w:rPr>
                <w:rFonts w:ascii="Arial" w:cs="Arial" w:eastAsia="Arial" w:hAnsi="Arial"/>
                <w:sz w:val="11"/>
                <w:szCs w:val="11"/>
                <w:color w:val="auto"/>
              </w:rPr>
              <w:t>(1,766,000</w:t>
            </w:r>
            <w:r>
              <w:rPr>
                <w:rFonts w:ascii="Arial" w:cs="Arial" w:eastAsia="Arial" w:hAnsi="Arial"/>
                <w:sz w:val="19"/>
                <w:szCs w:val="19"/>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line="172" w:lineRule="exact"/>
              <w:rPr>
                <w:sz w:val="20"/>
                <w:szCs w:val="20"/>
                <w:color w:val="auto"/>
              </w:rPr>
            </w:pPr>
            <w:r>
              <w:rPr>
                <w:rFonts w:ascii="Arial" w:cs="Arial" w:eastAsia="Arial" w:hAnsi="Arial"/>
                <w:sz w:val="11"/>
                <w:szCs w:val="11"/>
                <w:color w:val="auto"/>
              </w:rPr>
              <w:t>(1,024,000</w:t>
            </w:r>
            <w:r>
              <w:rPr>
                <w:rFonts w:ascii="Arial" w:cs="Arial" w:eastAsia="Arial" w:hAnsi="Arial"/>
                <w:sz w:val="19"/>
                <w:szCs w:val="19"/>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color w:val="auto"/>
        </w:rPr>
        <w:t>Subject to the availability of additional financing, we intend to spend approximately $7,500,000 over the next twelve months in carrying out our plan of operations. At March 31, 2015, we had $1,454,000 of cash on hand and a working capital deficit of $1,766,000. In January and March 2015, we raised approximately $2.33 million in private and brokered placements.</w:t>
      </w:r>
    </w:p>
    <w:p>
      <w:pPr>
        <w:spacing w:after="0" w:line="123"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200" w:lineRule="exact"/>
        <w:rPr>
          <w:sz w:val="20"/>
          <w:szCs w:val="20"/>
          <w:color w:val="auto"/>
        </w:rPr>
      </w:pPr>
    </w:p>
    <w:p>
      <w:pPr>
        <w:spacing w:after="0" w:line="28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457" w:right="219" w:bottom="1440" w:gutter="0" w:footer="0" w:header="0"/>
        </w:sectPr>
      </w:pPr>
    </w:p>
    <w:bookmarkStart w:id="35" w:name="page36"/>
    <w:bookmarkEnd w:id="35"/>
    <w:p>
      <w:pPr>
        <w:spacing w:after="0"/>
        <w:rPr>
          <w:sz w:val="20"/>
          <w:szCs w:val="20"/>
          <w:color w:val="auto"/>
        </w:rPr>
      </w:pPr>
      <w:r>
        <w:rPr>
          <w:rFonts w:ascii="Arial" w:cs="Arial" w:eastAsia="Arial" w:hAnsi="Arial"/>
          <w:sz w:val="15"/>
          <w:szCs w:val="15"/>
          <w:i w:val="1"/>
          <w:iCs w:val="1"/>
          <w:color w:val="auto"/>
        </w:rPr>
        <w:t>Net Cash Used in Operating Activities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Net cash used in operating activities during the three months ended March 31, 2015 was $1,014,000 compared to $373,000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Provided by Financing Activities</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Net cash provided by financing activities during the three months ended March 31, 2015 was $2,326,000 compared to $418,000 during the prior period. Current period financing consisted of proceeds from private placements while prior period financing relates to proceeds from convertible notes.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of March 31, 2015, we anticipate that we will need significant financing to enable us to meet our anticipated expenditures for the next twelve months, which are expected to be in the range of $7,500,000 assuming a single Phase 2 clinical trial.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Going Concern</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March 31, 2015, we had accumulated losses of $87,291,000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0" w:type="dxa"/>
            <w:vAlign w:val="bottom"/>
          </w:tcPr>
          <w:p>
            <w:pPr>
              <w:ind w:left="100"/>
              <w:spacing w:after="0"/>
              <w:rPr>
                <w:sz w:val="20"/>
                <w:szCs w:val="20"/>
                <w:color w:val="auto"/>
              </w:rPr>
            </w:pPr>
            <w:r>
              <w:rPr>
                <w:rFonts w:ascii="Arial" w:cs="Arial" w:eastAsia="Arial" w:hAnsi="Arial"/>
                <w:sz w:val="15"/>
                <w:szCs w:val="15"/>
                <w:b w:val="1"/>
                <w:bCs w:val="1"/>
                <w:color w:val="auto"/>
              </w:rPr>
              <w:t>MANAGEMENT</w:t>
            </w:r>
          </w:p>
        </w:tc>
      </w:tr>
      <w:tr>
        <w:trPr>
          <w:trHeight w:val="385"/>
        </w:trPr>
        <w:tc>
          <w:tcPr>
            <w:tcW w:w="11440" w:type="dxa"/>
            <w:vAlign w:val="bottom"/>
            <w:gridSpan w:val="6"/>
          </w:tcPr>
          <w:p>
            <w:pPr>
              <w:spacing w:after="0"/>
              <w:rPr>
                <w:sz w:val="20"/>
                <w:szCs w:val="20"/>
                <w:color w:val="auto"/>
              </w:rPr>
            </w:pPr>
            <w:r>
              <w:rPr>
                <w:rFonts w:ascii="Arial" w:cs="Arial" w:eastAsia="Arial" w:hAnsi="Arial"/>
                <w:sz w:val="15"/>
                <w:szCs w:val="15"/>
                <w:color w:val="auto"/>
              </w:rPr>
              <w:t>Our directors and executive officers and their respective ages as of the date of this annual report are as follows:</w:t>
            </w:r>
          </w:p>
        </w:tc>
      </w:tr>
      <w:tr>
        <w:trPr>
          <w:trHeight w:val="185"/>
        </w:trPr>
        <w:tc>
          <w:tcPr>
            <w:tcW w:w="390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spacing w:after="0"/>
              <w:rPr>
                <w:sz w:val="16"/>
                <w:szCs w:val="16"/>
                <w:color w:val="auto"/>
              </w:rPr>
            </w:pPr>
          </w:p>
        </w:tc>
      </w:tr>
      <w:tr>
        <w:trPr>
          <w:trHeight w:val="181"/>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Name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Age</w:t>
            </w:r>
          </w:p>
        </w:tc>
        <w:tc>
          <w:tcPr>
            <w:tcW w:w="120" w:type="dxa"/>
            <w:vAlign w:val="bottom"/>
          </w:tcPr>
          <w:p>
            <w:pPr>
              <w:spacing w:after="0"/>
              <w:rPr>
                <w:sz w:val="15"/>
                <w:szCs w:val="15"/>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Position with the Company</w:t>
            </w:r>
          </w:p>
        </w:tc>
      </w:tr>
      <w:tr>
        <w:trPr>
          <w:trHeight w:val="20"/>
        </w:trPr>
        <w:tc>
          <w:tcPr>
            <w:tcW w:w="3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Glynn Wilson</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ind w:right="245"/>
              <w:spacing w:after="0" w:line="156" w:lineRule="exact"/>
              <w:rPr>
                <w:sz w:val="20"/>
                <w:szCs w:val="20"/>
                <w:color w:val="auto"/>
              </w:rPr>
            </w:pPr>
            <w:r>
              <w:rPr>
                <w:rFonts w:ascii="Arial" w:cs="Arial" w:eastAsia="Arial" w:hAnsi="Arial"/>
                <w:sz w:val="15"/>
                <w:szCs w:val="15"/>
                <w:color w:val="auto"/>
              </w:rPr>
              <w:t>68</w:t>
            </w:r>
          </w:p>
        </w:tc>
        <w:tc>
          <w:tcPr>
            <w:tcW w:w="120" w:type="dxa"/>
            <w:vAlign w:val="bottom"/>
          </w:tcPr>
          <w:p>
            <w:pPr>
              <w:spacing w:after="0"/>
              <w:rPr>
                <w:sz w:val="13"/>
                <w:szCs w:val="13"/>
                <w:color w:val="auto"/>
              </w:rPr>
            </w:pPr>
          </w:p>
        </w:tc>
        <w:tc>
          <w:tcPr>
            <w:tcW w:w="64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Chairman, Chief Executive Officer, Principal Executive Officer and a Director</w:t>
            </w:r>
          </w:p>
        </w:tc>
      </w:tr>
      <w:tr>
        <w:trPr>
          <w:trHeight w:val="181"/>
        </w:trPr>
        <w:tc>
          <w:tcPr>
            <w:tcW w:w="390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Vice President Development</w:t>
            </w:r>
          </w:p>
        </w:tc>
      </w:tr>
      <w:tr>
        <w:trPr>
          <w:trHeight w:val="181"/>
        </w:trPr>
        <w:tc>
          <w:tcPr>
            <w:tcW w:w="390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Independent Board Member</w:t>
            </w:r>
          </w:p>
        </w:tc>
      </w:tr>
      <w:tr>
        <w:trPr>
          <w:trHeight w:val="190"/>
        </w:trPr>
        <w:tc>
          <w:tcPr>
            <w:tcW w:w="3900" w:type="dxa"/>
            <w:vAlign w:val="bottom"/>
            <w:gridSpan w:val="2"/>
          </w:tcPr>
          <w:p>
            <w:pPr>
              <w:spacing w:after="0"/>
              <w:rPr>
                <w:sz w:val="20"/>
                <w:szCs w:val="20"/>
                <w:color w:val="auto"/>
              </w:rPr>
            </w:pPr>
            <w:r>
              <w:rPr>
                <w:rFonts w:ascii="Arial" w:cs="Arial" w:eastAsia="Arial" w:hAnsi="Arial"/>
                <w:sz w:val="15"/>
                <w:szCs w:val="15"/>
                <w:color w:val="auto"/>
              </w:rPr>
              <w:t>David Laskow-Pooley</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Independent Board Member</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describes the business experience of each of our directors and executive officers, including other directorships held in reporting companies: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Glynn Wilson, Ph.D., Chief Executive Officer and Chairman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5 years.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 Reddish, Director</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Sherry Grisewood, Director</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Ms. Grisewood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Ms. Grisewood served as Director of Research for several mid-tier brokerage companies and a leading independent investment research company. Ms. Grisewood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David Laskow-Pooley</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Mr. Laskow-Pooley is currently CEO of LondonPharma Ltd, a clinical stage company re-purposing approved drugs through novel drug delivery technologies and is the Co-founder of Pharmafor Ltd. He was formerly Managing Director (UK) of Nasdaq- listed drug discovery platform company, OSI, and was part of the corporate team that developed and launched Tarceva for the treatment of lung cancer with marketing partners Roche and Genentech. He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of Office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Significant Employees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 December 31, 2014, we had one full-time employee and a number of management and scientific consultants.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Board of Directors has established an Audit Committee which functions pursuant to a written charter adopted by our Board of Directors in March 2004. The members of our Audit Committee as of December 31, 2014 were Dr. Wilson, Mr. Reddish and Ms. Grisewood.</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Board of Directors has determined that our Audit Committee does not have a member that qualifies as an “audit committee financial expert” as defined in Item 407(d)(5)(ii) 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Dr. Wilson and Ms. Grisewood serve on our compensation committee, which is now led by Ms. Grisewood.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Scientific Advisory Board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 March 19, 2014, we established the scientific advisory board. Also, on that date, Dr. Keith Knutson was appointed as chairman of the Scientific Advisory Board.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t>Involvement in Certain Legal Proceedings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Conduct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TRANSACTIONS WITH RELATED PERSONS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of December 31, 2014, we had outstanding promissory notes in the amount of $52,942, of which $23,000 of promissory notes were from one of our officers and directors. The promissory notes bear no interest charges and have no fixed repayment terms.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a note holder converted outstanding principal of $210,000 and accrued interest of $12,000 into preferred stock which was immediately converted into common shares. During the year ended December 31, 2014, $15,000 of the promissory notes were repaid to one of our officers and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following table sets forth the compensation paid to our executive officers for their services as executive officers during our fiscal years ended December 31, 2014 and December 31, 2013: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9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88"/>
              </w:rPr>
              <w:t>Stock</w:t>
            </w:r>
          </w:p>
        </w:tc>
        <w:tc>
          <w:tcPr>
            <w:tcW w:w="11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0"/>
              </w:rPr>
              <w:t>Option</w:t>
            </w:r>
          </w:p>
        </w:tc>
        <w:tc>
          <w:tcPr>
            <w:tcW w:w="15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7"/>
              </w:rPr>
              <w:t>All Other</w:t>
            </w: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80" w:type="dxa"/>
            <w:vAlign w:val="bottom"/>
            <w:gridSpan w:val="2"/>
          </w:tcPr>
          <w:p>
            <w:pPr>
              <w:spacing w:after="0"/>
              <w:rPr>
                <w:sz w:val="20"/>
                <w:szCs w:val="20"/>
                <w:color w:val="auto"/>
              </w:rPr>
            </w:pPr>
            <w:r>
              <w:rPr>
                <w:rFonts w:ascii="Arial" w:cs="Arial" w:eastAsia="Arial" w:hAnsi="Arial"/>
                <w:sz w:val="15"/>
                <w:szCs w:val="15"/>
                <w:b w:val="1"/>
                <w:bCs w:val="1"/>
                <w:color w:val="auto"/>
              </w:rPr>
              <w:t>Name and Principal</w:t>
            </w:r>
          </w:p>
        </w:tc>
        <w:tc>
          <w:tcPr>
            <w:tcW w:w="84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Arial" w:cs="Arial" w:eastAsia="Arial" w:hAnsi="Arial"/>
                <w:sz w:val="15"/>
                <w:szCs w:val="15"/>
                <w:b w:val="1"/>
                <w:bCs w:val="1"/>
                <w:color w:val="auto"/>
              </w:rPr>
              <w:t>Salary</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85"/>
              </w:rPr>
              <w:t>Bonus</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8"/>
              </w:rPr>
              <w:t>Awards</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8"/>
              </w:rPr>
              <w:t>Awards</w:t>
            </w: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89"/>
              </w:rPr>
              <w:t>Compen-sation</w:t>
            </w:r>
          </w:p>
        </w:tc>
        <w:tc>
          <w:tcPr>
            <w:tcW w:w="1020" w:type="dxa"/>
            <w:vAlign w:val="bottom"/>
          </w:tcPr>
          <w:p>
            <w:pPr>
              <w:ind w:left="3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5"/>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Position</w:t>
            </w: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Year</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Glynn Wilson</w:t>
            </w:r>
          </w:p>
        </w:tc>
        <w:tc>
          <w:tcPr>
            <w:tcW w:w="840" w:type="dxa"/>
            <w:vAlign w:val="bottom"/>
            <w:tcBorders>
              <w:top w:val="single" w:sz="8" w:color="auto"/>
            </w:tcBorders>
            <w:vMerge w:val="restart"/>
          </w:tcPr>
          <w:p>
            <w:pPr>
              <w:ind w:left="360"/>
              <w:spacing w:after="0"/>
              <w:rPr>
                <w:sz w:val="20"/>
                <w:szCs w:val="20"/>
                <w:color w:val="auto"/>
              </w:rPr>
            </w:pPr>
            <w:r>
              <w:rPr>
                <w:rFonts w:ascii="Arial" w:cs="Arial" w:eastAsia="Arial" w:hAnsi="Arial"/>
                <w:sz w:val="15"/>
                <w:szCs w:val="15"/>
                <w:color w:val="auto"/>
              </w:rPr>
              <w:t>2014</w:t>
            </w: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88"/>
              </w:rPr>
              <w:t>180,000</w:t>
            </w: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180,000</w:t>
            </w:r>
          </w:p>
        </w:tc>
        <w:tc>
          <w:tcPr>
            <w:tcW w:w="0" w:type="dxa"/>
            <w:vAlign w:val="bottom"/>
          </w:tcPr>
          <w:p>
            <w:pPr>
              <w:spacing w:after="0"/>
              <w:rPr>
                <w:sz w:val="1"/>
                <w:szCs w:val="1"/>
                <w:color w:val="auto"/>
              </w:rPr>
            </w:pPr>
          </w:p>
        </w:tc>
      </w:tr>
      <w:tr>
        <w:trPr>
          <w:trHeight w:val="90"/>
        </w:trPr>
        <w:tc>
          <w:tcPr>
            <w:tcW w:w="398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Chairman, CEO and Principal Executive Officer and Acting</w:t>
            </w: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980" w:type="dxa"/>
            <w:vAlign w:val="bottom"/>
            <w:gridSpan w:val="2"/>
            <w:vMerge w:val="continue"/>
          </w:tcPr>
          <w:p>
            <w:pPr>
              <w:spacing w:after="0"/>
              <w:rPr>
                <w:sz w:val="7"/>
                <w:szCs w:val="7"/>
                <w:color w:val="auto"/>
              </w:rPr>
            </w:pPr>
          </w:p>
        </w:tc>
        <w:tc>
          <w:tcPr>
            <w:tcW w:w="840" w:type="dxa"/>
            <w:vAlign w:val="bottom"/>
            <w:vMerge w:val="restart"/>
          </w:tcPr>
          <w:p>
            <w:pPr>
              <w:ind w:left="360"/>
              <w:spacing w:after="0"/>
              <w:rPr>
                <w:sz w:val="20"/>
                <w:szCs w:val="20"/>
                <w:color w:val="auto"/>
              </w:rPr>
            </w:pPr>
            <w:r>
              <w:rPr>
                <w:rFonts w:ascii="Arial" w:cs="Arial" w:eastAsia="Arial" w:hAnsi="Arial"/>
                <w:sz w:val="15"/>
                <w:szCs w:val="15"/>
                <w:color w:val="auto"/>
              </w:rPr>
              <w:t>2013</w:t>
            </w:r>
          </w:p>
        </w:tc>
        <w:tc>
          <w:tcPr>
            <w:tcW w:w="940" w:type="dxa"/>
            <w:vAlign w:val="bottom"/>
            <w:vMerge w:val="restart"/>
          </w:tcPr>
          <w:p>
            <w:pPr>
              <w:jc w:val="center"/>
              <w:spacing w:after="0"/>
              <w:rPr>
                <w:sz w:val="20"/>
                <w:szCs w:val="20"/>
                <w:color w:val="auto"/>
              </w:rPr>
            </w:pPr>
            <w:r>
              <w:rPr>
                <w:rFonts w:ascii="Arial" w:cs="Arial" w:eastAsia="Arial" w:hAnsi="Arial"/>
                <w:sz w:val="15"/>
                <w:szCs w:val="15"/>
                <w:color w:val="auto"/>
                <w:w w:val="88"/>
              </w:rPr>
              <w:t>180,000</w:t>
            </w:r>
          </w:p>
        </w:tc>
        <w:tc>
          <w:tcPr>
            <w:tcW w:w="96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2"/>
              </w:rPr>
              <w:t>180,000</w:t>
            </w:r>
          </w:p>
        </w:tc>
        <w:tc>
          <w:tcPr>
            <w:tcW w:w="0" w:type="dxa"/>
            <w:vAlign w:val="bottom"/>
          </w:tcPr>
          <w:p>
            <w:pPr>
              <w:spacing w:after="0"/>
              <w:rPr>
                <w:sz w:val="1"/>
                <w:szCs w:val="1"/>
                <w:color w:val="auto"/>
              </w:rPr>
            </w:pPr>
          </w:p>
        </w:tc>
      </w:tr>
      <w:tr>
        <w:trPr>
          <w:trHeight w:val="100"/>
        </w:trPr>
        <w:tc>
          <w:tcPr>
            <w:tcW w:w="398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Principal Accounting Officer</w:t>
            </w:r>
          </w:p>
        </w:tc>
        <w:tc>
          <w:tcPr>
            <w:tcW w:w="8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9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3"/>
        </w:trPr>
        <w:tc>
          <w:tcPr>
            <w:tcW w:w="398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840" w:type="dxa"/>
            <w:vAlign w:val="bottom"/>
          </w:tcPr>
          <w:p>
            <w:pPr>
              <w:ind w:left="360"/>
              <w:spacing w:after="0"/>
              <w:rPr>
                <w:sz w:val="20"/>
                <w:szCs w:val="20"/>
                <w:color w:val="auto"/>
              </w:rPr>
            </w:pPr>
            <w:r>
              <w:rPr>
                <w:rFonts w:ascii="Arial" w:cs="Arial" w:eastAsia="Arial" w:hAnsi="Arial"/>
                <w:sz w:val="15"/>
                <w:szCs w:val="15"/>
                <w:color w:val="auto"/>
              </w:rPr>
              <w:t>2014</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15,000</w:t>
            </w:r>
          </w:p>
        </w:tc>
        <w:tc>
          <w:tcPr>
            <w:tcW w:w="960" w:type="dxa"/>
            <w:vAlign w:val="bottom"/>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Pr>
          <w:p>
            <w:pPr>
              <w:jc w:val="center"/>
              <w:spacing w:after="0"/>
              <w:rPr>
                <w:sz w:val="20"/>
                <w:szCs w:val="20"/>
                <w:color w:val="auto"/>
              </w:rPr>
            </w:pPr>
            <w:r>
              <w:rPr>
                <w:rFonts w:ascii="Arial" w:cs="Arial" w:eastAsia="Arial" w:hAnsi="Arial"/>
                <w:sz w:val="15"/>
                <w:szCs w:val="15"/>
                <w:color w:val="auto"/>
                <w:w w:val="91"/>
              </w:rPr>
              <w:t>15,000</w:t>
            </w:r>
          </w:p>
        </w:tc>
        <w:tc>
          <w:tcPr>
            <w:tcW w:w="0" w:type="dxa"/>
            <w:vAlign w:val="bottom"/>
          </w:tcPr>
          <w:p>
            <w:pPr>
              <w:spacing w:after="0"/>
              <w:rPr>
                <w:sz w:val="1"/>
                <w:szCs w:val="1"/>
                <w:color w:val="auto"/>
              </w:rPr>
            </w:pPr>
          </w:p>
        </w:tc>
      </w:tr>
      <w:tr>
        <w:trPr>
          <w:trHeight w:val="190"/>
        </w:trPr>
        <w:tc>
          <w:tcPr>
            <w:tcW w:w="3980" w:type="dxa"/>
            <w:vAlign w:val="bottom"/>
            <w:gridSpan w:val="2"/>
          </w:tcPr>
          <w:p>
            <w:pPr>
              <w:spacing w:after="0"/>
              <w:rPr>
                <w:sz w:val="20"/>
                <w:szCs w:val="20"/>
                <w:color w:val="auto"/>
              </w:rPr>
            </w:pPr>
            <w:r>
              <w:rPr>
                <w:rFonts w:ascii="Arial" w:cs="Arial" w:eastAsia="Arial" w:hAnsi="Arial"/>
                <w:sz w:val="15"/>
                <w:szCs w:val="15"/>
                <w:i w:val="1"/>
                <w:iCs w:val="1"/>
                <w:color w:val="auto"/>
              </w:rPr>
              <w:t>VP Development</w:t>
            </w:r>
          </w:p>
        </w:tc>
        <w:tc>
          <w:tcPr>
            <w:tcW w:w="840" w:type="dxa"/>
            <w:vAlign w:val="bottom"/>
          </w:tcPr>
          <w:p>
            <w:pPr>
              <w:ind w:left="360"/>
              <w:spacing w:after="0"/>
              <w:rPr>
                <w:sz w:val="20"/>
                <w:szCs w:val="20"/>
                <w:color w:val="auto"/>
              </w:rPr>
            </w:pPr>
            <w:r>
              <w:rPr>
                <w:rFonts w:ascii="Arial" w:cs="Arial" w:eastAsia="Arial" w:hAnsi="Arial"/>
                <w:sz w:val="15"/>
                <w:szCs w:val="15"/>
                <w:color w:val="auto"/>
              </w:rPr>
              <w:t>2013</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60,000</w:t>
            </w:r>
          </w:p>
        </w:tc>
        <w:tc>
          <w:tcPr>
            <w:tcW w:w="960" w:type="dxa"/>
            <w:vAlign w:val="bottom"/>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Pr>
          <w:p>
            <w:pPr>
              <w:jc w:val="center"/>
              <w:spacing w:after="0"/>
              <w:rPr>
                <w:sz w:val="20"/>
                <w:szCs w:val="20"/>
                <w:color w:val="auto"/>
              </w:rPr>
            </w:pPr>
            <w:r>
              <w:rPr>
                <w:rFonts w:ascii="Arial" w:cs="Arial" w:eastAsia="Arial" w:hAnsi="Arial"/>
                <w:sz w:val="15"/>
                <w:szCs w:val="15"/>
                <w:color w:val="auto"/>
                <w:w w:val="91"/>
              </w:rPr>
              <w:t>60,000</w:t>
            </w: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as at December 31, 2014 relating to outstanding equity awards for each Named Executive Officer: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38" w:name="page39"/>
    <w:bookmarkEnd w:id="38"/>
    <w:p>
      <w:pPr>
        <w:jc w:val="center"/>
        <w:ind w:right="-9"/>
        <w:spacing w:after="0"/>
        <w:rPr>
          <w:sz w:val="20"/>
          <w:szCs w:val="20"/>
          <w:color w:val="auto"/>
        </w:rPr>
      </w:pPr>
      <w:r>
        <w:rPr>
          <w:rFonts w:ascii="Arial" w:cs="Arial" w:eastAsia="Arial" w:hAnsi="Arial"/>
          <w:sz w:val="15"/>
          <w:szCs w:val="15"/>
          <w:b w:val="1"/>
          <w:bCs w:val="1"/>
          <w:color w:val="auto"/>
        </w:rPr>
        <w:t>Outstanding Equity Awards at Year End Table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left="85"/>
              <w:spacing w:after="0" w:line="170" w:lineRule="exact"/>
              <w:rPr>
                <w:sz w:val="20"/>
                <w:szCs w:val="20"/>
                <w:color w:val="auto"/>
              </w:rPr>
            </w:pPr>
            <w:r>
              <w:rPr>
                <w:rFonts w:ascii="Arial" w:cs="Arial" w:eastAsia="Arial" w:hAnsi="Arial"/>
                <w:sz w:val="15"/>
                <w:szCs w:val="15"/>
                <w:b w:val="1"/>
                <w:bCs w:val="1"/>
                <w:color w:val="auto"/>
                <w:w w:val="93"/>
              </w:rPr>
              <w:t>Number of</w:t>
            </w:r>
          </w:p>
        </w:tc>
        <w:tc>
          <w:tcPr>
            <w:tcW w:w="18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3"/>
              </w:rPr>
              <w:t>Number of</w:t>
            </w:r>
          </w:p>
        </w:tc>
        <w:tc>
          <w:tcPr>
            <w:tcW w:w="16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3"/>
              </w:rPr>
              <w:t>Number of</w:t>
            </w:r>
          </w:p>
        </w:tc>
        <w:tc>
          <w:tcPr>
            <w:tcW w:w="13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89"/>
              </w:rPr>
              <w:t>Securities</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6"/>
              </w:rPr>
              <w:t>Securities</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89"/>
              </w:rPr>
              <w:t>Securities</w:t>
            </w: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Underlying</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4"/>
              </w:rPr>
              <w:t>Underlying</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91"/>
              </w:rPr>
              <w:t>Underlying</w:t>
            </w: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89"/>
              </w:rPr>
              <w:t>Unexercised</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7"/>
              </w:rPr>
              <w:t>Unexercised</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87"/>
              </w:rPr>
              <w:t>Unexercised</w:t>
            </w:r>
          </w:p>
        </w:tc>
        <w:tc>
          <w:tcPr>
            <w:tcW w:w="1380" w:type="dxa"/>
            <w:vAlign w:val="bottom"/>
          </w:tcPr>
          <w:p>
            <w:pPr>
              <w:jc w:val="right"/>
              <w:ind w:right="365"/>
              <w:spacing w:after="0"/>
              <w:rPr>
                <w:sz w:val="20"/>
                <w:szCs w:val="20"/>
                <w:color w:val="auto"/>
              </w:rPr>
            </w:pPr>
            <w:r>
              <w:rPr>
                <w:rFonts w:ascii="Arial" w:cs="Arial" w:eastAsia="Arial" w:hAnsi="Arial"/>
                <w:sz w:val="15"/>
                <w:szCs w:val="15"/>
                <w:b w:val="1"/>
                <w:bCs w:val="1"/>
                <w:color w:val="auto"/>
              </w:rPr>
              <w:t>Option</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5"/>
              </w:rPr>
              <w:t>Option</w:t>
            </w: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Options</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8"/>
              </w:rPr>
              <w:t>Options</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92"/>
              </w:rPr>
              <w:t>Unearned</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7"/>
              </w:rPr>
              <w:t>Exercise</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5"/>
              </w:rPr>
              <w:t>Expiration</w:t>
            </w:r>
          </w:p>
        </w:tc>
      </w:tr>
      <w:tr>
        <w:trPr>
          <w:trHeight w:val="195"/>
        </w:trPr>
        <w:tc>
          <w:tcPr>
            <w:tcW w:w="3480" w:type="dxa"/>
            <w:vAlign w:val="bottom"/>
            <w:tcBorders>
              <w:bottom w:val="single" w:sz="8" w:color="auto"/>
            </w:tcBorders>
          </w:tcPr>
          <w:p>
            <w:pPr>
              <w:ind w:left="1600"/>
              <w:spacing w:after="0"/>
              <w:rPr>
                <w:sz w:val="20"/>
                <w:szCs w:val="20"/>
                <w:color w:val="auto"/>
              </w:rPr>
            </w:pPr>
            <w:r>
              <w:rPr>
                <w:rFonts w:ascii="Arial" w:cs="Arial" w:eastAsia="Arial" w:hAnsi="Arial"/>
                <w:sz w:val="15"/>
                <w:szCs w:val="15"/>
                <w:b w:val="1"/>
                <w:bCs w:val="1"/>
                <w:color w:val="auto"/>
              </w:rPr>
              <w:t>Name</w:t>
            </w:r>
          </w:p>
        </w:tc>
        <w:tc>
          <w:tcPr>
            <w:tcW w:w="178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b w:val="1"/>
                <w:bCs w:val="1"/>
                <w:color w:val="auto"/>
                <w:w w:val="87"/>
              </w:rPr>
              <w:t>(exercisable)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(unexercisable)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6"/>
        </w:trPr>
        <w:tc>
          <w:tcPr>
            <w:tcW w:w="3480" w:type="dxa"/>
            <w:vAlign w:val="bottom"/>
          </w:tcPr>
          <w:p>
            <w:pPr>
              <w:spacing w:after="0"/>
              <w:rPr>
                <w:sz w:val="13"/>
                <w:szCs w:val="13"/>
                <w:color w:val="auto"/>
              </w:rPr>
            </w:pPr>
          </w:p>
        </w:tc>
        <w:tc>
          <w:tcPr>
            <w:tcW w:w="1780" w:type="dxa"/>
            <w:vAlign w:val="bottom"/>
          </w:tcPr>
          <w:p>
            <w:pPr>
              <w:jc w:val="right"/>
              <w:ind w:right="605"/>
              <w:spacing w:after="0" w:line="156" w:lineRule="exact"/>
              <w:rPr>
                <w:sz w:val="20"/>
                <w:szCs w:val="20"/>
                <w:color w:val="auto"/>
              </w:rPr>
            </w:pPr>
            <w:r>
              <w:rPr>
                <w:rFonts w:ascii="Arial" w:cs="Arial" w:eastAsia="Arial" w:hAnsi="Arial"/>
                <w:sz w:val="15"/>
                <w:szCs w:val="15"/>
                <w:color w:val="auto"/>
              </w:rPr>
              <w:t>400</w:t>
            </w:r>
          </w:p>
        </w:tc>
        <w:tc>
          <w:tcPr>
            <w:tcW w:w="1820" w:type="dxa"/>
            <w:vAlign w:val="bottom"/>
          </w:tcPr>
          <w:p>
            <w:pPr>
              <w:jc w:val="center"/>
              <w:spacing w:after="0" w:line="156" w:lineRule="exact"/>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line="156" w:lineRule="exact"/>
              <w:rPr>
                <w:sz w:val="20"/>
                <w:szCs w:val="20"/>
                <w:color w:val="auto"/>
              </w:rPr>
            </w:pPr>
            <w:r>
              <w:rPr>
                <w:rFonts w:ascii="Arial" w:cs="Arial" w:eastAsia="Arial" w:hAnsi="Arial"/>
                <w:sz w:val="15"/>
                <w:szCs w:val="15"/>
                <w:color w:val="auto"/>
              </w:rPr>
              <w:t>Nil</w:t>
            </w:r>
          </w:p>
        </w:tc>
        <w:tc>
          <w:tcPr>
            <w:tcW w:w="1380" w:type="dxa"/>
            <w:vAlign w:val="bottom"/>
          </w:tcPr>
          <w:p>
            <w:pPr>
              <w:jc w:val="right"/>
              <w:ind w:right="265"/>
              <w:spacing w:after="0" w:line="156" w:lineRule="exact"/>
              <w:rPr>
                <w:sz w:val="20"/>
                <w:szCs w:val="20"/>
                <w:color w:val="auto"/>
              </w:rPr>
            </w:pPr>
            <w:r>
              <w:rPr>
                <w:rFonts w:ascii="Arial" w:cs="Arial" w:eastAsia="Arial" w:hAnsi="Arial"/>
                <w:sz w:val="15"/>
                <w:szCs w:val="15"/>
                <w:color w:val="auto"/>
              </w:rPr>
              <w:t>$17.00(2)</w:t>
            </w:r>
          </w:p>
        </w:tc>
        <w:tc>
          <w:tcPr>
            <w:tcW w:w="1340" w:type="dxa"/>
            <w:vAlign w:val="bottom"/>
          </w:tcPr>
          <w:p>
            <w:pPr>
              <w:jc w:val="center"/>
              <w:spacing w:after="0" w:line="156" w:lineRule="exact"/>
              <w:rPr>
                <w:sz w:val="20"/>
                <w:szCs w:val="20"/>
                <w:color w:val="auto"/>
              </w:rPr>
            </w:pPr>
            <w:r>
              <w:rPr>
                <w:rFonts w:ascii="Arial" w:cs="Arial" w:eastAsia="Arial" w:hAnsi="Arial"/>
                <w:sz w:val="15"/>
                <w:szCs w:val="15"/>
                <w:color w:val="auto"/>
                <w:w w:val="92"/>
              </w:rPr>
              <w:t>07/06/17</w:t>
            </w: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color w:val="auto"/>
                <w:w w:val="93"/>
              </w:rPr>
              <w:t>16,000(1)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$17.00(2)</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10/14/19</w:t>
            </w:r>
          </w:p>
        </w:tc>
      </w:tr>
      <w:tr>
        <w:trPr>
          <w:trHeight w:val="181"/>
        </w:trPr>
        <w:tc>
          <w:tcPr>
            <w:tcW w:w="3480" w:type="dxa"/>
            <w:vAlign w:val="bottom"/>
          </w:tcPr>
          <w:p>
            <w:pPr>
              <w:spacing w:after="0"/>
              <w:rPr>
                <w:sz w:val="20"/>
                <w:szCs w:val="20"/>
                <w:color w:val="auto"/>
              </w:rPr>
            </w:pPr>
            <w:r>
              <w:rPr>
                <w:rFonts w:ascii="Arial" w:cs="Arial" w:eastAsia="Arial" w:hAnsi="Arial"/>
                <w:sz w:val="15"/>
                <w:szCs w:val="15"/>
                <w:color w:val="auto"/>
              </w:rPr>
              <w:t>Glynn Wilson</w:t>
            </w:r>
          </w:p>
        </w:tc>
        <w:tc>
          <w:tcPr>
            <w:tcW w:w="1780" w:type="dxa"/>
            <w:vAlign w:val="bottom"/>
          </w:tcPr>
          <w:p>
            <w:pPr>
              <w:jc w:val="right"/>
              <w:ind w:right="425"/>
              <w:spacing w:after="0"/>
              <w:rPr>
                <w:sz w:val="20"/>
                <w:szCs w:val="20"/>
                <w:color w:val="auto"/>
              </w:rPr>
            </w:pPr>
            <w:r>
              <w:rPr>
                <w:rFonts w:ascii="Arial" w:cs="Arial" w:eastAsia="Arial" w:hAnsi="Arial"/>
                <w:sz w:val="15"/>
                <w:szCs w:val="15"/>
                <w:color w:val="auto"/>
              </w:rPr>
              <w:t>1,600(1)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$17.00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02/16/21</w:t>
            </w:r>
          </w:p>
        </w:tc>
      </w:tr>
      <w:tr>
        <w:trPr>
          <w:trHeight w:val="190"/>
        </w:trPr>
        <w:tc>
          <w:tcPr>
            <w:tcW w:w="3480" w:type="dxa"/>
            <w:vAlign w:val="bottom"/>
          </w:tcPr>
          <w:p>
            <w:pPr>
              <w:spacing w:after="0"/>
              <w:rPr>
                <w:sz w:val="20"/>
                <w:szCs w:val="20"/>
                <w:color w:val="auto"/>
              </w:rPr>
            </w:pPr>
            <w:r>
              <w:rPr>
                <w:rFonts w:ascii="Arial" w:cs="Arial" w:eastAsia="Arial" w:hAnsi="Arial"/>
                <w:sz w:val="15"/>
                <w:szCs w:val="15"/>
                <w:i w:val="1"/>
                <w:iCs w:val="1"/>
                <w:color w:val="auto"/>
              </w:rPr>
              <w:t>Chairman, CEO and Principal Executive Officer</w:t>
            </w:r>
          </w:p>
        </w:tc>
        <w:tc>
          <w:tcPr>
            <w:tcW w:w="1780" w:type="dxa"/>
            <w:vAlign w:val="bottom"/>
          </w:tcPr>
          <w:p>
            <w:pPr>
              <w:jc w:val="right"/>
              <w:ind w:right="425"/>
              <w:spacing w:after="0"/>
              <w:rPr>
                <w:sz w:val="20"/>
                <w:szCs w:val="20"/>
                <w:color w:val="auto"/>
              </w:rPr>
            </w:pPr>
            <w:r>
              <w:rPr>
                <w:rFonts w:ascii="Arial" w:cs="Arial" w:eastAsia="Arial" w:hAnsi="Arial"/>
                <w:sz w:val="15"/>
                <w:szCs w:val="15"/>
                <w:color w:val="auto"/>
              </w:rPr>
              <w:t>20,000(1)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$19.00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03/16/16</w:t>
            </w:r>
          </w:p>
        </w:tc>
      </w:tr>
      <w:tr>
        <w:trPr>
          <w:trHeight w:val="353"/>
        </w:trPr>
        <w:tc>
          <w:tcPr>
            <w:tcW w:w="3480" w:type="dxa"/>
            <w:vAlign w:val="bottom"/>
          </w:tcPr>
          <w:p>
            <w:pPr>
              <w:spacing w:after="0"/>
              <w:rPr>
                <w:sz w:val="20"/>
                <w:szCs w:val="20"/>
                <w:color w:val="auto"/>
              </w:rPr>
            </w:pPr>
            <w:r>
              <w:rPr>
                <w:rFonts w:ascii="Arial" w:cs="Arial" w:eastAsia="Arial" w:hAnsi="Arial"/>
                <w:sz w:val="15"/>
                <w:szCs w:val="15"/>
                <w:color w:val="auto"/>
              </w:rPr>
              <w:t>Mark Reddish</w:t>
            </w:r>
          </w:p>
        </w:tc>
        <w:tc>
          <w:tcPr>
            <w:tcW w:w="1780" w:type="dxa"/>
            <w:vAlign w:val="bottom"/>
          </w:tcPr>
          <w:p>
            <w:pPr>
              <w:jc w:val="center"/>
              <w:ind w:left="85"/>
              <w:spacing w:after="0"/>
              <w:rPr>
                <w:sz w:val="20"/>
                <w:szCs w:val="20"/>
                <w:color w:val="auto"/>
              </w:rPr>
            </w:pPr>
            <w:r>
              <w:rPr>
                <w:rFonts w:ascii="Arial" w:cs="Arial" w:eastAsia="Arial" w:hAnsi="Arial"/>
                <w:sz w:val="15"/>
                <w:szCs w:val="15"/>
                <w:color w:val="auto"/>
                <w:w w:val="90"/>
              </w:rPr>
              <w:t>2,000</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$17.00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02/16/21</w:t>
            </w:r>
          </w:p>
        </w:tc>
      </w:tr>
      <w:tr>
        <w:trPr>
          <w:trHeight w:val="191"/>
        </w:trPr>
        <w:tc>
          <w:tcPr>
            <w:tcW w:w="34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VP Development</w:t>
            </w:r>
          </w:p>
        </w:tc>
        <w:tc>
          <w:tcPr>
            <w:tcW w:w="178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w w:val="90"/>
              </w:rPr>
              <w:t>2,500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$18.00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04/30/22</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1330" w:right="260" w:hanging="1330"/>
        <w:spacing w:after="0" w:line="261" w:lineRule="auto"/>
        <w:tabs>
          <w:tab w:leader="none" w:pos="133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plan under which these shares were issued was approved by the Board of Directors and the shareholders in 2009 but did not come into effect until February 22, 2010.</w:t>
      </w:r>
    </w:p>
    <w:p>
      <w:pPr>
        <w:spacing w:after="0" w:line="179" w:lineRule="exact"/>
        <w:rPr>
          <w:rFonts w:ascii="Arial" w:cs="Arial" w:eastAsia="Arial" w:hAnsi="Arial"/>
          <w:sz w:val="15"/>
          <w:szCs w:val="15"/>
          <w:color w:val="auto"/>
        </w:rPr>
      </w:pPr>
    </w:p>
    <w:p>
      <w:pPr>
        <w:ind w:left="1310" w:hanging="1310"/>
        <w:spacing w:after="0"/>
        <w:tabs>
          <w:tab w:leader="none" w:pos="131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Effective February 16, 2011, the option exercise price was reduced to $17.00.</w:t>
      </w:r>
    </w:p>
    <w:p>
      <w:pPr>
        <w:spacing w:after="0" w:line="212" w:lineRule="exact"/>
        <w:rPr>
          <w:sz w:val="20"/>
          <w:szCs w:val="20"/>
          <w:color w:val="auto"/>
        </w:rPr>
      </w:pPr>
    </w:p>
    <w:p>
      <w:pPr>
        <w:jc w:val="both"/>
        <w:ind w:left="10" w:right="20" w:firstLine="63"/>
        <w:spacing w:after="0" w:line="276" w:lineRule="auto"/>
        <w:rPr>
          <w:sz w:val="20"/>
          <w:szCs w:val="20"/>
          <w:color w:val="auto"/>
        </w:rPr>
      </w:pPr>
      <w:r>
        <w:rPr>
          <w:rFonts w:ascii="Arial" w:cs="Arial" w:eastAsia="Arial" w:hAnsi="Arial"/>
          <w:sz w:val="15"/>
          <w:szCs w:val="15"/>
          <w:color w:val="auto"/>
        </w:rPr>
        <w:t>The following table sets forth information relating to compensation paid to our directors for their services as directors in the fiscal year ended December 31, 2014, and excludes compensation paid to our directors for their services as executive officers:</w:t>
      </w:r>
    </w:p>
    <w:p>
      <w:pPr>
        <w:spacing w:after="0" w:line="142"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Director Compensation Table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6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tcPr>
          <w:p>
            <w:pPr>
              <w:jc w:val="center"/>
              <w:ind w:left="685"/>
              <w:spacing w:after="0" w:line="170" w:lineRule="exact"/>
              <w:rPr>
                <w:sz w:val="20"/>
                <w:szCs w:val="20"/>
                <w:color w:val="auto"/>
              </w:rPr>
            </w:pPr>
            <w:r>
              <w:rPr>
                <w:rFonts w:ascii="Arial" w:cs="Arial" w:eastAsia="Arial" w:hAnsi="Arial"/>
                <w:sz w:val="15"/>
                <w:szCs w:val="15"/>
                <w:b w:val="1"/>
                <w:bCs w:val="1"/>
                <w:color w:val="auto"/>
                <w:w w:val="81"/>
              </w:rPr>
              <w:t>Fees</w:t>
            </w:r>
          </w:p>
        </w:tc>
        <w:tc>
          <w:tcPr>
            <w:tcW w:w="15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40" w:type="dxa"/>
            <w:vAlign w:val="bottom"/>
          </w:tcPr>
          <w:p>
            <w:pPr>
              <w:jc w:val="center"/>
              <w:ind w:left="665"/>
              <w:spacing w:after="0"/>
              <w:rPr>
                <w:sz w:val="20"/>
                <w:szCs w:val="20"/>
                <w:color w:val="auto"/>
              </w:rPr>
            </w:pPr>
            <w:r>
              <w:rPr>
                <w:rFonts w:ascii="Arial" w:cs="Arial" w:eastAsia="Arial" w:hAnsi="Arial"/>
                <w:sz w:val="15"/>
                <w:szCs w:val="15"/>
                <w:b w:val="1"/>
                <w:bCs w:val="1"/>
                <w:color w:val="auto"/>
                <w:w w:val="94"/>
              </w:rPr>
              <w:t>Earned or</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88"/>
              </w:rPr>
              <w:t>Stock</w:t>
            </w:r>
          </w:p>
        </w:tc>
        <w:tc>
          <w:tcPr>
            <w:tcW w:w="1480" w:type="dxa"/>
            <w:vAlign w:val="bottom"/>
          </w:tcPr>
          <w:p>
            <w:pPr>
              <w:jc w:val="center"/>
              <w:ind w:left="25"/>
              <w:spacing w:after="0"/>
              <w:rPr>
                <w:sz w:val="20"/>
                <w:szCs w:val="20"/>
                <w:color w:val="auto"/>
              </w:rPr>
            </w:pPr>
            <w:r>
              <w:rPr>
                <w:rFonts w:ascii="Arial" w:cs="Arial" w:eastAsia="Arial" w:hAnsi="Arial"/>
                <w:sz w:val="15"/>
                <w:szCs w:val="15"/>
                <w:b w:val="1"/>
                <w:bCs w:val="1"/>
                <w:color w:val="auto"/>
                <w:w w:val="95"/>
              </w:rPr>
              <w:t>Option</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7"/>
              </w:rPr>
              <w:t>All Other</w:t>
            </w:r>
          </w:p>
        </w:tc>
        <w:tc>
          <w:tcPr>
            <w:tcW w:w="14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40" w:type="dxa"/>
            <w:vAlign w:val="bottom"/>
          </w:tcPr>
          <w:p>
            <w:pPr>
              <w:jc w:val="center"/>
              <w:ind w:left="665"/>
              <w:spacing w:after="0"/>
              <w:rPr>
                <w:sz w:val="20"/>
                <w:szCs w:val="20"/>
                <w:color w:val="auto"/>
              </w:rPr>
            </w:pPr>
            <w:r>
              <w:rPr>
                <w:rFonts w:ascii="Arial" w:cs="Arial" w:eastAsia="Arial" w:hAnsi="Arial"/>
                <w:sz w:val="15"/>
                <w:szCs w:val="15"/>
                <w:b w:val="1"/>
                <w:bCs w:val="1"/>
                <w:color w:val="auto"/>
                <w:w w:val="93"/>
              </w:rPr>
              <w:t>Paid in</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2"/>
              </w:rPr>
              <w:t>Awards</w:t>
            </w:r>
          </w:p>
        </w:tc>
        <w:tc>
          <w:tcPr>
            <w:tcW w:w="1480" w:type="dxa"/>
            <w:vAlign w:val="bottom"/>
          </w:tcPr>
          <w:p>
            <w:pPr>
              <w:jc w:val="center"/>
              <w:ind w:left="25"/>
              <w:spacing w:after="0"/>
              <w:rPr>
                <w:sz w:val="20"/>
                <w:szCs w:val="20"/>
                <w:color w:val="auto"/>
              </w:rPr>
            </w:pPr>
            <w:r>
              <w:rPr>
                <w:rFonts w:ascii="Arial" w:cs="Arial" w:eastAsia="Arial" w:hAnsi="Arial"/>
                <w:sz w:val="15"/>
                <w:szCs w:val="15"/>
                <w:b w:val="1"/>
                <w:bCs w:val="1"/>
                <w:color w:val="auto"/>
                <w:w w:val="92"/>
              </w:rPr>
              <w:t>Awards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0"/>
              </w:rPr>
              <w:t>Compensation</w:t>
            </w:r>
          </w:p>
        </w:tc>
        <w:tc>
          <w:tcPr>
            <w:tcW w:w="1460" w:type="dxa"/>
            <w:vAlign w:val="bottom"/>
          </w:tcPr>
          <w:p>
            <w:pPr>
              <w:jc w:val="center"/>
              <w:ind w:right="85"/>
              <w:spacing w:after="0"/>
              <w:rPr>
                <w:sz w:val="20"/>
                <w:szCs w:val="20"/>
                <w:color w:val="auto"/>
              </w:rPr>
            </w:pPr>
            <w:r>
              <w:rPr>
                <w:rFonts w:ascii="Arial" w:cs="Arial" w:eastAsia="Arial" w:hAnsi="Arial"/>
                <w:sz w:val="15"/>
                <w:szCs w:val="15"/>
                <w:b w:val="1"/>
                <w:bCs w:val="1"/>
                <w:color w:val="auto"/>
                <w:w w:val="94"/>
              </w:rPr>
              <w:t>Total</w:t>
            </w:r>
          </w:p>
        </w:tc>
      </w:tr>
      <w:tr>
        <w:trPr>
          <w:trHeight w:val="195"/>
        </w:trPr>
        <w:tc>
          <w:tcPr>
            <w:tcW w:w="20" w:type="dxa"/>
            <w:vAlign w:val="bottom"/>
          </w:tcPr>
          <w:p>
            <w:pPr>
              <w:spacing w:after="0"/>
              <w:rPr>
                <w:sz w:val="16"/>
                <w:szCs w:val="16"/>
                <w:color w:val="auto"/>
              </w:rPr>
            </w:pPr>
          </w:p>
        </w:tc>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Name</w:t>
            </w:r>
          </w:p>
        </w:tc>
        <w:tc>
          <w:tcPr>
            <w:tcW w:w="2440" w:type="dxa"/>
            <w:vAlign w:val="bottom"/>
            <w:tcBorders>
              <w:bottom w:val="single" w:sz="8" w:color="auto"/>
            </w:tcBorders>
          </w:tcPr>
          <w:p>
            <w:pPr>
              <w:jc w:val="center"/>
              <w:ind w:left="685"/>
              <w:spacing w:after="0"/>
              <w:rPr>
                <w:sz w:val="20"/>
                <w:szCs w:val="20"/>
                <w:color w:val="auto"/>
              </w:rPr>
            </w:pPr>
            <w:r>
              <w:rPr>
                <w:rFonts w:ascii="Arial" w:cs="Arial" w:eastAsia="Arial" w:hAnsi="Arial"/>
                <w:sz w:val="15"/>
                <w:szCs w:val="15"/>
                <w:b w:val="1"/>
                <w:bCs w:val="1"/>
                <w:color w:val="auto"/>
                <w:w w:val="87"/>
              </w:rPr>
              <w:t>Cash</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48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b w:val="1"/>
                <w:bCs w:val="1"/>
                <w:color w:val="auto"/>
                <w:w w:val="97"/>
              </w:rPr>
              <w: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46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b w:val="1"/>
                <w:bCs w:val="1"/>
                <w:color w:val="auto"/>
                <w:w w:val="97"/>
              </w:rPr>
              <w:t>($)</w:t>
            </w:r>
          </w:p>
        </w:tc>
      </w:tr>
      <w:tr>
        <w:trPr>
          <w:trHeight w:val="20"/>
        </w:trPr>
        <w:tc>
          <w:tcPr>
            <w:tcW w:w="26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Glynn Wilson</w:t>
            </w:r>
          </w:p>
        </w:tc>
        <w:tc>
          <w:tcPr>
            <w:tcW w:w="2440" w:type="dxa"/>
            <w:vAlign w:val="bottom"/>
            <w:tcBorders>
              <w:top w:val="single" w:sz="8" w:color="auto"/>
            </w:tcBorders>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Borders>
              <w:top w:val="single" w:sz="8" w:color="auto"/>
            </w:tcBorders>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Borders>
              <w:top w:val="single" w:sz="8" w:color="auto"/>
            </w:tcBorders>
          </w:tcPr>
          <w:p>
            <w:pPr>
              <w:jc w:val="center"/>
              <w:ind w:right="65"/>
              <w:spacing w:after="0"/>
              <w:rPr>
                <w:sz w:val="20"/>
                <w:szCs w:val="20"/>
                <w:color w:val="auto"/>
              </w:rPr>
            </w:pPr>
            <w:r>
              <w:rPr>
                <w:rFonts w:ascii="Arial" w:cs="Arial" w:eastAsia="Arial" w:hAnsi="Arial"/>
                <w:sz w:val="15"/>
                <w:szCs w:val="15"/>
                <w:color w:val="auto"/>
              </w:rPr>
              <w:t>Nil</w:t>
            </w:r>
          </w:p>
        </w:tc>
      </w:tr>
      <w:tr>
        <w:trPr>
          <w:trHeight w:val="351"/>
        </w:trPr>
        <w:tc>
          <w:tcPr>
            <w:tcW w:w="264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2440" w:type="dxa"/>
            <w:vAlign w:val="bottom"/>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Pr>
          <w:p>
            <w:pPr>
              <w:jc w:val="center"/>
              <w:ind w:right="65"/>
              <w:spacing w:after="0"/>
              <w:rPr>
                <w:sz w:val="20"/>
                <w:szCs w:val="20"/>
                <w:color w:val="auto"/>
              </w:rPr>
            </w:pPr>
            <w:r>
              <w:rPr>
                <w:rFonts w:ascii="Arial" w:cs="Arial" w:eastAsia="Arial" w:hAnsi="Arial"/>
                <w:sz w:val="15"/>
                <w:szCs w:val="15"/>
                <w:color w:val="auto"/>
              </w:rPr>
              <w:t>Nil</w:t>
            </w:r>
          </w:p>
        </w:tc>
      </w:tr>
      <w:tr>
        <w:trPr>
          <w:trHeight w:val="362"/>
        </w:trPr>
        <w:tc>
          <w:tcPr>
            <w:tcW w:w="264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2440" w:type="dxa"/>
            <w:vAlign w:val="bottom"/>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Pr>
          <w:p>
            <w:pPr>
              <w:jc w:val="center"/>
              <w:ind w:right="65"/>
              <w:spacing w:after="0"/>
              <w:rPr>
                <w:sz w:val="20"/>
                <w:szCs w:val="20"/>
                <w:color w:val="auto"/>
              </w:rPr>
            </w:pPr>
            <w:r>
              <w:rPr>
                <w:rFonts w:ascii="Arial" w:cs="Arial" w:eastAsia="Arial" w:hAnsi="Arial"/>
                <w:sz w:val="15"/>
                <w:szCs w:val="15"/>
                <w:color w:val="auto"/>
              </w:rPr>
              <w:t>Nil</w:t>
            </w:r>
          </w:p>
        </w:tc>
      </w:tr>
      <w:tr>
        <w:trPr>
          <w:trHeight w:val="182"/>
        </w:trPr>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Employment, Consulting and Services Agreements</w:t>
      </w:r>
    </w:p>
    <w:p>
      <w:pPr>
        <w:spacing w:after="0" w:line="193" w:lineRule="exact"/>
        <w:rPr>
          <w:sz w:val="20"/>
          <w:szCs w:val="20"/>
          <w:color w:val="auto"/>
        </w:rPr>
      </w:pPr>
    </w:p>
    <w:p>
      <w:pPr>
        <w:jc w:val="both"/>
        <w:ind w:left="10" w:right="20"/>
        <w:spacing w:after="0" w:line="260" w:lineRule="auto"/>
        <w:rPr>
          <w:sz w:val="20"/>
          <w:szCs w:val="20"/>
          <w:color w:val="auto"/>
        </w:rPr>
      </w:pPr>
      <w:r>
        <w:rPr>
          <w:rFonts w:ascii="Arial" w:cs="Arial" w:eastAsia="Arial" w:hAnsi="Arial"/>
          <w:sz w:val="15"/>
          <w:szCs w:val="15"/>
          <w:color w:val="auto"/>
        </w:rPr>
        <w:t>In November 2013, the Company entered into an advisory agreement with a consultant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extended for additional six months. The advisory agreement has been renewed for another 12 months expiring December 31, 2015. The Company also granted 250,000 shares to the consultant (via his company).</w:t>
      </w:r>
    </w:p>
    <w:p>
      <w:pPr>
        <w:spacing w:after="0" w:line="157"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We have a compensation committee that is comprised of Dr. Wilson and Ms. Grisewood. All compensation is recommended and resolved by the compensation committee and board of directors.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34" w:right="219" w:bottom="1440" w:gutter="0" w:footer="0" w:header="0"/>
        </w:sectPr>
      </w:pPr>
    </w:p>
    <w:bookmarkStart w:id="39" w:name="page40"/>
    <w:bookmarkEnd w:id="39"/>
    <w:p>
      <w:pPr>
        <w:jc w:val="center"/>
        <w:ind w:right="-9"/>
        <w:spacing w:after="0"/>
        <w:rPr>
          <w:sz w:val="20"/>
          <w:szCs w:val="20"/>
          <w:color w:val="auto"/>
        </w:rPr>
      </w:pPr>
      <w:r>
        <w:rPr>
          <w:rFonts w:ascii="Arial" w:cs="Arial" w:eastAsia="Arial" w:hAnsi="Arial"/>
          <w:sz w:val="15"/>
          <w:szCs w:val="15"/>
          <w:b w:val="1"/>
          <w:bCs w:val="1"/>
          <w:color w:val="auto"/>
        </w:rPr>
        <w:t>BENEFICIAL OWNERSHIP OF PRINCIPAL STOCKHOLDERS, OFFICERS AND DIRECTORS</w:t>
      </w:r>
    </w:p>
    <w:p>
      <w:pPr>
        <w:spacing w:after="0" w:line="193"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the date of this annual report.</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5"/>
                <w:szCs w:val="15"/>
                <w:b w:val="1"/>
                <w:bCs w:val="1"/>
                <w:color w:val="auto"/>
                <w:w w:val="91"/>
              </w:rPr>
              <w:t>Amount and</w:t>
            </w:r>
          </w:p>
        </w:tc>
        <w:tc>
          <w:tcPr>
            <w:tcW w:w="7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Nature of</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0"/>
              </w:rPr>
              <w:t>Beneficial</w:t>
            </w:r>
          </w:p>
        </w:tc>
        <w:tc>
          <w:tcPr>
            <w:tcW w:w="132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w w:val="95"/>
              </w:rPr>
              <w:t>Percent of</w:t>
            </w:r>
          </w:p>
        </w:tc>
        <w:tc>
          <w:tcPr>
            <w:tcW w:w="0" w:type="dxa"/>
            <w:vAlign w:val="bottom"/>
          </w:tcPr>
          <w:p>
            <w:pPr>
              <w:spacing w:after="0"/>
              <w:rPr>
                <w:sz w:val="1"/>
                <w:szCs w:val="1"/>
                <w:color w:val="auto"/>
              </w:rPr>
            </w:pPr>
          </w:p>
        </w:tc>
      </w:tr>
      <w:tr>
        <w:trPr>
          <w:trHeight w:val="195"/>
        </w:trPr>
        <w:tc>
          <w:tcPr>
            <w:tcW w:w="8320" w:type="dxa"/>
            <w:vAlign w:val="bottom"/>
            <w:gridSpan w:val="2"/>
          </w:tcPr>
          <w:p>
            <w:pPr>
              <w:spacing w:after="0"/>
              <w:rPr>
                <w:sz w:val="20"/>
                <w:szCs w:val="20"/>
                <w:color w:val="auto"/>
              </w:rPr>
            </w:pPr>
            <w:r>
              <w:rPr>
                <w:rFonts w:ascii="Arial" w:cs="Arial" w:eastAsia="Arial" w:hAnsi="Arial"/>
                <w:sz w:val="15"/>
                <w:szCs w:val="15"/>
                <w:b w:val="1"/>
                <w:bCs w:val="1"/>
                <w:color w:val="auto"/>
              </w:rPr>
              <w:t>Name and Address of Beneficial Owner</w:t>
            </w:r>
          </w:p>
        </w:tc>
        <w:tc>
          <w:tcPr>
            <w:tcW w:w="26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Owner</w:t>
            </w:r>
            <w:r>
              <w:rPr>
                <w:rFonts w:ascii="Arial" w:cs="Arial" w:eastAsia="Arial" w:hAnsi="Arial"/>
                <w:sz w:val="15"/>
                <w:szCs w:val="15"/>
                <w:color w:val="auto"/>
                <w:w w:val="95"/>
              </w:rPr>
              <w:t>(1)</w:t>
            </w:r>
          </w:p>
        </w:tc>
        <w:tc>
          <w:tcPr>
            <w:tcW w:w="1320" w:type="dxa"/>
            <w:vAlign w:val="bottom"/>
            <w:gridSpan w:val="2"/>
          </w:tcPr>
          <w:p>
            <w:pPr>
              <w:jc w:val="right"/>
              <w:ind w:right="760"/>
              <w:spacing w:after="0"/>
              <w:rPr>
                <w:sz w:val="20"/>
                <w:szCs w:val="20"/>
                <w:color w:val="auto"/>
              </w:rPr>
            </w:pPr>
            <w:r>
              <w:rPr>
                <w:rFonts w:ascii="Arial" w:cs="Arial" w:eastAsia="Arial" w:hAnsi="Arial"/>
                <w:sz w:val="15"/>
                <w:szCs w:val="15"/>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300" w:type="dxa"/>
            <w:vAlign w:val="bottom"/>
          </w:tcPr>
          <w:p>
            <w:pPr>
              <w:spacing w:after="0" w:line="156" w:lineRule="exact"/>
              <w:rPr>
                <w:sz w:val="20"/>
                <w:szCs w:val="20"/>
                <w:color w:val="auto"/>
              </w:rPr>
            </w:pPr>
            <w:r>
              <w:rPr>
                <w:rFonts w:ascii="Arial" w:cs="Arial" w:eastAsia="Arial" w:hAnsi="Arial"/>
                <w:sz w:val="15"/>
                <w:szCs w:val="15"/>
                <w:b w:val="1"/>
                <w:bCs w:val="1"/>
                <w:color w:val="auto"/>
              </w:rPr>
              <w:t>Directors and Officers:</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Glynn Wilson</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844,970(2)</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Mark Reddish, VP Development</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229,500(3)</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&lt;1.00%</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1800" w:type="dxa"/>
            <w:vAlign w:val="bottom"/>
            <w:gridSpan w:val="3"/>
          </w:tcPr>
          <w:p>
            <w:pPr>
              <w:jc w:val="right"/>
              <w:ind w:right="380"/>
              <w:spacing w:after="0"/>
              <w:rPr>
                <w:sz w:val="20"/>
                <w:szCs w:val="20"/>
                <w:color w:val="auto"/>
              </w:rPr>
            </w:pPr>
            <w:r>
              <w:rPr>
                <w:rFonts w:ascii="Arial" w:cs="Arial" w:eastAsia="Arial" w:hAnsi="Arial"/>
                <w:sz w:val="15"/>
                <w:szCs w:val="15"/>
                <w:color w:val="auto"/>
              </w:rPr>
              <w:t>28,329</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&lt;1.0%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00" w:type="dxa"/>
            <w:vAlign w:val="bottom"/>
          </w:tcPr>
          <w:p>
            <w:pPr>
              <w:spacing w:after="0"/>
              <w:rPr>
                <w:sz w:val="20"/>
                <w:szCs w:val="20"/>
                <w:color w:val="auto"/>
              </w:rPr>
            </w:pPr>
            <w:r>
              <w:rPr>
                <w:rFonts w:ascii="Arial" w:cs="Arial" w:eastAsia="Arial" w:hAnsi="Arial"/>
                <w:sz w:val="15"/>
                <w:szCs w:val="15"/>
                <w:color w:val="auto"/>
              </w:rPr>
              <w:t>David Laskow-Pooley</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20" w:type="dxa"/>
            <w:vAlign w:val="bottom"/>
            <w:gridSpan w:val="2"/>
          </w:tcPr>
          <w:p>
            <w:pPr>
              <w:spacing w:after="0"/>
              <w:rPr>
                <w:sz w:val="20"/>
                <w:szCs w:val="20"/>
                <w:color w:val="auto"/>
              </w:rPr>
            </w:pPr>
            <w:r>
              <w:rPr>
                <w:rFonts w:ascii="Arial" w:cs="Arial" w:eastAsia="Arial" w:hAnsi="Arial"/>
                <w:sz w:val="15"/>
                <w:szCs w:val="15"/>
                <w:color w:val="auto"/>
              </w:rPr>
              <w:t>All executive officers and directors as a group (3 persons)</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1,102,799</w:t>
            </w:r>
          </w:p>
        </w:tc>
        <w:tc>
          <w:tcPr>
            <w:tcW w:w="38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353"/>
        </w:trPr>
        <w:tc>
          <w:tcPr>
            <w:tcW w:w="8320" w:type="dxa"/>
            <w:vAlign w:val="bottom"/>
            <w:gridSpan w:val="2"/>
          </w:tcPr>
          <w:p>
            <w:pPr>
              <w:spacing w:after="0"/>
              <w:rPr>
                <w:sz w:val="20"/>
                <w:szCs w:val="20"/>
                <w:color w:val="auto"/>
              </w:rPr>
            </w:pPr>
            <w:r>
              <w:rPr>
                <w:rFonts w:ascii="Arial" w:cs="Arial" w:eastAsia="Arial" w:hAnsi="Arial"/>
                <w:sz w:val="15"/>
                <w:szCs w:val="15"/>
                <w:b w:val="1"/>
                <w:bCs w:val="1"/>
                <w:color w:val="auto"/>
              </w:rPr>
              <w:t>Major Stockholders: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Eastern Capital Limited</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27,528,476(4)</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Empery Asset Master, Ltd</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4,057,149(5)</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Empery Tax Efficient II, LP</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3,978,059(5)</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Brio Capital Master Fund</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3,860,979(5)</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320" w:type="dxa"/>
            <w:vAlign w:val="bottom"/>
            <w:gridSpan w:val="2"/>
          </w:tcPr>
          <w:p>
            <w:pPr>
              <w:spacing w:after="0"/>
              <w:rPr>
                <w:sz w:val="20"/>
                <w:szCs w:val="20"/>
                <w:color w:val="auto"/>
              </w:rPr>
            </w:pPr>
            <w:r>
              <w:rPr>
                <w:rFonts w:ascii="Arial" w:cs="Arial" w:eastAsia="Arial" w:hAnsi="Arial"/>
                <w:sz w:val="15"/>
                <w:szCs w:val="15"/>
                <w:color w:val="auto"/>
              </w:rPr>
              <w:t>Iroquois Capital Management</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4,135,674(5)</w:t>
            </w:r>
          </w:p>
        </w:tc>
        <w:tc>
          <w:tcPr>
            <w:tcW w:w="1320" w:type="dxa"/>
            <w:vAlign w:val="bottom"/>
            <w:gridSpan w:val="2"/>
          </w:tcPr>
          <w:p>
            <w:pPr>
              <w:jc w:val="right"/>
              <w:ind w:right="4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92"/>
        </w:trPr>
        <w:tc>
          <w:tcPr>
            <w:tcW w:w="8320" w:type="dxa"/>
            <w:vAlign w:val="bottom"/>
            <w:gridSpan w:val="2"/>
          </w:tcPr>
          <w:p>
            <w:pPr>
              <w:spacing w:after="0"/>
              <w:rPr>
                <w:sz w:val="20"/>
                <w:szCs w:val="20"/>
                <w:color w:val="auto"/>
              </w:rPr>
            </w:pPr>
            <w:r>
              <w:rPr>
                <w:rFonts w:ascii="Arial" w:cs="Arial" w:eastAsia="Arial" w:hAnsi="Arial"/>
                <w:sz w:val="15"/>
                <w:szCs w:val="15"/>
                <w:color w:val="auto"/>
              </w:rPr>
              <w:t>American Capital Management LLC</w:t>
            </w:r>
          </w:p>
        </w:tc>
        <w:tc>
          <w:tcPr>
            <w:tcW w:w="1800" w:type="dxa"/>
            <w:vAlign w:val="bottom"/>
            <w:gridSpan w:val="3"/>
          </w:tcPr>
          <w:p>
            <w:pPr>
              <w:jc w:val="right"/>
              <w:ind w:right="200"/>
              <w:spacing w:after="0" w:line="172" w:lineRule="exact"/>
              <w:rPr>
                <w:sz w:val="20"/>
                <w:szCs w:val="20"/>
                <w:color w:val="auto"/>
              </w:rPr>
            </w:pPr>
            <w:r>
              <w:rPr>
                <w:rFonts w:ascii="Arial" w:cs="Arial" w:eastAsia="Arial" w:hAnsi="Arial"/>
                <w:sz w:val="11"/>
                <w:szCs w:val="11"/>
                <w:color w:val="auto"/>
              </w:rPr>
              <w:t>4,053,266</w:t>
            </w:r>
            <w:r>
              <w:rPr>
                <w:rFonts w:ascii="Arial" w:cs="Arial" w:eastAsia="Arial" w:hAnsi="Arial"/>
                <w:sz w:val="19"/>
                <w:szCs w:val="19"/>
                <w:color w:val="auto"/>
                <w:vertAlign w:val="subscript"/>
              </w:rPr>
              <w:t>(6)</w:t>
            </w:r>
          </w:p>
        </w:tc>
        <w:tc>
          <w:tcPr>
            <w:tcW w:w="1320" w:type="dxa"/>
            <w:vAlign w:val="bottom"/>
            <w:gridSpan w:val="2"/>
          </w:tcPr>
          <w:p>
            <w:pPr>
              <w:jc w:val="right"/>
              <w:ind w:right="400"/>
              <w:spacing w:after="0" w:line="172" w:lineRule="exact"/>
              <w:rPr>
                <w:sz w:val="20"/>
                <w:szCs w:val="20"/>
                <w:color w:val="auto"/>
              </w:rPr>
            </w:pPr>
            <w:r>
              <w:rPr>
                <w:rFonts w:ascii="Arial" w:cs="Arial" w:eastAsia="Arial" w:hAnsi="Arial"/>
                <w:sz w:val="11"/>
                <w:szCs w:val="11"/>
                <w:color w:val="auto"/>
              </w:rPr>
              <w:t>9.9</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70" w:hanging="270"/>
        <w:spacing w:after="0" w:line="271" w:lineRule="auto"/>
        <w:tabs>
          <w:tab w:leader="none" w:pos="27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July 15, 2015, there were 38,073,791 shares of common stock issued and outstanding.</w:t>
      </w:r>
    </w:p>
    <w:p>
      <w:pPr>
        <w:spacing w:after="0" w:line="2" w:lineRule="exact"/>
        <w:rPr>
          <w:rFonts w:ascii="Arial" w:cs="Arial" w:eastAsia="Arial" w:hAnsi="Arial"/>
          <w:sz w:val="14"/>
          <w:szCs w:val="14"/>
          <w:color w:val="auto"/>
        </w:rPr>
      </w:pPr>
    </w:p>
    <w:p>
      <w:pPr>
        <w:ind w:left="270" w:right="20" w:hanging="270"/>
        <w:spacing w:after="0" w:line="251" w:lineRule="auto"/>
        <w:tabs>
          <w:tab w:leader="none" w:pos="27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This figure includes (i) 806,970 shares of common stock; and (ii) 18,000 options to acquire an equivalent number of common shares at $17 for 5 years and 20,000 options to acquire an equivalent number of common shares at $19 for 5 years.</w:t>
      </w:r>
    </w:p>
    <w:p>
      <w:pPr>
        <w:spacing w:after="0" w:line="1" w:lineRule="exact"/>
        <w:rPr>
          <w:rFonts w:ascii="Arial" w:cs="Arial" w:eastAsia="Arial" w:hAnsi="Arial"/>
          <w:sz w:val="15"/>
          <w:szCs w:val="15"/>
          <w:color w:val="auto"/>
        </w:rPr>
      </w:pPr>
    </w:p>
    <w:p>
      <w:pPr>
        <w:ind w:left="270" w:hanging="270"/>
        <w:spacing w:after="0" w:line="188" w:lineRule="auto"/>
        <w:tabs>
          <w:tab w:leader="none" w:pos="270" w:val="left"/>
        </w:tabs>
        <w:numPr>
          <w:ilvl w:val="0"/>
          <w:numId w:val="24"/>
        </w:numPr>
        <w:rPr>
          <w:rFonts w:ascii="Arial" w:cs="Arial" w:eastAsia="Arial" w:hAnsi="Arial"/>
          <w:sz w:val="30"/>
          <w:szCs w:val="30"/>
          <w:color w:val="auto"/>
          <w:vertAlign w:val="superscript"/>
        </w:rPr>
      </w:pPr>
      <w:r>
        <w:rPr>
          <w:rFonts w:ascii="Arial" w:cs="Arial" w:eastAsia="Arial" w:hAnsi="Arial"/>
          <w:sz w:val="15"/>
          <w:szCs w:val="15"/>
          <w:color w:val="auto"/>
        </w:rPr>
        <w:t>This figure includes (i) 225,000 shares of common stock; and (ii) 2,000 vested options exercisable at $17 and 2,500 vested options exercisable at $18.</w:t>
      </w:r>
    </w:p>
    <w:p>
      <w:pPr>
        <w:spacing w:after="0" w:line="94" w:lineRule="exact"/>
        <w:rPr>
          <w:rFonts w:ascii="Arial" w:cs="Arial" w:eastAsia="Arial" w:hAnsi="Arial"/>
          <w:sz w:val="30"/>
          <w:szCs w:val="30"/>
          <w:color w:val="auto"/>
          <w:vertAlign w:val="superscript"/>
        </w:rPr>
      </w:pPr>
    </w:p>
    <w:p>
      <w:pPr>
        <w:jc w:val="both"/>
        <w:ind w:left="270" w:hanging="270"/>
        <w:spacing w:after="0" w:line="268" w:lineRule="auto"/>
        <w:tabs>
          <w:tab w:leader="none" w:pos="27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figure includes 5,000,000 shares of common stock issued to Eastern Capital Limited in March 2015, 5,000,000 shares of common stock issued to Eastern Capital Limited in June 2015 upon the exercise of 5,000,000 Series C-1 Warrants and 17,528,476 shares of common stock underlying the warrants. The remaining warrants held by the shareholders are subject to a “blocker provision” contained in each warrant under which the holder thereof does not have the right to exercise each such warrant to the extent (but only to the extent) that such exercise would result in beneficial ownership by the holder thereof, or any of its affiliates, of more than 49.9% of the common stock.</w:t>
      </w:r>
    </w:p>
    <w:p>
      <w:pPr>
        <w:spacing w:after="0" w:line="2" w:lineRule="exact"/>
        <w:rPr>
          <w:rFonts w:ascii="Arial" w:cs="Arial" w:eastAsia="Arial" w:hAnsi="Arial"/>
          <w:sz w:val="14"/>
          <w:szCs w:val="14"/>
          <w:color w:val="auto"/>
        </w:rPr>
      </w:pPr>
    </w:p>
    <w:p>
      <w:pPr>
        <w:jc w:val="both"/>
        <w:ind w:left="270" w:hanging="270"/>
        <w:spacing w:after="0" w:line="251" w:lineRule="auto"/>
        <w:tabs>
          <w:tab w:leader="none" w:pos="27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warrants, and this table does not take into account any shares underlying warrants that we deem would make the shareholder’s beneficial ownership of our common stock exceed any blockers in warrants held by this shareholder.</w:t>
      </w:r>
    </w:p>
    <w:p>
      <w:pPr>
        <w:spacing w:after="0" w:line="2" w:lineRule="exact"/>
        <w:rPr>
          <w:rFonts w:ascii="Arial" w:cs="Arial" w:eastAsia="Arial" w:hAnsi="Arial"/>
          <w:sz w:val="15"/>
          <w:szCs w:val="15"/>
          <w:color w:val="auto"/>
        </w:rPr>
      </w:pPr>
    </w:p>
    <w:p>
      <w:pPr>
        <w:jc w:val="both"/>
        <w:ind w:left="270" w:hanging="270"/>
        <w:spacing w:after="0" w:line="254" w:lineRule="auto"/>
        <w:tabs>
          <w:tab w:leader="none" w:pos="27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This figure includes 750,000 shares of common stock issued to this shareholder in January 2015 (we have not verified that this shareholder still holds these shares) and 3,303,266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warrants, and this table does not take into account any shares underlying warrants that we deem would make the shareholder’s beneficial ownership of our common stock exceed any blockers in warrants held by this shareholder.</w:t>
      </w:r>
    </w:p>
    <w:p>
      <w:pPr>
        <w:spacing w:after="0" w:line="164"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There are no arrangements or understanding among the parties set out above or their respective associates or affiliates concerning election of directors or any other matters which may require shareholder approval.</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A description of the Company’s equity compensation plan is provided in Part II, Item 5 of this Form 10-K and is hereby incorporated by reference into this Item 12.</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Changes in Control</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are unaware of any contract, or other arrangement or provision, the operation of which may at a subsequent date result in a change of control of our Company.</w:t>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57" w:right="219" w:bottom="1440" w:gutter="0" w:footer="0" w:header="0"/>
        </w:sectPr>
      </w:pPr>
    </w:p>
    <w:bookmarkStart w:id="40" w:name="page41"/>
    <w:bookmarkEnd w:id="40"/>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legality and validity of the securities offered from time to time under this prospectus will be passed upon by Sanders Ortoli Vaughn-Flam Rosenstadt LLP.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DISCLOSURE OF COMMISSION POSITION ON INDEMNIFICATION FOR SECURITIES ACT LIABILITIES</w:t>
      </w:r>
    </w:p>
    <w:p>
      <w:pPr>
        <w:spacing w:after="0" w:line="193"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59"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consolidated financial statements as of December 31, 2014 have been included in the Prospectus in reliance upon the report of Marcum LLP, independent registered public accounting firm, and upon the authority of said firm as experts in accounting and auditing. Our consolidated financial statements as of December 31, 2013 have been included in the Prospectus in reliance upon the report of Dale Matheson Carr-Hilton LaBonte LLP, independent registered public accounting firm, and upon the authority of said firm as experts in accounting and auditing.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5"/>
          <w:szCs w:val="15"/>
          <w:u w:val="single" w:color="auto"/>
          <w:color w:val="auto"/>
        </w:rPr>
        <w:t>http://www.sec.gov</w:t>
      </w:r>
      <w:r>
        <w:rPr>
          <w:rFonts w:ascii="Arial" w:cs="Arial" w:eastAsia="Arial" w:hAnsi="Arial"/>
          <w:sz w:val="15"/>
          <w:szCs w:val="15"/>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640" w:type="dxa"/>
            <w:vAlign w:val="bottom"/>
          </w:tcPr>
          <w:p>
            <w:pPr>
              <w:ind w:left="4300"/>
              <w:spacing w:after="0"/>
              <w:rPr>
                <w:sz w:val="20"/>
                <w:szCs w:val="20"/>
                <w:color w:val="auto"/>
              </w:rPr>
            </w:pPr>
            <w:r>
              <w:rPr>
                <w:rFonts w:ascii="Arial" w:cs="Arial" w:eastAsia="Arial" w:hAnsi="Arial"/>
                <w:sz w:val="15"/>
                <w:szCs w:val="15"/>
                <w:b w:val="1"/>
                <w:bCs w:val="1"/>
                <w:color w:val="auto"/>
              </w:rPr>
              <w:t>Index to Consolidated Financial Statements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7"/>
        </w:trPr>
        <w:tc>
          <w:tcPr>
            <w:tcW w:w="20" w:type="dxa"/>
            <w:vAlign w:val="bottom"/>
          </w:tcPr>
          <w:p>
            <w:pPr>
              <w:spacing w:after="0"/>
              <w:rPr>
                <w:sz w:val="24"/>
                <w:szCs w:val="24"/>
                <w:color w:val="auto"/>
              </w:rPr>
            </w:pPr>
          </w:p>
        </w:tc>
        <w:tc>
          <w:tcPr>
            <w:tcW w:w="10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restart"/>
          </w:tcPr>
          <w:p>
            <w:pPr>
              <w:spacing w:after="0"/>
              <w:rPr>
                <w:sz w:val="14"/>
                <w:szCs w:val="14"/>
                <w:color w:val="auto"/>
              </w:rPr>
            </w:pPr>
          </w:p>
        </w:tc>
        <w:tc>
          <w:tcPr>
            <w:tcW w:w="10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 dated April 15, 2015</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 dated April 14,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Balance Sheets as of December 31, 2014 and 2013</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F-3</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Operations for the Years Ended December 31, 2014 and 2013</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F-4</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Stockholders’ Deficit from July 27, 1999 (Inception) to December 31,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Cash Flows for the Years Ended December 31, 2014 and 2013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F-6</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Notes to Consolidated Financial Statements for the Years Ended December 31,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F-8</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Condensed Consolidated Balance Sheets as of March 31, 2015 (Unaudited) and December 31,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Condensed Consolidated Statements of Operations and Comprehensive Loss (Unaudited) for the Three Months Ended March 31, 2015 and 2014,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Stockholders’ Equity (Deficit)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F-22</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6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1"/>
              </w:rPr>
              <w:t>Condensed Consolidated Statements of Cash Flows for the Three Months Ended March 31, 2015 and 2014, and for the Period from July 27, 1999 (Date of Inception) to March</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31, 2010</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F-23</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5"/>
                <w:szCs w:val="15"/>
                <w:color w:val="auto"/>
              </w:rPr>
              <w:t>Notes to the Condensed Consolidated Financial Statements (Unaudited) for the three-month period ended March 31, 2015</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34"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5"/>
          <w:szCs w:val="15"/>
          <w:u w:val="single" w:color="auto"/>
          <w:color w:val="auto"/>
        </w:rPr>
        <w:t>REPORT OF INDEPENDENT REGISTERED PUBLIC ACCOUNTING FIRM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To the Audit Committee of the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and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of TapImmune, Inc.</w:t>
      </w:r>
    </w:p>
    <w:p>
      <w:pPr>
        <w:spacing w:after="0" w:line="38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audited the accompanying consolidated balance sheet of TapImmune, Inc. (the “Company”) as of December 31, 2014, and the related consolidated statements of operations and comprehensive loss, changes in stockholders’ equity (deficit) and cash flows for the year then ended. These consolidated financial statements are the responsibility of the Company’s management. Our responsibility is to express an opinion on these consolidated financial statements based on our audit.</w:t>
      </w:r>
    </w:p>
    <w:p>
      <w:pPr>
        <w:spacing w:after="0" w:line="155"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TapImmune, Inc., as of December 31, 2014, and the results of its operations and its cash flows for the year then ended in conformity with accounting principles generally accepted in the United States of America.</w:t>
      </w:r>
    </w:p>
    <w:p>
      <w:pPr>
        <w:spacing w:after="0" w:line="30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2 to the consolidated financial statements, the Company has suffered historical losses from operations and has negative working capital. These matters raise substantial doubt about the Company’s ability to continue as a going concern. Management’s plans concerning these matters are also discussed in Note 2 to the consolidated financial statements. The accompanying consolidated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/s/ Marcum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April 15, 2015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068" w:right="21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426720</wp:posOffset>
            </wp:positionV>
            <wp:extent cx="7321550" cy="1724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2155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Board of Directors of TapImmune Inc:</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audited the accompanying consolidated balance sheet of TapImmune Inc. (the “Company”) as of December 31, 2013 and the related consolidated statement of operations and comprehensive loss, stockholders’ deficit and cash flows for the year then ended. These financial statements are the responsibility of the Company’s management. Our responsibility is to express an opinion on these financial statements based on our audit.</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57"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our opinion, these consolidated financial statements present fairly, in all material respects, the financial position of the Company as at December 31, 2013 and the results of its operations and its cash flows for the years then ended, in conformity with accounting principles generally accepted in the United States of America.</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an accumulated deficit of $55,426,635and reported a loss of $5,532,552 for the year ended December 31, 2013 raising substantial doubt about the Company’s ability to continue as a going concern.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“DMCL”</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DALE MATHESON CARR-HILTON LABONTE LLP</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CHARTERED ACCOUNTANTS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Vancouver, Canada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April 14, 2014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362"/>
              <w:spacing w:after="0"/>
              <w:rPr>
                <w:sz w:val="20"/>
                <w:szCs w:val="20"/>
                <w:color w:val="auto"/>
              </w:rPr>
            </w:pPr>
            <w:r>
              <w:rPr>
                <w:rFonts w:ascii="Arial" w:cs="Arial" w:eastAsia="Arial" w:hAnsi="Arial"/>
                <w:sz w:val="15"/>
                <w:szCs w:val="15"/>
                <w:color w:val="auto"/>
                <w:w w:val="93"/>
              </w:rPr>
              <w:t>December 31,</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25"/>
              <w:spacing w:after="0"/>
              <w:rPr>
                <w:sz w:val="20"/>
                <w:szCs w:val="20"/>
                <w:color w:val="auto"/>
              </w:rPr>
            </w:pPr>
            <w:r>
              <w:rPr>
                <w:rFonts w:ascii="Arial" w:cs="Arial" w:eastAsia="Arial" w:hAnsi="Arial"/>
                <w:sz w:val="15"/>
                <w:szCs w:val="15"/>
                <w:color w:val="auto"/>
                <w:w w:val="93"/>
              </w:rPr>
              <w:t>December 31,</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620" w:type="dxa"/>
            <w:vAlign w:val="bottom"/>
            <w:vMerge w:val="restart"/>
          </w:tcPr>
          <w:p>
            <w:pPr>
              <w:spacing w:after="0"/>
              <w:rPr>
                <w:sz w:val="20"/>
                <w:szCs w:val="20"/>
                <w:color w:val="auto"/>
              </w:rPr>
            </w:pPr>
            <w:r>
              <w:rPr>
                <w:rFonts w:ascii="Arial" w:cs="Arial" w:eastAsia="Arial" w:hAnsi="Arial"/>
                <w:sz w:val="15"/>
                <w:szCs w:val="15"/>
                <w:b w:val="1"/>
                <w:bCs w:val="1"/>
                <w:color w:val="auto"/>
              </w:rPr>
              <w:t>Current Assets</w:t>
            </w:r>
          </w:p>
        </w:tc>
        <w:tc>
          <w:tcPr>
            <w:tcW w:w="4200" w:type="dxa"/>
            <w:vAlign w:val="bottom"/>
            <w:gridSpan w:val="3"/>
          </w:tcPr>
          <w:p>
            <w:pPr>
              <w:jc w:val="right"/>
              <w:ind w:right="2900"/>
              <w:spacing w:after="0"/>
              <w:rPr>
                <w:sz w:val="20"/>
                <w:szCs w:val="20"/>
                <w:color w:val="auto"/>
              </w:rPr>
            </w:pPr>
            <w:r>
              <w:rPr>
                <w:rFonts w:ascii="Arial" w:cs="Arial" w:eastAsia="Arial" w:hAnsi="Arial"/>
                <w:sz w:val="15"/>
                <w:szCs w:val="15"/>
                <w:b w:val="1"/>
                <w:bCs w:val="1"/>
                <w:color w:val="auto"/>
              </w:rPr>
              <w:t>ASSETS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2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Cash</w:t>
            </w: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Prepaid expenses and deposits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82,504</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15,004</w:t>
            </w:r>
          </w:p>
        </w:tc>
        <w:tc>
          <w:tcPr>
            <w:tcW w:w="0" w:type="dxa"/>
            <w:vAlign w:val="bottom"/>
          </w:tcPr>
          <w:p>
            <w:pPr>
              <w:spacing w:after="0"/>
              <w:rPr>
                <w:sz w:val="1"/>
                <w:szCs w:val="1"/>
                <w:color w:val="auto"/>
              </w:rPr>
            </w:pPr>
          </w:p>
        </w:tc>
      </w:tr>
      <w:tr>
        <w:trPr>
          <w:trHeight w:val="191"/>
        </w:trPr>
        <w:tc>
          <w:tcPr>
            <w:tcW w:w="4620" w:type="dxa"/>
            <w:vAlign w:val="bottom"/>
          </w:tcPr>
          <w:p>
            <w:pPr>
              <w:ind w:left="60"/>
              <w:spacing w:after="0"/>
              <w:rPr>
                <w:sz w:val="20"/>
                <w:szCs w:val="20"/>
                <w:color w:val="auto"/>
              </w:rPr>
            </w:pPr>
            <w:r>
              <w:rPr>
                <w:rFonts w:ascii="Arial" w:cs="Arial" w:eastAsia="Arial" w:hAnsi="Arial"/>
                <w:sz w:val="15"/>
                <w:szCs w:val="15"/>
                <w:color w:val="auto"/>
              </w:rPr>
              <w:t>Deferred financing costs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13,439</w:t>
            </w:r>
          </w:p>
        </w:tc>
        <w:tc>
          <w:tcPr>
            <w:tcW w:w="0" w:type="dxa"/>
            <w:vAlign w:val="bottom"/>
          </w:tcPr>
          <w:p>
            <w:pPr>
              <w:spacing w:after="0"/>
              <w:rPr>
                <w:sz w:val="1"/>
                <w:szCs w:val="1"/>
                <w:color w:val="auto"/>
              </w:rPr>
            </w:pPr>
          </w:p>
        </w:tc>
      </w:tr>
      <w:tr>
        <w:trPr>
          <w:trHeight w:val="23"/>
        </w:trPr>
        <w:tc>
          <w:tcPr>
            <w:tcW w:w="4620" w:type="dxa"/>
            <w:vAlign w:val="bottom"/>
            <w:shd w:val="clear" w:color="auto" w:fill="000000"/>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1"/>
        </w:trPr>
        <w:tc>
          <w:tcPr>
            <w:tcW w:w="4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224,448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77,032</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820" w:type="dxa"/>
            <w:vAlign w:val="bottom"/>
            <w:gridSpan w:val="4"/>
          </w:tcPr>
          <w:p>
            <w:pPr>
              <w:ind w:left="3620"/>
              <w:spacing w:after="0"/>
              <w:rPr>
                <w:sz w:val="20"/>
                <w:szCs w:val="20"/>
                <w:color w:val="auto"/>
              </w:rPr>
            </w:pPr>
            <w:r>
              <w:rPr>
                <w:rFonts w:ascii="Arial" w:cs="Arial" w:eastAsia="Arial" w:hAnsi="Arial"/>
                <w:sz w:val="15"/>
                <w:szCs w:val="15"/>
                <w:b w:val="1"/>
                <w:bCs w:val="1"/>
                <w:color w:val="auto"/>
              </w:rPr>
              <w:t>LIABILITIES AND STOCKHOLDERS’ EQUITY (DEFICIT)</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693,362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3,778,401</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Research agreement obligations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492,365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492,365</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conversion option</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582,300</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warrants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9,415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140,504</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Convertible notes payable</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3,161,977</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Loans payable, related party (2013 - $5,200)</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42,200</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Promissory notes, related party</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52,942</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277,942</w:t>
            </w:r>
          </w:p>
        </w:tc>
        <w:tc>
          <w:tcPr>
            <w:tcW w:w="0" w:type="dxa"/>
            <w:vAlign w:val="bottom"/>
          </w:tcPr>
          <w:p>
            <w:pPr>
              <w:spacing w:after="0"/>
              <w:rPr>
                <w:sz w:val="1"/>
                <w:szCs w:val="1"/>
                <w:color w:val="auto"/>
              </w:rPr>
            </w:pPr>
          </w:p>
        </w:tc>
      </w:tr>
      <w:tr>
        <w:trPr>
          <w:trHeight w:val="194"/>
        </w:trPr>
        <w:tc>
          <w:tcPr>
            <w:tcW w:w="4620" w:type="dxa"/>
            <w:vAlign w:val="bottom"/>
          </w:tcPr>
          <w:p>
            <w:pPr>
              <w:ind w:left="60"/>
              <w:spacing w:after="0"/>
              <w:rPr>
                <w:sz w:val="20"/>
                <w:szCs w:val="20"/>
                <w:color w:val="auto"/>
              </w:rPr>
            </w:pPr>
            <w:r>
              <w:rPr>
                <w:rFonts w:ascii="Arial" w:cs="Arial" w:eastAsia="Arial" w:hAnsi="Arial"/>
                <w:sz w:val="15"/>
                <w:szCs w:val="15"/>
                <w:color w:val="auto"/>
              </w:rPr>
              <w:t>Due to related parties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369,346</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1,248,084</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8,845,035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0"/>
                <w:szCs w:val="20"/>
                <w:color w:val="auto"/>
              </w:rPr>
            </w:pPr>
            <w:r>
              <w:rPr>
                <w:rFonts w:ascii="Arial" w:cs="Arial" w:eastAsia="Arial" w:hAnsi="Arial"/>
                <w:sz w:val="15"/>
                <w:szCs w:val="15"/>
                <w:b w:val="1"/>
                <w:bCs w:val="1"/>
                <w:color w:val="auto"/>
              </w:rPr>
              <w:t>Stockholders’ Equity (Deficit)</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820" w:type="dxa"/>
            <w:vAlign w:val="bottom"/>
            <w:gridSpan w:val="4"/>
          </w:tcPr>
          <w:p>
            <w:pPr>
              <w:spacing w:after="0"/>
              <w:rPr>
                <w:sz w:val="20"/>
                <w:szCs w:val="20"/>
                <w:color w:val="auto"/>
              </w:rPr>
            </w:pPr>
            <w:r>
              <w:rPr>
                <w:rFonts w:ascii="Arial" w:cs="Arial" w:eastAsia="Arial" w:hAnsi="Arial"/>
                <w:sz w:val="15"/>
                <w:szCs w:val="15"/>
                <w:color w:val="auto"/>
              </w:rPr>
              <w:t>Convertible preferred stock, $0.001 par value — 5,000,000 shares authorized:</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820" w:type="dxa"/>
            <w:vAlign w:val="bottom"/>
            <w:gridSpan w:val="4"/>
          </w:tcPr>
          <w:p>
            <w:pPr>
              <w:ind w:left="120"/>
              <w:spacing w:after="0"/>
              <w:rPr>
                <w:sz w:val="20"/>
                <w:szCs w:val="20"/>
                <w:color w:val="auto"/>
              </w:rPr>
            </w:pPr>
            <w:r>
              <w:rPr>
                <w:rFonts w:ascii="Arial" w:cs="Arial" w:eastAsia="Arial" w:hAnsi="Arial"/>
                <w:sz w:val="15"/>
                <w:szCs w:val="15"/>
                <w:color w:val="auto"/>
                <w:w w:val="95"/>
              </w:rPr>
              <w:t>Series A, $0.001 par value, 1,250,000 shares designated, -0- shares issued and outstanding as of December 31, 2014 and December 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rPr>
              <w:t>2013</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w w:val="89"/>
              </w:rPr>
              <w:t>Series B, $0.001 par value, 1,500,000 shares designated, -0- shares issued</w:t>
            </w:r>
          </w:p>
        </w:tc>
        <w:tc>
          <w:tcPr>
            <w:tcW w:w="4200" w:type="dxa"/>
            <w:vAlign w:val="bottom"/>
            <w:gridSpan w:val="3"/>
          </w:tcPr>
          <w:p>
            <w:pPr>
              <w:jc w:val="right"/>
              <w:ind w:right="520"/>
              <w:spacing w:after="0"/>
              <w:rPr>
                <w:sz w:val="20"/>
                <w:szCs w:val="20"/>
                <w:color w:val="auto"/>
              </w:rPr>
            </w:pPr>
            <w:r>
              <w:rPr>
                <w:rFonts w:ascii="Arial" w:cs="Arial" w:eastAsia="Arial" w:hAnsi="Arial"/>
                <w:sz w:val="15"/>
                <w:szCs w:val="15"/>
                <w:color w:val="auto"/>
                <w:w w:val="89"/>
              </w:rPr>
              <w:t>and outstanding as of December 31, 2014 and December 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rPr>
              <w:t>2013</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Common stock, $0.001 par value, 500,000,000 shares authorized</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20,318,815 shares issued and outstanding (2013 – 1,465,712)</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20,319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85,265,776</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46,715,500</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Accumulated deficit</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(86,309,731)</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(55,426,635)</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(58,334)</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(8,768,003</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4"/>
                <w:szCs w:val="24"/>
                <w:color w:val="auto"/>
              </w:rPr>
            </w:pP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224,448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77,032</w:t>
            </w:r>
          </w:p>
        </w:tc>
        <w:tc>
          <w:tcPr>
            <w:tcW w:w="0" w:type="dxa"/>
            <w:vAlign w:val="bottom"/>
          </w:tcPr>
          <w:p>
            <w:pPr>
              <w:spacing w:after="0"/>
              <w:rPr>
                <w:sz w:val="1"/>
                <w:szCs w:val="1"/>
                <w:color w:val="auto"/>
              </w:rPr>
            </w:pP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5"/>
                <w:szCs w:val="15"/>
                <w:color w:val="auto"/>
                <w:w w:val="88"/>
              </w:rPr>
              <w:t>Year Ended</w:t>
            </w:r>
          </w:p>
        </w:tc>
      </w:tr>
      <w:tr>
        <w:trPr>
          <w:trHeight w:val="181"/>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5"/>
                <w:szCs w:val="15"/>
                <w:color w:val="auto"/>
                <w:w w:val="91"/>
              </w:rPr>
              <w:t>December 31,</w:t>
            </w:r>
          </w:p>
        </w:tc>
      </w:tr>
      <w:tr>
        <w:trPr>
          <w:trHeight w:val="194"/>
        </w:trPr>
        <w:tc>
          <w:tcPr>
            <w:tcW w:w="8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color w:val="auto"/>
                <w:w w:val="89"/>
              </w:rPr>
              <w:t>2013</w:t>
            </w:r>
          </w:p>
        </w:tc>
        <w:tc>
          <w:tcPr>
            <w:tcW w:w="160" w:type="dxa"/>
            <w:vAlign w:val="bottom"/>
          </w:tcPr>
          <w:p>
            <w:pPr>
              <w:spacing w:after="0"/>
              <w:rPr>
                <w:sz w:val="16"/>
                <w:szCs w:val="16"/>
                <w:color w:val="auto"/>
              </w:rPr>
            </w:pPr>
          </w:p>
        </w:tc>
      </w:tr>
      <w:tr>
        <w:trPr>
          <w:trHeight w:val="351"/>
        </w:trPr>
        <w:tc>
          <w:tcPr>
            <w:tcW w:w="858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5"/>
                <w:szCs w:val="15"/>
                <w:color w:val="auto"/>
              </w:rPr>
              <w:t>General and administrative</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3,181,927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1,966,683</w:t>
            </w:r>
          </w:p>
        </w:tc>
      </w:tr>
      <w:tr>
        <w:trPr>
          <w:trHeight w:val="194"/>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Research and development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189,000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697,634</w:t>
            </w:r>
          </w:p>
        </w:tc>
        <w:tc>
          <w:tcPr>
            <w:tcW w:w="160" w:type="dxa"/>
            <w:vAlign w:val="bottom"/>
          </w:tcPr>
          <w:p>
            <w:pPr>
              <w:spacing w:after="0"/>
              <w:rPr>
                <w:sz w:val="16"/>
                <w:szCs w:val="16"/>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Loss from Operations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(3,370,927)</w:t>
            </w:r>
          </w:p>
        </w:tc>
        <w:tc>
          <w:tcPr>
            <w:tcW w:w="1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(2,664,317)</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Other Income (Expense)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5"/>
                <w:szCs w:val="15"/>
                <w:color w:val="auto"/>
              </w:rPr>
              <w:t>Foreign exchange (loss) gain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(52,976)</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5,896</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Changes in fair value of derivative 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1,546,257</w:t>
            </w:r>
          </w:p>
        </w:tc>
        <w:tc>
          <w:tcPr>
            <w:tcW w:w="160" w:type="dxa"/>
            <w:vAlign w:val="bottom"/>
          </w:tcPr>
          <w:p>
            <w:pPr>
              <w:spacing w:after="0"/>
              <w:rPr>
                <w:sz w:val="15"/>
                <w:szCs w:val="15"/>
                <w:color w:val="auto"/>
              </w:rPr>
            </w:pP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Accretion of discount on convertible notes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(492,296)</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(1,110,831)</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Interest and financing charges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(83,247)</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(645,562)</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Loss on extinguishment of debt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(26,884,231)</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(2,560,045)</w:t>
            </w:r>
          </w:p>
        </w:tc>
      </w:tr>
      <w:tr>
        <w:trPr>
          <w:trHeight w:val="192"/>
        </w:trPr>
        <w:tc>
          <w:tcPr>
            <w:tcW w:w="8580" w:type="dxa"/>
            <w:vAlign w:val="bottom"/>
          </w:tcPr>
          <w:p>
            <w:pPr>
              <w:ind w:left="140"/>
              <w:spacing w:after="0"/>
              <w:rPr>
                <w:sz w:val="20"/>
                <w:szCs w:val="20"/>
                <w:color w:val="auto"/>
              </w:rPr>
            </w:pPr>
            <w:r>
              <w:rPr>
                <w:rFonts w:ascii="Arial" w:cs="Arial" w:eastAsia="Arial" w:hAnsi="Arial"/>
                <w:sz w:val="15"/>
                <w:szCs w:val="15"/>
                <w:color w:val="auto"/>
              </w:rPr>
              <w:t>Loss on lawsuit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(103,950)</w:t>
            </w:r>
          </w:p>
        </w:tc>
      </w:tr>
      <w:tr>
        <w:trPr>
          <w:trHeight w:val="23"/>
        </w:trPr>
        <w:tc>
          <w:tcPr>
            <w:tcW w:w="8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5"/>
        </w:trPr>
        <w:tc>
          <w:tcPr>
            <w:tcW w:w="8580" w:type="dxa"/>
            <w:vAlign w:val="bottom"/>
          </w:tcPr>
          <w:p>
            <w:pPr>
              <w:spacing w:after="0"/>
              <w:rPr>
                <w:sz w:val="20"/>
                <w:szCs w:val="20"/>
                <w:color w:val="auto"/>
              </w:rPr>
            </w:pPr>
            <w:r>
              <w:rPr>
                <w:rFonts w:ascii="Arial" w:cs="Arial" w:eastAsia="Arial" w:hAnsi="Arial"/>
                <w:sz w:val="15"/>
                <w:szCs w:val="15"/>
                <w:b w:val="1"/>
                <w:bCs w:val="1"/>
                <w:color w:val="auto"/>
              </w:rPr>
              <w:t>Net Loss for the Period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(30,883,096)</w:t>
            </w:r>
          </w:p>
        </w:tc>
        <w:tc>
          <w:tcPr>
            <w:tcW w:w="1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(5,532,552)</w:t>
            </w:r>
          </w:p>
        </w:tc>
      </w:tr>
      <w:tr>
        <w:trPr>
          <w:trHeight w:val="351"/>
        </w:trPr>
        <w:tc>
          <w:tcPr>
            <w:tcW w:w="85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Other comprehensive income</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Foreign exchange translation adjustment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58,334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3,314</w:t>
            </w:r>
          </w:p>
        </w:tc>
        <w:tc>
          <w:tcPr>
            <w:tcW w:w="160" w:type="dxa"/>
            <w:vAlign w:val="bottom"/>
          </w:tcPr>
          <w:p>
            <w:pPr>
              <w:spacing w:after="0"/>
              <w:rPr>
                <w:sz w:val="16"/>
                <w:szCs w:val="16"/>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b w:val="1"/>
                <w:bCs w:val="1"/>
                <w:color w:val="auto"/>
              </w:rPr>
              <w:t>TOTAL COMPREHENSIVE LOSS</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00"/>
              <w:spacing w:after="0" w:line="341" w:lineRule="exact"/>
              <w:rPr>
                <w:sz w:val="20"/>
                <w:szCs w:val="20"/>
                <w:color w:val="auto"/>
              </w:rPr>
            </w:pPr>
            <w:r>
              <w:rPr>
                <w:rFonts w:ascii="Arial" w:cs="Arial" w:eastAsia="Arial" w:hAnsi="Arial"/>
                <w:sz w:val="15"/>
                <w:szCs w:val="15"/>
                <w:color w:val="auto"/>
              </w:rPr>
              <w:t>(30,824,762</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line="341" w:lineRule="exact"/>
              <w:rPr>
                <w:sz w:val="20"/>
                <w:szCs w:val="20"/>
                <w:color w:val="auto"/>
              </w:rPr>
            </w:pPr>
            <w:r>
              <w:rPr>
                <w:rFonts w:ascii="Arial" w:cs="Arial" w:eastAsia="Arial" w:hAnsi="Arial"/>
                <w:sz w:val="15"/>
                <w:szCs w:val="15"/>
                <w:color w:val="auto"/>
              </w:rPr>
              <w:t>(5,529,238</w:t>
            </w:r>
            <w:r>
              <w:rPr>
                <w:rFonts w:ascii="Arial" w:cs="Arial" w:eastAsia="Arial" w:hAnsi="Arial"/>
                <w:sz w:val="30"/>
                <w:szCs w:val="30"/>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3"/>
        </w:trPr>
        <w:tc>
          <w:tcPr>
            <w:tcW w:w="8580" w:type="dxa"/>
            <w:vAlign w:val="bottom"/>
          </w:tcPr>
          <w:p>
            <w:pPr>
              <w:spacing w:after="0"/>
              <w:rPr>
                <w:sz w:val="20"/>
                <w:szCs w:val="20"/>
                <w:color w:val="auto"/>
              </w:rPr>
            </w:pPr>
            <w:r>
              <w:rPr>
                <w:rFonts w:ascii="Arial" w:cs="Arial" w:eastAsia="Arial" w:hAnsi="Arial"/>
                <w:sz w:val="15"/>
                <w:szCs w:val="15"/>
                <w:b w:val="1"/>
                <w:bCs w:val="1"/>
                <w:color w:val="auto"/>
              </w:rPr>
              <w:t>Basic and Diluted Net Loss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8580" w:type="dxa"/>
            <w:vAlign w:val="bottom"/>
          </w:tcPr>
          <w:p>
            <w:pPr>
              <w:spacing w:after="0"/>
              <w:rPr>
                <w:sz w:val="20"/>
                <w:szCs w:val="20"/>
                <w:color w:val="auto"/>
              </w:rPr>
            </w:pPr>
            <w:r>
              <w:rPr>
                <w:rFonts w:ascii="Arial" w:cs="Arial" w:eastAsia="Arial" w:hAnsi="Arial"/>
                <w:sz w:val="15"/>
                <w:szCs w:val="15"/>
                <w:b w:val="1"/>
                <w:bCs w:val="1"/>
                <w:color w:val="auto"/>
              </w:rPr>
              <w:t>per Share</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00"/>
              <w:spacing w:after="0" w:line="176" w:lineRule="exact"/>
              <w:rPr>
                <w:sz w:val="20"/>
                <w:szCs w:val="20"/>
                <w:color w:val="auto"/>
              </w:rPr>
            </w:pPr>
            <w:r>
              <w:rPr>
                <w:rFonts w:ascii="Arial" w:cs="Arial" w:eastAsia="Arial" w:hAnsi="Arial"/>
                <w:sz w:val="12"/>
                <w:szCs w:val="12"/>
                <w:color w:val="auto"/>
              </w:rPr>
              <w:t>(2.00</w:t>
            </w:r>
            <w:r>
              <w:rPr>
                <w:rFonts w:ascii="Arial" w:cs="Arial" w:eastAsia="Arial" w:hAnsi="Arial"/>
                <w:sz w:val="20"/>
                <w:szCs w:val="2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line="176" w:lineRule="exact"/>
              <w:rPr>
                <w:sz w:val="20"/>
                <w:szCs w:val="20"/>
                <w:color w:val="auto"/>
              </w:rPr>
            </w:pPr>
            <w:r>
              <w:rPr>
                <w:rFonts w:ascii="Arial" w:cs="Arial" w:eastAsia="Arial" w:hAnsi="Arial"/>
                <w:sz w:val="12"/>
                <w:szCs w:val="12"/>
                <w:color w:val="auto"/>
              </w:rPr>
              <w:t>(4.87</w:t>
            </w:r>
            <w:r>
              <w:rPr>
                <w:rFonts w:ascii="Arial" w:cs="Arial" w:eastAsia="Arial" w:hAnsi="Arial"/>
                <w:sz w:val="20"/>
                <w:szCs w:val="20"/>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3"/>
        </w:trPr>
        <w:tc>
          <w:tcPr>
            <w:tcW w:w="8580" w:type="dxa"/>
            <w:vAlign w:val="bottom"/>
          </w:tcPr>
          <w:p>
            <w:pPr>
              <w:spacing w:after="0"/>
              <w:rPr>
                <w:sz w:val="20"/>
                <w:szCs w:val="20"/>
                <w:color w:val="auto"/>
              </w:rPr>
            </w:pPr>
            <w:r>
              <w:rPr>
                <w:rFonts w:ascii="Arial" w:cs="Arial" w:eastAsia="Arial" w:hAnsi="Arial"/>
                <w:sz w:val="15"/>
                <w:szCs w:val="15"/>
                <w:b w:val="1"/>
                <w:bCs w:val="1"/>
                <w:color w:val="auto"/>
              </w:rPr>
              <w:t>Weighted Average 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8580" w:type="dxa"/>
            <w:vAlign w:val="bottom"/>
          </w:tcPr>
          <w:p>
            <w:pPr>
              <w:spacing w:after="0"/>
              <w:rPr>
                <w:sz w:val="20"/>
                <w:szCs w:val="20"/>
                <w:color w:val="auto"/>
              </w:rPr>
            </w:pPr>
            <w:r>
              <w:rPr>
                <w:rFonts w:ascii="Arial" w:cs="Arial" w:eastAsia="Arial" w:hAnsi="Arial"/>
                <w:sz w:val="15"/>
                <w:szCs w:val="15"/>
                <w:b w:val="1"/>
                <w:bCs w:val="1"/>
                <w:color w:val="auto"/>
              </w:rPr>
              <w:t>Common Shares 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15,465,213</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1,136,115</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 OF STOCKHOLDERS’ EQUITY (DEFICIT)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6"/>
          </w:tcPr>
          <w:p>
            <w:pPr>
              <w:ind w:left="720"/>
              <w:spacing w:after="0"/>
              <w:rPr>
                <w:sz w:val="20"/>
                <w:szCs w:val="20"/>
                <w:color w:val="auto"/>
              </w:rPr>
            </w:pPr>
            <w:r>
              <w:rPr>
                <w:rFonts w:ascii="Arial" w:cs="Arial" w:eastAsia="Arial" w:hAnsi="Arial"/>
                <w:sz w:val="15"/>
                <w:szCs w:val="15"/>
                <w:color w:val="auto"/>
              </w:rPr>
              <w:t>Common Stock</w:t>
            </w:r>
          </w:p>
        </w:tc>
        <w:tc>
          <w:tcPr>
            <w:tcW w:w="1380" w:type="dxa"/>
            <w:vAlign w:val="bottom"/>
            <w:tcBorders>
              <w:top w:val="single" w:sz="8" w:color="auto"/>
            </w:tcBorders>
            <w:gridSpan w:val="3"/>
            <w:vMerge w:val="restart"/>
          </w:tcPr>
          <w:p>
            <w:pPr>
              <w:ind w:left="280"/>
              <w:spacing w:after="0"/>
              <w:rPr>
                <w:sz w:val="20"/>
                <w:szCs w:val="20"/>
                <w:color w:val="auto"/>
              </w:rPr>
            </w:pPr>
            <w:r>
              <w:rPr>
                <w:rFonts w:ascii="Arial" w:cs="Arial" w:eastAsia="Arial" w:hAnsi="Arial"/>
                <w:sz w:val="15"/>
                <w:szCs w:val="15"/>
                <w:color w:val="auto"/>
              </w:rPr>
              <w:t>Paid In</w:t>
            </w:r>
          </w:p>
        </w:tc>
        <w:tc>
          <w:tcPr>
            <w:tcW w:w="138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5"/>
                <w:szCs w:val="15"/>
                <w:color w:val="auto"/>
                <w:w w:val="92"/>
              </w:rPr>
              <w:t>Accumulated</w:t>
            </w:r>
          </w:p>
        </w:tc>
        <w:tc>
          <w:tcPr>
            <w:tcW w:w="144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5"/>
                <w:szCs w:val="15"/>
                <w:color w:val="auto"/>
                <w:w w:val="89"/>
              </w:rPr>
              <w:t>Comprehensive</w:t>
            </w: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5"/>
                <w:szCs w:val="15"/>
                <w:color w:val="auto"/>
                <w:w w:val="94"/>
              </w:rPr>
              <w:t>Number of</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Amount</w:t>
            </w:r>
          </w:p>
        </w:tc>
        <w:tc>
          <w:tcPr>
            <w:tcW w:w="1380" w:type="dxa"/>
            <w:vAlign w:val="bottom"/>
            <w:gridSpan w:val="3"/>
          </w:tcPr>
          <w:p>
            <w:pPr>
              <w:ind w:left="280"/>
              <w:spacing w:after="0"/>
              <w:rPr>
                <w:sz w:val="20"/>
                <w:szCs w:val="20"/>
                <w:color w:val="auto"/>
              </w:rPr>
            </w:pPr>
            <w:r>
              <w:rPr>
                <w:rFonts w:ascii="Arial" w:cs="Arial" w:eastAsia="Arial" w:hAnsi="Arial"/>
                <w:sz w:val="15"/>
                <w:szCs w:val="15"/>
                <w:color w:val="auto"/>
              </w:rPr>
              <w:t>Capital</w:t>
            </w:r>
          </w:p>
        </w:tc>
        <w:tc>
          <w:tcPr>
            <w:tcW w:w="1380" w:type="dxa"/>
            <w:vAlign w:val="bottom"/>
            <w:gridSpan w:val="3"/>
          </w:tcPr>
          <w:p>
            <w:pPr>
              <w:jc w:val="center"/>
              <w:ind w:right="360"/>
              <w:spacing w:after="0"/>
              <w:rPr>
                <w:sz w:val="20"/>
                <w:szCs w:val="20"/>
                <w:color w:val="auto"/>
              </w:rPr>
            </w:pPr>
            <w:r>
              <w:rPr>
                <w:rFonts w:ascii="Arial" w:cs="Arial" w:eastAsia="Arial" w:hAnsi="Arial"/>
                <w:sz w:val="15"/>
                <w:szCs w:val="15"/>
                <w:color w:val="auto"/>
              </w:rPr>
              <w:t>Deficit</w:t>
            </w:r>
          </w:p>
        </w:tc>
        <w:tc>
          <w:tcPr>
            <w:tcW w:w="1440" w:type="dxa"/>
            <w:vAlign w:val="bottom"/>
            <w:gridSpan w:val="3"/>
          </w:tcPr>
          <w:p>
            <w:pPr>
              <w:jc w:val="center"/>
              <w:ind w:right="360"/>
              <w:spacing w:after="0"/>
              <w:rPr>
                <w:sz w:val="20"/>
                <w:szCs w:val="20"/>
                <w:color w:val="auto"/>
              </w:rPr>
            </w:pPr>
            <w:r>
              <w:rPr>
                <w:rFonts w:ascii="Arial" w:cs="Arial" w:eastAsia="Arial" w:hAnsi="Arial"/>
                <w:sz w:val="15"/>
                <w:szCs w:val="15"/>
                <w:color w:val="auto"/>
                <w:w w:val="88"/>
              </w:rPr>
              <w:t>Loss</w:t>
            </w:r>
          </w:p>
        </w:tc>
        <w:tc>
          <w:tcPr>
            <w:tcW w:w="1180" w:type="dxa"/>
            <w:vAlign w:val="bottom"/>
            <w:gridSpan w:val="2"/>
          </w:tcPr>
          <w:p>
            <w:pPr>
              <w:jc w:val="right"/>
              <w:ind w:right="425"/>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5"/>
                <w:szCs w:val="15"/>
                <w:color w:val="auto"/>
                <w:w w:val="84"/>
              </w:rPr>
              <w:t>shares</w:t>
            </w:r>
          </w:p>
        </w:tc>
        <w:tc>
          <w:tcPr>
            <w:tcW w:w="100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gridSpan w:val="4"/>
          </w:tcPr>
          <w:p>
            <w:pPr>
              <w:spacing w:after="0"/>
              <w:rPr>
                <w:sz w:val="20"/>
                <w:szCs w:val="20"/>
                <w:color w:val="auto"/>
              </w:rPr>
            </w:pPr>
            <w:r>
              <w:rPr>
                <w:rFonts w:ascii="Arial" w:cs="Arial" w:eastAsia="Arial" w:hAnsi="Arial"/>
                <w:sz w:val="15"/>
                <w:szCs w:val="15"/>
                <w:color w:val="auto"/>
              </w:rPr>
              <w:t>Balance, December 31, 2012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764,029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43,912,427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(49,894,083)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(61,648)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(6,042,522)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Notes converted into shares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412,047</w:t>
            </w:r>
          </w:p>
        </w:tc>
        <w:tc>
          <w:tcPr>
            <w:tcW w:w="14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412</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1,477,175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1,477,587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 based compensation in 2013</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46,840</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46,840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Obligation to issue shares at fair value</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80"/>
              <w:spacing w:after="0"/>
              <w:rPr>
                <w:sz w:val="20"/>
                <w:szCs w:val="20"/>
                <w:color w:val="auto"/>
              </w:rPr>
            </w:pPr>
            <w:r>
              <w:rPr>
                <w:rFonts w:ascii="Arial" w:cs="Arial" w:eastAsia="Arial" w:hAnsi="Arial"/>
                <w:sz w:val="15"/>
                <w:szCs w:val="15"/>
                <w:color w:val="auto"/>
              </w:rPr>
              <w:t>pursuant to service 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31,891</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31,891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Issued at fair value pursuant to</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80"/>
              <w:spacing w:after="0"/>
              <w:rPr>
                <w:sz w:val="20"/>
                <w:szCs w:val="20"/>
                <w:color w:val="auto"/>
              </w:rPr>
            </w:pPr>
            <w:r>
              <w:rPr>
                <w:rFonts w:ascii="Arial" w:cs="Arial" w:eastAsia="Arial" w:hAnsi="Arial"/>
                <w:sz w:val="15"/>
                <w:szCs w:val="15"/>
                <w:color w:val="auto"/>
              </w:rPr>
              <w:t>debt settlement 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264,649</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265</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1,211,362</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1,211,627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Finders’ fee</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(11,300)</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(11,300)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Issued at fair value pursuant to service</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3,500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38,932</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38,936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Shares issued for director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2,500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8,173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8,176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Non-cash exercise of warrants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18,986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Foreign exchange translation adjustment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3,314</w:t>
            </w: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3,314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(5,532,552)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(5,532,552)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Balance, December 31, 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1,465,712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46,715,500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(55,426,635)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(58,334)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(8,768,003)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Convertible notes, promissory notes, loan</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w w:val="98"/>
              </w:rPr>
              <w:t>payable-related party, due to related parties and</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accrued interest converted into Series A and B</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preferred stock and immediately converted into</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commons stock</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14,048,701</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14,049</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30,937,029</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30,951,078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Conversion of accounts payable to common</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w:t>
            </w:r>
          </w:p>
        </w:tc>
        <w:tc>
          <w:tcPr>
            <w:tcW w:w="1000" w:type="dxa"/>
            <w:vAlign w:val="bottom"/>
          </w:tcPr>
          <w:p>
            <w:pPr>
              <w:jc w:val="right"/>
              <w:spacing w:after="0"/>
              <w:rPr>
                <w:sz w:val="20"/>
                <w:szCs w:val="20"/>
                <w:color w:val="auto"/>
              </w:rPr>
            </w:pPr>
            <w:r>
              <w:rPr>
                <w:rFonts w:ascii="Arial" w:cs="Arial" w:eastAsia="Arial" w:hAnsi="Arial"/>
                <w:sz w:val="15"/>
                <w:szCs w:val="15"/>
                <w:color w:val="auto"/>
              </w:rPr>
              <w:t>1,836,361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1,836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4,347,592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4,349,428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Private placement (net of finders’ fee)</w:t>
            </w:r>
          </w:p>
        </w:tc>
        <w:tc>
          <w:tcPr>
            <w:tcW w:w="1000" w:type="dxa"/>
            <w:vAlign w:val="bottom"/>
          </w:tcPr>
          <w:p>
            <w:pPr>
              <w:jc w:val="right"/>
              <w:spacing w:after="0"/>
              <w:rPr>
                <w:sz w:val="20"/>
                <w:szCs w:val="20"/>
                <w:color w:val="auto"/>
              </w:rPr>
            </w:pPr>
            <w:r>
              <w:rPr>
                <w:rFonts w:ascii="Arial" w:cs="Arial" w:eastAsia="Arial" w:hAnsi="Arial"/>
                <w:sz w:val="15"/>
                <w:szCs w:val="15"/>
                <w:color w:val="auto"/>
              </w:rPr>
              <w:t>2,157,042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2,157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1,875,343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1,877,500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Foreign exchange translation adjustment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58,334</w:t>
            </w: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58,334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 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811,000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811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1,390,312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1,391,123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(30,883,096)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(30,883,096)</w:t>
            </w:r>
          </w:p>
        </w:tc>
        <w:tc>
          <w:tcPr>
            <w:tcW w:w="0" w:type="dxa"/>
            <w:vAlign w:val="bottom"/>
          </w:tcPr>
          <w:p>
            <w:pPr>
              <w:spacing w:after="0"/>
              <w:rPr>
                <w:sz w:val="1"/>
                <w:szCs w:val="1"/>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3020" w:type="dxa"/>
            <w:vAlign w:val="bottom"/>
            <w:tcBorders>
              <w:top w:val="single" w:sz="8" w:color="auto"/>
              <w:bottom w:val="single" w:sz="8" w:color="auto"/>
            </w:tcBorders>
          </w:tcPr>
          <w:p>
            <w:pPr>
              <w:spacing w:after="0" w:line="161" w:lineRule="exact"/>
              <w:rPr>
                <w:sz w:val="20"/>
                <w:szCs w:val="20"/>
                <w:color w:val="auto"/>
              </w:rPr>
            </w:pPr>
            <w:r>
              <w:rPr>
                <w:rFonts w:ascii="Arial" w:cs="Arial" w:eastAsia="Arial" w:hAnsi="Arial"/>
                <w:sz w:val="15"/>
                <w:szCs w:val="15"/>
                <w:color w:val="auto"/>
              </w:rPr>
              <w:t>Balance, December 31, 2014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20,318,816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20,319</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85,265,776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(86,309,731</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(1,023,636</w:t>
            </w:r>
          </w:p>
        </w:tc>
        <w:tc>
          <w:tcPr>
            <w:tcW w:w="140" w:type="dxa"/>
            <w:vAlign w:val="bottom"/>
          </w:tcPr>
          <w:p>
            <w:pPr>
              <w:jc w:val="right"/>
              <w:ind w:right="5"/>
              <w:spacing w:after="0" w:line="161"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2"/>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185"/>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02"/>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00" w:type="dxa"/>
            <w:vAlign w:val="bottom"/>
            <w:gridSpan w:val="2"/>
          </w:tcPr>
          <w:p>
            <w:pPr>
              <w:jc w:val="center"/>
              <w:ind w:right="165"/>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(30,883,096)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(5,532,552)</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Adjustments to reconcile net loss to</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cash from operating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Changes in fair value of derivative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(1,546,257)</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26,884,231</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2,560,045</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Accretion of discount on convertible notes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492,296</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1,110,831</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Non-cash interest and finance charges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83,247</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645,562</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Stock based compensation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1,391,123</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132,093</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Foreign exchange 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58,334</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Prepaid expenses and deposits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(67,500)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Deferred financing costs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24,013</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(145,199)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1,835,315</w:t>
            </w:r>
          </w:p>
        </w:tc>
      </w:tr>
      <w:tr>
        <w:trPr>
          <w:trHeight w:val="194"/>
        </w:trPr>
        <w:tc>
          <w:tcPr>
            <w:tcW w:w="20" w:type="dxa"/>
            <w:vAlign w:val="bottom"/>
          </w:tcPr>
          <w:p>
            <w:pPr>
              <w:spacing w:after="0"/>
              <w:rPr>
                <w:sz w:val="16"/>
                <w:szCs w:val="16"/>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Research agreement obligations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76,367</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(2,187,145</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(694,583</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Issuance of shares, net of issuance costs of $387,500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1,877,500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Convertible notes issuance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418,000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728,000</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Proceeds from loans payable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32,200</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to related parties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(30,867)</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of convertible notes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(20,000)</w:t>
            </w:r>
          </w:p>
        </w:tc>
      </w:tr>
      <w:tr>
        <w:trPr>
          <w:trHeight w:val="194"/>
        </w:trPr>
        <w:tc>
          <w:tcPr>
            <w:tcW w:w="20" w:type="dxa"/>
            <w:vAlign w:val="bottom"/>
          </w:tcPr>
          <w:p>
            <w:pPr>
              <w:spacing w:after="0"/>
              <w:rPr>
                <w:sz w:val="16"/>
                <w:szCs w:val="16"/>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of promissory notes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(15,000)</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2,280,500</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709,333</w:t>
            </w:r>
          </w:p>
        </w:tc>
        <w:tc>
          <w:tcPr>
            <w:tcW w:w="140" w:type="dxa"/>
            <w:vAlign w:val="bottom"/>
          </w:tcPr>
          <w:p>
            <w:pPr>
              <w:spacing w:after="0"/>
              <w:rPr>
                <w:sz w:val="15"/>
                <w:szCs w:val="15"/>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INCREASE IN CASH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93,355</w:t>
            </w:r>
          </w:p>
        </w:tc>
        <w:tc>
          <w:tcPr>
            <w:tcW w:w="120" w:type="dxa"/>
            <w:vAlign w:val="bottom"/>
          </w:tcPr>
          <w:p>
            <w:pPr>
              <w:spacing w:after="0"/>
              <w:rPr>
                <w:sz w:val="24"/>
                <w:szCs w:val="2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14,750</w:t>
            </w:r>
          </w:p>
        </w:tc>
      </w:tr>
      <w:tr>
        <w:trPr>
          <w:trHeight w:val="363"/>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BEGINNING OF YEAR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48,589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33,839</w:t>
            </w:r>
          </w:p>
        </w:tc>
      </w:tr>
      <w:tr>
        <w:trPr>
          <w:trHeight w:val="23"/>
        </w:trPr>
        <w:tc>
          <w:tcPr>
            <w:tcW w:w="858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END OF YEAR</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5"/>
                <w:szCs w:val="15"/>
                <w:color w:val="auto"/>
                <w:w w:val="88"/>
              </w:rPr>
              <w:t>Year Ended</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color w:val="auto"/>
                <w:w w:val="89"/>
              </w:rPr>
              <w:t>December 31,</w:t>
            </w:r>
          </w:p>
        </w:tc>
      </w:tr>
      <w:tr>
        <w:trPr>
          <w:trHeight w:val="194"/>
        </w:trPr>
        <w:tc>
          <w:tcPr>
            <w:tcW w:w="8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SUPPLEMENTAL SCHEDULE OF NON-CASH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color w:val="auto"/>
              </w:rPr>
              <w:t>Accounts payable settled in common stock</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2,415,000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558,000</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Conversion of debt obligations into common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Accrued interest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525,000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Convertible notes payable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4,116,000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738,000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Loans payable, related party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42,000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Promissory notes, related party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210,000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Due to related parties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369,000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Fair value derivative liability – conversion option at conversion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708,000</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5"/>
        </w:trPr>
        <w:tc>
          <w:tcPr>
            <w:tcW w:w="8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15"/>
          <w:szCs w:val="15"/>
          <w:b w:val="1"/>
          <w:bCs w:val="1"/>
          <w:i w:val="1"/>
          <w:iCs w:val="1"/>
          <w:color w:val="auto"/>
        </w:rPr>
        <w:t>TAPIMMUNE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2014</w:t>
      </w:r>
    </w:p>
    <w:p>
      <w:pPr>
        <w:spacing w:after="0" w:line="200" w:lineRule="exact"/>
        <w:rPr>
          <w:sz w:val="20"/>
          <w:szCs w:val="20"/>
          <w:color w:val="auto"/>
        </w:rPr>
      </w:pPr>
    </w:p>
    <w:p>
      <w:pPr>
        <w:spacing w:after="0" w:line="202"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1: NATURE OF OPERATIONS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 Phase I study at the Mayo Clinic is currently evaluating the safety and immune responses of a set of proprietary HER2/neu antigens that will be part of the "Prime" for a HER2/neu breast cancer vaccine.</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second Phase I trial is underway at Mayo Clinic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Phase II advancement will be assessed in the second quarter of 2015. TapImmune has an exclusive option to license this set of peptides after successful phase 1 trials.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38" w:lineRule="exact"/>
        <w:rPr>
          <w:sz w:val="20"/>
          <w:szCs w:val="20"/>
          <w:color w:val="auto"/>
        </w:rPr>
      </w:pPr>
    </w:p>
    <w:p>
      <w:pPr>
        <w:jc w:val="both"/>
        <w:ind w:firstLine="39"/>
        <w:spacing w:after="0" w:line="276" w:lineRule="auto"/>
        <w:rPr>
          <w:sz w:val="20"/>
          <w:szCs w:val="20"/>
          <w:color w:val="auto"/>
        </w:rPr>
      </w:pPr>
      <w:r>
        <w:rPr>
          <w:rFonts w:ascii="Arial" w:cs="Arial" w:eastAsia="Arial" w:hAnsi="Arial"/>
          <w:sz w:val="15"/>
          <w:szCs w:val="15"/>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These consolidated financial statements have been prepared on the basis of a going concern which contemplates the realization of assets and the satisfaction of liabilities in the normal course of business. As at December 31, 2014, the Company had a working capital deficiency and has incurred significant losses since inception in the development of its business. Further losses are anticipated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0" w:right="219" w:bottom="1440" w:gutter="0" w:footer="0" w:header="0"/>
        </w:sectPr>
      </w:pPr>
    </w:p>
    <w:bookmarkStart w:id="50" w:name="page51"/>
    <w:bookmarkEnd w:id="50"/>
    <w:p>
      <w:pPr>
        <w:jc w:val="both"/>
        <w:spacing w:after="0" w:line="260" w:lineRule="auto"/>
        <w:rPr>
          <w:sz w:val="20"/>
          <w:szCs w:val="20"/>
          <w:color w:val="auto"/>
        </w:rPr>
      </w:pPr>
      <w:r>
        <w:rPr>
          <w:rFonts w:ascii="Arial" w:cs="Arial" w:eastAsia="Arial" w:hAnsi="Arial"/>
          <w:sz w:val="15"/>
          <w:szCs w:val="15"/>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There is no certainty that the Company will be able to arrange sufficient funding to satisfy current debt obligations or to continue development of products to marketability.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These financial statements are presented in United States dollars and have been prepared in accordance with accounting principles generally accepted in the United States of America (“GAAP”).</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Principles of Consolidation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 In the fourth quarter of fiscal 2014, the Company dissolved GPC and no longer has any Canadian subsidiary.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and accrued liabilities. Matters impacting the Company’s ability to continue as a going concern and contingencies also involve the use of estimates and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38" w:lineRule="exact"/>
        <w:rPr>
          <w:sz w:val="20"/>
          <w:szCs w:val="20"/>
          <w:color w:val="auto"/>
        </w:rPr>
      </w:pPr>
    </w:p>
    <w:p>
      <w:pPr>
        <w:ind w:left="980" w:hanging="175"/>
        <w:spacing w:after="0"/>
        <w:tabs>
          <w:tab w:leader="none" w:pos="9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Level 1-Quoted prices (unadjusted) in active markets for identical assets and liabilities.</w:t>
      </w:r>
    </w:p>
    <w:p>
      <w:pPr>
        <w:spacing w:after="0" w:line="189" w:lineRule="exact"/>
        <w:rPr>
          <w:rFonts w:ascii="Arial" w:cs="Arial" w:eastAsia="Arial" w:hAnsi="Arial"/>
          <w:sz w:val="15"/>
          <w:szCs w:val="15"/>
          <w:color w:val="auto"/>
        </w:rPr>
      </w:pPr>
    </w:p>
    <w:p>
      <w:pPr>
        <w:ind w:left="800" w:right="40" w:firstLine="5"/>
        <w:spacing w:after="0" w:line="356" w:lineRule="auto"/>
        <w:tabs>
          <w:tab w:leader="none" w:pos="966" w:val="left"/>
        </w:tabs>
        <w:numPr>
          <w:ilvl w:val="0"/>
          <w:numId w:val="25"/>
        </w:numPr>
        <w:rPr>
          <w:rFonts w:ascii="Arial" w:cs="Arial" w:eastAsia="Arial" w:hAnsi="Arial"/>
          <w:sz w:val="13"/>
          <w:szCs w:val="13"/>
          <w:color w:val="auto"/>
        </w:rPr>
      </w:pPr>
      <w:r>
        <w:rPr>
          <w:rFonts w:ascii="Arial" w:cs="Arial" w:eastAsia="Arial" w:hAnsi="Arial"/>
          <w:sz w:val="13"/>
          <w:szCs w:val="13"/>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99" w:lineRule="exact"/>
        <w:rPr>
          <w:rFonts w:ascii="Arial" w:cs="Arial" w:eastAsia="Arial" w:hAnsi="Arial"/>
          <w:sz w:val="13"/>
          <w:szCs w:val="13"/>
          <w:color w:val="auto"/>
        </w:rPr>
      </w:pPr>
    </w:p>
    <w:p>
      <w:pPr>
        <w:ind w:left="800" w:right="220" w:firstLine="5"/>
        <w:spacing w:after="0" w:line="276" w:lineRule="auto"/>
        <w:tabs>
          <w:tab w:leader="none" w:pos="966"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the fair value of the assets or liabilities. Financial Instruments and Concentration of Credit Risk.</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Prior Period Reclassifications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Certain prior period amounts that were combined in the December 31, 2013 consolidated financial statements have been reclassified for comparability with the December 31, 2014 presentation. These reclassifications had no effect on previously reported net loss.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41" w:right="21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Stock-Based Compensation</w:t>
      </w:r>
    </w:p>
    <w:p>
      <w:pPr>
        <w:spacing w:after="0" w:line="193"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The expected term of options represents the period that the Company’s stock-based awards are expected to be outstanding based on the simplified method, which is the</w:t>
      </w:r>
      <w:r>
        <w:rPr>
          <w:rFonts w:ascii="Arial" w:cs="Arial" w:eastAsia="Arial" w:hAnsi="Arial"/>
          <w:sz w:val="15"/>
          <w:szCs w:val="15"/>
          <w:i w:val="1"/>
          <w:iCs w:val="1"/>
          <w:color w:val="auto"/>
        </w:rPr>
        <w:t xml:space="preserve"> </w:t>
      </w:r>
      <w:r>
        <w:rPr>
          <w:rFonts w:ascii="Arial" w:cs="Arial" w:eastAsia="Arial" w:hAnsi="Arial"/>
          <w:sz w:val="15"/>
          <w:szCs w:val="15"/>
          <w:color w:val="auto"/>
        </w:rPr>
        <w:t>half-life from vesting to the end of its contractual term.</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 The Company computes stock price volatility over expected terms based on its historical common stock trading prices.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 The Company bases the risk-free interest rate on the implied yield available on U.S. Treasury zero-coupon issues with an equivalent remaining term.</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i w:val="1"/>
          <w:iCs w:val="1"/>
          <w:color w:val="auto"/>
        </w:rPr>
        <w:t xml:space="preserve">Expected Dividend </w:t>
      </w:r>
      <w:r>
        <w:rPr>
          <w:rFonts w:ascii="Arial" w:cs="Arial" w:eastAsia="Arial" w:hAnsi="Arial"/>
          <w:sz w:val="15"/>
          <w:szCs w:val="15"/>
          <w:color w:val="auto"/>
        </w:rPr>
        <w:t>— The Company has never declared or paid any cash dividends on its common shares and does not plan to pay cash dividends in the foreseeable future, and, therefore,</w:t>
      </w:r>
      <w:r>
        <w:rPr>
          <w:rFonts w:ascii="Arial" w:cs="Arial" w:eastAsia="Arial" w:hAnsi="Arial"/>
          <w:sz w:val="15"/>
          <w:szCs w:val="15"/>
          <w:i w:val="1"/>
          <w:iCs w:val="1"/>
          <w:color w:val="auto"/>
        </w:rPr>
        <w:t xml:space="preserve"> </w:t>
      </w:r>
      <w:r>
        <w:rPr>
          <w:rFonts w:ascii="Arial" w:cs="Arial" w:eastAsia="Arial" w:hAnsi="Arial"/>
          <w:sz w:val="15"/>
          <w:szCs w:val="15"/>
          <w:color w:val="auto"/>
        </w:rPr>
        <w:t>uses an expected dividend yield of zero in its valuation models. The Company recognizes fair value of stock options granted to nonemployees as stock-based compensation expense over the period in which the related services are received.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Financing Costs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Liability</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52" w:name="page53"/>
    <w:bookmarkEnd w:id="52"/>
    <w:p>
      <w:pPr>
        <w:jc w:val="both"/>
        <w:spacing w:after="0" w:line="312" w:lineRule="auto"/>
        <w:rPr>
          <w:sz w:val="20"/>
          <w:szCs w:val="20"/>
          <w:color w:val="auto"/>
        </w:rPr>
      </w:pPr>
      <w:r>
        <w:rPr>
          <w:rFonts w:ascii="Arial" w:cs="Arial" w:eastAsia="Arial" w:hAnsi="Arial"/>
          <w:sz w:val="13"/>
          <w:szCs w:val="13"/>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 xml:space="preserve">The Company has evaluated the application ASC 480-10 </w:t>
      </w:r>
      <w:r>
        <w:rPr>
          <w:rFonts w:ascii="Arial" w:cs="Arial" w:eastAsia="Arial" w:hAnsi="Arial"/>
          <w:sz w:val="13"/>
          <w:szCs w:val="13"/>
          <w:i w:val="1"/>
          <w:iCs w:val="1"/>
          <w:color w:val="auto"/>
        </w:rPr>
        <w:t>Distinguishing liabilities from equity</w:t>
      </w:r>
      <w:r>
        <w:rPr>
          <w:rFonts w:ascii="Arial" w:cs="Arial" w:eastAsia="Arial" w:hAnsi="Arial"/>
          <w:sz w:val="13"/>
          <w:szCs w:val="13"/>
          <w:color w:val="auto"/>
        </w:rPr>
        <w:t xml:space="preserve">, ASC 815-40 </w:t>
      </w:r>
      <w:r>
        <w:rPr>
          <w:rFonts w:ascii="Arial" w:cs="Arial" w:eastAsia="Arial" w:hAnsi="Arial"/>
          <w:sz w:val="13"/>
          <w:szCs w:val="13"/>
          <w:i w:val="1"/>
          <w:iCs w:val="1"/>
          <w:color w:val="auto"/>
        </w:rPr>
        <w:t>Contracts in an Entity’s Own Equity</w:t>
      </w:r>
      <w:r>
        <w:rPr>
          <w:rFonts w:ascii="Arial" w:cs="Arial" w:eastAsia="Arial" w:hAnsi="Arial"/>
          <w:sz w:val="13"/>
          <w:szCs w:val="13"/>
          <w:color w:val="auto"/>
        </w:rPr>
        <w:t xml:space="preserve"> and ASC 718-10 </w:t>
      </w:r>
      <w:r>
        <w:rPr>
          <w:rFonts w:ascii="Arial" w:cs="Arial" w:eastAsia="Arial" w:hAnsi="Arial"/>
          <w:sz w:val="13"/>
          <w:szCs w:val="13"/>
          <w:i w:val="1"/>
          <w:iCs w:val="1"/>
          <w:color w:val="auto"/>
        </w:rPr>
        <w:t>Compensation – 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to the issued and outstanding warrants to purchase common stock that were issued with the convertible notes, private placements, consulting agreements, and various debt</w:t>
      </w:r>
      <w:r>
        <w:rPr>
          <w:rFonts w:ascii="Arial" w:cs="Arial" w:eastAsia="Arial" w:hAnsi="Arial"/>
          <w:sz w:val="13"/>
          <w:szCs w:val="13"/>
          <w:i w:val="1"/>
          <w:iCs w:val="1"/>
          <w:color w:val="auto"/>
        </w:rPr>
        <w:t xml:space="preserve"> </w:t>
      </w:r>
      <w:r>
        <w:rPr>
          <w:rFonts w:ascii="Arial" w:cs="Arial" w:eastAsia="Arial" w:hAnsi="Arial"/>
          <w:sz w:val="13"/>
          <w:szCs w:val="13"/>
          <w:color w:val="auto"/>
        </w:rPr>
        <w:t>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per Common Share</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per Share Applicable to Common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Options, warrants, and convertible debt outstanding were all considered anti-dilutive for the years ended December 31, 2014 and 2013, due to net losses.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securities were not included in the diluted net loss per share calculation because their effect was anti-dilutive as of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720" w:type="dxa"/>
            <w:vAlign w:val="bottom"/>
          </w:tcPr>
          <w:p>
            <w:pPr>
              <w:spacing w:after="0"/>
              <w:rPr>
                <w:sz w:val="17"/>
                <w:szCs w:val="17"/>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5"/>
                <w:szCs w:val="15"/>
                <w:b w:val="1"/>
                <w:bCs w:val="1"/>
                <w:color w:val="auto"/>
                <w:w w:val="96"/>
              </w:rPr>
              <w:t>December 31,</w:t>
            </w:r>
          </w:p>
        </w:tc>
        <w:tc>
          <w:tcPr>
            <w:tcW w:w="820" w:type="dxa"/>
            <w:vAlign w:val="bottom"/>
            <w:tcBorders>
              <w:bottom w:val="single" w:sz="8" w:color="auto"/>
            </w:tcBorders>
          </w:tcPr>
          <w:p>
            <w:pPr>
              <w:spacing w:after="0"/>
              <w:rPr>
                <w:sz w:val="17"/>
                <w:szCs w:val="17"/>
                <w:color w:val="auto"/>
              </w:rPr>
            </w:pPr>
          </w:p>
        </w:tc>
      </w:tr>
      <w:tr>
        <w:trPr>
          <w:trHeight w:val="184"/>
        </w:trPr>
        <w:tc>
          <w:tcPr>
            <w:tcW w:w="8720" w:type="dxa"/>
            <w:vAlign w:val="bottom"/>
          </w:tcPr>
          <w:p>
            <w:pPr>
              <w:spacing w:after="0"/>
              <w:rPr>
                <w:sz w:val="15"/>
                <w:szCs w:val="15"/>
                <w:color w:val="auto"/>
              </w:rPr>
            </w:pPr>
          </w:p>
        </w:tc>
        <w:tc>
          <w:tcPr>
            <w:tcW w:w="11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2013</w:t>
            </w:r>
          </w:p>
        </w:tc>
      </w:tr>
      <w:tr>
        <w:trPr>
          <w:trHeight w:val="170"/>
        </w:trPr>
        <w:tc>
          <w:tcPr>
            <w:tcW w:w="8720" w:type="dxa"/>
            <w:vAlign w:val="bottom"/>
          </w:tcPr>
          <w:p>
            <w:pPr>
              <w:spacing w:after="0" w:line="171" w:lineRule="exact"/>
              <w:rPr>
                <w:sz w:val="20"/>
                <w:szCs w:val="20"/>
                <w:color w:val="auto"/>
              </w:rPr>
            </w:pPr>
            <w:r>
              <w:rPr>
                <w:rFonts w:ascii="Arial" w:cs="Arial" w:eastAsia="Arial" w:hAnsi="Arial"/>
                <w:sz w:val="15"/>
                <w:szCs w:val="15"/>
                <w:color w:val="auto"/>
              </w:rPr>
              <w:t>Common stock options</w:t>
            </w:r>
          </w:p>
        </w:tc>
        <w:tc>
          <w:tcPr>
            <w:tcW w:w="1160" w:type="dxa"/>
            <w:vAlign w:val="bottom"/>
          </w:tcPr>
          <w:p>
            <w:pPr>
              <w:jc w:val="right"/>
              <w:spacing w:after="0" w:line="171" w:lineRule="exact"/>
              <w:rPr>
                <w:sz w:val="20"/>
                <w:szCs w:val="20"/>
                <w:color w:val="auto"/>
              </w:rPr>
            </w:pPr>
            <w:r>
              <w:rPr>
                <w:rFonts w:ascii="Arial" w:cs="Arial" w:eastAsia="Arial" w:hAnsi="Arial"/>
                <w:sz w:val="15"/>
                <w:szCs w:val="15"/>
                <w:color w:val="auto"/>
              </w:rPr>
              <w:t>65,430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71" w:lineRule="exact"/>
              <w:rPr>
                <w:sz w:val="20"/>
                <w:szCs w:val="20"/>
                <w:color w:val="auto"/>
              </w:rPr>
            </w:pPr>
            <w:r>
              <w:rPr>
                <w:rFonts w:ascii="Arial" w:cs="Arial" w:eastAsia="Arial" w:hAnsi="Arial"/>
                <w:sz w:val="15"/>
                <w:szCs w:val="15"/>
                <w:color w:val="auto"/>
              </w:rPr>
              <w:t>65,430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equity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2,556,133</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25,168</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liability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103,284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124,284</w:t>
            </w:r>
          </w:p>
        </w:tc>
      </w:tr>
      <w:tr>
        <w:trPr>
          <w:trHeight w:val="194"/>
        </w:trPr>
        <w:tc>
          <w:tcPr>
            <w:tcW w:w="8720" w:type="dxa"/>
            <w:vAlign w:val="bottom"/>
          </w:tcPr>
          <w:p>
            <w:pPr>
              <w:spacing w:after="0"/>
              <w:rPr>
                <w:sz w:val="20"/>
                <w:szCs w:val="20"/>
                <w:color w:val="auto"/>
              </w:rPr>
            </w:pPr>
            <w:r>
              <w:rPr>
                <w:rFonts w:ascii="Arial" w:cs="Arial" w:eastAsia="Arial" w:hAnsi="Arial"/>
                <w:sz w:val="15"/>
                <w:szCs w:val="15"/>
                <w:color w:val="auto"/>
              </w:rPr>
              <w:t>Convertible notes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738,760</w:t>
            </w:r>
          </w:p>
        </w:tc>
      </w:tr>
      <w:tr>
        <w:trPr>
          <w:trHeight w:val="181"/>
        </w:trPr>
        <w:tc>
          <w:tcPr>
            <w:tcW w:w="8720" w:type="dxa"/>
            <w:vAlign w:val="bottom"/>
          </w:tcPr>
          <w:p>
            <w:pPr>
              <w:spacing w:after="0" w:line="161" w:lineRule="exact"/>
              <w:rPr>
                <w:sz w:val="20"/>
                <w:szCs w:val="20"/>
                <w:color w:val="auto"/>
              </w:rPr>
            </w:pPr>
            <w:r>
              <w:rPr>
                <w:rFonts w:ascii="Arial" w:cs="Arial" w:eastAsia="Arial" w:hAnsi="Arial"/>
                <w:sz w:val="15"/>
                <w:szCs w:val="15"/>
                <w:color w:val="auto"/>
              </w:rPr>
              <w:t>Excluded potentially dilutive securities</w:t>
            </w: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2,724,847</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953,642</w:t>
            </w:r>
          </w:p>
        </w:tc>
      </w:tr>
      <w:tr>
        <w:trPr>
          <w:trHeight w:val="20"/>
        </w:trPr>
        <w:tc>
          <w:tcPr>
            <w:tcW w:w="8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 xml:space="preserve">Accounting Standards Update No. 2014-10, </w:t>
      </w:r>
      <w:r>
        <w:rPr>
          <w:rFonts w:ascii="Arial" w:cs="Arial" w:eastAsia="Arial" w:hAnsi="Arial"/>
          <w:sz w:val="14"/>
          <w:szCs w:val="14"/>
          <w:i w:val="1"/>
          <w:iCs w:val="1"/>
          <w:color w:val="auto"/>
        </w:rPr>
        <w:t>Development Stage Entities (Topic 915): Elimination of Certain Financial Reporting Requirements, Including an Amendment to Variable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Interest Entities Guidance in Topic 810, Consolidation </w:t>
      </w:r>
      <w:r>
        <w:rPr>
          <w:rFonts w:ascii="Arial" w:cs="Arial" w:eastAsia="Arial" w:hAnsi="Arial"/>
          <w:sz w:val="14"/>
          <w:szCs w:val="14"/>
          <w:color w:val="auto"/>
        </w:rPr>
        <w:t>removes all incremental financial reporting requirements for development stage entities, including the removal of reporting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cumulative results of operations and cash flows for the period from inception to the end of the current period. The update is effective for the first annual period beginning after December 15, 2014. Early adoption is permitted, and the Company has adopted this change effective with its form 10-Q filing for the period ending September 30, 2014.</w:t>
      </w:r>
    </w:p>
    <w:p>
      <w:pPr>
        <w:spacing w:after="0" w:line="143" w:lineRule="exact"/>
        <w:rPr>
          <w:sz w:val="20"/>
          <w:szCs w:val="20"/>
          <w:color w:val="auto"/>
        </w:rPr>
      </w:pPr>
    </w:p>
    <w:p>
      <w:pPr>
        <w:jc w:val="both"/>
        <w:ind w:firstLine="30"/>
        <w:spacing w:after="0" w:line="264" w:lineRule="auto"/>
        <w:rPr>
          <w:sz w:val="20"/>
          <w:szCs w:val="20"/>
          <w:color w:val="auto"/>
        </w:rPr>
      </w:pPr>
      <w:r>
        <w:rPr>
          <w:rFonts w:ascii="Arial" w:cs="Arial" w:eastAsia="Arial" w:hAnsi="Arial"/>
          <w:sz w:val="15"/>
          <w:szCs w:val="15"/>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3" w:name="page54"/>
    <w:bookmarkEnd w:id="53"/>
    <w:p>
      <w:pPr>
        <w:ind w:left="260"/>
        <w:spacing w:after="0"/>
        <w:rPr>
          <w:sz w:val="20"/>
          <w:szCs w:val="20"/>
          <w:color w:val="auto"/>
        </w:rPr>
      </w:pPr>
      <w:r>
        <w:rPr>
          <w:rFonts w:ascii="Arial" w:cs="Arial" w:eastAsia="Arial" w:hAnsi="Arial"/>
          <w:sz w:val="15"/>
          <w:szCs w:val="15"/>
          <w:b w:val="1"/>
          <w:bCs w:val="1"/>
          <w:color w:val="auto"/>
        </w:rPr>
        <w:t>NOTE 3: ACCOUNTS PAYABLE AND ACCRUED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Accounts Payable and Accrued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color w:val="auto"/>
              </w:rPr>
              <w:t>December 31,</w:t>
            </w:r>
          </w:p>
        </w:tc>
        <w:tc>
          <w:tcPr>
            <w:tcW w:w="13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December 31,</w:t>
            </w:r>
          </w:p>
        </w:tc>
      </w:tr>
      <w:tr>
        <w:trPr>
          <w:trHeight w:val="194"/>
        </w:trPr>
        <w:tc>
          <w:tcPr>
            <w:tcW w:w="5360" w:type="dxa"/>
            <w:vAlign w:val="bottom"/>
          </w:tcPr>
          <w:p>
            <w:pPr>
              <w:spacing w:after="0"/>
              <w:rPr>
                <w:sz w:val="16"/>
                <w:szCs w:val="16"/>
                <w:color w:val="auto"/>
              </w:rPr>
            </w:pPr>
          </w:p>
        </w:tc>
        <w:tc>
          <w:tcPr>
            <w:tcW w:w="4520" w:type="dxa"/>
            <w:vAlign w:val="bottom"/>
            <w:gridSpan w:val="2"/>
          </w:tcPr>
          <w:p>
            <w:pPr>
              <w:jc w:val="right"/>
              <w:ind w:right="374"/>
              <w:spacing w:after="0"/>
              <w:rPr>
                <w:sz w:val="20"/>
                <w:szCs w:val="20"/>
                <w:color w:val="auto"/>
              </w:rPr>
            </w:pPr>
            <w:r>
              <w:rPr>
                <w:rFonts w:ascii="Arial" w:cs="Arial" w:eastAsia="Arial" w:hAnsi="Arial"/>
                <w:sz w:val="15"/>
                <w:szCs w:val="15"/>
                <w:color w:val="auto"/>
              </w:rPr>
              <w:t>2014</w:t>
            </w:r>
          </w:p>
        </w:tc>
        <w:tc>
          <w:tcPr>
            <w:tcW w:w="240" w:type="dxa"/>
            <w:vAlign w:val="bottom"/>
          </w:tcPr>
          <w:p>
            <w:pPr>
              <w:spacing w:after="0"/>
              <w:rPr>
                <w:sz w:val="16"/>
                <w:szCs w:val="16"/>
                <w:color w:val="auto"/>
              </w:rPr>
            </w:pPr>
          </w:p>
        </w:tc>
        <w:tc>
          <w:tcPr>
            <w:tcW w:w="1180" w:type="dxa"/>
            <w:vAlign w:val="bottom"/>
          </w:tcPr>
          <w:p>
            <w:pPr>
              <w:jc w:val="right"/>
              <w:ind w:right="365"/>
              <w:spacing w:after="0"/>
              <w:rPr>
                <w:sz w:val="20"/>
                <w:szCs w:val="20"/>
                <w:color w:val="auto"/>
              </w:rPr>
            </w:pPr>
            <w:r>
              <w:rPr>
                <w:rFonts w:ascii="Arial" w:cs="Arial" w:eastAsia="Arial" w:hAnsi="Arial"/>
                <w:sz w:val="15"/>
                <w:szCs w:val="15"/>
                <w:color w:val="auto"/>
              </w:rPr>
              <w:t>2013</w:t>
            </w:r>
          </w:p>
        </w:tc>
        <w:tc>
          <w:tcPr>
            <w:tcW w:w="140" w:type="dxa"/>
            <w:vAlign w:val="bottom"/>
          </w:tcPr>
          <w:p>
            <w:pPr>
              <w:spacing w:after="0"/>
              <w:rPr>
                <w:sz w:val="16"/>
                <w:szCs w:val="16"/>
                <w:color w:val="auto"/>
              </w:rPr>
            </w:pPr>
          </w:p>
        </w:tc>
      </w:tr>
      <w:tr>
        <w:trPr>
          <w:trHeight w:val="190"/>
        </w:trPr>
        <w:tc>
          <w:tcPr>
            <w:tcW w:w="5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60" w:type="dxa"/>
            <w:vAlign w:val="bottom"/>
            <w:tcBorders>
              <w:top w:val="single" w:sz="8" w:color="auto"/>
            </w:tcBorders>
          </w:tcPr>
          <w:p>
            <w:pPr>
              <w:jc w:val="right"/>
              <w:ind w:right="1034"/>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6"/>
                <w:szCs w:val="16"/>
                <w:color w:val="auto"/>
              </w:rPr>
            </w:pPr>
          </w:p>
        </w:tc>
        <w:tc>
          <w:tcPr>
            <w:tcW w:w="1180" w:type="dxa"/>
            <w:vAlign w:val="bottom"/>
            <w:tcBorders>
              <w:top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r>
      <w:tr>
        <w:trPr>
          <w:trHeight w:val="342"/>
        </w:trPr>
        <w:tc>
          <w:tcPr>
            <w:tcW w:w="5360" w:type="dxa"/>
            <w:vAlign w:val="bottom"/>
          </w:tcPr>
          <w:p>
            <w:pPr>
              <w:ind w:left="20"/>
              <w:spacing w:after="0"/>
              <w:rPr>
                <w:sz w:val="20"/>
                <w:szCs w:val="20"/>
                <w:color w:val="auto"/>
              </w:rPr>
            </w:pPr>
            <w:r>
              <w:rPr>
                <w:rFonts w:ascii="Arial" w:cs="Arial" w:eastAsia="Arial" w:hAnsi="Arial"/>
                <w:sz w:val="15"/>
                <w:szCs w:val="15"/>
                <w:color w:val="auto"/>
              </w:rPr>
              <w:t>Trade accounts payable</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620,826</w:t>
            </w:r>
          </w:p>
        </w:tc>
        <w:tc>
          <w:tcPr>
            <w:tcW w:w="2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1,450,083</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Share-settled debt</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1,348,663</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Accrued liabilities</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68,448</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201,334</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Employee payroll and severance</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220,290</w:t>
            </w:r>
          </w:p>
        </w:tc>
      </w:tr>
      <w:tr>
        <w:trPr>
          <w:trHeight w:val="194"/>
        </w:trPr>
        <w:tc>
          <w:tcPr>
            <w:tcW w:w="5360" w:type="dxa"/>
            <w:vAlign w:val="bottom"/>
          </w:tcPr>
          <w:p>
            <w:pPr>
              <w:ind w:left="20"/>
              <w:spacing w:after="0"/>
              <w:rPr>
                <w:sz w:val="20"/>
                <w:szCs w:val="20"/>
                <w:color w:val="auto"/>
              </w:rPr>
            </w:pPr>
            <w:r>
              <w:rPr>
                <w:rFonts w:ascii="Arial" w:cs="Arial" w:eastAsia="Arial" w:hAnsi="Arial"/>
                <w:sz w:val="15"/>
                <w:szCs w:val="15"/>
                <w:color w:val="auto"/>
              </w:rPr>
              <w:t>Accrued interest</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4,088</w:t>
            </w: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558,032</w:t>
            </w:r>
          </w:p>
        </w:tc>
      </w:tr>
      <w:tr>
        <w:trPr>
          <w:trHeight w:val="181"/>
        </w:trPr>
        <w:tc>
          <w:tcPr>
            <w:tcW w:w="5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693,362</w:t>
            </w:r>
          </w:p>
        </w:tc>
        <w:tc>
          <w:tcPr>
            <w:tcW w:w="2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3,778,401</w:t>
            </w:r>
          </w:p>
        </w:tc>
        <w:tc>
          <w:tcPr>
            <w:tcW w:w="140" w:type="dxa"/>
            <w:vAlign w:val="bottom"/>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fiscal 2014 the Company converted $2,415,000 accounts payable and accrued liabilities into 1,836,000 shares of common stock. The fair value of the shares, based on the trading price of the stock on the date of conversion, was $4,349,000 and the Company recorded a loss on extinguishment of $1,934,000.</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4: RESEARCH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Crucell Holland B.V. (“Crucell”) – Research License and Option Agreement</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$91,000 per annum for three years through December 2011. As of December 31, 2013 and 2014, the Company accrued $492,365 under the amended agreement, inclusive of 15% interest on outstanding amounts.</w:t>
      </w:r>
    </w:p>
    <w:p>
      <w:pPr>
        <w:spacing w:after="0" w:line="157"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Company has not made use of the Crucell technology in its current work and has not asked for nor received any work product. Management hopes to settle the outstanding amounts with Crucell in 2015 and formally terminate the research license.</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5: DERIVATIVE LIABILITY</w:t>
      </w:r>
    </w:p>
    <w:p>
      <w:pPr>
        <w:spacing w:after="0" w:line="193"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gridSpan w:val="6"/>
          </w:tcPr>
          <w:p>
            <w:pPr>
              <w:jc w:val="right"/>
              <w:ind w:right="400"/>
              <w:spacing w:after="0"/>
              <w:rPr>
                <w:sz w:val="20"/>
                <w:szCs w:val="20"/>
                <w:color w:val="auto"/>
              </w:rPr>
            </w:pPr>
            <w:r>
              <w:rPr>
                <w:rFonts w:ascii="Arial" w:cs="Arial" w:eastAsia="Arial" w:hAnsi="Arial"/>
                <w:sz w:val="15"/>
                <w:szCs w:val="15"/>
                <w:b w:val="1"/>
                <w:bCs w:val="1"/>
                <w:color w:val="auto"/>
                <w:w w:val="95"/>
              </w:rPr>
              <w:t>Weighted Average Inputs for the Period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For the 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4"/>
              </w:rPr>
              <w:t>Ending March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7"/>
              </w:rPr>
              <w:t>For the Quarter</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6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of valuation</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88"/>
              </w:rPr>
              <w:t>ending June 30, 2014</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5"/>
              <w:spacing w:after="0"/>
              <w:rPr>
                <w:sz w:val="20"/>
                <w:szCs w:val="20"/>
                <w:color w:val="auto"/>
              </w:rPr>
            </w:pPr>
            <w:r>
              <w:rPr>
                <w:rFonts w:ascii="Arial" w:cs="Arial" w:eastAsia="Arial" w:hAnsi="Arial"/>
                <w:sz w:val="15"/>
                <w:szCs w:val="15"/>
                <w:b w:val="1"/>
                <w:bCs w:val="1"/>
                <w:color w:val="auto"/>
                <w:w w:val="89"/>
              </w:rPr>
              <w:t>Total</w:t>
            </w:r>
          </w:p>
        </w:tc>
      </w:tr>
      <w:tr>
        <w:trPr>
          <w:trHeight w:val="170"/>
        </w:trPr>
        <w:tc>
          <w:tcPr>
            <w:tcW w:w="6840" w:type="dxa"/>
            <w:vAlign w:val="bottom"/>
          </w:tcPr>
          <w:p>
            <w:pPr>
              <w:spacing w:after="0" w:line="171" w:lineRule="exact"/>
              <w:rPr>
                <w:sz w:val="20"/>
                <w:szCs w:val="20"/>
                <w:color w:val="auto"/>
              </w:rPr>
            </w:pPr>
            <w:r>
              <w:rPr>
                <w:rFonts w:ascii="Arial" w:cs="Arial" w:eastAsia="Arial" w:hAnsi="Arial"/>
                <w:sz w:val="15"/>
                <w:szCs w:val="15"/>
                <w:color w:val="auto"/>
              </w:rPr>
              <w:t>Dividend yield (per share)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Strike price</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1.027</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0.88</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Volatility (annual)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5"/>
                <w:szCs w:val="15"/>
                <w:color w:val="auto"/>
              </w:rPr>
              <w:t>199.00%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199.00%</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Risk-free rate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5"/>
                <w:szCs w:val="15"/>
                <w:color w:val="auto"/>
              </w:rPr>
              <w:t>0.05%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0.05%</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0"/>
        </w:trPr>
        <w:tc>
          <w:tcPr>
            <w:tcW w:w="6840" w:type="dxa"/>
            <w:vAlign w:val="bottom"/>
          </w:tcPr>
          <w:p>
            <w:pPr>
              <w:spacing w:after="0"/>
              <w:rPr>
                <w:sz w:val="20"/>
                <w:szCs w:val="20"/>
                <w:color w:val="auto"/>
              </w:rPr>
            </w:pPr>
            <w:r>
              <w:rPr>
                <w:rFonts w:ascii="Arial" w:cs="Arial" w:eastAsia="Arial" w:hAnsi="Arial"/>
                <w:sz w:val="15"/>
                <w:szCs w:val="15"/>
                <w:color w:val="auto"/>
              </w:rPr>
              <w:t>Contractual term (years)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0.06</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3"/>
        </w:trPr>
        <w:tc>
          <w:tcPr>
            <w:tcW w:w="6840" w:type="dxa"/>
            <w:vAlign w:val="bottom"/>
          </w:tcPr>
          <w:p>
            <w:pPr>
              <w:spacing w:after="0"/>
              <w:rPr>
                <w:sz w:val="20"/>
                <w:szCs w:val="20"/>
                <w:color w:val="auto"/>
              </w:rPr>
            </w:pPr>
            <w:r>
              <w:rPr>
                <w:rFonts w:ascii="Arial" w:cs="Arial" w:eastAsia="Arial" w:hAnsi="Arial"/>
                <w:sz w:val="15"/>
                <w:szCs w:val="15"/>
                <w:color w:val="auto"/>
              </w:rPr>
              <w:t>Fair value of Conversion Option at extinguishment</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708,000</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4,000</w:t>
            </w:r>
          </w:p>
        </w:tc>
        <w:tc>
          <w:tcPr>
            <w:tcW w:w="240" w:type="dxa"/>
            <w:vAlign w:val="bottom"/>
          </w:tcPr>
          <w:p>
            <w:pPr>
              <w:jc w:val="right"/>
              <w:ind w:right="45"/>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325"/>
              <w:spacing w:after="0"/>
              <w:rPr>
                <w:sz w:val="20"/>
                <w:szCs w:val="20"/>
                <w:color w:val="auto"/>
              </w:rPr>
            </w:pPr>
            <w:r>
              <w:rPr>
                <w:rFonts w:ascii="Arial" w:cs="Arial" w:eastAsia="Arial" w:hAnsi="Arial"/>
                <w:sz w:val="15"/>
                <w:szCs w:val="15"/>
                <w:b w:val="1"/>
                <w:bCs w:val="1"/>
                <w:color w:val="auto"/>
              </w:rPr>
              <w:t>712,000</w:t>
            </w:r>
          </w:p>
        </w:tc>
      </w:tr>
      <w:tr>
        <w:trPr>
          <w:trHeight w:val="23"/>
        </w:trPr>
        <w:tc>
          <w:tcPr>
            <w:tcW w:w="6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54" w:name="page55"/>
    <w:bookmarkEnd w:id="54"/>
    <w:p>
      <w:pPr>
        <w:spacing w:after="0" w:line="258" w:lineRule="auto"/>
        <w:rPr>
          <w:sz w:val="20"/>
          <w:szCs w:val="20"/>
          <w:color w:val="auto"/>
        </w:rPr>
      </w:pPr>
      <w:r>
        <w:rPr>
          <w:rFonts w:ascii="Arial" w:cs="Arial" w:eastAsia="Arial" w:hAnsi="Arial"/>
          <w:sz w:val="15"/>
          <w:szCs w:val="15"/>
          <w:color w:val="auto"/>
        </w:rPr>
        <w:t>A summary of quantitative information with respect to valuation methodology and significant unobservable inputs used for the Company’s common stock purchase warrants that are categorized within Level 3 of the fair value hierarchy for the years ended 2014 and 2013 is as follows:</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ind w:left="540"/>
              <w:spacing w:after="0"/>
              <w:rPr>
                <w:sz w:val="20"/>
                <w:szCs w:val="20"/>
                <w:color w:val="auto"/>
              </w:rPr>
            </w:pPr>
            <w:r>
              <w:rPr>
                <w:rFonts w:ascii="Arial" w:cs="Arial" w:eastAsia="Arial" w:hAnsi="Arial"/>
                <w:sz w:val="15"/>
                <w:szCs w:val="15"/>
                <w:color w:val="auto"/>
              </w:rPr>
              <w:t>December 31, 2013</w:t>
            </w: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2"/>
          </w:tcPr>
          <w:p>
            <w:pPr>
              <w:ind w:left="660"/>
              <w:spacing w:after="0"/>
              <w:rPr>
                <w:sz w:val="20"/>
                <w:szCs w:val="20"/>
                <w:color w:val="auto"/>
              </w:rPr>
            </w:pPr>
            <w:r>
              <w:rPr>
                <w:rFonts w:ascii="Arial" w:cs="Arial" w:eastAsia="Arial" w:hAnsi="Arial"/>
                <w:sz w:val="15"/>
                <w:szCs w:val="15"/>
                <w:color w:val="auto"/>
              </w:rPr>
              <w:t>December 31, 2014</w:t>
            </w:r>
          </w:p>
        </w:tc>
        <w:tc>
          <w:tcPr>
            <w:tcW w:w="1120" w:type="dxa"/>
            <w:vAlign w:val="bottom"/>
            <w:tcBorders>
              <w:bottom w:val="single" w:sz="8" w:color="auto"/>
            </w:tcBorders>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ind w:left="480"/>
              <w:spacing w:after="0" w:line="171" w:lineRule="exact"/>
              <w:rPr>
                <w:sz w:val="20"/>
                <w:szCs w:val="20"/>
                <w:color w:val="auto"/>
              </w:rPr>
            </w:pPr>
            <w:r>
              <w:rPr>
                <w:rFonts w:ascii="Arial" w:cs="Arial" w:eastAsia="Arial" w:hAnsi="Arial"/>
                <w:sz w:val="15"/>
                <w:szCs w:val="15"/>
                <w:color w:val="auto"/>
              </w:rPr>
              <w:t>Contractual</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ind w:left="200"/>
              <w:spacing w:after="0" w:line="171" w:lineRule="exact"/>
              <w:rPr>
                <w:sz w:val="20"/>
                <w:szCs w:val="20"/>
                <w:color w:val="auto"/>
              </w:rPr>
            </w:pPr>
            <w:r>
              <w:rPr>
                <w:rFonts w:ascii="Arial" w:cs="Arial" w:eastAsia="Arial" w:hAnsi="Arial"/>
                <w:sz w:val="15"/>
                <w:szCs w:val="15"/>
                <w:color w:val="auto"/>
              </w:rPr>
              <w:t>Contractual</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Life (Years)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Risk free Rate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Dividend yield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Volatility</w:t>
            </w: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Life (Years)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Risk free Rate</w:t>
            </w: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color w:val="auto"/>
                <w:w w:val="96"/>
              </w:rPr>
              <w:t>Dividend yield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Volatility</w:t>
            </w:r>
          </w:p>
        </w:tc>
      </w:tr>
      <w:tr>
        <w:trPr>
          <w:trHeight w:val="20"/>
        </w:trPr>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Share purchase warrants</w:t>
            </w:r>
          </w:p>
        </w:tc>
        <w:tc>
          <w:tcPr>
            <w:tcW w:w="1400" w:type="dxa"/>
            <w:vAlign w:val="bottom"/>
            <w:tcBorders>
              <w:top w:val="single" w:sz="8" w:color="auto"/>
            </w:tcBorders>
          </w:tcPr>
          <w:p>
            <w:pPr>
              <w:ind w:left="480"/>
              <w:spacing w:after="0" w:line="156" w:lineRule="exact"/>
              <w:rPr>
                <w:sz w:val="20"/>
                <w:szCs w:val="20"/>
                <w:color w:val="auto"/>
              </w:rPr>
            </w:pPr>
            <w:r>
              <w:rPr>
                <w:rFonts w:ascii="Arial" w:cs="Arial" w:eastAsia="Arial" w:hAnsi="Arial"/>
                <w:sz w:val="15"/>
                <w:szCs w:val="15"/>
                <w:color w:val="auto"/>
              </w:rPr>
              <w:t>0.85 to 2.78</w:t>
            </w:r>
          </w:p>
        </w:tc>
        <w:tc>
          <w:tcPr>
            <w:tcW w:w="13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2"/>
              </w:rPr>
              <w:t>0.13% to 0.78%</w:t>
            </w:r>
          </w:p>
        </w:tc>
        <w:tc>
          <w:tcPr>
            <w:tcW w:w="1200" w:type="dxa"/>
            <w:vAlign w:val="bottom"/>
            <w:tcBorders>
              <w:top w:val="single" w:sz="8" w:color="auto"/>
            </w:tcBorders>
          </w:tcPr>
          <w:p>
            <w:pPr>
              <w:jc w:val="right"/>
              <w:ind w:right="325"/>
              <w:spacing w:after="0" w:line="156" w:lineRule="exact"/>
              <w:rPr>
                <w:sz w:val="20"/>
                <w:szCs w:val="20"/>
                <w:color w:val="auto"/>
              </w:rPr>
            </w:pPr>
            <w:r>
              <w:rPr>
                <w:rFonts w:ascii="Arial" w:cs="Arial" w:eastAsia="Arial" w:hAnsi="Arial"/>
                <w:sz w:val="15"/>
                <w:szCs w:val="15"/>
                <w:color w:val="auto"/>
              </w:rPr>
              <w:t>0.00%</w:t>
            </w:r>
          </w:p>
        </w:tc>
        <w:tc>
          <w:tcPr>
            <w:tcW w:w="920" w:type="dxa"/>
            <w:vAlign w:val="bottom"/>
            <w:tcBorders>
              <w:top w:val="single" w:sz="8" w:color="auto"/>
            </w:tcBorders>
          </w:tcPr>
          <w:p>
            <w:pPr>
              <w:jc w:val="right"/>
              <w:ind w:right="225"/>
              <w:spacing w:after="0" w:line="156" w:lineRule="exact"/>
              <w:rPr>
                <w:sz w:val="20"/>
                <w:szCs w:val="20"/>
                <w:color w:val="auto"/>
              </w:rPr>
            </w:pPr>
            <w:r>
              <w:rPr>
                <w:rFonts w:ascii="Arial" w:cs="Arial" w:eastAsia="Arial" w:hAnsi="Arial"/>
                <w:sz w:val="15"/>
                <w:szCs w:val="15"/>
                <w:color w:val="auto"/>
              </w:rPr>
              <w:t>199%</w:t>
            </w:r>
          </w:p>
        </w:tc>
        <w:tc>
          <w:tcPr>
            <w:tcW w:w="1080" w:type="dxa"/>
            <w:vAlign w:val="bottom"/>
            <w:tcBorders>
              <w:top w:val="single" w:sz="8" w:color="auto"/>
            </w:tcBorders>
          </w:tcPr>
          <w:p>
            <w:pPr>
              <w:ind w:left="200"/>
              <w:spacing w:after="0" w:line="156" w:lineRule="exact"/>
              <w:rPr>
                <w:sz w:val="20"/>
                <w:szCs w:val="20"/>
                <w:color w:val="auto"/>
              </w:rPr>
            </w:pPr>
            <w:r>
              <w:rPr>
                <w:rFonts w:ascii="Arial" w:cs="Arial" w:eastAsia="Arial" w:hAnsi="Arial"/>
                <w:sz w:val="15"/>
                <w:szCs w:val="15"/>
                <w:color w:val="auto"/>
              </w:rPr>
              <w:t>1.22 to 3.53</w:t>
            </w:r>
          </w:p>
        </w:tc>
        <w:tc>
          <w:tcPr>
            <w:tcW w:w="12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0"/>
              </w:rPr>
              <w:t>0.25% to 1.10%</w:t>
            </w:r>
          </w:p>
        </w:tc>
        <w:tc>
          <w:tcPr>
            <w:tcW w:w="1220" w:type="dxa"/>
            <w:vAlign w:val="bottom"/>
            <w:tcBorders>
              <w:top w:val="single" w:sz="8" w:color="auto"/>
            </w:tcBorders>
          </w:tcPr>
          <w:p>
            <w:pPr>
              <w:jc w:val="right"/>
              <w:ind w:right="385"/>
              <w:spacing w:after="0" w:line="156" w:lineRule="exact"/>
              <w:rPr>
                <w:sz w:val="20"/>
                <w:szCs w:val="20"/>
                <w:color w:val="auto"/>
              </w:rPr>
            </w:pPr>
            <w:r>
              <w:rPr>
                <w:rFonts w:ascii="Arial" w:cs="Arial" w:eastAsia="Arial" w:hAnsi="Arial"/>
                <w:sz w:val="15"/>
                <w:szCs w:val="15"/>
                <w:color w:val="auto"/>
              </w:rPr>
              <w:t>0.00%</w:t>
            </w:r>
          </w:p>
        </w:tc>
        <w:tc>
          <w:tcPr>
            <w:tcW w:w="11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2"/>
              </w:rPr>
              <w:t>155.90% to</w:t>
            </w:r>
          </w:p>
        </w:tc>
      </w:tr>
      <w:tr>
        <w:trPr>
          <w:trHeight w:val="191"/>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190.68%</w:t>
            </w: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Assets and Liabilities Measured at Fair Value on a Recurring Basis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Financial assets and liabilities measured at fair value on a recurring basis are summarized below and disclosed on the balance sheet under Derivative liability – warrants and Derivative liability – conversion option: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2014</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6"/>
          </w:tcPr>
          <w:p>
            <w:pPr>
              <w:jc w:val="center"/>
              <w:ind w:left="845"/>
              <w:spacing w:after="0"/>
              <w:rPr>
                <w:sz w:val="20"/>
                <w:szCs w:val="20"/>
                <w:color w:val="auto"/>
              </w:rPr>
            </w:pPr>
            <w:r>
              <w:rPr>
                <w:rFonts w:ascii="Arial" w:cs="Arial" w:eastAsia="Arial" w:hAnsi="Arial"/>
                <w:sz w:val="15"/>
                <w:szCs w:val="15"/>
                <w:b w:val="1"/>
                <w:bCs w:val="1"/>
                <w:color w:val="auto"/>
                <w:w w:val="91"/>
              </w:rPr>
              <w:t>Fair Value Measurements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36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71" w:lineRule="exact"/>
              <w:rPr>
                <w:sz w:val="20"/>
                <w:szCs w:val="20"/>
                <w:color w:val="auto"/>
              </w:rPr>
            </w:pPr>
            <w:r>
              <w:rPr>
                <w:rFonts w:ascii="Arial" w:cs="Arial" w:eastAsia="Arial" w:hAnsi="Arial"/>
                <w:sz w:val="15"/>
                <w:szCs w:val="15"/>
                <w:b w:val="1"/>
                <w:bCs w:val="1"/>
                <w:color w:val="auto"/>
                <w:w w:val="90"/>
              </w:rPr>
              <w:t>Level 2</w:t>
            </w:r>
          </w:p>
        </w:tc>
        <w:tc>
          <w:tcPr>
            <w:tcW w:w="220" w:type="dxa"/>
            <w:vAlign w:val="bottom"/>
          </w:tcPr>
          <w:p>
            <w:pPr>
              <w:spacing w:after="0"/>
              <w:rPr>
                <w:sz w:val="14"/>
                <w:szCs w:val="14"/>
                <w:color w:val="auto"/>
              </w:rPr>
            </w:pPr>
          </w:p>
        </w:tc>
        <w:tc>
          <w:tcPr>
            <w:tcW w:w="1180" w:type="dxa"/>
            <w:vAlign w:val="bottom"/>
            <w:gridSpan w:val="2"/>
          </w:tcPr>
          <w:p>
            <w:pPr>
              <w:jc w:val="right"/>
              <w:ind w:right="600"/>
              <w:spacing w:after="0" w:line="171" w:lineRule="exact"/>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4"/>
                <w:szCs w:val="14"/>
                <w:color w:val="auto"/>
              </w:rPr>
            </w:pPr>
          </w:p>
        </w:tc>
        <w:tc>
          <w:tcPr>
            <w:tcW w:w="1060" w:type="dxa"/>
            <w:vAlign w:val="bottom"/>
            <w:gridSpan w:val="2"/>
          </w:tcPr>
          <w:p>
            <w:pPr>
              <w:jc w:val="right"/>
              <w:ind w:right="560"/>
              <w:spacing w:after="0" w:line="171" w:lineRule="exact"/>
              <w:rPr>
                <w:sz w:val="20"/>
                <w:szCs w:val="20"/>
                <w:color w:val="auto"/>
              </w:rPr>
            </w:pPr>
            <w:r>
              <w:rPr>
                <w:rFonts w:ascii="Arial" w:cs="Arial" w:eastAsia="Arial" w:hAnsi="Arial"/>
                <w:sz w:val="15"/>
                <w:szCs w:val="15"/>
                <w:b w:val="1"/>
                <w:bCs w:val="1"/>
                <w:color w:val="auto"/>
              </w:rPr>
              <w:t>Total</w:t>
            </w:r>
          </w:p>
        </w:tc>
      </w:tr>
      <w:tr>
        <w:trPr>
          <w:trHeight w:val="181"/>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9,415</w:t>
            </w:r>
          </w:p>
        </w:tc>
      </w:tr>
      <w:tr>
        <w:trPr>
          <w:trHeight w:val="191"/>
        </w:trPr>
        <w:tc>
          <w:tcPr>
            <w:tcW w:w="4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9,415</w:t>
            </w: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3"/>
        </w:trPr>
        <w:tc>
          <w:tcPr>
            <w:tcW w:w="4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8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2013</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6"/>
          </w:tcPr>
          <w:p>
            <w:pPr>
              <w:jc w:val="center"/>
              <w:ind w:left="845"/>
              <w:spacing w:after="0"/>
              <w:rPr>
                <w:sz w:val="20"/>
                <w:szCs w:val="20"/>
                <w:color w:val="auto"/>
              </w:rPr>
            </w:pPr>
            <w:r>
              <w:rPr>
                <w:rFonts w:ascii="Arial" w:cs="Arial" w:eastAsia="Arial" w:hAnsi="Arial"/>
                <w:sz w:val="15"/>
                <w:szCs w:val="15"/>
                <w:b w:val="1"/>
                <w:bCs w:val="1"/>
                <w:color w:val="auto"/>
                <w:w w:val="91"/>
              </w:rPr>
              <w:t>Fair Value Measurements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320"/>
              <w:spacing w:after="0" w:line="171" w:lineRule="exact"/>
              <w:rPr>
                <w:sz w:val="20"/>
                <w:szCs w:val="20"/>
                <w:color w:val="auto"/>
              </w:rPr>
            </w:pPr>
            <w:r>
              <w:rPr>
                <w:rFonts w:ascii="Arial" w:cs="Arial" w:eastAsia="Arial" w:hAnsi="Arial"/>
                <w:sz w:val="15"/>
                <w:szCs w:val="15"/>
                <w:b w:val="1"/>
                <w:bCs w:val="1"/>
                <w:color w:val="auto"/>
                <w:w w:val="98"/>
              </w:rPr>
              <w:t>Carrying Value</w:t>
            </w:r>
          </w:p>
        </w:tc>
        <w:tc>
          <w:tcPr>
            <w:tcW w:w="1160" w:type="dxa"/>
            <w:vAlign w:val="bottom"/>
            <w:gridSpan w:val="2"/>
          </w:tcPr>
          <w:p>
            <w:pPr>
              <w:jc w:val="right"/>
              <w:ind w:right="36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71" w:lineRule="exact"/>
              <w:rPr>
                <w:sz w:val="20"/>
                <w:szCs w:val="20"/>
                <w:color w:val="auto"/>
              </w:rPr>
            </w:pPr>
            <w:r>
              <w:rPr>
                <w:rFonts w:ascii="Arial" w:cs="Arial" w:eastAsia="Arial" w:hAnsi="Arial"/>
                <w:sz w:val="15"/>
                <w:szCs w:val="15"/>
                <w:b w:val="1"/>
                <w:bCs w:val="1"/>
                <w:color w:val="auto"/>
                <w:w w:val="90"/>
              </w:rPr>
              <w:t>Level 2</w:t>
            </w:r>
          </w:p>
        </w:tc>
        <w:tc>
          <w:tcPr>
            <w:tcW w:w="220" w:type="dxa"/>
            <w:vAlign w:val="bottom"/>
          </w:tcPr>
          <w:p>
            <w:pPr>
              <w:spacing w:after="0"/>
              <w:rPr>
                <w:sz w:val="14"/>
                <w:szCs w:val="14"/>
                <w:color w:val="auto"/>
              </w:rPr>
            </w:pPr>
          </w:p>
        </w:tc>
        <w:tc>
          <w:tcPr>
            <w:tcW w:w="1180" w:type="dxa"/>
            <w:vAlign w:val="bottom"/>
            <w:gridSpan w:val="2"/>
          </w:tcPr>
          <w:p>
            <w:pPr>
              <w:jc w:val="right"/>
              <w:ind w:right="600"/>
              <w:spacing w:after="0" w:line="171" w:lineRule="exact"/>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4"/>
                <w:szCs w:val="14"/>
                <w:color w:val="auto"/>
              </w:rPr>
            </w:pPr>
          </w:p>
        </w:tc>
        <w:tc>
          <w:tcPr>
            <w:tcW w:w="1060" w:type="dxa"/>
            <w:vAlign w:val="bottom"/>
            <w:gridSpan w:val="2"/>
          </w:tcPr>
          <w:p>
            <w:pPr>
              <w:jc w:val="right"/>
              <w:ind w:right="560"/>
              <w:spacing w:after="0" w:line="171" w:lineRule="exact"/>
              <w:rPr>
                <w:sz w:val="20"/>
                <w:szCs w:val="20"/>
                <w:color w:val="auto"/>
              </w:rPr>
            </w:pPr>
            <w:r>
              <w:rPr>
                <w:rFonts w:ascii="Arial" w:cs="Arial" w:eastAsia="Arial" w:hAnsi="Arial"/>
                <w:sz w:val="15"/>
                <w:szCs w:val="15"/>
                <w:b w:val="1"/>
                <w:bCs w:val="1"/>
                <w:color w:val="auto"/>
              </w:rPr>
              <w:t>Total</w:t>
            </w:r>
          </w:p>
        </w:tc>
      </w:tr>
      <w:tr>
        <w:trPr>
          <w:trHeight w:val="181"/>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140,504</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140,504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140,504</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conversion option</w:t>
            </w: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582,300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582,300</w:t>
            </w: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582,300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between Level 1, 2 or 3 during the year ended December 31, 2014.</w:t>
      </w:r>
    </w:p>
    <w:p>
      <w:pPr>
        <w:sectPr>
          <w:pgSz w:w="11900" w:h="16838" w:orient="portrait"/>
          <w:cols w:equalWidth="0" w:num="1">
            <w:col w:w="11440"/>
          </w:cols>
          <w:pgMar w:left="240" w:top="841" w:right="21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changes in Level 3 liabilities measured at fair value for the year ended December 31, 2014: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Balance – January 1, 2013</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Additions during the year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Total unrealized (gains) or losses included in net loss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Gain on settlement of debt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conversion option liability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5"/>
                <w:szCs w:val="15"/>
                <w:color w:val="auto"/>
              </w:rPr>
              <w:t>Derivative liability</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5"/>
                <w:szCs w:val="15"/>
                <w:color w:val="auto"/>
                <w:w w:val="96"/>
              </w:rPr>
              <w:t>– conversion</w:t>
            </w:r>
          </w:p>
        </w:tc>
        <w:tc>
          <w:tcPr>
            <w:tcW w:w="1240" w:type="dxa"/>
            <w:vAlign w:val="bottom"/>
            <w:gridSpan w:val="3"/>
          </w:tcPr>
          <w:p>
            <w:pPr>
              <w:ind w:left="20"/>
              <w:spacing w:after="0"/>
              <w:rPr>
                <w:sz w:val="20"/>
                <w:szCs w:val="20"/>
                <w:color w:val="auto"/>
              </w:rPr>
            </w:pPr>
            <w:r>
              <w:rPr>
                <w:rFonts w:ascii="Arial" w:cs="Arial" w:eastAsia="Arial" w:hAnsi="Arial"/>
                <w:sz w:val="15"/>
                <w:szCs w:val="15"/>
                <w:color w:val="auto"/>
              </w:rPr>
              <w:t>Derivative liability</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5"/>
                <w:szCs w:val="15"/>
                <w:color w:val="auto"/>
              </w:rPr>
              <w:t>option</w:t>
            </w:r>
          </w:p>
        </w:tc>
        <w:tc>
          <w:tcPr>
            <w:tcW w:w="18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w w:val="99"/>
              </w:rPr>
              <w:t>– warrants</w:t>
            </w:r>
          </w:p>
        </w:tc>
      </w:tr>
      <w:tr>
        <w:trPr>
          <w:trHeight w:val="170"/>
        </w:trPr>
        <w:tc>
          <w:tcPr>
            <w:tcW w:w="20" w:type="dxa"/>
            <w:vAlign w:val="bottom"/>
          </w:tcPr>
          <w:p>
            <w:pPr>
              <w:spacing w:after="0"/>
              <w:rPr>
                <w:sz w:val="14"/>
                <w:szCs w:val="14"/>
                <w:color w:val="auto"/>
              </w:rPr>
            </w:pPr>
          </w:p>
        </w:tc>
        <w:tc>
          <w:tcPr>
            <w:tcW w:w="1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868,000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977,000</w:t>
            </w:r>
          </w:p>
        </w:tc>
        <w:tc>
          <w:tcPr>
            <w:tcW w:w="6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811,000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206,000</w:t>
            </w: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5"/>
                <w:szCs w:val="15"/>
                <w:color w:val="auto"/>
              </w:rPr>
              <w:t>(1,096,000)</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(1,043,000)</w:t>
            </w:r>
          </w:p>
        </w:tc>
      </w:tr>
      <w:tr>
        <w:trPr>
          <w:trHeight w:val="170"/>
        </w:trPr>
        <w:tc>
          <w:tcPr>
            <w:tcW w:w="20" w:type="dxa"/>
            <w:vAlign w:val="bottom"/>
          </w:tcPr>
          <w:p>
            <w:pPr>
              <w:spacing w:after="0"/>
              <w:rPr>
                <w:sz w:val="14"/>
                <w:szCs w:val="14"/>
                <w:color w:val="auto"/>
              </w:rPr>
            </w:pPr>
          </w:p>
        </w:tc>
        <w:tc>
          <w:tcPr>
            <w:tcW w:w="1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gridSpan w:val="2"/>
          </w:tcPr>
          <w:p>
            <w:pPr>
              <w:jc w:val="right"/>
              <w:ind w:right="20"/>
              <w:spacing w:after="0" w:line="171" w:lineRule="exact"/>
              <w:rPr>
                <w:sz w:val="20"/>
                <w:szCs w:val="20"/>
                <w:color w:val="auto"/>
              </w:rPr>
            </w:pPr>
            <w:r>
              <w:rPr>
                <w:rFonts w:ascii="Arial" w:cs="Arial" w:eastAsia="Arial" w:hAnsi="Arial"/>
                <w:sz w:val="15"/>
                <w:szCs w:val="15"/>
                <w:color w:val="auto"/>
              </w:rPr>
              <w:t>583,000</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140,000</w:t>
            </w:r>
          </w:p>
        </w:tc>
        <w:tc>
          <w:tcPr>
            <w:tcW w:w="6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5"/>
                <w:szCs w:val="15"/>
                <w:color w:val="auto"/>
              </w:rPr>
              <w:t>(714,000)</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131,000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(131,000)</w:t>
            </w:r>
          </w:p>
        </w:tc>
      </w:tr>
      <w:tr>
        <w:trPr>
          <w:trHeight w:val="181"/>
        </w:trPr>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8000" w:space="720"/>
            <w:col w:w="2720"/>
          </w:cols>
          <w:pgMar w:left="240" w:top="841" w:right="219" w:bottom="1440" w:gutter="0" w:footer="0" w:header="0"/>
          <w:type w:val="continuous"/>
        </w:sectPr>
      </w:pPr>
    </w:p>
    <w:p>
      <w:pPr>
        <w:jc w:val="both"/>
        <w:spacing w:after="0" w:line="306" w:lineRule="auto"/>
        <w:rPr>
          <w:sz w:val="20"/>
          <w:szCs w:val="20"/>
          <w:color w:val="auto"/>
        </w:rPr>
      </w:pPr>
      <w:r>
        <w:rPr>
          <w:rFonts w:ascii="Arial" w:cs="Arial" w:eastAsia="Arial" w:hAnsi="Arial"/>
          <w:sz w:val="13"/>
          <w:szCs w:val="13"/>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41" w:right="219" w:bottom="1440" w:gutter="0" w:footer="0" w:header="0"/>
          <w:type w:val="continuous"/>
        </w:sectPr>
      </w:pPr>
    </w:p>
    <w:bookmarkStart w:id="55" w:name="page56"/>
    <w:bookmarkEnd w:id="55"/>
    <w:p>
      <w:pPr>
        <w:jc w:val="both"/>
        <w:spacing w:after="0" w:line="284" w:lineRule="auto"/>
        <w:rPr>
          <w:sz w:val="20"/>
          <w:szCs w:val="20"/>
          <w:color w:val="auto"/>
        </w:rPr>
      </w:pPr>
      <w:r>
        <w:rPr>
          <w:rFonts w:ascii="Arial" w:cs="Arial" w:eastAsia="Arial" w:hAnsi="Arial"/>
          <w:sz w:val="14"/>
          <w:szCs w:val="14"/>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6: CONVERTIBLE NOTES PAYABLE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outstanding convertible note obligations:</w:t>
      </w:r>
    </w:p>
    <w:p>
      <w:pPr>
        <w:sectPr>
          <w:pgSz w:w="11900" w:h="16838" w:orient="portrait"/>
          <w:cols w:equalWidth="0" w:num="1">
            <w:col w:w="11440"/>
          </w:cols>
          <w:pgMar w:left="240" w:top="457" w:right="21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Stated</w:t>
            </w:r>
          </w:p>
        </w:tc>
      </w:tr>
      <w:tr>
        <w:trPr>
          <w:trHeight w:val="181"/>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Interest</w:t>
            </w:r>
          </w:p>
        </w:tc>
      </w:tr>
      <w:tr>
        <w:trPr>
          <w:trHeight w:val="198"/>
        </w:trPr>
        <w:tc>
          <w:tcPr>
            <w:tcW w:w="1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Issue Date</w:t>
            </w:r>
          </w:p>
        </w:tc>
        <w:tc>
          <w:tcPr>
            <w:tcW w:w="1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Maturity Date</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Rate</w:t>
            </w:r>
          </w:p>
        </w:tc>
        <w:tc>
          <w:tcPr>
            <w:tcW w:w="120" w:type="dxa"/>
            <w:vAlign w:val="bottom"/>
          </w:tcPr>
          <w:p>
            <w:pPr>
              <w:spacing w:after="0"/>
              <w:rPr>
                <w:sz w:val="17"/>
                <w:szCs w:val="17"/>
                <w:color w:val="auto"/>
              </w:rPr>
            </w:pPr>
          </w:p>
        </w:tc>
      </w:tr>
      <w:tr>
        <w:trPr>
          <w:trHeight w:val="170"/>
        </w:trPr>
        <w:tc>
          <w:tcPr>
            <w:tcW w:w="1300" w:type="dxa"/>
            <w:vAlign w:val="bottom"/>
          </w:tcPr>
          <w:p>
            <w:pPr>
              <w:spacing w:after="0" w:line="171" w:lineRule="exact"/>
              <w:rPr>
                <w:sz w:val="20"/>
                <w:szCs w:val="20"/>
                <w:color w:val="auto"/>
              </w:rPr>
            </w:pPr>
            <w:r>
              <w:rPr>
                <w:rFonts w:ascii="Arial" w:cs="Arial" w:eastAsia="Arial" w:hAnsi="Arial"/>
                <w:sz w:val="15"/>
                <w:szCs w:val="15"/>
                <w:color w:val="auto"/>
              </w:rPr>
              <w:t>2/24/2011</w:t>
            </w:r>
          </w:p>
        </w:tc>
        <w:tc>
          <w:tcPr>
            <w:tcW w:w="120" w:type="dxa"/>
            <w:vAlign w:val="bottom"/>
          </w:tcPr>
          <w:p>
            <w:pPr>
              <w:spacing w:after="0"/>
              <w:rPr>
                <w:sz w:val="14"/>
                <w:szCs w:val="14"/>
                <w:color w:val="auto"/>
              </w:rPr>
            </w:pPr>
          </w:p>
        </w:tc>
        <w:tc>
          <w:tcPr>
            <w:tcW w:w="1320" w:type="dxa"/>
            <w:vAlign w:val="bottom"/>
          </w:tcPr>
          <w:p>
            <w:pPr>
              <w:spacing w:after="0" w:line="171" w:lineRule="exact"/>
              <w:rPr>
                <w:sz w:val="20"/>
                <w:szCs w:val="20"/>
                <w:color w:val="auto"/>
              </w:rPr>
            </w:pPr>
            <w:r>
              <w:rPr>
                <w:rFonts w:ascii="Arial" w:cs="Arial" w:eastAsia="Arial" w:hAnsi="Arial"/>
                <w:sz w:val="15"/>
                <w:szCs w:val="15"/>
                <w:color w:val="auto"/>
              </w:rPr>
              <w:t>2/24/2014</w:t>
            </w:r>
          </w:p>
        </w:tc>
        <w:tc>
          <w:tcPr>
            <w:tcW w:w="120" w:type="dxa"/>
            <w:vAlign w:val="bottom"/>
          </w:tcPr>
          <w:p>
            <w:pPr>
              <w:spacing w:after="0"/>
              <w:rPr>
                <w:sz w:val="14"/>
                <w:szCs w:val="14"/>
                <w:color w:val="auto"/>
              </w:rPr>
            </w:pPr>
          </w:p>
        </w:tc>
        <w:tc>
          <w:tcPr>
            <w:tcW w:w="17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4/4/2011</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4/4/2014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6/6/2011</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6/6/2014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8/12/2012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11/12/2012</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8/20/2012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8/20/2013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10/15/2012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10/15/2013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11/20/2012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11/20/2013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12/18/2012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12/14/2013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9.0%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1/5/2013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1/31/2013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2/27/2013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2/27/2014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4/18/2013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12/18/2013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5/5/2013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7/5/2013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5/14/2013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5/14/2014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6/27/2013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6/27/2014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6/19/2013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6/19/2014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7/12/2013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7/12/2014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10/18/2013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4/18/2014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11/1/2013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90"/>
        </w:trPr>
        <w:tc>
          <w:tcPr>
            <w:tcW w:w="1300" w:type="dxa"/>
            <w:vAlign w:val="bottom"/>
          </w:tcPr>
          <w:p>
            <w:pPr>
              <w:spacing w:after="0"/>
              <w:rPr>
                <w:sz w:val="20"/>
                <w:szCs w:val="20"/>
                <w:color w:val="auto"/>
              </w:rPr>
            </w:pPr>
            <w:r>
              <w:rPr>
                <w:rFonts w:ascii="Arial" w:cs="Arial" w:eastAsia="Arial" w:hAnsi="Arial"/>
                <w:sz w:val="15"/>
                <w:szCs w:val="15"/>
                <w:color w:val="auto"/>
              </w:rPr>
              <w:t>12/19/2013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6/19/2014</w:t>
            </w:r>
          </w:p>
        </w:tc>
        <w:tc>
          <w:tcPr>
            <w:tcW w:w="12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204"/>
        </w:trPr>
        <w:tc>
          <w:tcPr>
            <w:tcW w:w="1300" w:type="dxa"/>
            <w:vAlign w:val="bottom"/>
          </w:tcPr>
          <w:p>
            <w:pPr>
              <w:spacing w:after="0"/>
              <w:rPr>
                <w:sz w:val="20"/>
                <w:szCs w:val="20"/>
                <w:color w:val="auto"/>
              </w:rPr>
            </w:pPr>
            <w:r>
              <w:rPr>
                <w:rFonts w:ascii="Arial" w:cs="Arial" w:eastAsia="Arial" w:hAnsi="Arial"/>
                <w:sz w:val="15"/>
                <w:szCs w:val="15"/>
                <w:color w:val="auto"/>
              </w:rPr>
              <w:t>12/23/2013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6/23/2014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bl>
    <w:p>
      <w:pPr>
        <w:spacing w:after="0" w:line="172"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Total convertible notes</w:t>
      </w:r>
    </w:p>
    <w:p>
      <w:pPr>
        <w:spacing w:after="0" w:line="3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Unamortized note discount</w: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Total on Balance sheet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15"/>
          <w:szCs w:val="15"/>
          <w:b w:val="1"/>
          <w:bCs w:val="1"/>
          <w:color w:val="auto"/>
        </w:rPr>
        <w:t>Principal Balance Outstanding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0"/>
              </w:rPr>
              <w:t>December 31,</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25"/>
              <w:spacing w:after="0" w:line="170" w:lineRule="exact"/>
              <w:rPr>
                <w:sz w:val="20"/>
                <w:szCs w:val="20"/>
                <w:color w:val="auto"/>
              </w:rPr>
            </w:pPr>
            <w:r>
              <w:rPr>
                <w:rFonts w:ascii="Arial" w:cs="Arial" w:eastAsia="Arial" w:hAnsi="Arial"/>
                <w:sz w:val="15"/>
                <w:szCs w:val="15"/>
                <w:b w:val="1"/>
                <w:bCs w:val="1"/>
                <w:color w:val="auto"/>
                <w:w w:val="98"/>
              </w:rPr>
              <w:t>December 31,</w:t>
            </w:r>
          </w:p>
        </w:tc>
      </w:tr>
      <w:tr>
        <w:trPr>
          <w:trHeight w:val="198"/>
        </w:trPr>
        <w:tc>
          <w:tcPr>
            <w:tcW w:w="1700" w:type="dxa"/>
            <w:vAlign w:val="bottom"/>
            <w:gridSpan w:val="4"/>
          </w:tcPr>
          <w:p>
            <w:pPr>
              <w:spacing w:after="0"/>
              <w:rPr>
                <w:sz w:val="20"/>
                <w:szCs w:val="20"/>
                <w:color w:val="auto"/>
              </w:rPr>
            </w:pPr>
            <w:r>
              <w:rPr>
                <w:rFonts w:ascii="Arial" w:cs="Arial" w:eastAsia="Arial" w:hAnsi="Arial"/>
                <w:sz w:val="15"/>
                <w:szCs w:val="15"/>
                <w:b w:val="1"/>
                <w:bCs w:val="1"/>
                <w:color w:val="auto"/>
              </w:rPr>
              <w:t>Conversion Terms</w:t>
            </w:r>
          </w:p>
        </w:tc>
        <w:tc>
          <w:tcPr>
            <w:tcW w:w="960" w:type="dxa"/>
            <w:vAlign w:val="bottom"/>
          </w:tcPr>
          <w:p>
            <w:pPr>
              <w:jc w:val="right"/>
              <w:ind w:right="265"/>
              <w:spacing w:after="0"/>
              <w:rPr>
                <w:sz w:val="20"/>
                <w:szCs w:val="20"/>
                <w:color w:val="auto"/>
              </w:rPr>
            </w:pPr>
            <w:r>
              <w:rPr>
                <w:rFonts w:ascii="Arial" w:cs="Arial" w:eastAsia="Arial" w:hAnsi="Arial"/>
                <w:sz w:val="15"/>
                <w:szCs w:val="15"/>
                <w:b w:val="1"/>
                <w:bCs w:val="1"/>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5"/>
              <w:spacing w:after="0"/>
              <w:rPr>
                <w:sz w:val="20"/>
                <w:szCs w:val="20"/>
                <w:color w:val="auto"/>
              </w:rPr>
            </w:pPr>
            <w:r>
              <w:rPr>
                <w:rFonts w:ascii="Arial" w:cs="Arial" w:eastAsia="Arial" w:hAnsi="Arial"/>
                <w:sz w:val="15"/>
                <w:szCs w:val="15"/>
                <w:b w:val="1"/>
                <w:bCs w:val="1"/>
                <w:color w:val="auto"/>
              </w:rPr>
              <w:t>2013</w:t>
            </w:r>
          </w:p>
        </w:tc>
      </w:tr>
      <w:tr>
        <w:trPr>
          <w:trHeight w:val="170"/>
        </w:trPr>
        <w:tc>
          <w:tcPr>
            <w:tcW w:w="132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Variable at $25.00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$ 980,858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$25.00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215,000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$25.00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27,500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$12.00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10,748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$10.00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$8.00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452,729</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$4.00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24,135</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58,500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80,967</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31,688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$3.44</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$6.00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126,000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37,620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$3.00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96,800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94,444</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277,222</w:t>
            </w:r>
          </w:p>
        </w:tc>
      </w:tr>
      <w:tr>
        <w:trPr>
          <w:trHeight w:val="194"/>
        </w:trPr>
        <w:tc>
          <w:tcPr>
            <w:tcW w:w="1600" w:type="dxa"/>
            <w:vAlign w:val="bottom"/>
            <w:gridSpan w:val="3"/>
          </w:tcPr>
          <w:p>
            <w:pPr>
              <w:spacing w:after="0"/>
              <w:rPr>
                <w:sz w:val="20"/>
                <w:szCs w:val="20"/>
                <w:color w:val="auto"/>
              </w:rPr>
            </w:pPr>
            <w:r>
              <w:rPr>
                <w:rFonts w:ascii="Arial" w:cs="Arial" w:eastAsia="Arial" w:hAnsi="Arial"/>
                <w:sz w:val="15"/>
                <w:szCs w:val="15"/>
                <w:color w:val="auto"/>
              </w:rPr>
              <w:t>Fixed at $7.00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536,400</w:t>
            </w:r>
          </w:p>
        </w:tc>
      </w:tr>
      <w:tr>
        <w:trPr>
          <w:trHeight w:val="351"/>
        </w:trPr>
        <w:tc>
          <w:tcPr>
            <w:tcW w:w="1700" w:type="dxa"/>
            <w:vAlign w:val="bottom"/>
            <w:gridSpan w:val="4"/>
          </w:tcPr>
          <w:p>
            <w:pPr>
              <w:ind w:left="15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3,697,611</w:t>
            </w:r>
          </w:p>
        </w:tc>
      </w:tr>
      <w:tr>
        <w:trPr>
          <w:trHeight w:val="194"/>
        </w:trPr>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(535,634)</w:t>
            </w:r>
          </w:p>
        </w:tc>
      </w:tr>
      <w:tr>
        <w:trPr>
          <w:trHeight w:val="181"/>
        </w:trPr>
        <w:tc>
          <w:tcPr>
            <w:tcW w:w="15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3,161,977</w:t>
            </w:r>
          </w:p>
        </w:tc>
      </w:tr>
      <w:tr>
        <w:trPr>
          <w:trHeight w:val="20"/>
        </w:trPr>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60" w:space="380"/>
            <w:col w:w="6500"/>
          </w:cols>
          <w:pgMar w:left="240" w:top="457" w:right="21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27456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5"/>
          <w:szCs w:val="15"/>
          <w:i w:val="1"/>
          <w:iCs w:val="1"/>
          <w:color w:val="auto"/>
        </w:rPr>
        <w:t>Issuance of Convertible Preferred Stock</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the Company issued $418,000 of convertible notes. The notes carried no interest rate and were converted shortly thereafter (see Extinguishment loss) into preferred stock and immediately into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Debt converted to Preferred Stock and immediately converted into common stock</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During the year, note holders that included Convertible notes, Loans payable, Promissory notes-related party &amp; Due to related party exchanged approximately $4.7 million of debt and $0.5 million of accrued interest for shares of preferred stock, which was immediately converted into 14.0 million shares of common stock with a fair value of approximately $31 million. The total loss on extinguishment associated with the note conversions was $24.9 million, which includes the extinguishment of the derivative liability – conversion option of $0.7 million.</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7: LOANS PAYABLE</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As at December 31, 2014, there were unsecured loan payable in the amount of $nil (December 31, 2013 - $42,200). During the year ended December 31, 2014, investors converted $37,000 and a related party converted $5,200 of the loan into preferred stock which was immediately converted into common stock (see note 6).</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8: PROMISSORY NOTES, RELATED PARTY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outstanding promissory notes in the amount of $52,942 (December 31, 2013 - $277,942), of which $23,000 of promissory notes are from an officer and a director of the Company. The promissory notes bear no interest charges and have no fixed repayment terms.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a note holder converted outstanding principal of $210,000 and accrued interest of $12,000 into preferred stock which was immediately converted into common shares (see note 6).</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December 31, 2014, $15,000 (2013 - $nil) of the promissory notes were repaid to an officer and director of the Company.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9: DUE TO RELATED PARTIES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During the year ended December 31, 2014 the Company has outstanding promissory notes in the amount of $nil (December 31, 2013 - $369,000). During the fiscal year 2014, the related parties converted the notes of $369,000 into preferred stock which was immediately converted into common stock (See note 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Split and increase in authorized shares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Capital</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January 6, 2014, the Company designated 1,250,000 Series A preferred shares par value $0.001 (“Series A Convertible Preferred Stock”). Each share of Series A Convertible Preferred Stock automatically converted into five (5) shares of the Company’s common stock upon the occurrence of the 1:100 reverse stock split.</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February 18, 2014, the Company created a class of up to 1,500,000 preferred shares, par value $0.001, called Series B convertible preferred stock (“Series B Convertible Preferred Stock”). The terms of the Series B Convertible Preferred Stock are:</w:t>
      </w:r>
    </w:p>
    <w:p>
      <w:pPr>
        <w:spacing w:after="0" w:line="146" w:lineRule="exact"/>
        <w:rPr>
          <w:sz w:val="20"/>
          <w:szCs w:val="20"/>
          <w:color w:val="auto"/>
        </w:rPr>
      </w:pPr>
    </w:p>
    <w:p>
      <w:pPr>
        <w:ind w:left="540" w:hanging="278"/>
        <w:spacing w:after="0"/>
        <w:tabs>
          <w:tab w:leader="none" w:pos="540" w:val="left"/>
        </w:tabs>
        <w:numPr>
          <w:ilvl w:val="1"/>
          <w:numId w:val="26"/>
        </w:numPr>
        <w:rPr>
          <w:rFonts w:ascii="Arial" w:cs="Arial" w:eastAsia="Arial" w:hAnsi="Arial"/>
          <w:sz w:val="15"/>
          <w:szCs w:val="15"/>
          <w:color w:val="auto"/>
        </w:rPr>
      </w:pPr>
      <w:r>
        <w:rPr>
          <w:rFonts w:ascii="Arial" w:cs="Arial" w:eastAsia="Arial" w:hAnsi="Arial"/>
          <w:sz w:val="15"/>
          <w:szCs w:val="15"/>
          <w:color w:val="auto"/>
        </w:rPr>
        <w:t>rank pari passu to the common stock with respect to rights on liquidation, winding up and dissolution;</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1"/>
          <w:numId w:val="26"/>
        </w:numPr>
        <w:rPr>
          <w:rFonts w:ascii="Arial" w:cs="Arial" w:eastAsia="Arial" w:hAnsi="Arial"/>
          <w:sz w:val="15"/>
          <w:szCs w:val="15"/>
          <w:color w:val="auto"/>
        </w:rPr>
      </w:pPr>
      <w:r>
        <w:rPr>
          <w:rFonts w:ascii="Arial" w:cs="Arial" w:eastAsia="Arial" w:hAnsi="Arial"/>
          <w:sz w:val="15"/>
          <w:szCs w:val="15"/>
          <w:color w:val="auto"/>
        </w:rPr>
        <w:t>have no dividend rights except as may be declared by the Board in its sole and absolute discretion;</w:t>
      </w:r>
    </w:p>
    <w:p>
      <w:pPr>
        <w:spacing w:after="0" w:line="189" w:lineRule="exact"/>
        <w:rPr>
          <w:rFonts w:ascii="Arial" w:cs="Arial" w:eastAsia="Arial" w:hAnsi="Arial"/>
          <w:sz w:val="15"/>
          <w:szCs w:val="15"/>
          <w:color w:val="auto"/>
        </w:rPr>
      </w:pPr>
    </w:p>
    <w:p>
      <w:pPr>
        <w:ind w:left="520" w:hanging="269"/>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shall have the right to cast one thousand (1,000) votes for each share held of record on all matters submitted to a vote of holders of the Corporation’s common stock; and</w:t>
      </w:r>
    </w:p>
    <w:p>
      <w:pPr>
        <w:spacing w:after="0" w:line="200" w:lineRule="exact"/>
        <w:rPr>
          <w:rFonts w:ascii="Arial" w:cs="Arial" w:eastAsia="Arial" w:hAnsi="Arial"/>
          <w:sz w:val="14"/>
          <w:szCs w:val="14"/>
          <w:color w:val="auto"/>
        </w:rPr>
      </w:pPr>
    </w:p>
    <w:p>
      <w:pPr>
        <w:ind w:left="540" w:hanging="278"/>
        <w:spacing w:after="0"/>
        <w:tabs>
          <w:tab w:leader="none" w:pos="540" w:val="left"/>
        </w:tabs>
        <w:numPr>
          <w:ilvl w:val="1"/>
          <w:numId w:val="26"/>
        </w:numPr>
        <w:rPr>
          <w:rFonts w:ascii="Arial" w:cs="Arial" w:eastAsia="Arial" w:hAnsi="Arial"/>
          <w:sz w:val="15"/>
          <w:szCs w:val="15"/>
          <w:color w:val="auto"/>
        </w:rPr>
      </w:pPr>
      <w:r>
        <w:rPr>
          <w:rFonts w:ascii="Arial" w:cs="Arial" w:eastAsia="Arial" w:hAnsi="Arial"/>
          <w:sz w:val="15"/>
          <w:szCs w:val="15"/>
          <w:color w:val="auto"/>
        </w:rPr>
        <w:t>shall automatically convert into seven (7) shares of common upon the occurrence of a 1:100 reverse stock split.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7" w:name="page58"/>
    <w:bookmarkEnd w:id="57"/>
    <w:p>
      <w:pPr>
        <w:jc w:val="both"/>
        <w:ind w:right="20"/>
        <w:spacing w:after="0" w:line="276" w:lineRule="auto"/>
        <w:rPr>
          <w:sz w:val="20"/>
          <w:szCs w:val="20"/>
          <w:color w:val="auto"/>
        </w:rPr>
      </w:pPr>
      <w:r>
        <w:rPr>
          <w:rFonts w:ascii="Arial" w:cs="Arial" w:eastAsia="Arial" w:hAnsi="Arial"/>
          <w:sz w:val="15"/>
          <w:szCs w:val="15"/>
          <w:color w:val="auto"/>
        </w:rPr>
        <w:t>All prior period share transactions included in the Company’s stock transactions and balances have been retroactively restated for the reverse stock splits described above. There are no shares outstanding under preferred shares as of December 31, 2014.</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2014 Share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Consulting services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the Company issued in aggregate 811,000 shares of common stock in exchange for consulting services for which performance was complete. The fair value of the common stock recognized was approximately $954,000.</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Private placements</w:t>
      </w:r>
    </w:p>
    <w:p>
      <w:pPr>
        <w:spacing w:after="0" w:line="189"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During the year ended December 31, 2014, the Company entered into a Securities Purchase Agreement with a single institutional investor for the sale of 1,886,792 units at a purchase price of $1.06 per unit, for a total purchase price of $1,836,000, net of finders’ fee of $164,000. Each unit consists of one common share and one share purchase warrant exercisable at $1.17 for a period of 5 years. The Company also issued 94,340 placement agent share purchase warrants to acquire an equivalent number of common shares of the Company, at an exercise price of $1.325 per share for an exercise period of up to five years from the issuance date. The warrants were included within equity. The fair value of these warrants was determined to be $111,000, using the Black-Scholes Option Pricing Model with a contractual term of 5 years, a risk free interest rate of 1.66%, a dividend yield of 0%, and an expected volatility of 150.3%.</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During the year ended December 31,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 The fair value of the common stock was determined to be $5,250.</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Compensation Plan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expensed portion of the value of the granted and vested options during the year ended December 31, 2014 was $15,000 (2013 - $132,093) which was recorded as stock based consulting and management fees.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purchase options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stock options as of December 31, 2014 and 2013 and changes during the years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40"/>
              <w:spacing w:after="0"/>
              <w:rPr>
                <w:sz w:val="20"/>
                <w:szCs w:val="20"/>
                <w:color w:val="auto"/>
              </w:rPr>
            </w:pPr>
            <w:r>
              <w:rPr>
                <w:rFonts w:ascii="Arial" w:cs="Arial" w:eastAsia="Arial" w:hAnsi="Arial"/>
                <w:sz w:val="15"/>
                <w:szCs w:val="15"/>
                <w:color w:val="auto"/>
              </w:rPr>
              <w:t>Number of</w:t>
            </w:r>
          </w:p>
        </w:tc>
        <w:tc>
          <w:tcPr>
            <w:tcW w:w="140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color w:val="auto"/>
              </w:rPr>
              <w:t>Weighted Average</w:t>
            </w:r>
          </w:p>
        </w:tc>
        <w:tc>
          <w:tcPr>
            <w:tcW w:w="13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94"/>
        </w:trPr>
        <w:tc>
          <w:tcPr>
            <w:tcW w:w="7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Options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Remaining Life</w:t>
            </w:r>
          </w:p>
        </w:tc>
        <w:tc>
          <w:tcPr>
            <w:tcW w:w="140" w:type="dxa"/>
            <w:vAlign w:val="bottom"/>
          </w:tcPr>
          <w:p>
            <w:pPr>
              <w:spacing w:after="0"/>
              <w:rPr>
                <w:sz w:val="16"/>
                <w:szCs w:val="16"/>
                <w:color w:val="auto"/>
              </w:rPr>
            </w:pPr>
          </w:p>
        </w:tc>
      </w:tr>
      <w:tr>
        <w:trPr>
          <w:trHeight w:val="351"/>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2012</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65,430</w:t>
            </w:r>
          </w:p>
        </w:tc>
        <w:tc>
          <w:tcPr>
            <w:tcW w:w="1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18.00</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6.05</w:t>
            </w:r>
          </w:p>
        </w:tc>
      </w:tr>
      <w:tr>
        <w:trPr>
          <w:trHeight w:val="181"/>
        </w:trPr>
        <w:tc>
          <w:tcPr>
            <w:tcW w:w="7200" w:type="dxa"/>
            <w:vAlign w:val="bottom"/>
          </w:tcPr>
          <w:p>
            <w:pPr>
              <w:ind w:left="60"/>
              <w:spacing w:after="0"/>
              <w:rPr>
                <w:sz w:val="20"/>
                <w:szCs w:val="20"/>
                <w:color w:val="auto"/>
              </w:rPr>
            </w:pPr>
            <w:r>
              <w:rPr>
                <w:rFonts w:ascii="Arial" w:cs="Arial" w:eastAsia="Arial" w:hAnsi="Arial"/>
                <w:sz w:val="15"/>
                <w:szCs w:val="15"/>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1"/>
        </w:trPr>
        <w:tc>
          <w:tcPr>
            <w:tcW w:w="7200" w:type="dxa"/>
            <w:vAlign w:val="bottom"/>
          </w:tcPr>
          <w:p>
            <w:pPr>
              <w:ind w:left="60"/>
              <w:spacing w:after="0"/>
              <w:rPr>
                <w:sz w:val="20"/>
                <w:szCs w:val="20"/>
                <w:color w:val="auto"/>
              </w:rPr>
            </w:pPr>
            <w:r>
              <w:rPr>
                <w:rFonts w:ascii="Arial" w:cs="Arial" w:eastAsia="Arial" w:hAnsi="Arial"/>
                <w:sz w:val="15"/>
                <w:szCs w:val="15"/>
                <w:color w:val="auto"/>
              </w:rPr>
              <w:t>Cancelled/Forfeited</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3"/>
        </w:trPr>
        <w:tc>
          <w:tcPr>
            <w:tcW w:w="7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51"/>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2013</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65,430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18.00</w:t>
            </w:r>
          </w:p>
        </w:tc>
        <w:tc>
          <w:tcPr>
            <w:tcW w:w="2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5.04</w:t>
            </w:r>
          </w:p>
        </w:tc>
      </w:tr>
      <w:tr>
        <w:trPr>
          <w:trHeight w:val="181"/>
        </w:trPr>
        <w:tc>
          <w:tcPr>
            <w:tcW w:w="7200" w:type="dxa"/>
            <w:vAlign w:val="bottom"/>
          </w:tcPr>
          <w:p>
            <w:pPr>
              <w:ind w:left="60"/>
              <w:spacing w:after="0"/>
              <w:rPr>
                <w:sz w:val="20"/>
                <w:szCs w:val="20"/>
                <w:color w:val="auto"/>
              </w:rPr>
            </w:pPr>
            <w:r>
              <w:rPr>
                <w:rFonts w:ascii="Arial" w:cs="Arial" w:eastAsia="Arial" w:hAnsi="Arial"/>
                <w:sz w:val="15"/>
                <w:szCs w:val="15"/>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7200" w:type="dxa"/>
            <w:vAlign w:val="bottom"/>
          </w:tcPr>
          <w:p>
            <w:pPr>
              <w:ind w:left="60"/>
              <w:spacing w:after="0"/>
              <w:rPr>
                <w:sz w:val="20"/>
                <w:szCs w:val="20"/>
                <w:color w:val="auto"/>
              </w:rPr>
            </w:pPr>
            <w:r>
              <w:rPr>
                <w:rFonts w:ascii="Arial" w:cs="Arial" w:eastAsia="Arial" w:hAnsi="Arial"/>
                <w:sz w:val="15"/>
                <w:szCs w:val="15"/>
                <w:color w:val="auto"/>
              </w:rPr>
              <w:t>Cancelled/Forfeited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5"/>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2014</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65,430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18.00</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4.04</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2014, the intrinsic value of the vested options was equal to $nil (2013 - $nil).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8" w:name="page59"/>
    <w:bookmarkEnd w:id="58"/>
    <w:p>
      <w:pPr>
        <w:spacing w:after="0"/>
        <w:rPr>
          <w:sz w:val="20"/>
          <w:szCs w:val="20"/>
          <w:color w:val="auto"/>
        </w:rPr>
      </w:pPr>
      <w:r>
        <w:rPr>
          <w:rFonts w:ascii="Arial" w:cs="Arial" w:eastAsia="Arial" w:hAnsi="Arial"/>
          <w:sz w:val="15"/>
          <w:szCs w:val="15"/>
          <w:color w:val="auto"/>
        </w:rPr>
        <w:t>A summary of the status of the Company’s unvested options as of December 31, 2014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5"/>
                <w:szCs w:val="15"/>
                <w:color w:val="auto"/>
              </w:rPr>
              <w:t>Number of</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color w:val="auto"/>
                <w:w w:val="91"/>
              </w:rPr>
              <w:t>Grant-Date</w:t>
            </w:r>
          </w:p>
        </w:tc>
      </w:tr>
      <w:tr>
        <w:trPr>
          <w:trHeight w:val="194"/>
        </w:trPr>
        <w:tc>
          <w:tcPr>
            <w:tcW w:w="8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rPr>
              <w:t>Shares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color w:val="auto"/>
                <w:w w:val="90"/>
              </w:rPr>
              <w:t>Fair Value</w:t>
            </w:r>
          </w:p>
        </w:tc>
        <w:tc>
          <w:tcPr>
            <w:tcW w:w="140" w:type="dxa"/>
            <w:vAlign w:val="bottom"/>
          </w:tcPr>
          <w:p>
            <w:pPr>
              <w:spacing w:after="0"/>
              <w:rPr>
                <w:sz w:val="16"/>
                <w:szCs w:val="16"/>
                <w:color w:val="auto"/>
              </w:rPr>
            </w:pPr>
          </w:p>
        </w:tc>
      </w:tr>
      <w:tr>
        <w:trPr>
          <w:trHeight w:val="351"/>
        </w:trPr>
        <w:tc>
          <w:tcPr>
            <w:tcW w:w="8580" w:type="dxa"/>
            <w:vAlign w:val="bottom"/>
          </w:tcPr>
          <w:p>
            <w:pPr>
              <w:spacing w:after="0"/>
              <w:rPr>
                <w:sz w:val="20"/>
                <w:szCs w:val="20"/>
                <w:color w:val="auto"/>
              </w:rPr>
            </w:pPr>
            <w:r>
              <w:rPr>
                <w:rFonts w:ascii="Arial" w:cs="Arial" w:eastAsia="Arial" w:hAnsi="Arial"/>
                <w:sz w:val="15"/>
                <w:szCs w:val="15"/>
                <w:b w:val="1"/>
                <w:bCs w:val="1"/>
                <w:color w:val="auto"/>
              </w:rPr>
              <w:t>Unvested, December 31, 2013</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1,111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Granted</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Vested</w:t>
            </w:r>
          </w:p>
        </w:tc>
        <w:tc>
          <w:tcPr>
            <w:tcW w:w="1540" w:type="dxa"/>
            <w:vAlign w:val="bottom"/>
            <w:gridSpan w:val="3"/>
          </w:tcPr>
          <w:p>
            <w:pPr>
              <w:jc w:val="right"/>
              <w:ind w:right="200"/>
              <w:spacing w:after="0"/>
              <w:rPr>
                <w:sz w:val="20"/>
                <w:szCs w:val="20"/>
                <w:color w:val="auto"/>
              </w:rPr>
            </w:pPr>
            <w:r>
              <w:rPr>
                <w:rFonts w:ascii="Arial" w:cs="Arial" w:eastAsia="Arial" w:hAnsi="Arial"/>
                <w:sz w:val="15"/>
                <w:szCs w:val="15"/>
                <w:color w:val="auto"/>
              </w:rPr>
              <w:t>(833)</w:t>
            </w:r>
          </w:p>
        </w:tc>
        <w:tc>
          <w:tcPr>
            <w:tcW w:w="1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191"/>
        </w:trPr>
        <w:tc>
          <w:tcPr>
            <w:tcW w:w="8580" w:type="dxa"/>
            <w:vAlign w:val="bottom"/>
          </w:tcPr>
          <w:p>
            <w:pPr>
              <w:ind w:left="60"/>
              <w:spacing w:after="0"/>
              <w:rPr>
                <w:sz w:val="20"/>
                <w:szCs w:val="20"/>
                <w:color w:val="auto"/>
              </w:rPr>
            </w:pPr>
            <w:r>
              <w:rPr>
                <w:rFonts w:ascii="Arial" w:cs="Arial" w:eastAsia="Arial" w:hAnsi="Arial"/>
                <w:sz w:val="15"/>
                <w:szCs w:val="15"/>
                <w:color w:val="auto"/>
              </w:rPr>
              <w:t>Cancelled</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3"/>
        </w:trPr>
        <w:tc>
          <w:tcPr>
            <w:tcW w:w="8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Unvested, December 31, 2014</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278</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7"/>
        </w:trPr>
        <w:tc>
          <w:tcPr>
            <w:tcW w:w="8580" w:type="dxa"/>
            <w:vAlign w:val="bottom"/>
          </w:tcPr>
          <w:p>
            <w:pPr>
              <w:spacing w:after="0"/>
              <w:rPr>
                <w:sz w:val="20"/>
                <w:szCs w:val="20"/>
                <w:color w:val="auto"/>
              </w:rPr>
            </w:pPr>
            <w:r>
              <w:rPr>
                <w:rFonts w:ascii="Arial" w:cs="Arial" w:eastAsia="Arial" w:hAnsi="Arial"/>
                <w:sz w:val="15"/>
                <w:szCs w:val="15"/>
                <w:b w:val="1"/>
                <w:bCs w:val="1"/>
                <w:color w:val="auto"/>
              </w:rPr>
              <w:t>Share Purchase Warrants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 contractual term of 5 years, a risk free interest rate of 1.63%, a dividend yield of 0%, and an annual volatility of 150.18%.</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March, 2014, the Company issued 100,000 share purchase warrants to acquire an equivalent number of common shares of the Company, at an exercise price of $4.00 per share for an exercise period of up to four years from the issuance date. The warrants were issued pursuant to a technology option agreement. The fair value of these warrants was determined to be $303,000 and was recorded in general and administrative expenses. The weighted average assumptions used for the Black-Scholes option-pricing model to value these warrants were: volatility of 156.6%, risk free rate of 1.4%, term of 4 years and dividend rate of 0%. The Company used the Black-Scholes option-pricing model as the resultant fair value is not significantly different than the Monte Carlo option pricing model. In August 2014, the Company repriced the 100,000 warrants by reducing the exercise price from $4.00 to $1.06. As a result, the Company recorded incremental fair value of $14,000 during the year ended December 31, 2014.</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share purchase warrants as of December 31, 2014 and changes during the year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5"/>
                <w:szCs w:val="15"/>
                <w:color w:val="auto"/>
              </w:rPr>
              <w:t>Number of</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5"/>
                <w:szCs w:val="15"/>
                <w:color w:val="auto"/>
                <w:w w:val="90"/>
              </w:rPr>
              <w:t>Weighted Average</w:t>
            </w:r>
          </w:p>
        </w:tc>
        <w:tc>
          <w:tcPr>
            <w:tcW w:w="13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Warrants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color w:val="auto"/>
                <w:w w:val="93"/>
              </w:rPr>
              <w:t>Remaining Life</w:t>
            </w:r>
          </w:p>
        </w:tc>
        <w:tc>
          <w:tcPr>
            <w:tcW w:w="140" w:type="dxa"/>
            <w:vAlign w:val="bottom"/>
          </w:tcPr>
          <w:p>
            <w:pPr>
              <w:spacing w:after="0"/>
              <w:rPr>
                <w:sz w:val="16"/>
                <w:szCs w:val="16"/>
                <w:color w:val="auto"/>
              </w:rPr>
            </w:pPr>
          </w:p>
        </w:tc>
      </w:tr>
      <w:tr>
        <w:trPr>
          <w:trHeight w:val="351"/>
        </w:trPr>
        <w:tc>
          <w:tcPr>
            <w:tcW w:w="7200" w:type="dxa"/>
            <w:vAlign w:val="bottom"/>
            <w:gridSpan w:val="2"/>
          </w:tcPr>
          <w:p>
            <w:pPr>
              <w:spacing w:after="0"/>
              <w:rPr>
                <w:sz w:val="20"/>
                <w:szCs w:val="20"/>
                <w:color w:val="auto"/>
              </w:rPr>
            </w:pPr>
            <w:r>
              <w:rPr>
                <w:rFonts w:ascii="Arial" w:cs="Arial" w:eastAsia="Arial" w:hAnsi="Arial"/>
                <w:sz w:val="15"/>
                <w:szCs w:val="15"/>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149,452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25.85</w:t>
            </w:r>
          </w:p>
        </w:tc>
        <w:tc>
          <w:tcPr>
            <w:tcW w:w="1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2.76</w:t>
            </w:r>
          </w:p>
        </w:tc>
      </w:tr>
      <w:tr>
        <w:trPr>
          <w:trHeight w:val="181"/>
        </w:trPr>
        <w:tc>
          <w:tcPr>
            <w:tcW w:w="20" w:type="dxa"/>
            <w:vAlign w:val="bottom"/>
          </w:tcPr>
          <w:p>
            <w:pPr>
              <w:spacing w:after="0"/>
              <w:rPr>
                <w:sz w:val="15"/>
                <w:szCs w:val="15"/>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2,546,132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4.23</w:t>
            </w:r>
          </w:p>
        </w:tc>
      </w:tr>
      <w:tr>
        <w:trPr>
          <w:trHeight w:val="181"/>
        </w:trPr>
        <w:tc>
          <w:tcPr>
            <w:tcW w:w="20" w:type="dxa"/>
            <w:vAlign w:val="bottom"/>
          </w:tcPr>
          <w:p>
            <w:pPr>
              <w:spacing w:after="0"/>
              <w:rPr>
                <w:sz w:val="15"/>
                <w:szCs w:val="15"/>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Exercised</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Extinguished or expired</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(36,167)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40.00</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Borders>
              <w:bottom w:val="single" w:sz="8" w:color="auto"/>
            </w:tcBorders>
          </w:tcPr>
          <w:p>
            <w:pPr>
              <w:spacing w:after="0"/>
              <w:rPr>
                <w:sz w:val="15"/>
                <w:szCs w:val="15"/>
                <w:color w:val="auto"/>
              </w:rPr>
            </w:pPr>
          </w:p>
        </w:tc>
        <w:tc>
          <w:tcPr>
            <w:tcW w:w="7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Balance, December 31, 2014</w:t>
            </w:r>
          </w:p>
        </w:tc>
        <w:tc>
          <w:tcPr>
            <w:tcW w:w="14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2,659,417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4.15</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6"/>
        </w:trPr>
        <w:tc>
          <w:tcPr>
            <w:tcW w:w="7200" w:type="dxa"/>
            <w:vAlign w:val="bottom"/>
            <w:gridSpan w:val="2"/>
          </w:tcPr>
          <w:p>
            <w:pPr>
              <w:spacing w:after="0"/>
              <w:rPr>
                <w:sz w:val="20"/>
                <w:szCs w:val="20"/>
                <w:color w:val="auto"/>
              </w:rPr>
            </w:pPr>
            <w:r>
              <w:rPr>
                <w:rFonts w:ascii="Arial" w:cs="Arial" w:eastAsia="Arial" w:hAnsi="Arial"/>
                <w:sz w:val="15"/>
                <w:szCs w:val="15"/>
                <w:b w:val="1"/>
                <w:bCs w:val="1"/>
                <w:color w:val="auto"/>
              </w:rPr>
              <w:t>NOTE 11: INCOME TAXES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7200" w:type="dxa"/>
            <w:vAlign w:val="bottom"/>
            <w:gridSpan w:val="2"/>
          </w:tcPr>
          <w:p>
            <w:pPr>
              <w:spacing w:after="0"/>
              <w:rPr>
                <w:sz w:val="20"/>
                <w:szCs w:val="20"/>
                <w:color w:val="auto"/>
              </w:rPr>
            </w:pPr>
            <w:r>
              <w:rPr>
                <w:rFonts w:ascii="Arial" w:cs="Arial" w:eastAsia="Arial" w:hAnsi="Arial"/>
                <w:sz w:val="15"/>
                <w:szCs w:val="15"/>
                <w:color w:val="auto"/>
              </w:rPr>
              <w:t>The income tax provision (benefit) for the years ended December 31, 2014 and 2013 are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71" w:lineRule="exact"/>
              <w:rPr>
                <w:sz w:val="20"/>
                <w:szCs w:val="20"/>
                <w:color w:val="auto"/>
              </w:rPr>
            </w:pPr>
            <w:r>
              <w:rPr>
                <w:rFonts w:ascii="Arial" w:cs="Arial" w:eastAsia="Arial" w:hAnsi="Arial"/>
                <w:sz w:val="15"/>
                <w:szCs w:val="15"/>
                <w:color w:val="auto"/>
                <w:w w:val="88"/>
              </w:rPr>
              <w:t>Year Ended</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line="171" w:lineRule="exact"/>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89"/>
              </w:rPr>
              <w:t>December 31,</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532"/>
        </w:trPr>
        <w:tc>
          <w:tcPr>
            <w:tcW w:w="7200" w:type="dxa"/>
            <w:vAlign w:val="bottom"/>
            <w:gridSpan w:val="2"/>
          </w:tcPr>
          <w:p>
            <w:pPr>
              <w:spacing w:after="0"/>
              <w:rPr>
                <w:sz w:val="20"/>
                <w:szCs w:val="20"/>
                <w:color w:val="auto"/>
              </w:rPr>
            </w:pPr>
            <w:r>
              <w:rPr>
                <w:rFonts w:ascii="Arial" w:cs="Arial" w:eastAsia="Arial" w:hAnsi="Arial"/>
                <w:sz w:val="15"/>
                <w:szCs w:val="15"/>
                <w:color w:val="auto"/>
              </w:rPr>
              <w:t>Federal:</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0"/>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Deferred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(1,265,000)</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(1,321,000)</w:t>
            </w:r>
          </w:p>
        </w:tc>
      </w:tr>
      <w:tr>
        <w:trPr>
          <w:trHeight w:val="353"/>
        </w:trPr>
        <w:tc>
          <w:tcPr>
            <w:tcW w:w="7200" w:type="dxa"/>
            <w:vAlign w:val="bottom"/>
            <w:gridSpan w:val="2"/>
          </w:tcPr>
          <w:p>
            <w:pPr>
              <w:spacing w:after="0"/>
              <w:rPr>
                <w:sz w:val="20"/>
                <w:szCs w:val="20"/>
                <w:color w:val="auto"/>
              </w:rPr>
            </w:pPr>
            <w:r>
              <w:rPr>
                <w:rFonts w:ascii="Arial" w:cs="Arial" w:eastAsia="Arial" w:hAnsi="Arial"/>
                <w:sz w:val="15"/>
                <w:szCs w:val="15"/>
                <w:color w:val="auto"/>
              </w:rPr>
              <w:t>State:</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1"/>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Deferred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5"/>
                <w:szCs w:val="15"/>
                <w:color w:val="auto"/>
              </w:rPr>
              <w:t>(1,265,000)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5"/>
                <w:szCs w:val="15"/>
                <w:color w:val="auto"/>
              </w:rPr>
              <w:t>(1,321,000)</w:t>
            </w:r>
          </w:p>
        </w:tc>
        <w:tc>
          <w:tcPr>
            <w:tcW w:w="140" w:type="dxa"/>
            <w:vAlign w:val="bottom"/>
          </w:tcPr>
          <w:p>
            <w:pPr>
              <w:spacing w:after="0"/>
              <w:rPr>
                <w:sz w:val="13"/>
                <w:szCs w:val="13"/>
                <w:color w:val="auto"/>
              </w:rPr>
            </w:pPr>
          </w:p>
        </w:tc>
      </w:tr>
      <w:tr>
        <w:trPr>
          <w:trHeight w:val="194"/>
        </w:trPr>
        <w:tc>
          <w:tcPr>
            <w:tcW w:w="7200" w:type="dxa"/>
            <w:vAlign w:val="bottom"/>
            <w:gridSpan w:val="2"/>
          </w:tcPr>
          <w:p>
            <w:pPr>
              <w:spacing w:after="0"/>
              <w:rPr>
                <w:sz w:val="20"/>
                <w:szCs w:val="20"/>
                <w:color w:val="auto"/>
              </w:rPr>
            </w:pPr>
            <w:r>
              <w:rPr>
                <w:rFonts w:ascii="Arial" w:cs="Arial" w:eastAsia="Arial" w:hAnsi="Arial"/>
                <w:sz w:val="15"/>
                <w:szCs w:val="15"/>
                <w:color w:val="auto"/>
              </w:rPr>
              <w:t>Change in valuation allowance</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1,265,000</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1,321,000</w:t>
            </w:r>
          </w:p>
        </w:tc>
      </w:tr>
      <w:tr>
        <w:trPr>
          <w:trHeight w:val="181"/>
        </w:trPr>
        <w:tc>
          <w:tcPr>
            <w:tcW w:w="72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Income tax provision (benefit)</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7"/>
        </w:trPr>
        <w:tc>
          <w:tcPr>
            <w:tcW w:w="20" w:type="dxa"/>
            <w:vAlign w:val="bottom"/>
          </w:tcPr>
          <w:p>
            <w:pPr>
              <w:spacing w:after="0"/>
              <w:rPr>
                <w:sz w:val="24"/>
                <w:szCs w:val="24"/>
                <w:color w:val="auto"/>
              </w:rPr>
            </w:pPr>
          </w:p>
        </w:tc>
        <w:tc>
          <w:tcPr>
            <w:tcW w:w="7180" w:type="dxa"/>
            <w:vAlign w:val="bottom"/>
          </w:tcPr>
          <w:p>
            <w:pPr>
              <w:ind w:left="5560"/>
              <w:spacing w:after="0"/>
              <w:rPr>
                <w:sz w:val="20"/>
                <w:szCs w:val="20"/>
                <w:color w:val="auto"/>
              </w:rPr>
            </w:pPr>
            <w:r>
              <w:rPr>
                <w:rFonts w:ascii="Arial" w:cs="Arial" w:eastAsia="Arial" w:hAnsi="Arial"/>
                <w:sz w:val="15"/>
                <w:szCs w:val="15"/>
                <w:color w:val="auto"/>
              </w:rPr>
              <w:t>F-17</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The effects of temporary differences that give rise to significant portions of the deferred tax assets as of December 31, 2014 and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726884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545909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Ney operating loss carryforwards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Stock-based compensation</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Technology licensing fee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Total deferred tax assets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54590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54590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60" w:type="dxa"/>
            <w:vAlign w:val="bottom"/>
          </w:tcPr>
          <w:p>
            <w:pPr>
              <w:spacing w:after="0"/>
              <w:rPr>
                <w:sz w:val="16"/>
                <w:szCs w:val="16"/>
                <w:color w:val="auto"/>
              </w:rPr>
            </w:pPr>
          </w:p>
        </w:tc>
      </w:tr>
      <w:tr>
        <w:trPr>
          <w:trHeight w:val="532"/>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10,433,000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9,174,000</w:t>
            </w:r>
          </w:p>
        </w:tc>
      </w:tr>
      <w:tr>
        <w:trPr>
          <w:trHeight w:val="181"/>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1,871,000</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1,866,000</w:t>
            </w: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167,000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167,000</w:t>
            </w:r>
          </w:p>
        </w:tc>
      </w:tr>
      <w:tr>
        <w:trPr>
          <w:trHeight w:val="170"/>
        </w:trPr>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12,471,000</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11,207,000</w:t>
            </w:r>
          </w:p>
        </w:tc>
        <w:tc>
          <w:tcPr>
            <w:tcW w:w="6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(12,471,000)</w:t>
            </w: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(11,207,000)</w:t>
            </w:r>
          </w:p>
        </w:tc>
      </w:tr>
      <w:tr>
        <w:trPr>
          <w:trHeight w:val="181"/>
        </w:trPr>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8000" w:space="720"/>
            <w:col w:w="2720"/>
          </w:cols>
          <w:pgMar w:left="240" w:top="457" w:right="219" w:bottom="1440" w:gutter="0" w:footer="0" w:header="0"/>
          <w:type w:val="continuous"/>
        </w:sectPr>
      </w:pPr>
    </w:p>
    <w:p>
      <w:pPr>
        <w:jc w:val="both"/>
        <w:spacing w:after="0" w:line="264" w:lineRule="auto"/>
        <w:rPr>
          <w:sz w:val="20"/>
          <w:szCs w:val="20"/>
          <w:color w:val="auto"/>
        </w:rPr>
      </w:pPr>
      <w:r>
        <w:rPr>
          <w:rFonts w:ascii="Arial" w:cs="Arial" w:eastAsia="Arial" w:hAnsi="Arial"/>
          <w:sz w:val="15"/>
          <w:szCs w:val="15"/>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2014 and 2013.</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 has not filed U.S tax returns since inception, but is in the process of filing tax returns for the years ended December 31, 2014, 2013, 2012, 2011, 2010, and 2009. The Net operating losses (“NOLs”) will not be available to reduce future taxable income until the returns are filed. Assuming these returns are filed, as of December 31, 2014 and 2013, the Company has approximately $30,686,428 and $26,982,085, respectively, of federal NOLs that may be available to offset future taxable income, if any. The federal net operating loss carryforwards, if not utilized, will expire beginning in 2023.</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Company has also not filed any Canadian tax returns for GPC, which was dissolved in the fourth quarter of fiscal year 2014. The Company could be subject to fines and penalties for not filing the tax returns. The Company does not know the quantum of such fines and penalties, if any, and no liabilities have been accrued in the fiscal year 2014.</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For the years ended December 31, 2014 and 2013, the expected tax expense (benefit) based on the U.S. federal statutory rate is reconciled with the actual tax provision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726884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545909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5"/>
          <w:szCs w:val="15"/>
          <w:color w:val="auto"/>
        </w:rPr>
        <w:t>Permanent differences</w:t>
      </w:r>
    </w:p>
    <w:p>
      <w:pPr>
        <w:spacing w:after="0" w:line="18" w:lineRule="exact"/>
        <w:rPr>
          <w:sz w:val="20"/>
          <w:szCs w:val="20"/>
          <w:color w:val="auto"/>
        </w:rPr>
      </w:pPr>
    </w:p>
    <w:p>
      <w:pPr>
        <w:ind w:left="180" w:right="5300" w:hanging="39"/>
        <w:spacing w:after="0" w:line="251" w:lineRule="auto"/>
        <w:tabs>
          <w:tab w:leader="none" w:pos="230" w:val="left"/>
        </w:tabs>
        <w:numPr>
          <w:ilvl w:val="0"/>
          <w:numId w:val="27"/>
        </w:numPr>
        <w:rPr>
          <w:rFonts w:ascii="Arial" w:cs="Arial" w:eastAsia="Arial" w:hAnsi="Arial"/>
          <w:sz w:val="15"/>
          <w:szCs w:val="15"/>
          <w:color w:val="auto"/>
        </w:rPr>
      </w:pPr>
      <w:r>
        <w:rPr>
          <w:rFonts w:ascii="Arial" w:cs="Arial" w:eastAsia="Arial" w:hAnsi="Arial"/>
          <w:sz w:val="15"/>
          <w:szCs w:val="15"/>
          <w:color w:val="auto"/>
        </w:rPr>
        <w:t>Non-cash loss on extinguishment of debt -Other permanent differences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5"/>
          <w:szCs w:val="15"/>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54590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54590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60" w:type="dxa"/>
            <w:vAlign w:val="bottom"/>
          </w:tcPr>
          <w:p>
            <w:pPr>
              <w:spacing w:after="0"/>
              <w:rPr>
                <w:sz w:val="16"/>
                <w:szCs w:val="16"/>
                <w:color w:val="auto"/>
              </w:rPr>
            </w:pPr>
          </w:p>
        </w:tc>
      </w:tr>
      <w:tr>
        <w:trPr>
          <w:trHeight w:val="361"/>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(10,449,000)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(1,881,000)</w:t>
            </w:r>
          </w:p>
        </w:tc>
      </w:tr>
      <w:tr>
        <w:trPr>
          <w:trHeight w:val="53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9,122,000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893,000</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62,000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(334,000)</w:t>
            </w: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1,265,000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1,322,000</w:t>
            </w:r>
          </w:p>
        </w:tc>
      </w:tr>
      <w:tr>
        <w:trPr>
          <w:trHeight w:val="181"/>
        </w:trPr>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720"/>
          </w:cols>
          <w:pgMar w:left="240" w:top="457" w:right="219" w:bottom="1440" w:gutter="0" w:footer="0" w:header="0"/>
          <w:type w:val="continuous"/>
        </w:sectPr>
      </w:pP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2014 and 2013, there were no unrecognized tax benefits. The Company recognizes accrued interest and penalties as income tax expense. No amounts were accrued for the payment of interest and penalties at December 31, 2014 and 2013. The Company is currently not aware of any issues under review that could result in significant payments, accruals or material deviation from its position in the next year.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5"/>
          <w:szCs w:val="15"/>
          <w:b w:val="1"/>
          <w:bCs w:val="1"/>
          <w:color w:val="auto"/>
        </w:rPr>
        <w:t>NOTE 12: CONTINGENCIES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Consultant Litigation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May 2012, the Company issued 112,000 post-consolidated shares of common stock to two consultants. The Company contested the validity of the services provided and initially were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the arbitrator ordered (on July 18, 2014) the consultant to pay Tapimmune $196,204 plus 9% interest from the date of the award. The Company is attempting to collect the award from Mr. Gardner.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law firm that we used to pursue the Gardner Action was awarded a judgment against us for $210,255 of unpaid legal fees (“G&amp;S Judgment”). Shareholders of the Company acquired the G&amp;S Judgment in full, converted that Judgment into preferred shares of the Company (which in turn converted into common stock) and subsequently released the Company from any liability related thereto.</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We intend on settling that matter in the second quarter of 2015.</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13:SUBSEQUENT EVENTS</w:t>
      </w:r>
    </w:p>
    <w:p>
      <w:pPr>
        <w:spacing w:after="0" w:line="193" w:lineRule="exact"/>
        <w:rPr>
          <w:sz w:val="20"/>
          <w:szCs w:val="20"/>
          <w:color w:val="auto"/>
        </w:rPr>
      </w:pPr>
    </w:p>
    <w:p>
      <w:pPr>
        <w:ind w:left="540" w:right="20" w:hanging="278"/>
        <w:spacing w:after="0" w:line="299" w:lineRule="auto"/>
        <w:tabs>
          <w:tab w:leader="none" w:pos="5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On January 12, 2015, the Company entered into a Securities Purchase Agreement with certain accredited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38" w:lineRule="exact"/>
        <w:rPr>
          <w:rFonts w:ascii="Arial" w:cs="Arial" w:eastAsia="Arial" w:hAnsi="Arial"/>
          <w:sz w:val="13"/>
          <w:szCs w:val="13"/>
          <w:color w:val="auto"/>
        </w:rPr>
      </w:pPr>
    </w:p>
    <w:p>
      <w:pPr>
        <w:ind w:left="540" w:right="20"/>
        <w:spacing w:after="0" w:line="276" w:lineRule="auto"/>
        <w:rPr>
          <w:rFonts w:ascii="Arial" w:cs="Arial" w:eastAsia="Arial" w:hAnsi="Arial"/>
          <w:sz w:val="13"/>
          <w:szCs w:val="13"/>
          <w:color w:val="auto"/>
        </w:rPr>
      </w:pPr>
      <w:r>
        <w:rPr>
          <w:rFonts w:ascii="Arial" w:cs="Arial" w:eastAsia="Arial" w:hAnsi="Arial"/>
          <w:sz w:val="15"/>
          <w:szCs w:val="15"/>
          <w:color w:val="auto"/>
        </w:rPr>
        <w:t>Pursuant to a placement agent agreement, the Company agreed to issue warrants to purchase an aggregate of up to 5% of the aggregate number of shares of common stock sold in the offering to the placement agents. The placement agent warrants have substantially the same terms as the January 2015 Warrants.</w:t>
      </w:r>
    </w:p>
    <w:p>
      <w:pPr>
        <w:spacing w:after="0" w:line="146" w:lineRule="exact"/>
        <w:rPr>
          <w:rFonts w:ascii="Arial" w:cs="Arial" w:eastAsia="Arial" w:hAnsi="Arial"/>
          <w:sz w:val="13"/>
          <w:szCs w:val="13"/>
          <w:color w:val="auto"/>
        </w:rPr>
      </w:pPr>
    </w:p>
    <w:p>
      <w:pPr>
        <w:ind w:left="520" w:right="80" w:hanging="269"/>
        <w:spacing w:after="0" w:line="306" w:lineRule="auto"/>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March 9,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“March 2015 Warrants”). The March 2015 Warrants have substantially the same terms as the January 2015 Warrants.</w:t>
      </w:r>
    </w:p>
    <w:p>
      <w:pPr>
        <w:spacing w:after="0" w:line="132" w:lineRule="exact"/>
        <w:rPr>
          <w:rFonts w:ascii="Arial" w:cs="Arial" w:eastAsia="Arial" w:hAnsi="Arial"/>
          <w:sz w:val="13"/>
          <w:szCs w:val="13"/>
          <w:color w:val="auto"/>
        </w:rPr>
      </w:pPr>
    </w:p>
    <w:p>
      <w:pPr>
        <w:ind w:left="540" w:right="20"/>
        <w:spacing w:after="0" w:line="276" w:lineRule="auto"/>
        <w:rPr>
          <w:rFonts w:ascii="Arial" w:cs="Arial" w:eastAsia="Arial" w:hAnsi="Arial"/>
          <w:sz w:val="13"/>
          <w:szCs w:val="13"/>
          <w:color w:val="auto"/>
        </w:rPr>
      </w:pPr>
      <w:r>
        <w:rPr>
          <w:rFonts w:ascii="Arial" w:cs="Arial" w:eastAsia="Arial" w:hAnsi="Arial"/>
          <w:sz w:val="15"/>
          <w:szCs w:val="15"/>
          <w:color w:val="auto"/>
        </w:rPr>
        <w:t>Pursuant to a placement agent agreement, the Company agreed to issue warrants to purchase an aggregate of up to 2.5% of the aggregate number of shares of common stock sold in the offering to the placement agents. The placement agent warrants have substantially the same terms as the March 2015 Warrants.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2"/>
              <w:spacing w:after="0"/>
              <w:rPr>
                <w:sz w:val="20"/>
                <w:szCs w:val="20"/>
                <w:color w:val="auto"/>
              </w:rPr>
            </w:pPr>
            <w:r>
              <w:rPr>
                <w:rFonts w:ascii="Arial" w:cs="Arial" w:eastAsia="Arial" w:hAnsi="Arial"/>
                <w:sz w:val="15"/>
                <w:szCs w:val="15"/>
                <w:color w:val="auto"/>
                <w:w w:val="92"/>
              </w:rPr>
              <w:t>March 31,</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25"/>
              <w:spacing w:after="0"/>
              <w:rPr>
                <w:sz w:val="20"/>
                <w:szCs w:val="20"/>
                <w:color w:val="auto"/>
              </w:rPr>
            </w:pPr>
            <w:r>
              <w:rPr>
                <w:rFonts w:ascii="Arial" w:cs="Arial" w:eastAsia="Arial" w:hAnsi="Arial"/>
                <w:sz w:val="15"/>
                <w:szCs w:val="15"/>
                <w:color w:val="auto"/>
                <w:w w:val="93"/>
              </w:rPr>
              <w:t>December 31,</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4240" w:type="dxa"/>
            <w:vAlign w:val="bottom"/>
            <w:gridSpan w:val="3"/>
            <w:vMerge w:val="restart"/>
          </w:tcPr>
          <w:p>
            <w:pPr>
              <w:jc w:val="right"/>
              <w:ind w:right="2940"/>
              <w:spacing w:after="0"/>
              <w:rPr>
                <w:sz w:val="20"/>
                <w:szCs w:val="20"/>
                <w:color w:val="auto"/>
              </w:rPr>
            </w:pPr>
            <w:r>
              <w:rPr>
                <w:rFonts w:ascii="Arial" w:cs="Arial" w:eastAsia="Arial" w:hAnsi="Arial"/>
                <w:sz w:val="15"/>
                <w:szCs w:val="15"/>
                <w:b w:val="1"/>
                <w:bCs w:val="1"/>
                <w:color w:val="auto"/>
              </w:rPr>
              <w:t>ASSETS</w:t>
            </w:r>
          </w:p>
        </w:tc>
        <w:tc>
          <w:tcPr>
            <w:tcW w:w="1020" w:type="dxa"/>
            <w:vAlign w:val="bottom"/>
          </w:tcPr>
          <w:p>
            <w:pPr>
              <w:jc w:val="center"/>
              <w:ind w:right="85"/>
              <w:spacing w:after="0"/>
              <w:rPr>
                <w:sz w:val="20"/>
                <w:szCs w:val="20"/>
                <w:color w:val="auto"/>
              </w:rPr>
            </w:pPr>
            <w:r>
              <w:rPr>
                <w:rFonts w:ascii="Arial" w:cs="Arial" w:eastAsia="Arial" w:hAnsi="Arial"/>
                <w:sz w:val="15"/>
                <w:szCs w:val="15"/>
                <w:color w:val="auto"/>
                <w:w w:val="94"/>
              </w:rPr>
              <w:t>(Unaudited)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20" w:type="dxa"/>
            <w:vAlign w:val="bottom"/>
            <w:vMerge w:val="restart"/>
          </w:tcPr>
          <w:p>
            <w:pPr>
              <w:spacing w:after="0"/>
              <w:rPr>
                <w:sz w:val="20"/>
                <w:szCs w:val="20"/>
                <w:color w:val="auto"/>
              </w:rPr>
            </w:pPr>
            <w:r>
              <w:rPr>
                <w:rFonts w:ascii="Arial" w:cs="Arial" w:eastAsia="Arial" w:hAnsi="Arial"/>
                <w:sz w:val="15"/>
                <w:szCs w:val="15"/>
                <w:b w:val="1"/>
                <w:bCs w:val="1"/>
                <w:color w:val="auto"/>
              </w:rPr>
              <w:t>Current Assets</w:t>
            </w:r>
          </w:p>
        </w:tc>
        <w:tc>
          <w:tcPr>
            <w:tcW w:w="424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2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Cash</w:t>
            </w: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1,453,505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141,944</w:t>
            </w:r>
          </w:p>
        </w:tc>
        <w:tc>
          <w:tcPr>
            <w:tcW w:w="0" w:type="dxa"/>
            <w:vAlign w:val="bottom"/>
          </w:tcPr>
          <w:p>
            <w:pPr>
              <w:spacing w:after="0"/>
              <w:rPr>
                <w:sz w:val="1"/>
                <w:szCs w:val="1"/>
                <w:color w:val="auto"/>
              </w:rPr>
            </w:pPr>
          </w:p>
        </w:tc>
      </w:tr>
      <w:tr>
        <w:trPr>
          <w:trHeight w:val="191"/>
        </w:trPr>
        <w:tc>
          <w:tcPr>
            <w:tcW w:w="4620" w:type="dxa"/>
            <w:vAlign w:val="bottom"/>
          </w:tcPr>
          <w:p>
            <w:pPr>
              <w:ind w:left="60"/>
              <w:spacing w:after="0"/>
              <w:rPr>
                <w:sz w:val="20"/>
                <w:szCs w:val="20"/>
                <w:color w:val="auto"/>
              </w:rPr>
            </w:pPr>
            <w:r>
              <w:rPr>
                <w:rFonts w:ascii="Arial" w:cs="Arial" w:eastAsia="Arial" w:hAnsi="Arial"/>
                <w:sz w:val="15"/>
                <w:szCs w:val="15"/>
                <w:color w:val="auto"/>
              </w:rPr>
              <w:t>Prepaid expenses and deposits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82,504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82,504</w:t>
            </w:r>
          </w:p>
        </w:tc>
        <w:tc>
          <w:tcPr>
            <w:tcW w:w="0" w:type="dxa"/>
            <w:vAlign w:val="bottom"/>
          </w:tcPr>
          <w:p>
            <w:pPr>
              <w:spacing w:after="0"/>
              <w:rPr>
                <w:sz w:val="1"/>
                <w:szCs w:val="1"/>
                <w:color w:val="auto"/>
              </w:rPr>
            </w:pPr>
          </w:p>
        </w:tc>
      </w:tr>
      <w:tr>
        <w:trPr>
          <w:trHeight w:val="23"/>
        </w:trPr>
        <w:tc>
          <w:tcPr>
            <w:tcW w:w="4620" w:type="dxa"/>
            <w:vAlign w:val="bottom"/>
            <w:shd w:val="clear" w:color="auto" w:fill="000000"/>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1"/>
        </w:trPr>
        <w:tc>
          <w:tcPr>
            <w:tcW w:w="4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1,536,009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224,448</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860" w:type="dxa"/>
            <w:vAlign w:val="bottom"/>
            <w:gridSpan w:val="4"/>
          </w:tcPr>
          <w:p>
            <w:pPr>
              <w:ind w:left="3620"/>
              <w:spacing w:after="0"/>
              <w:rPr>
                <w:sz w:val="20"/>
                <w:szCs w:val="20"/>
                <w:color w:val="auto"/>
              </w:rPr>
            </w:pPr>
            <w:r>
              <w:rPr>
                <w:rFonts w:ascii="Arial" w:cs="Arial" w:eastAsia="Arial" w:hAnsi="Arial"/>
                <w:sz w:val="15"/>
                <w:szCs w:val="15"/>
                <w:b w:val="1"/>
                <w:bCs w:val="1"/>
                <w:color w:val="auto"/>
              </w:rPr>
              <w:t>LIABILITIES AND STOCKHOLDERS’ EQUITY (DEFICIT)</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703,323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693,362</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Research agreement obligations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492,365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492,365</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warrants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2,052,975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9,415</w:t>
            </w:r>
          </w:p>
        </w:tc>
        <w:tc>
          <w:tcPr>
            <w:tcW w:w="0" w:type="dxa"/>
            <w:vAlign w:val="bottom"/>
          </w:tcPr>
          <w:p>
            <w:pPr>
              <w:spacing w:after="0"/>
              <w:rPr>
                <w:sz w:val="1"/>
                <w:szCs w:val="1"/>
                <w:color w:val="auto"/>
              </w:rPr>
            </w:pPr>
          </w:p>
        </w:tc>
      </w:tr>
      <w:tr>
        <w:trPr>
          <w:trHeight w:val="194"/>
        </w:trPr>
        <w:tc>
          <w:tcPr>
            <w:tcW w:w="4620" w:type="dxa"/>
            <w:vAlign w:val="bottom"/>
          </w:tcPr>
          <w:p>
            <w:pPr>
              <w:ind w:left="60"/>
              <w:spacing w:after="0"/>
              <w:rPr>
                <w:sz w:val="20"/>
                <w:szCs w:val="20"/>
                <w:color w:val="auto"/>
              </w:rPr>
            </w:pPr>
            <w:r>
              <w:rPr>
                <w:rFonts w:ascii="Arial" w:cs="Arial" w:eastAsia="Arial" w:hAnsi="Arial"/>
                <w:sz w:val="15"/>
                <w:szCs w:val="15"/>
                <w:color w:val="auto"/>
              </w:rPr>
              <w:t>Promissory notes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52,942</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52,942</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3,301,605</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1,248,084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0"/>
                <w:szCs w:val="20"/>
                <w:color w:val="auto"/>
              </w:rPr>
            </w:pPr>
            <w:r>
              <w:rPr>
                <w:rFonts w:ascii="Arial" w:cs="Arial" w:eastAsia="Arial" w:hAnsi="Arial"/>
                <w:sz w:val="15"/>
                <w:szCs w:val="15"/>
                <w:b w:val="1"/>
                <w:bCs w:val="1"/>
                <w:color w:val="auto"/>
              </w:rPr>
              <w:t>Stockholders’ Equity (Deficit)</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860" w:type="dxa"/>
            <w:vAlign w:val="bottom"/>
            <w:gridSpan w:val="4"/>
          </w:tcPr>
          <w:p>
            <w:pPr>
              <w:spacing w:after="0"/>
              <w:rPr>
                <w:sz w:val="20"/>
                <w:szCs w:val="20"/>
                <w:color w:val="auto"/>
              </w:rPr>
            </w:pPr>
            <w:r>
              <w:rPr>
                <w:rFonts w:ascii="Arial" w:cs="Arial" w:eastAsia="Arial" w:hAnsi="Arial"/>
                <w:sz w:val="15"/>
                <w:szCs w:val="15"/>
                <w:color w:val="auto"/>
              </w:rPr>
              <w:t>Convertible preferred stock, $0.001 par value — 10,000,000 shares authorized: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860" w:type="dxa"/>
            <w:vAlign w:val="bottom"/>
            <w:gridSpan w:val="4"/>
          </w:tcPr>
          <w:p>
            <w:pPr>
              <w:ind w:left="120"/>
              <w:spacing w:after="0"/>
              <w:rPr>
                <w:sz w:val="20"/>
                <w:szCs w:val="20"/>
                <w:color w:val="auto"/>
              </w:rPr>
            </w:pPr>
            <w:r>
              <w:rPr>
                <w:rFonts w:ascii="Arial" w:cs="Arial" w:eastAsia="Arial" w:hAnsi="Arial"/>
                <w:sz w:val="15"/>
                <w:szCs w:val="15"/>
                <w:color w:val="auto"/>
                <w:w w:val="94"/>
              </w:rPr>
              <w:t>Series A, $0.001 par value, 1,250,000 shares designated, -0- shares issued and outstanding as of March 31, 2015 and December 31, 2014</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w w:val="89"/>
              </w:rPr>
              <w:t>Series B, $0.001 par value, 1,500,000 shares designated, -0- shares issued</w:t>
            </w:r>
          </w:p>
        </w:tc>
        <w:tc>
          <w:tcPr>
            <w:tcW w:w="4240" w:type="dxa"/>
            <w:vAlign w:val="bottom"/>
            <w:gridSpan w:val="3"/>
          </w:tcPr>
          <w:p>
            <w:pPr>
              <w:jc w:val="right"/>
              <w:ind w:right="460"/>
              <w:spacing w:after="0"/>
              <w:rPr>
                <w:sz w:val="20"/>
                <w:szCs w:val="20"/>
                <w:color w:val="auto"/>
              </w:rPr>
            </w:pPr>
            <w:r>
              <w:rPr>
                <w:rFonts w:ascii="Arial" w:cs="Arial" w:eastAsia="Arial" w:hAnsi="Arial"/>
                <w:sz w:val="15"/>
                <w:szCs w:val="15"/>
                <w:color w:val="auto"/>
                <w:w w:val="90"/>
              </w:rPr>
              <w:t>and outstanding as of March 31, 2015 and December 31, 2014</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Common stock, $0.001 par value, 500,000,000 shares authorized</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32,638,811 shares issued and outstanding (2014 – 20,318,815)</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32,639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20,319</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85,493,220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85,265,776</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Arial" w:cs="Arial" w:eastAsia="Arial" w:hAnsi="Arial"/>
                <w:sz w:val="15"/>
                <w:szCs w:val="15"/>
                <w:color w:val="auto"/>
              </w:rPr>
              <w:t>Accumulated deficit</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(87,291,455)</w:t>
            </w:r>
          </w:p>
        </w:tc>
        <w:tc>
          <w:tcPr>
            <w:tcW w:w="120" w:type="dxa"/>
            <w:vAlign w:val="bottom"/>
          </w:tcPr>
          <w:p>
            <w:pPr>
              <w:spacing w:after="0"/>
              <w:rPr>
                <w:sz w:val="16"/>
                <w:szCs w:val="16"/>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(86,309,731)</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(1,765,596</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4"/>
                <w:szCs w:val="24"/>
                <w:color w:val="auto"/>
              </w:rPr>
            </w:pP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1,536,009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224,448</w:t>
            </w:r>
          </w:p>
        </w:tc>
        <w:tc>
          <w:tcPr>
            <w:tcW w:w="0" w:type="dxa"/>
            <w:vAlign w:val="bottom"/>
          </w:tcPr>
          <w:p>
            <w:pPr>
              <w:spacing w:after="0"/>
              <w:rPr>
                <w:sz w:val="1"/>
                <w:szCs w:val="1"/>
                <w:color w:val="auto"/>
              </w:rPr>
            </w:pP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264795</wp:posOffset>
            </wp:positionV>
            <wp:extent cx="726884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-228600</wp:posOffset>
            </wp:positionV>
            <wp:extent cx="545909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General and administrative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from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Changes in fair value of derivative liabilities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Accretion of discount on convertible notes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Interest and financing charges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5909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Foreign exchange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545909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590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545909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Basic and Diluted Net Loss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54590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Weighted Average Number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54590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Three Months</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Three Months</w:t>
            </w:r>
          </w:p>
        </w:tc>
      </w:t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7"/>
              </w:rPr>
              <w:t>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7"/>
              </w:rPr>
              <w:t>Ended</w:t>
            </w:r>
          </w:p>
        </w:tc>
      </w:t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March 31,</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March 31,</w:t>
            </w:r>
          </w:p>
        </w:tc>
      </w:tr>
      <w:tr>
        <w:trPr>
          <w:trHeight w:val="194"/>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60" w:type="dxa"/>
            <w:vAlign w:val="bottom"/>
          </w:tcPr>
          <w:p>
            <w:pPr>
              <w:spacing w:after="0"/>
              <w:rPr>
                <w:sz w:val="16"/>
                <w:szCs w:val="16"/>
                <w:color w:val="auto"/>
              </w:rPr>
            </w:pPr>
          </w:p>
        </w:tc>
      </w:tr>
      <w:tr>
        <w:trPr>
          <w:trHeight w:val="532"/>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418,786</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1,164,098</w:t>
            </w:r>
          </w:p>
        </w:tc>
      </w:tr>
      <w:tr>
        <w:trPr>
          <w:trHeight w:val="191"/>
        </w:trPr>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609,378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22,500</w:t>
            </w:r>
          </w:p>
        </w:tc>
      </w:tr>
      <w:tr>
        <w:trPr>
          <w:trHeight w:val="23"/>
        </w:trPr>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61"/>
        </w:trPr>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(1,028,164)</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(1,186,598)</w:t>
            </w:r>
          </w:p>
        </w:tc>
      </w:tr>
      <w:tr>
        <w:trPr>
          <w:trHeight w:val="534"/>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46,440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(338,297)</w:t>
            </w:r>
          </w:p>
        </w:tc>
      </w:tr>
      <w:tr>
        <w:trPr>
          <w:trHeight w:val="181"/>
        </w:trPr>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483,636)</w:t>
            </w:r>
          </w:p>
        </w:tc>
      </w:tr>
      <w:tr>
        <w:trPr>
          <w:trHeight w:val="181"/>
        </w:trPr>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(35,269)</w:t>
            </w:r>
          </w:p>
        </w:tc>
      </w:tr>
      <w:tr>
        <w:trPr>
          <w:trHeight w:val="192"/>
        </w:trPr>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(27,663,430)</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(981,724)</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(29,707,230)</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3"/>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(1,249)</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line="341" w:lineRule="exact"/>
              <w:rPr>
                <w:sz w:val="20"/>
                <w:szCs w:val="20"/>
                <w:color w:val="auto"/>
              </w:rPr>
            </w:pPr>
            <w:r>
              <w:rPr>
                <w:rFonts w:ascii="Arial" w:cs="Arial" w:eastAsia="Arial" w:hAnsi="Arial"/>
                <w:sz w:val="15"/>
                <w:szCs w:val="15"/>
                <w:color w:val="auto"/>
              </w:rPr>
              <w:t>(981,724</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line="341" w:lineRule="exact"/>
              <w:rPr>
                <w:sz w:val="20"/>
                <w:szCs w:val="20"/>
                <w:color w:val="auto"/>
              </w:rPr>
            </w:pPr>
            <w:r>
              <w:rPr>
                <w:rFonts w:ascii="Arial" w:cs="Arial" w:eastAsia="Arial" w:hAnsi="Arial"/>
                <w:sz w:val="15"/>
                <w:szCs w:val="15"/>
                <w:color w:val="auto"/>
              </w:rPr>
              <w:t>(29,708,479</w:t>
            </w:r>
            <w:r>
              <w:rPr>
                <w:rFonts w:ascii="Arial" w:cs="Arial" w:eastAsia="Arial" w:hAnsi="Arial"/>
                <w:sz w:val="30"/>
                <w:szCs w:val="30"/>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8"/>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(0.04</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(3.89</w:t>
            </w:r>
            <w:r>
              <w:rPr>
                <w:rFonts w:ascii="Arial" w:cs="Arial" w:eastAsia="Arial" w:hAnsi="Arial"/>
                <w:sz w:val="30"/>
                <w:szCs w:val="30"/>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8"/>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27,611,255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7,631,669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640"/>
          </w:cols>
          <w:pgMar w:left="240" w:top="657" w:right="299" w:bottom="1440" w:gutter="0" w:footer="0" w:header="0"/>
          <w:type w:val="continuous"/>
        </w:sectPr>
      </w:pP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type w:val="continuous"/>
        </w:sectPr>
      </w:pPr>
    </w:p>
    <w:bookmarkStart w:id="63" w:name="page64"/>
    <w:bookmarkEnd w:id="63"/>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 OF STOCKHOLDERS’ EQUITY (DEFICIT)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Accumulated</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5"/>
                <w:szCs w:val="15"/>
                <w:color w:val="auto"/>
              </w:rPr>
              <w:t>Common Stock</w:t>
            </w:r>
          </w:p>
        </w:tc>
        <w:tc>
          <w:tcPr>
            <w:tcW w:w="1280" w:type="dxa"/>
            <w:vAlign w:val="bottom"/>
            <w:gridSpan w:val="2"/>
          </w:tcPr>
          <w:p>
            <w:pPr>
              <w:jc w:val="right"/>
              <w:ind w:right="400"/>
              <w:spacing w:after="0"/>
              <w:rPr>
                <w:sz w:val="20"/>
                <w:szCs w:val="20"/>
                <w:color w:val="auto"/>
              </w:rPr>
            </w:pPr>
            <w:r>
              <w:rPr>
                <w:rFonts w:ascii="Arial" w:cs="Arial" w:eastAsia="Arial" w:hAnsi="Arial"/>
                <w:sz w:val="15"/>
                <w:szCs w:val="15"/>
                <w:color w:val="auto"/>
              </w:rPr>
              <w:t>Additional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Other</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5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color w:val="auto"/>
                <w:w w:val="94"/>
              </w:rPr>
              <w:t>Number of</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5"/>
                <w:szCs w:val="15"/>
                <w:color w:val="auto"/>
              </w:rPr>
              <w:t>Paid In</w:t>
            </w:r>
          </w:p>
        </w:tc>
        <w:tc>
          <w:tcPr>
            <w:tcW w:w="100" w:type="dxa"/>
            <w:vAlign w:val="bottom"/>
          </w:tcPr>
          <w:p>
            <w:pPr>
              <w:spacing w:after="0"/>
              <w:rPr>
                <w:sz w:val="24"/>
                <w:szCs w:val="24"/>
                <w:color w:val="auto"/>
              </w:rPr>
            </w:pPr>
          </w:p>
        </w:tc>
        <w:tc>
          <w:tcPr>
            <w:tcW w:w="1400" w:type="dxa"/>
            <w:vAlign w:val="bottom"/>
            <w:gridSpan w:val="2"/>
          </w:tcPr>
          <w:p>
            <w:pPr>
              <w:jc w:val="right"/>
              <w:ind w:right="345"/>
              <w:spacing w:after="0"/>
              <w:rPr>
                <w:sz w:val="20"/>
                <w:szCs w:val="20"/>
                <w:color w:val="auto"/>
              </w:rPr>
            </w:pPr>
            <w:r>
              <w:rPr>
                <w:rFonts w:ascii="Arial" w:cs="Arial" w:eastAsia="Arial" w:hAnsi="Arial"/>
                <w:sz w:val="15"/>
                <w:szCs w:val="15"/>
                <w:color w:val="auto"/>
              </w:rPr>
              <w:t>Accumulated</w:t>
            </w:r>
          </w:p>
        </w:tc>
        <w:tc>
          <w:tcPr>
            <w:tcW w:w="1140" w:type="dxa"/>
            <w:vAlign w:val="bottom"/>
          </w:tcPr>
          <w:p>
            <w:pPr>
              <w:jc w:val="center"/>
              <w:spacing w:after="0"/>
              <w:rPr>
                <w:sz w:val="20"/>
                <w:szCs w:val="20"/>
                <w:color w:val="auto"/>
              </w:rPr>
            </w:pPr>
            <w:r>
              <w:rPr>
                <w:rFonts w:ascii="Arial" w:cs="Arial" w:eastAsia="Arial" w:hAnsi="Arial"/>
                <w:sz w:val="15"/>
                <w:szCs w:val="15"/>
                <w:color w:val="auto"/>
                <w:w w:val="89"/>
              </w:rPr>
              <w:t>Comprehensive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color w:val="auto"/>
                <w:w w:val="84"/>
              </w:rPr>
              <w:t>shares</w:t>
            </w:r>
          </w:p>
        </w:tc>
        <w:tc>
          <w:tcPr>
            <w:tcW w:w="120" w:type="dxa"/>
            <w:vAlign w:val="bottom"/>
          </w:tcPr>
          <w:p>
            <w:pPr>
              <w:spacing w:after="0"/>
              <w:rPr>
                <w:sz w:val="15"/>
                <w:szCs w:val="15"/>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5"/>
                <w:szCs w:val="15"/>
                <w:color w:val="auto"/>
              </w:rPr>
              <w:t>Amount</w:t>
            </w:r>
          </w:p>
        </w:tc>
        <w:tc>
          <w:tcPr>
            <w:tcW w:w="1280" w:type="dxa"/>
            <w:vAlign w:val="bottom"/>
            <w:gridSpan w:val="2"/>
          </w:tcPr>
          <w:p>
            <w:pPr>
              <w:jc w:val="right"/>
              <w:ind w:right="500"/>
              <w:spacing w:after="0"/>
              <w:rPr>
                <w:sz w:val="20"/>
                <w:szCs w:val="20"/>
                <w:color w:val="auto"/>
              </w:rPr>
            </w:pPr>
            <w:r>
              <w:rPr>
                <w:rFonts w:ascii="Arial" w:cs="Arial" w:eastAsia="Arial" w:hAnsi="Arial"/>
                <w:sz w:val="15"/>
                <w:szCs w:val="15"/>
                <w:color w:val="auto"/>
              </w:rPr>
              <w:t>Capital</w:t>
            </w:r>
          </w:p>
        </w:tc>
        <w:tc>
          <w:tcPr>
            <w:tcW w:w="100" w:type="dxa"/>
            <w:vAlign w:val="bottom"/>
          </w:tcPr>
          <w:p>
            <w:pPr>
              <w:spacing w:after="0"/>
              <w:rPr>
                <w:sz w:val="15"/>
                <w:szCs w:val="15"/>
                <w:color w:val="auto"/>
              </w:rPr>
            </w:pPr>
          </w:p>
        </w:tc>
        <w:tc>
          <w:tcPr>
            <w:tcW w:w="1400" w:type="dxa"/>
            <w:vAlign w:val="bottom"/>
            <w:gridSpan w:val="2"/>
          </w:tcPr>
          <w:p>
            <w:pPr>
              <w:jc w:val="right"/>
              <w:ind w:right="545"/>
              <w:spacing w:after="0"/>
              <w:rPr>
                <w:sz w:val="20"/>
                <w:szCs w:val="20"/>
                <w:color w:val="auto"/>
              </w:rPr>
            </w:pPr>
            <w:r>
              <w:rPr>
                <w:rFonts w:ascii="Arial" w:cs="Arial" w:eastAsia="Arial" w:hAnsi="Arial"/>
                <w:sz w:val="15"/>
                <w:szCs w:val="15"/>
                <w:color w:val="auto"/>
              </w:rPr>
              <w:t>Deficit</w:t>
            </w:r>
          </w:p>
        </w:tc>
        <w:tc>
          <w:tcPr>
            <w:tcW w:w="1140" w:type="dxa"/>
            <w:vAlign w:val="bottom"/>
          </w:tcPr>
          <w:p>
            <w:pPr>
              <w:jc w:val="center"/>
              <w:spacing w:after="0"/>
              <w:rPr>
                <w:sz w:val="20"/>
                <w:szCs w:val="20"/>
                <w:color w:val="auto"/>
              </w:rPr>
            </w:pPr>
            <w:r>
              <w:rPr>
                <w:rFonts w:ascii="Arial" w:cs="Arial" w:eastAsia="Arial" w:hAnsi="Arial"/>
                <w:sz w:val="15"/>
                <w:szCs w:val="15"/>
                <w:color w:val="auto"/>
                <w:w w:val="94"/>
              </w:rPr>
              <w:t>Loss</w:t>
            </w:r>
          </w:p>
        </w:tc>
        <w:tc>
          <w:tcPr>
            <w:tcW w:w="260" w:type="dxa"/>
            <w:vAlign w:val="bottom"/>
          </w:tcPr>
          <w:p>
            <w:pPr>
              <w:spacing w:after="0"/>
              <w:rPr>
                <w:sz w:val="15"/>
                <w:szCs w:val="15"/>
                <w:color w:val="auto"/>
              </w:rPr>
            </w:pPr>
          </w:p>
        </w:tc>
        <w:tc>
          <w:tcPr>
            <w:tcW w:w="1300" w:type="dxa"/>
            <w:vAlign w:val="bottom"/>
            <w:gridSpan w:val="2"/>
          </w:tcPr>
          <w:p>
            <w:pPr>
              <w:jc w:val="right"/>
              <w:ind w:right="485"/>
              <w:spacing w:after="0"/>
              <w:rPr>
                <w:sz w:val="20"/>
                <w:szCs w:val="20"/>
                <w:color w:val="auto"/>
              </w:rPr>
            </w:pPr>
            <w:r>
              <w:rPr>
                <w:rFonts w:ascii="Arial" w:cs="Arial" w:eastAsia="Arial" w:hAnsi="Arial"/>
                <w:sz w:val="15"/>
                <w:szCs w:val="15"/>
                <w:color w:val="auto"/>
              </w:rPr>
              <w:t>Total</w:t>
            </w:r>
          </w:p>
        </w:tc>
      </w:tr>
      <w:tr>
        <w:trPr>
          <w:trHeight w:val="19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98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40" w:type="dxa"/>
            <w:vAlign w:val="bottom"/>
          </w:tcPr>
          <w:p>
            <w:pPr>
              <w:jc w:val="right"/>
              <w:ind w:right="1007"/>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6"/>
                <w:szCs w:val="16"/>
                <w:color w:val="auto"/>
              </w:rPr>
            </w:pPr>
          </w:p>
        </w:tc>
        <w:tc>
          <w:tcPr>
            <w:tcW w:w="1240" w:type="dxa"/>
            <w:vAlign w:val="bottom"/>
            <w:gridSpan w:val="2"/>
          </w:tcPr>
          <w:p>
            <w:pPr>
              <w:jc w:val="right"/>
              <w:ind w:right="98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40" w:type="dxa"/>
            <w:vAlign w:val="bottom"/>
          </w:tcPr>
          <w:p>
            <w:pPr>
              <w:jc w:val="right"/>
              <w:ind w:right="1007"/>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00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Balance, December 31, 2014</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20,318,816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20,319</w:t>
            </w: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85,265,776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(86,309,731)</w:t>
            </w: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140" w:type="dxa"/>
            <w:vAlign w:val="bottom"/>
          </w:tcPr>
          <w:p>
            <w:pPr>
              <w:spacing w:after="0"/>
              <w:rPr>
                <w:sz w:val="16"/>
                <w:szCs w:val="16"/>
                <w:color w:val="auto"/>
              </w:rPr>
            </w:pPr>
          </w:p>
        </w:tc>
      </w:tr>
      <w:tr>
        <w:trPr>
          <w:trHeight w:val="342"/>
        </w:trPr>
        <w:tc>
          <w:tcPr>
            <w:tcW w:w="3060" w:type="dxa"/>
            <w:vAlign w:val="bottom"/>
            <w:gridSpan w:val="2"/>
          </w:tcPr>
          <w:p>
            <w:pPr>
              <w:spacing w:after="0"/>
              <w:rPr>
                <w:sz w:val="20"/>
                <w:szCs w:val="20"/>
                <w:color w:val="auto"/>
              </w:rPr>
            </w:pPr>
            <w:r>
              <w:rPr>
                <w:rFonts w:ascii="Arial" w:cs="Arial" w:eastAsia="Arial" w:hAnsi="Arial"/>
                <w:sz w:val="15"/>
                <w:szCs w:val="15"/>
                <w:color w:val="auto"/>
                <w:w w:val="91"/>
              </w:rPr>
              <w:t>Private placement (net of finders’ fee of $140,000)</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12,319,995</w:t>
            </w:r>
          </w:p>
        </w:tc>
        <w:tc>
          <w:tcPr>
            <w:tcW w:w="120" w:type="dxa"/>
            <w:vAlign w:val="bottom"/>
          </w:tcPr>
          <w:p>
            <w:pPr>
              <w:spacing w:after="0"/>
              <w:rPr>
                <w:sz w:val="24"/>
                <w:szCs w:val="24"/>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12,320</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2,313,694</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65"/>
              <w:spacing w:after="0"/>
              <w:rPr>
                <w:sz w:val="20"/>
                <w:szCs w:val="20"/>
                <w:color w:val="auto"/>
              </w:rPr>
            </w:pPr>
            <w:r>
              <w:rPr>
                <w:rFonts w:ascii="Arial" w:cs="Arial" w:eastAsia="Arial" w:hAnsi="Arial"/>
                <w:sz w:val="15"/>
                <w:szCs w:val="15"/>
                <w:color w:val="auto"/>
              </w:rPr>
              <w:t>2,326,014</w:t>
            </w: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w w:val="98"/>
              </w:rPr>
              <w:t>Fair value of warrants recognized as derivative</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(2,090,000)</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5"/>
              <w:spacing w:after="0"/>
              <w:rPr>
                <w:sz w:val="20"/>
                <w:szCs w:val="20"/>
                <w:color w:val="auto"/>
              </w:rPr>
            </w:pPr>
            <w:r>
              <w:rPr>
                <w:rFonts w:ascii="Arial" w:cs="Arial" w:eastAsia="Arial" w:hAnsi="Arial"/>
                <w:sz w:val="15"/>
                <w:szCs w:val="15"/>
                <w:color w:val="auto"/>
              </w:rPr>
              <w:t>(2,090,000)</w:t>
            </w: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rPr>
              <w:t>Stock- based compensation</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3,750</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65"/>
              <w:spacing w:after="0"/>
              <w:rPr>
                <w:sz w:val="20"/>
                <w:szCs w:val="20"/>
                <w:color w:val="auto"/>
              </w:rPr>
            </w:pPr>
            <w:r>
              <w:rPr>
                <w:rFonts w:ascii="Arial" w:cs="Arial" w:eastAsia="Arial" w:hAnsi="Arial"/>
                <w:sz w:val="15"/>
                <w:szCs w:val="15"/>
                <w:color w:val="auto"/>
              </w:rPr>
              <w:t>3,750</w:t>
            </w:r>
          </w:p>
        </w:tc>
      </w:tr>
      <w:tr>
        <w:trPr>
          <w:trHeight w:val="194"/>
        </w:trPr>
        <w:tc>
          <w:tcPr>
            <w:tcW w:w="306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00" w:type="dxa"/>
            <w:vAlign w:val="bottom"/>
            <w:gridSpan w:val="3"/>
          </w:tcPr>
          <w:p>
            <w:pPr>
              <w:jc w:val="right"/>
              <w:ind w:right="125"/>
              <w:spacing w:after="0"/>
              <w:rPr>
                <w:sz w:val="20"/>
                <w:szCs w:val="20"/>
                <w:color w:val="auto"/>
              </w:rPr>
            </w:pPr>
            <w:r>
              <w:rPr>
                <w:rFonts w:ascii="Arial" w:cs="Arial" w:eastAsia="Arial" w:hAnsi="Arial"/>
                <w:sz w:val="15"/>
                <w:szCs w:val="15"/>
                <w:color w:val="auto"/>
              </w:rPr>
              <w:t>(981,724)</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5"/>
              <w:spacing w:after="0"/>
              <w:rPr>
                <w:sz w:val="20"/>
                <w:szCs w:val="20"/>
                <w:color w:val="auto"/>
              </w:rPr>
            </w:pPr>
            <w:r>
              <w:rPr>
                <w:rFonts w:ascii="Arial" w:cs="Arial" w:eastAsia="Arial" w:hAnsi="Arial"/>
                <w:sz w:val="15"/>
                <w:szCs w:val="15"/>
                <w:color w:val="auto"/>
              </w:rPr>
              <w:t>(981,724)</w:t>
            </w:r>
          </w:p>
        </w:tc>
      </w:tr>
      <w:tr>
        <w:trPr>
          <w:trHeight w:val="181"/>
        </w:trPr>
        <w:tc>
          <w:tcPr>
            <w:tcW w:w="3060" w:type="dxa"/>
            <w:vAlign w:val="bottom"/>
            <w:tcBorders>
              <w:top w:val="single" w:sz="8" w:color="auto"/>
              <w:bottom w:val="single" w:sz="8" w:color="auto"/>
            </w:tcBorders>
            <w:gridSpan w:val="2"/>
          </w:tcPr>
          <w:p>
            <w:pPr>
              <w:spacing w:after="0" w:line="161" w:lineRule="exact"/>
              <w:rPr>
                <w:sz w:val="20"/>
                <w:szCs w:val="20"/>
                <w:color w:val="auto"/>
              </w:rPr>
            </w:pPr>
            <w:r>
              <w:rPr>
                <w:rFonts w:ascii="Arial" w:cs="Arial" w:eastAsia="Arial" w:hAnsi="Arial"/>
                <w:sz w:val="15"/>
                <w:szCs w:val="15"/>
                <w:color w:val="auto"/>
              </w:rPr>
              <w:t>Balance, March 31, 2015</w:t>
            </w: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32,638,811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32,639</w:t>
            </w:r>
          </w:p>
        </w:tc>
        <w:tc>
          <w:tcPr>
            <w:tcW w:w="26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85,493,220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(87,291,455</w:t>
            </w:r>
          </w:p>
        </w:tc>
        <w:tc>
          <w:tcPr>
            <w:tcW w:w="260" w:type="dxa"/>
            <w:vAlign w:val="bottom"/>
          </w:tcPr>
          <w:p>
            <w:pPr>
              <w:jc w:val="right"/>
              <w:ind w:right="125"/>
              <w:spacing w:after="0" w:line="161" w:lineRule="exact"/>
              <w:rPr>
                <w:sz w:val="20"/>
                <w:szCs w:val="20"/>
                <w:color w:val="auto"/>
              </w:rPr>
            </w:pPr>
            <w:r>
              <w:rPr>
                <w:rFonts w:ascii="Arial" w:cs="Arial" w:eastAsia="Arial" w:hAnsi="Arial"/>
                <w:sz w:val="15"/>
                <w:szCs w:val="15"/>
                <w:color w:val="auto"/>
                <w:w w:val="79"/>
              </w:rPr>
              <w:t>)</w:t>
            </w: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(1,765,596</w:t>
            </w:r>
          </w:p>
        </w:tc>
        <w:tc>
          <w:tcPr>
            <w:tcW w:w="140" w:type="dxa"/>
            <w:vAlign w:val="bottom"/>
          </w:tcPr>
          <w:p>
            <w:pPr>
              <w:jc w:val="right"/>
              <w:ind w:right="5"/>
              <w:spacing w:after="0" w:line="161" w:lineRule="exact"/>
              <w:rPr>
                <w:sz w:val="20"/>
                <w:szCs w:val="20"/>
                <w:color w:val="auto"/>
              </w:rPr>
            </w:pPr>
            <w:r>
              <w:rPr>
                <w:rFonts w:ascii="Arial" w:cs="Arial" w:eastAsia="Arial" w:hAnsi="Arial"/>
                <w:sz w:val="15"/>
                <w:szCs w:val="15"/>
                <w:color w:val="auto"/>
                <w:w w:val="79"/>
              </w:rPr>
              <w:t>)</w:t>
            </w: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2"/>
              <w:spacing w:after="0"/>
              <w:rPr>
                <w:sz w:val="20"/>
                <w:szCs w:val="20"/>
                <w:color w:val="auto"/>
              </w:rPr>
            </w:pPr>
            <w:r>
              <w:rPr>
                <w:rFonts w:ascii="Arial" w:cs="Arial" w:eastAsia="Arial" w:hAnsi="Arial"/>
                <w:sz w:val="15"/>
                <w:szCs w:val="15"/>
                <w:color w:val="auto"/>
                <w:w w:val="92"/>
              </w:rPr>
              <w:t>Three Months</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165"/>
              <w:spacing w:after="0"/>
              <w:rPr>
                <w:sz w:val="20"/>
                <w:szCs w:val="20"/>
                <w:color w:val="auto"/>
              </w:rPr>
            </w:pPr>
            <w:r>
              <w:rPr>
                <w:rFonts w:ascii="Arial" w:cs="Arial" w:eastAsia="Arial" w:hAnsi="Arial"/>
                <w:sz w:val="15"/>
                <w:szCs w:val="15"/>
                <w:color w:val="auto"/>
                <w:w w:val="92"/>
              </w:rPr>
              <w:t>Three Months</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2"/>
              <w:spacing w:after="0"/>
              <w:rPr>
                <w:sz w:val="20"/>
                <w:szCs w:val="20"/>
                <w:color w:val="auto"/>
              </w:rPr>
            </w:pPr>
            <w:r>
              <w:rPr>
                <w:rFonts w:ascii="Arial" w:cs="Arial" w:eastAsia="Arial" w:hAnsi="Arial"/>
                <w:sz w:val="15"/>
                <w:szCs w:val="15"/>
                <w:color w:val="auto"/>
                <w:w w:val="87"/>
              </w:rPr>
              <w:t>Ended</w:t>
            </w:r>
          </w:p>
        </w:tc>
        <w:tc>
          <w:tcPr>
            <w:tcW w:w="140" w:type="dxa"/>
            <w:vAlign w:val="bottom"/>
          </w:tcPr>
          <w:p>
            <w:pPr>
              <w:spacing w:after="0"/>
              <w:rPr>
                <w:sz w:val="15"/>
                <w:szCs w:val="15"/>
                <w:color w:val="auto"/>
              </w:rPr>
            </w:pPr>
          </w:p>
        </w:tc>
        <w:tc>
          <w:tcPr>
            <w:tcW w:w="1180" w:type="dxa"/>
            <w:vAlign w:val="bottom"/>
            <w:gridSpan w:val="2"/>
          </w:tcPr>
          <w:p>
            <w:pPr>
              <w:jc w:val="center"/>
              <w:ind w:right="205"/>
              <w:spacing w:after="0"/>
              <w:rPr>
                <w:sz w:val="20"/>
                <w:szCs w:val="20"/>
                <w:color w:val="auto"/>
              </w:rPr>
            </w:pPr>
            <w:r>
              <w:rPr>
                <w:rFonts w:ascii="Arial" w:cs="Arial" w:eastAsia="Arial" w:hAnsi="Arial"/>
                <w:sz w:val="15"/>
                <w:szCs w:val="15"/>
                <w:color w:val="auto"/>
                <w:w w:val="87"/>
              </w:rPr>
              <w:t>Ended</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2"/>
              <w:spacing w:after="0"/>
              <w:rPr>
                <w:sz w:val="20"/>
                <w:szCs w:val="20"/>
                <w:color w:val="auto"/>
              </w:rPr>
            </w:pPr>
            <w:r>
              <w:rPr>
                <w:rFonts w:ascii="Arial" w:cs="Arial" w:eastAsia="Arial" w:hAnsi="Arial"/>
                <w:sz w:val="15"/>
                <w:szCs w:val="15"/>
                <w:color w:val="auto"/>
                <w:w w:val="92"/>
              </w:rPr>
              <w:t>March 31,</w:t>
            </w:r>
          </w:p>
        </w:tc>
        <w:tc>
          <w:tcPr>
            <w:tcW w:w="140" w:type="dxa"/>
            <w:vAlign w:val="bottom"/>
          </w:tcPr>
          <w:p>
            <w:pPr>
              <w:spacing w:after="0"/>
              <w:rPr>
                <w:sz w:val="15"/>
                <w:szCs w:val="15"/>
                <w:color w:val="auto"/>
              </w:rPr>
            </w:pPr>
          </w:p>
        </w:tc>
        <w:tc>
          <w:tcPr>
            <w:tcW w:w="1180" w:type="dxa"/>
            <w:vAlign w:val="bottom"/>
            <w:gridSpan w:val="2"/>
          </w:tcPr>
          <w:p>
            <w:pPr>
              <w:jc w:val="center"/>
              <w:ind w:right="205"/>
              <w:spacing w:after="0"/>
              <w:rPr>
                <w:sz w:val="20"/>
                <w:szCs w:val="20"/>
                <w:color w:val="auto"/>
              </w:rPr>
            </w:pPr>
            <w:r>
              <w:rPr>
                <w:rFonts w:ascii="Arial" w:cs="Arial" w:eastAsia="Arial" w:hAnsi="Arial"/>
                <w:sz w:val="15"/>
                <w:szCs w:val="15"/>
                <w:color w:val="auto"/>
                <w:w w:val="92"/>
              </w:rPr>
              <w:t>March 31,</w:t>
            </w:r>
          </w:p>
        </w:tc>
      </w:tr>
      <w:tr>
        <w:trPr>
          <w:trHeight w:val="194"/>
        </w:trPr>
        <w:tc>
          <w:tcPr>
            <w:tcW w:w="20" w:type="dxa"/>
            <w:vAlign w:val="bottom"/>
          </w:tcPr>
          <w:p>
            <w:pPr>
              <w:spacing w:after="0"/>
              <w:rPr>
                <w:sz w:val="16"/>
                <w:szCs w:val="16"/>
                <w:color w:val="auto"/>
              </w:rPr>
            </w:pPr>
          </w:p>
        </w:tc>
        <w:tc>
          <w:tcPr>
            <w:tcW w:w="8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89"/>
              </w:rPr>
              <w:t>2014</w:t>
            </w:r>
          </w:p>
        </w:tc>
        <w:tc>
          <w:tcPr>
            <w:tcW w:w="140" w:type="dxa"/>
            <w:vAlign w:val="bottom"/>
          </w:tcPr>
          <w:p>
            <w:pPr>
              <w:spacing w:after="0"/>
              <w:rPr>
                <w:sz w:val="16"/>
                <w:szCs w:val="16"/>
                <w:color w:val="auto"/>
              </w:rPr>
            </w:pP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(981,724)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(29,707,230)</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Adjustments to reconcile net loss to</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cash from operating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Changes in fair value of derivative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(46,440)</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338,297</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27,663,430</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Non-cash interest and finance charges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483,636</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Stock based compensation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3,750</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690,000</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9, 961</w:t>
            </w:r>
          </w:p>
        </w:tc>
        <w:tc>
          <w:tcPr>
            <w:tcW w:w="140" w:type="dxa"/>
            <w:vAlign w:val="bottom"/>
          </w:tcPr>
          <w:p>
            <w:pPr>
              <w:spacing w:after="0"/>
              <w:rPr>
                <w:sz w:val="16"/>
                <w:szCs w:val="16"/>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158,913</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(1,014,453</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(372,954</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Issuance of shares, net of issuance costs of $140,000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2,326,014</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Convertible note issuance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418,000</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2,326,014</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418,000</w:t>
            </w:r>
          </w:p>
        </w:tc>
        <w:tc>
          <w:tcPr>
            <w:tcW w:w="140" w:type="dxa"/>
            <w:vAlign w:val="bottom"/>
          </w:tcPr>
          <w:p>
            <w:pPr>
              <w:spacing w:after="0"/>
              <w:rPr>
                <w:sz w:val="15"/>
                <w:szCs w:val="15"/>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INCREASE IN CASH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1,311,561</w:t>
            </w:r>
          </w:p>
        </w:tc>
        <w:tc>
          <w:tcPr>
            <w:tcW w:w="14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45,046</w:t>
            </w:r>
          </w:p>
        </w:tc>
      </w:tr>
      <w:tr>
        <w:trPr>
          <w:trHeight w:val="366"/>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BEGINNING OF PERIOD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4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r>
      <w:tr>
        <w:trPr>
          <w:trHeight w:val="181"/>
        </w:trPr>
        <w:tc>
          <w:tcPr>
            <w:tcW w:w="8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CASH, END OF PERIOD</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1,453,505</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93,635</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left="5"/>
              <w:spacing w:after="0"/>
              <w:rPr>
                <w:sz w:val="20"/>
                <w:szCs w:val="20"/>
                <w:color w:val="auto"/>
              </w:rPr>
            </w:pPr>
            <w:r>
              <w:rPr>
                <w:rFonts w:ascii="Arial" w:cs="Arial" w:eastAsia="Arial" w:hAnsi="Arial"/>
                <w:sz w:val="15"/>
                <w:szCs w:val="15"/>
                <w:color w:val="auto"/>
                <w:w w:val="92"/>
              </w:rPr>
              <w:t>Three Months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5"/>
                <w:szCs w:val="15"/>
                <w:color w:val="auto"/>
                <w:w w:val="92"/>
              </w:rPr>
              <w:t>Three Months</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5"/>
              <w:spacing w:after="0"/>
              <w:rPr>
                <w:sz w:val="20"/>
                <w:szCs w:val="20"/>
                <w:color w:val="auto"/>
              </w:rPr>
            </w:pPr>
            <w:r>
              <w:rPr>
                <w:rFonts w:ascii="Arial" w:cs="Arial" w:eastAsia="Arial" w:hAnsi="Arial"/>
                <w:sz w:val="15"/>
                <w:szCs w:val="15"/>
                <w:color w:val="auto"/>
                <w:w w:val="87"/>
              </w:rPr>
              <w:t>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7"/>
              </w:rPr>
              <w:t>Ended</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5"/>
              <w:spacing w:after="0"/>
              <w:rPr>
                <w:sz w:val="20"/>
                <w:szCs w:val="20"/>
                <w:color w:val="auto"/>
              </w:rPr>
            </w:pPr>
            <w:r>
              <w:rPr>
                <w:rFonts w:ascii="Arial" w:cs="Arial" w:eastAsia="Arial" w:hAnsi="Arial"/>
                <w:sz w:val="15"/>
                <w:szCs w:val="15"/>
                <w:color w:val="auto"/>
                <w:w w:val="92"/>
              </w:rPr>
              <w:t>March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92"/>
              </w:rPr>
              <w:t>March 31,</w:t>
            </w:r>
          </w:p>
        </w:tc>
      </w:tr>
      <w:tr>
        <w:trPr>
          <w:trHeight w:val="194"/>
        </w:trPr>
        <w:tc>
          <w:tcPr>
            <w:tcW w:w="8580" w:type="dxa"/>
            <w:vAlign w:val="bottom"/>
          </w:tcPr>
          <w:p>
            <w:pPr>
              <w:spacing w:after="0"/>
              <w:rPr>
                <w:sz w:val="16"/>
                <w:szCs w:val="16"/>
                <w:color w:val="auto"/>
              </w:rPr>
            </w:pPr>
          </w:p>
        </w:tc>
        <w:tc>
          <w:tcPr>
            <w:tcW w:w="1200" w:type="dxa"/>
            <w:vAlign w:val="bottom"/>
            <w:gridSpan w:val="2"/>
          </w:tcPr>
          <w:p>
            <w:pPr>
              <w:jc w:val="center"/>
              <w:ind w:left="145"/>
              <w:spacing w:after="0"/>
              <w:rPr>
                <w:sz w:val="20"/>
                <w:szCs w:val="20"/>
                <w:color w:val="auto"/>
              </w:rPr>
            </w:pPr>
            <w:r>
              <w:rPr>
                <w:rFonts w:ascii="Arial" w:cs="Arial" w:eastAsia="Arial" w:hAnsi="Arial"/>
                <w:sz w:val="15"/>
                <w:szCs w:val="15"/>
                <w:color w:val="auto"/>
                <w:w w:val="8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5"/>
              <w:spacing w:after="0"/>
              <w:rPr>
                <w:sz w:val="20"/>
                <w:szCs w:val="20"/>
                <w:color w:val="auto"/>
              </w:rPr>
            </w:pPr>
            <w:r>
              <w:rPr>
                <w:rFonts w:ascii="Arial" w:cs="Arial" w:eastAsia="Arial" w:hAnsi="Arial"/>
                <w:sz w:val="15"/>
                <w:szCs w:val="15"/>
                <w:color w:val="auto"/>
                <w:w w:val="89"/>
              </w:rPr>
              <w:t>2014</w:t>
            </w:r>
          </w:p>
        </w:tc>
        <w:tc>
          <w:tcPr>
            <w:tcW w:w="140" w:type="dxa"/>
            <w:vAlign w:val="bottom"/>
          </w:tcPr>
          <w:p>
            <w:pPr>
              <w:spacing w:after="0"/>
              <w:rPr>
                <w:sz w:val="16"/>
                <w:szCs w:val="16"/>
                <w:color w:val="auto"/>
              </w:rPr>
            </w:pPr>
          </w:p>
        </w:tc>
      </w:tr>
      <w:tr>
        <w:trPr>
          <w:trHeight w:val="361"/>
        </w:trPr>
        <w:tc>
          <w:tcPr>
            <w:tcW w:w="85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SUPPLEMENTAL SCHEDULE OF NON-CASH ACTIVITIES</w:t>
            </w:r>
          </w:p>
        </w:tc>
        <w:tc>
          <w:tcPr>
            <w:tcW w:w="1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color w:val="auto"/>
              </w:rPr>
              <w:t>Accounts payable settled in common stock</w:t>
            </w:r>
          </w:p>
        </w:tc>
        <w:tc>
          <w:tcPr>
            <w:tcW w:w="1200" w:type="dxa"/>
            <w:vAlign w:val="bottom"/>
            <w:gridSpan w:val="2"/>
          </w:tcPr>
          <w:p>
            <w:pPr>
              <w:jc w:val="right"/>
              <w:ind w:right="925"/>
              <w:spacing w:after="0"/>
              <w:rPr>
                <w:sz w:val="20"/>
                <w:szCs w:val="20"/>
                <w:color w:val="auto"/>
              </w:rPr>
            </w:pPr>
            <w:r>
              <w:rPr>
                <w:rFonts w:ascii="Arial" w:cs="Arial" w:eastAsia="Arial" w:hAnsi="Arial"/>
                <w:sz w:val="15"/>
                <w:szCs w:val="15"/>
                <w:color w:val="auto"/>
              </w:rPr>
              <w:t>$</w:t>
            </w:r>
          </w:p>
        </w:tc>
        <w:tc>
          <w:tcPr>
            <w:tcW w:w="460" w:type="dxa"/>
            <w:vAlign w:val="bottom"/>
            <w:gridSpan w:val="3"/>
          </w:tcPr>
          <w:p>
            <w:pPr>
              <w:ind w:left="40"/>
              <w:spacing w:after="0"/>
              <w:rPr>
                <w:sz w:val="20"/>
                <w:szCs w:val="20"/>
                <w:color w:val="auto"/>
              </w:rPr>
            </w:pPr>
            <w:r>
              <w:rPr>
                <w:rFonts w:ascii="Arial" w:cs="Arial" w:eastAsia="Arial" w:hAnsi="Arial"/>
                <w:sz w:val="15"/>
                <w:szCs w:val="15"/>
                <w:color w:val="auto"/>
              </w:rPr>
              <w:t>-   $</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513,000</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Conversion of debt obligations into common stock:</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Accrued interest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476,000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Convertible notes payable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3,293,000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Loans payable, related party</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42,000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Promissory notes, related party</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210,000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Due to related parties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369,000</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Fair value derivative liability – conversion option at conversion</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708,000</w:t>
            </w:r>
          </w:p>
        </w:tc>
      </w:tr>
      <w:tr>
        <w:trPr>
          <w:trHeight w:val="366"/>
        </w:trPr>
        <w:tc>
          <w:tcPr>
            <w:tcW w:w="8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66" w:name="page67"/>
    <w:bookmarkEnd w:id="66"/>
    <w:p>
      <w:pPr>
        <w:jc w:val="center"/>
        <w:spacing w:after="0"/>
        <w:rPr>
          <w:sz w:val="20"/>
          <w:szCs w:val="20"/>
          <w:color w:val="auto"/>
        </w:rPr>
      </w:pPr>
      <w:r>
        <w:rPr>
          <w:rFonts w:ascii="Arial" w:cs="Arial" w:eastAsia="Arial" w:hAnsi="Arial"/>
          <w:sz w:val="15"/>
          <w:szCs w:val="15"/>
          <w:b w:val="1"/>
          <w:bCs w:val="1"/>
          <w:i w:val="1"/>
          <w:iCs w:val="1"/>
          <w:color w:val="auto"/>
        </w:rPr>
        <w:t>TAPIMMUNE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March 31,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OPERATIONS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BASIS OF PRESENTATION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59" w:lineRule="exact"/>
        <w:rPr>
          <w:sz w:val="20"/>
          <w:szCs w:val="20"/>
          <w:color w:val="auto"/>
        </w:rPr>
      </w:pPr>
    </w:p>
    <w:p>
      <w:pPr>
        <w:jc w:val="both"/>
        <w:ind w:firstLine="43"/>
        <w:spacing w:after="0" w:line="260" w:lineRule="auto"/>
        <w:rPr>
          <w:sz w:val="20"/>
          <w:szCs w:val="20"/>
          <w:color w:val="auto"/>
        </w:rPr>
      </w:pPr>
      <w:r>
        <w:rPr>
          <w:rFonts w:ascii="Arial" w:cs="Arial" w:eastAsia="Arial" w:hAnsi="Arial"/>
          <w:sz w:val="15"/>
          <w:szCs w:val="15"/>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LIQUIDITY AND FINANCIAL CONDITION</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As of March 31, 2015, the Company had cash and cash equivalents of approximately $1,454,000.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SIGNIFICANT ACCOUNTING POLICIES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There have been no material changes in the Company’s significant accounting policies to those previously disclosed in the Company’s annual report on Form 10-K, which was filed with the SEC on April 15, 2015.</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Prior Period Reclassifications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Certain prior period amounts that were combined in the March 31, 2014 consolidated financial statements have been reclassified for comparability with the March 31, 2015 presentation.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These reclassifications had no effect on previously reported net loss.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0" w:right="21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color w:val="auto"/>
        </w:rPr>
        <w:t>NOTE 5: POTENTIALLY DILUTIVE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Options, warrants, and convertible debt outstanding were all considered anti-dilutive for the three months ended March 31, 2015 and 2014, due to net losses.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securities were not included in the diluted net loss per share calculation because their effect was anti-dilutive as of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720" w:type="dxa"/>
            <w:vAlign w:val="bottom"/>
          </w:tcPr>
          <w:p>
            <w:pPr>
              <w:spacing w:after="0"/>
              <w:rPr>
                <w:sz w:val="17"/>
                <w:szCs w:val="17"/>
                <w:color w:val="auto"/>
              </w:rPr>
            </w:pPr>
          </w:p>
        </w:tc>
        <w:tc>
          <w:tcPr>
            <w:tcW w:w="1700" w:type="dxa"/>
            <w:vAlign w:val="bottom"/>
            <w:tcBorders>
              <w:bottom w:val="single" w:sz="8" w:color="auto"/>
            </w:tcBorders>
            <w:gridSpan w:val="3"/>
          </w:tcPr>
          <w:p>
            <w:pPr>
              <w:ind w:left="920"/>
              <w:spacing w:after="0"/>
              <w:rPr>
                <w:sz w:val="20"/>
                <w:szCs w:val="20"/>
                <w:color w:val="auto"/>
              </w:rPr>
            </w:pPr>
            <w:r>
              <w:rPr>
                <w:rFonts w:ascii="Arial" w:cs="Arial" w:eastAsia="Arial" w:hAnsi="Arial"/>
                <w:sz w:val="15"/>
                <w:szCs w:val="15"/>
                <w:b w:val="1"/>
                <w:bCs w:val="1"/>
                <w:color w:val="auto"/>
              </w:rPr>
              <w:t>March 31,</w:t>
            </w:r>
          </w:p>
        </w:tc>
        <w:tc>
          <w:tcPr>
            <w:tcW w:w="880" w:type="dxa"/>
            <w:vAlign w:val="bottom"/>
            <w:tcBorders>
              <w:bottom w:val="single" w:sz="8" w:color="auto"/>
            </w:tcBorders>
          </w:tcPr>
          <w:p>
            <w:pPr>
              <w:spacing w:after="0"/>
              <w:rPr>
                <w:sz w:val="17"/>
                <w:szCs w:val="17"/>
                <w:color w:val="auto"/>
              </w:rPr>
            </w:pPr>
          </w:p>
        </w:tc>
      </w:tr>
      <w:tr>
        <w:trPr>
          <w:trHeight w:val="184"/>
        </w:trPr>
        <w:tc>
          <w:tcPr>
            <w:tcW w:w="8720" w:type="dxa"/>
            <w:vAlign w:val="bottom"/>
          </w:tcPr>
          <w:p>
            <w:pPr>
              <w:spacing w:after="0"/>
              <w:rPr>
                <w:sz w:val="15"/>
                <w:szCs w:val="15"/>
                <w:color w:val="auto"/>
              </w:rPr>
            </w:pPr>
          </w:p>
        </w:tc>
        <w:tc>
          <w:tcPr>
            <w:tcW w:w="11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r>
      <w:tr>
        <w:trPr>
          <w:trHeight w:val="170"/>
        </w:trPr>
        <w:tc>
          <w:tcPr>
            <w:tcW w:w="8720" w:type="dxa"/>
            <w:vAlign w:val="bottom"/>
          </w:tcPr>
          <w:p>
            <w:pPr>
              <w:spacing w:after="0" w:line="171" w:lineRule="exact"/>
              <w:rPr>
                <w:sz w:val="20"/>
                <w:szCs w:val="20"/>
                <w:color w:val="auto"/>
              </w:rPr>
            </w:pPr>
            <w:r>
              <w:rPr>
                <w:rFonts w:ascii="Arial" w:cs="Arial" w:eastAsia="Arial" w:hAnsi="Arial"/>
                <w:sz w:val="15"/>
                <w:szCs w:val="15"/>
                <w:color w:val="auto"/>
              </w:rPr>
              <w:t>Common stock options</w:t>
            </w:r>
          </w:p>
        </w:tc>
        <w:tc>
          <w:tcPr>
            <w:tcW w:w="1160" w:type="dxa"/>
            <w:vAlign w:val="bottom"/>
          </w:tcPr>
          <w:p>
            <w:pPr>
              <w:jc w:val="right"/>
              <w:spacing w:after="0" w:line="171" w:lineRule="exact"/>
              <w:rPr>
                <w:sz w:val="20"/>
                <w:szCs w:val="20"/>
                <w:color w:val="auto"/>
              </w:rPr>
            </w:pPr>
            <w:r>
              <w:rPr>
                <w:rFonts w:ascii="Arial" w:cs="Arial" w:eastAsia="Arial" w:hAnsi="Arial"/>
                <w:sz w:val="15"/>
                <w:szCs w:val="15"/>
                <w:color w:val="auto"/>
              </w:rPr>
              <w:t>65,000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5"/>
                <w:szCs w:val="15"/>
                <w:color w:val="auto"/>
              </w:rPr>
              <w:t>65,000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equity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52,229,000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193,000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liability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12,514,000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57,000</w:t>
            </w:r>
          </w:p>
        </w:tc>
      </w:tr>
      <w:tr>
        <w:trPr>
          <w:trHeight w:val="194"/>
        </w:trPr>
        <w:tc>
          <w:tcPr>
            <w:tcW w:w="8720" w:type="dxa"/>
            <w:vAlign w:val="bottom"/>
          </w:tcPr>
          <w:p>
            <w:pPr>
              <w:spacing w:after="0"/>
              <w:rPr>
                <w:sz w:val="20"/>
                <w:szCs w:val="20"/>
                <w:color w:val="auto"/>
              </w:rPr>
            </w:pPr>
            <w:r>
              <w:rPr>
                <w:rFonts w:ascii="Arial" w:cs="Arial" w:eastAsia="Arial" w:hAnsi="Arial"/>
                <w:sz w:val="15"/>
                <w:szCs w:val="15"/>
                <w:color w:val="auto"/>
              </w:rPr>
              <w:t>Convertible notes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w:t>
            </w:r>
          </w:p>
        </w:tc>
      </w:tr>
      <w:tr>
        <w:trPr>
          <w:trHeight w:val="181"/>
        </w:trPr>
        <w:tc>
          <w:tcPr>
            <w:tcW w:w="8720" w:type="dxa"/>
            <w:vAlign w:val="bottom"/>
          </w:tcPr>
          <w:p>
            <w:pPr>
              <w:spacing w:after="0" w:line="161" w:lineRule="exact"/>
              <w:rPr>
                <w:sz w:val="20"/>
                <w:szCs w:val="20"/>
                <w:color w:val="auto"/>
              </w:rPr>
            </w:pPr>
            <w:r>
              <w:rPr>
                <w:rFonts w:ascii="Arial" w:cs="Arial" w:eastAsia="Arial" w:hAnsi="Arial"/>
                <w:sz w:val="15"/>
                <w:szCs w:val="15"/>
                <w:color w:val="auto"/>
              </w:rPr>
              <w:t>Potentially dilutive securities</w:t>
            </w: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64,808,000</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330,000</w:t>
            </w:r>
          </w:p>
        </w:tc>
      </w:tr>
      <w:tr>
        <w:trPr>
          <w:trHeight w:val="20"/>
        </w:trPr>
        <w:tc>
          <w:tcPr>
            <w:tcW w:w="8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DERIVATIVE LIABILITY - WARRANTS AND DERIVATIVE LIABILITY – CONVERSION OPTION</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2015 and 2014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80" w:type="dxa"/>
            <w:vAlign w:val="bottom"/>
            <w:gridSpan w:val="2"/>
          </w:tcPr>
          <w:p>
            <w:pPr>
              <w:spacing w:after="0"/>
              <w:rPr>
                <w:sz w:val="20"/>
                <w:szCs w:val="20"/>
                <w:color w:val="auto"/>
              </w:rPr>
            </w:pPr>
            <w:r>
              <w:rPr>
                <w:rFonts w:ascii="Arial" w:cs="Arial" w:eastAsia="Arial" w:hAnsi="Arial"/>
                <w:sz w:val="15"/>
                <w:szCs w:val="15"/>
                <w:b w:val="1"/>
                <w:bCs w:val="1"/>
                <w:color w:val="auto"/>
              </w:rPr>
              <w:t>Share Purchase Warrants</w:t>
            </w:r>
          </w:p>
        </w:tc>
        <w:tc>
          <w:tcPr>
            <w:tcW w:w="2720" w:type="dxa"/>
            <w:vAlign w:val="bottom"/>
            <w:gridSpan w:val="6"/>
          </w:tcPr>
          <w:p>
            <w:pPr>
              <w:ind w:left="20"/>
              <w:spacing w:after="0"/>
              <w:rPr>
                <w:sz w:val="20"/>
                <w:szCs w:val="20"/>
                <w:color w:val="auto"/>
              </w:rPr>
            </w:pPr>
            <w:r>
              <w:rPr>
                <w:rFonts w:ascii="Arial" w:cs="Arial" w:eastAsia="Arial" w:hAnsi="Arial"/>
                <w:sz w:val="15"/>
                <w:szCs w:val="15"/>
                <w:b w:val="1"/>
                <w:bCs w:val="1"/>
                <w:color w:val="auto"/>
                <w:w w:val="95"/>
              </w:rPr>
              <w:t>Weighted Average Inputs for the Period</w:t>
            </w:r>
          </w:p>
        </w:tc>
      </w:tr>
      <w:tr>
        <w:trPr>
          <w:trHeight w:val="166"/>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top w:val="single" w:sz="8" w:color="auto"/>
            </w:tcBorders>
            <w:gridSpan w:val="3"/>
          </w:tcPr>
          <w:p>
            <w:pPr>
              <w:jc w:val="center"/>
              <w:ind w:right="260"/>
              <w:spacing w:after="0" w:line="167" w:lineRule="exact"/>
              <w:rPr>
                <w:sz w:val="20"/>
                <w:szCs w:val="20"/>
                <w:color w:val="auto"/>
              </w:rPr>
            </w:pPr>
            <w:r>
              <w:rPr>
                <w:rFonts w:ascii="Arial" w:cs="Arial" w:eastAsia="Arial" w:hAnsi="Arial"/>
                <w:sz w:val="15"/>
                <w:szCs w:val="15"/>
                <w:b w:val="1"/>
                <w:bCs w:val="1"/>
                <w:color w:val="auto"/>
                <w:w w:val="95"/>
              </w:rPr>
              <w:t>For the Quarter</w:t>
            </w:r>
          </w:p>
        </w:tc>
        <w:tc>
          <w:tcPr>
            <w:tcW w:w="1180" w:type="dxa"/>
            <w:vAlign w:val="bottom"/>
            <w:tcBorders>
              <w:top w:val="single" w:sz="8" w:color="auto"/>
            </w:tcBorders>
            <w:gridSpan w:val="2"/>
          </w:tcPr>
          <w:p>
            <w:pPr>
              <w:jc w:val="center"/>
              <w:spacing w:after="0" w:line="167" w:lineRule="exact"/>
              <w:rPr>
                <w:sz w:val="20"/>
                <w:szCs w:val="20"/>
                <w:color w:val="auto"/>
              </w:rPr>
            </w:pPr>
            <w:r>
              <w:rPr>
                <w:rFonts w:ascii="Arial" w:cs="Arial" w:eastAsia="Arial" w:hAnsi="Arial"/>
                <w:sz w:val="15"/>
                <w:szCs w:val="15"/>
                <w:b w:val="1"/>
                <w:bCs w:val="1"/>
                <w:color w:val="auto"/>
                <w:w w:val="95"/>
              </w:rPr>
              <w:t>For the Quarter</w:t>
            </w:r>
          </w:p>
        </w:tc>
        <w:tc>
          <w:tcPr>
            <w:tcW w:w="120" w:type="dxa"/>
            <w:vAlign w:val="bottom"/>
          </w:tcPr>
          <w:p>
            <w:pPr>
              <w:spacing w:after="0"/>
              <w:rPr>
                <w:sz w:val="14"/>
                <w:szCs w:val="14"/>
                <w:color w:val="auto"/>
              </w:rPr>
            </w:pPr>
          </w:p>
        </w:tc>
      </w:tr>
      <w:tr>
        <w:trPr>
          <w:trHeight w:val="181"/>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4"/>
              </w:rPr>
              <w:t>Ending March</w:t>
            </w:r>
          </w:p>
        </w:tc>
        <w:tc>
          <w:tcPr>
            <w:tcW w:w="13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4"/>
              </w:rPr>
              <w:t>Ending March 31,</w:t>
            </w:r>
          </w:p>
        </w:tc>
      </w:tr>
      <w:tr>
        <w:trPr>
          <w:trHeight w:val="198"/>
        </w:trPr>
        <w:tc>
          <w:tcPr>
            <w:tcW w:w="8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of valuation</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8"/>
              </w:rPr>
              <w:t>31, 2015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5"/>
              <w:spacing w:after="0"/>
              <w:rPr>
                <w:sz w:val="20"/>
                <w:szCs w:val="20"/>
                <w:color w:val="auto"/>
              </w:rPr>
            </w:pPr>
            <w:r>
              <w:rPr>
                <w:rFonts w:ascii="Arial" w:cs="Arial" w:eastAsia="Arial" w:hAnsi="Arial"/>
                <w:sz w:val="15"/>
                <w:szCs w:val="15"/>
                <w:b w:val="1"/>
                <w:bCs w:val="1"/>
                <w:color w:val="auto"/>
                <w:w w:val="89"/>
              </w:rPr>
              <w:t>2014</w:t>
            </w:r>
          </w:p>
        </w:tc>
        <w:tc>
          <w:tcPr>
            <w:tcW w:w="120" w:type="dxa"/>
            <w:vAlign w:val="bottom"/>
          </w:tcPr>
          <w:p>
            <w:pPr>
              <w:spacing w:after="0"/>
              <w:rPr>
                <w:sz w:val="17"/>
                <w:szCs w:val="17"/>
                <w:color w:val="auto"/>
              </w:rPr>
            </w:pPr>
          </w:p>
        </w:tc>
      </w:tr>
      <w:tr>
        <w:trPr>
          <w:trHeight w:val="170"/>
        </w:trPr>
        <w:tc>
          <w:tcPr>
            <w:tcW w:w="8560" w:type="dxa"/>
            <w:vAlign w:val="bottom"/>
          </w:tcPr>
          <w:p>
            <w:pPr>
              <w:spacing w:after="0" w:line="171" w:lineRule="exact"/>
              <w:rPr>
                <w:sz w:val="20"/>
                <w:szCs w:val="20"/>
                <w:color w:val="auto"/>
              </w:rPr>
            </w:pPr>
            <w:r>
              <w:rPr>
                <w:rFonts w:ascii="Arial" w:cs="Arial" w:eastAsia="Arial" w:hAnsi="Arial"/>
                <w:sz w:val="15"/>
                <w:szCs w:val="15"/>
                <w:color w:val="auto"/>
              </w:rPr>
              <w:t>Dividend yield (per 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0%</w:t>
            </w:r>
          </w:p>
        </w:tc>
        <w:tc>
          <w:tcPr>
            <w:tcW w:w="26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0%</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Strike price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1.52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5.84</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Volatility (annual)</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155.00%</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159.00%</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Risk-free rate</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0.65%</w:t>
            </w:r>
          </w:p>
        </w:tc>
      </w:tr>
      <w:tr>
        <w:trPr>
          <w:trHeight w:val="194"/>
        </w:trPr>
        <w:tc>
          <w:tcPr>
            <w:tcW w:w="8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Contractual term (years)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w:t>
            </w:r>
          </w:p>
        </w:tc>
        <w:tc>
          <w:tcPr>
            <w:tcW w:w="120" w:type="dxa"/>
            <w:vAlign w:val="bottom"/>
          </w:tcPr>
          <w:p>
            <w:pPr>
              <w:spacing w:after="0"/>
              <w:rPr>
                <w:sz w:val="16"/>
                <w:szCs w:val="16"/>
                <w:color w:val="auto"/>
              </w:rPr>
            </w:pPr>
          </w:p>
        </w:tc>
      </w:tr>
    </w:tbl>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Assets and Liabilities Measured at Fair Value on a Recurring Basis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Financial assets and liabilities measured at fair value on a recurring basis are summarized below and disclosed on the balance sheet under Derivative liability – warrants and Derivative liability – conversion option: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2"/>
              </w:rPr>
              <w:t>As of March 31, 2015</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6"/>
          </w:tcPr>
          <w:p>
            <w:pPr>
              <w:jc w:val="center"/>
              <w:ind w:left="745"/>
              <w:spacing w:after="0"/>
              <w:rPr>
                <w:sz w:val="20"/>
                <w:szCs w:val="20"/>
                <w:color w:val="auto"/>
              </w:rPr>
            </w:pPr>
            <w:r>
              <w:rPr>
                <w:rFonts w:ascii="Arial" w:cs="Arial" w:eastAsia="Arial" w:hAnsi="Arial"/>
                <w:sz w:val="15"/>
                <w:szCs w:val="15"/>
                <w:b w:val="1"/>
                <w:bCs w:val="1"/>
                <w:color w:val="auto"/>
                <w:w w:val="91"/>
              </w:rPr>
              <w:t>Fair Value Measurements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4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line="171" w:lineRule="exact"/>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4"/>
                <w:szCs w:val="14"/>
                <w:color w:val="auto"/>
              </w:rPr>
            </w:pPr>
          </w:p>
        </w:tc>
        <w:tc>
          <w:tcPr>
            <w:tcW w:w="1080" w:type="dxa"/>
            <w:vAlign w:val="bottom"/>
            <w:gridSpan w:val="2"/>
          </w:tcPr>
          <w:p>
            <w:pPr>
              <w:jc w:val="right"/>
              <w:ind w:right="260"/>
              <w:spacing w:after="0" w:line="171" w:lineRule="exact"/>
              <w:rPr>
                <w:sz w:val="20"/>
                <w:szCs w:val="20"/>
                <w:color w:val="auto"/>
              </w:rPr>
            </w:pPr>
            <w:r>
              <w:rPr>
                <w:rFonts w:ascii="Arial" w:cs="Arial" w:eastAsia="Arial" w:hAnsi="Arial"/>
                <w:sz w:val="15"/>
                <w:szCs w:val="15"/>
                <w:b w:val="1"/>
                <w:bCs w:val="1"/>
                <w:color w:val="auto"/>
              </w:rPr>
              <w:t>Level 3</w:t>
            </w:r>
          </w:p>
        </w:tc>
        <w:tc>
          <w:tcPr>
            <w:tcW w:w="320" w:type="dxa"/>
            <w:vAlign w:val="bottom"/>
          </w:tcPr>
          <w:p>
            <w:pPr>
              <w:spacing w:after="0"/>
              <w:rPr>
                <w:sz w:val="14"/>
                <w:szCs w:val="14"/>
                <w:color w:val="auto"/>
              </w:rPr>
            </w:pPr>
          </w:p>
        </w:tc>
        <w:tc>
          <w:tcPr>
            <w:tcW w:w="980" w:type="dxa"/>
            <w:vAlign w:val="bottom"/>
            <w:gridSpan w:val="2"/>
          </w:tcPr>
          <w:p>
            <w:pPr>
              <w:jc w:val="right"/>
              <w:ind w:right="140"/>
              <w:spacing w:after="0" w:line="171" w:lineRule="exact"/>
              <w:rPr>
                <w:sz w:val="20"/>
                <w:szCs w:val="20"/>
                <w:color w:val="auto"/>
              </w:rPr>
            </w:pPr>
            <w:r>
              <w:rPr>
                <w:rFonts w:ascii="Arial" w:cs="Arial" w:eastAsia="Arial" w:hAnsi="Arial"/>
                <w:sz w:val="15"/>
                <w:szCs w:val="15"/>
                <w:b w:val="1"/>
                <w:bCs w:val="1"/>
                <w:color w:val="auto"/>
              </w:rPr>
              <w:t>Total</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2,053,000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6"/>
                <w:szCs w:val="16"/>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2,053,000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4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8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2014</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6"/>
          </w:tcPr>
          <w:p>
            <w:pPr>
              <w:jc w:val="center"/>
              <w:ind w:left="745"/>
              <w:spacing w:after="0"/>
              <w:rPr>
                <w:sz w:val="20"/>
                <w:szCs w:val="20"/>
                <w:color w:val="auto"/>
              </w:rPr>
            </w:pPr>
            <w:r>
              <w:rPr>
                <w:rFonts w:ascii="Arial" w:cs="Arial" w:eastAsia="Arial" w:hAnsi="Arial"/>
                <w:sz w:val="15"/>
                <w:szCs w:val="15"/>
                <w:b w:val="1"/>
                <w:bCs w:val="1"/>
                <w:color w:val="auto"/>
                <w:w w:val="91"/>
              </w:rPr>
              <w:t>Fair Value Measurements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4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line="171" w:lineRule="exact"/>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4"/>
                <w:szCs w:val="14"/>
                <w:color w:val="auto"/>
              </w:rPr>
            </w:pPr>
          </w:p>
        </w:tc>
        <w:tc>
          <w:tcPr>
            <w:tcW w:w="1080" w:type="dxa"/>
            <w:vAlign w:val="bottom"/>
            <w:gridSpan w:val="2"/>
          </w:tcPr>
          <w:p>
            <w:pPr>
              <w:jc w:val="right"/>
              <w:ind w:right="260"/>
              <w:spacing w:after="0" w:line="171" w:lineRule="exact"/>
              <w:rPr>
                <w:sz w:val="20"/>
                <w:szCs w:val="20"/>
                <w:color w:val="auto"/>
              </w:rPr>
            </w:pPr>
            <w:r>
              <w:rPr>
                <w:rFonts w:ascii="Arial" w:cs="Arial" w:eastAsia="Arial" w:hAnsi="Arial"/>
                <w:sz w:val="15"/>
                <w:szCs w:val="15"/>
                <w:b w:val="1"/>
                <w:bCs w:val="1"/>
                <w:color w:val="auto"/>
              </w:rPr>
              <w:t>Level 3</w:t>
            </w:r>
          </w:p>
        </w:tc>
        <w:tc>
          <w:tcPr>
            <w:tcW w:w="320" w:type="dxa"/>
            <w:vAlign w:val="bottom"/>
          </w:tcPr>
          <w:p>
            <w:pPr>
              <w:spacing w:after="0"/>
              <w:rPr>
                <w:sz w:val="14"/>
                <w:szCs w:val="14"/>
                <w:color w:val="auto"/>
              </w:rPr>
            </w:pPr>
          </w:p>
        </w:tc>
        <w:tc>
          <w:tcPr>
            <w:tcW w:w="980" w:type="dxa"/>
            <w:vAlign w:val="bottom"/>
            <w:gridSpan w:val="2"/>
          </w:tcPr>
          <w:p>
            <w:pPr>
              <w:jc w:val="right"/>
              <w:ind w:right="140"/>
              <w:spacing w:after="0" w:line="171" w:lineRule="exact"/>
              <w:rPr>
                <w:sz w:val="20"/>
                <w:szCs w:val="20"/>
                <w:color w:val="auto"/>
              </w:rPr>
            </w:pPr>
            <w:r>
              <w:rPr>
                <w:rFonts w:ascii="Arial" w:cs="Arial" w:eastAsia="Arial" w:hAnsi="Arial"/>
                <w:sz w:val="15"/>
                <w:szCs w:val="15"/>
                <w:b w:val="1"/>
                <w:bCs w:val="1"/>
                <w:color w:val="auto"/>
              </w:rPr>
              <w:t>Total</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9,000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9,000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9,000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26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between Level 1, 2 or 3 during the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68" w:name="page69"/>
    <w:bookmarkEnd w:id="68"/>
    <w:p>
      <w:pPr>
        <w:spacing w:after="0"/>
        <w:rPr>
          <w:sz w:val="20"/>
          <w:szCs w:val="20"/>
          <w:color w:val="auto"/>
        </w:rPr>
      </w:pPr>
      <w:r>
        <w:rPr>
          <w:rFonts w:ascii="Arial" w:cs="Arial" w:eastAsia="Arial" w:hAnsi="Arial"/>
          <w:sz w:val="13"/>
          <w:szCs w:val="13"/>
          <w:color w:val="auto"/>
        </w:rPr>
        <w:t>The following table presents changes in Level 3 liabilities measured at fair value for the three months ended March 31, 2015: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2014</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Additions during the quarter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Balance – March 31, 2015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37"/>
        <w:spacing w:after="0"/>
        <w:rPr>
          <w:sz w:val="20"/>
          <w:szCs w:val="20"/>
          <w:color w:val="auto"/>
        </w:rPr>
      </w:pPr>
      <w:r>
        <w:rPr>
          <w:rFonts w:ascii="Arial" w:cs="Arial" w:eastAsia="Arial" w:hAnsi="Arial"/>
          <w:sz w:val="15"/>
          <w:szCs w:val="15"/>
          <w:color w:val="auto"/>
        </w:rPr>
        <w:t>Derivative liability</w:t>
      </w:r>
    </w:p>
    <w:p>
      <w:pPr>
        <w:spacing w:after="0" w:line="18" w:lineRule="exact"/>
        <w:rPr>
          <w:sz w:val="20"/>
          <w:szCs w:val="20"/>
          <w:color w:val="auto"/>
        </w:rPr>
      </w:pPr>
    </w:p>
    <w:p>
      <w:pPr>
        <w:jc w:val="center"/>
        <w:ind w:right="137"/>
        <w:spacing w:after="0"/>
        <w:rPr>
          <w:sz w:val="20"/>
          <w:szCs w:val="20"/>
          <w:color w:val="auto"/>
        </w:rPr>
      </w:pPr>
      <w:r>
        <w:rPr>
          <w:rFonts w:ascii="Arial" w:cs="Arial" w:eastAsia="Arial" w:hAnsi="Arial"/>
          <w:sz w:val="15"/>
          <w:szCs w:val="15"/>
          <w:color w:val="auto"/>
        </w:rPr>
        <w: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3977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9775" cy="14605"/>
                    </a:xfrm>
                    <a:prstGeom prst="rect">
                      <a:avLst/>
                    </a:prstGeom>
                    <a:noFill/>
                  </pic:spPr>
                </pic:pic>
              </a:graphicData>
            </a:graphic>
          </wp:anchor>
        </w:drawing>
      </w:r>
    </w:p>
    <w:p>
      <w:pPr>
        <w:spacing w:after="0" w:line="2" w:lineRule="exact"/>
        <w:rPr>
          <w:sz w:val="20"/>
          <w:szCs w:val="20"/>
          <w:color w:val="auto"/>
        </w:rPr>
      </w:pPr>
    </w:p>
    <w:p>
      <w:pPr>
        <w:ind w:left="823" w:hanging="823"/>
        <w:spacing w:after="0"/>
        <w:tabs>
          <w:tab w:leader="none" w:pos="823" w:val="left"/>
        </w:tabs>
        <w:numPr>
          <w:ilvl w:val="0"/>
          <w:numId w:val="30"/>
        </w:numPr>
        <w:rPr>
          <w:rFonts w:ascii="Arial" w:cs="Arial" w:eastAsia="Arial" w:hAnsi="Arial"/>
          <w:sz w:val="15"/>
          <w:szCs w:val="15"/>
          <w:color w:val="auto"/>
        </w:rPr>
      </w:pPr>
      <w:r>
        <w:rPr>
          <w:rFonts w:ascii="Arial" w:cs="Arial" w:eastAsia="Arial" w:hAnsi="Arial"/>
          <w:sz w:val="15"/>
          <w:szCs w:val="15"/>
          <w:color w:val="auto"/>
        </w:rPr>
        <w:t>9,000</w:t>
      </w:r>
    </w:p>
    <w:p>
      <w:pPr>
        <w:spacing w:after="0" w:line="17" w:lineRule="exact"/>
        <w:rPr>
          <w:rFonts w:ascii="Arial" w:cs="Arial" w:eastAsia="Arial" w:hAnsi="Arial"/>
          <w:sz w:val="15"/>
          <w:szCs w:val="15"/>
          <w:color w:val="auto"/>
        </w:rPr>
      </w:pPr>
    </w:p>
    <w:p>
      <w:pPr>
        <w:ind w:left="563"/>
        <w:spacing w:after="0"/>
        <w:rPr>
          <w:rFonts w:ascii="Arial" w:cs="Arial" w:eastAsia="Arial" w:hAnsi="Arial"/>
          <w:sz w:val="15"/>
          <w:szCs w:val="15"/>
          <w:color w:val="auto"/>
        </w:rPr>
      </w:pPr>
      <w:r>
        <w:rPr>
          <w:rFonts w:ascii="Arial" w:cs="Arial" w:eastAsia="Arial" w:hAnsi="Arial"/>
          <w:sz w:val="14"/>
          <w:szCs w:val="14"/>
          <w:color w:val="auto"/>
        </w:rPr>
        <w:t>2,090,000</w:t>
      </w:r>
    </w:p>
    <w:p>
      <w:pPr>
        <w:spacing w:after="0" w:line="19" w:lineRule="exact"/>
        <w:rPr>
          <w:rFonts w:ascii="Arial" w:cs="Arial" w:eastAsia="Arial" w:hAnsi="Arial"/>
          <w:sz w:val="15"/>
          <w:szCs w:val="15"/>
          <w:color w:val="auto"/>
        </w:rPr>
      </w:pPr>
    </w:p>
    <w:p>
      <w:pPr>
        <w:ind w:left="703"/>
        <w:spacing w:after="0"/>
        <w:rPr>
          <w:rFonts w:ascii="Arial" w:cs="Arial" w:eastAsia="Arial" w:hAnsi="Arial"/>
          <w:sz w:val="15"/>
          <w:szCs w:val="15"/>
          <w:color w:val="auto"/>
        </w:rPr>
      </w:pPr>
      <w:r>
        <w:rPr>
          <w:rFonts w:ascii="Arial" w:cs="Arial" w:eastAsia="Arial" w:hAnsi="Arial"/>
          <w:sz w:val="13"/>
          <w:szCs w:val="13"/>
          <w:color w:val="auto"/>
        </w:rPr>
        <w:t>(46,000)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3977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9775" cy="14605"/>
                    </a:xfrm>
                    <a:prstGeom prst="rect">
                      <a:avLst/>
                    </a:prstGeom>
                    <a:noFill/>
                  </pic:spPr>
                </pic:pic>
              </a:graphicData>
            </a:graphic>
          </wp:anchor>
        </w:drawing>
      </w:r>
    </w:p>
    <w:p>
      <w:pPr>
        <w:spacing w:after="0" w:line="34" w:lineRule="exact"/>
        <w:rPr>
          <w:sz w:val="20"/>
          <w:szCs w:val="20"/>
          <w:color w:val="auto"/>
        </w:rPr>
      </w:pPr>
    </w:p>
    <w:p>
      <w:pPr>
        <w:ind w:left="563" w:hanging="563"/>
        <w:spacing w:after="0"/>
        <w:tabs>
          <w:tab w:leader="none" w:pos="563"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397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73977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417" w:space="720"/>
            <w:col w:w="1303"/>
          </w:cols>
          <w:pgMar w:left="240" w:top="457" w:right="219" w:bottom="1440" w:gutter="0" w:footer="0" w:header="0"/>
        </w:sectPr>
      </w:pPr>
    </w:p>
    <w:p>
      <w:pPr>
        <w:jc w:val="both"/>
        <w:spacing w:after="0" w:line="306" w:lineRule="auto"/>
        <w:rPr>
          <w:sz w:val="20"/>
          <w:szCs w:val="20"/>
          <w:color w:val="auto"/>
        </w:rPr>
      </w:pPr>
      <w:r>
        <w:rPr>
          <w:rFonts w:ascii="Arial" w:cs="Arial" w:eastAsia="Arial" w:hAnsi="Arial"/>
          <w:sz w:val="13"/>
          <w:szCs w:val="13"/>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55"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ectPr>
          <w:pgSz w:w="11900" w:h="16838" w:orient="portrait"/>
          <w:cols w:equalWidth="0" w:num="1">
            <w:col w:w="11440"/>
          </w:cols>
          <w:pgMar w:left="240" w:top="457" w:right="21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 Option</w:t>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of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3750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Dividend yield (per share)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Strike price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Volatility (annual)</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Risk-free rate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Contractual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121285</wp:posOffset>
            </wp:positionV>
            <wp:extent cx="543750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Fair value of Conversion Option at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5437505"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Weighted Average Inputs for the Period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5"/>
              </w:rPr>
              <w:t>For the Quarter</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5"/>
                <w:szCs w:val="15"/>
                <w:b w:val="1"/>
                <w:bCs w:val="1"/>
                <w:color w:val="auto"/>
              </w:rPr>
              <w:t>For the Quarter</w:t>
            </w:r>
          </w:p>
        </w:tc>
        <w:tc>
          <w:tcPr>
            <w:tcW w:w="120" w:type="dxa"/>
            <w:vAlign w:val="bottom"/>
          </w:tcPr>
          <w:p>
            <w:pPr>
              <w:spacing w:after="0"/>
              <w:rPr>
                <w:sz w:val="14"/>
                <w:szCs w:val="14"/>
                <w:color w:val="auto"/>
              </w:rPr>
            </w:pPr>
          </w:p>
        </w:tc>
      </w:tr>
      <w:tr>
        <w:trPr>
          <w:trHeight w:val="181"/>
        </w:trPr>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4"/>
              </w:rPr>
              <w:t>Ending March</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5"/>
                <w:szCs w:val="15"/>
                <w:b w:val="1"/>
                <w:bCs w:val="1"/>
                <w:color w:val="auto"/>
              </w:rPr>
              <w:t>Ending March 31,</w:t>
            </w:r>
          </w:p>
        </w:tc>
      </w:tr>
      <w:tr>
        <w:trPr>
          <w:trHeight w:val="198"/>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31, 2015</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7"/>
                <w:szCs w:val="17"/>
                <w:color w:val="auto"/>
              </w:rPr>
            </w:pPr>
          </w:p>
        </w:tc>
      </w:tr>
      <w:tr>
        <w:trPr>
          <w:trHeight w:val="170"/>
        </w:trPr>
        <w:tc>
          <w:tcPr>
            <w:tcW w:w="1100" w:type="dxa"/>
            <w:vAlign w:val="bottom"/>
          </w:tcPr>
          <w:p>
            <w:pPr>
              <w:spacing w:after="0"/>
              <w:rPr>
                <w:sz w:val="14"/>
                <w:szCs w:val="14"/>
                <w:color w:val="auto"/>
              </w:rPr>
            </w:pPr>
          </w:p>
        </w:tc>
        <w:tc>
          <w:tcPr>
            <w:tcW w:w="60" w:type="dxa"/>
            <w:vAlign w:val="bottom"/>
          </w:tcPr>
          <w:p>
            <w:pPr>
              <w:spacing w:after="0" w:line="171" w:lineRule="exact"/>
              <w:rPr>
                <w:sz w:val="20"/>
                <w:szCs w:val="20"/>
                <w:color w:val="auto"/>
              </w:rPr>
            </w:pPr>
            <w:r>
              <w:rPr>
                <w:rFonts w:ascii="Arial" w:cs="Arial" w:eastAsia="Arial" w:hAnsi="Arial"/>
                <w:sz w:val="15"/>
                <w:szCs w:val="15"/>
                <w:color w:val="auto"/>
                <w:w w:val="79"/>
              </w:rPr>
              <w:t>-</w:t>
            </w:r>
          </w:p>
        </w:tc>
        <w:tc>
          <w:tcPr>
            <w:tcW w:w="26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w w:val="74"/>
              </w:rPr>
              <w:t>%</w:t>
            </w:r>
          </w:p>
        </w:tc>
        <w:tc>
          <w:tcPr>
            <w:tcW w:w="26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0%</w:t>
            </w:r>
          </w:p>
        </w:tc>
      </w:tr>
      <w:tr>
        <w:trPr>
          <w:trHeight w:val="181"/>
        </w:trPr>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8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1.03</w:t>
            </w:r>
          </w:p>
        </w:tc>
      </w:tr>
      <w:tr>
        <w:trPr>
          <w:trHeight w:val="181"/>
        </w:trPr>
        <w:tc>
          <w:tcPr>
            <w:tcW w:w="110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199.00%</w:t>
            </w:r>
          </w:p>
        </w:tc>
      </w:tr>
      <w:tr>
        <w:trPr>
          <w:trHeight w:val="181"/>
        </w:trPr>
        <w:tc>
          <w:tcPr>
            <w:tcW w:w="110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0.05%</w:t>
            </w:r>
          </w:p>
        </w:tc>
      </w:tr>
      <w:tr>
        <w:trPr>
          <w:trHeight w:val="190"/>
        </w:trPr>
        <w:tc>
          <w:tcPr>
            <w:tcW w:w="1100" w:type="dxa"/>
            <w:vAlign w:val="bottom"/>
          </w:tcPr>
          <w:p>
            <w:pPr>
              <w:spacing w:after="0"/>
              <w:rPr>
                <w:sz w:val="16"/>
                <w:szCs w:val="16"/>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0.24</w:t>
            </w:r>
          </w:p>
        </w:tc>
      </w:tr>
      <w:tr>
        <w:trPr>
          <w:trHeight w:val="185"/>
        </w:trPr>
        <w:tc>
          <w:tcPr>
            <w:tcW w:w="110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r>
      <w:tr>
        <w:trPr>
          <w:trHeight w:val="184"/>
        </w:trPr>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708,000</w:t>
            </w:r>
          </w:p>
        </w:tc>
        <w:tc>
          <w:tcPr>
            <w:tcW w:w="120" w:type="dxa"/>
            <w:vAlign w:val="bottom"/>
          </w:tcPr>
          <w:p>
            <w:pPr>
              <w:spacing w:after="0"/>
              <w:rPr>
                <w:sz w:val="15"/>
                <w:szCs w:val="15"/>
                <w:color w:val="auto"/>
              </w:rPr>
            </w:pPr>
          </w:p>
        </w:tc>
      </w:tr>
    </w:tbl>
    <w:p>
      <w:pPr>
        <w:spacing w:after="0" w:line="166" w:lineRule="exact"/>
        <w:rPr>
          <w:sz w:val="20"/>
          <w:szCs w:val="20"/>
          <w:color w:val="auto"/>
        </w:rPr>
      </w:pPr>
    </w:p>
    <w:p>
      <w:pPr>
        <w:sectPr>
          <w:pgSz w:w="11900" w:h="16838" w:orient="portrait"/>
          <w:cols w:equalWidth="0" w:num="2">
            <w:col w:w="7960" w:space="720"/>
            <w:col w:w="2760"/>
          </w:cols>
          <w:pgMar w:left="240" w:top="457" w:right="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NOTE 7: PROMISSORY NOTES, RELATED PARTY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Share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Private placements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3"/>
          <w:szCs w:val="13"/>
          <w:color w:val="auto"/>
        </w:rPr>
        <w:t>Pursuant to a placement agent agreement, the Company agreed to issue warrants to purchase 366,000 common shares with substantially the same terms as the January 2015 Warrants.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Series A warrants were issued with price reset features. The fair value of these warrants was determined to be $1,346,000 and recognized as a derivative liability.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Series B, C, D &amp; E warrants was determined to be $4,635,000 and was included within equity.</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Pursuant to a placement agent agreement, the Company agreed to issue warrants to purchase 125,000 common shares with substantially the same terms as the March 2015 Warrants.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The Series A warrants were issued with price reset features. The fair value of these warrants was determined to be $744,000 and recognized as a derivative liability.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Series B, C, D &amp; E warrants was determined to be $2,588,000 and was included within equity.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Purchase Warrants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share purchase warrants as of March 31, 2015 and changes during the period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726884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-228600</wp:posOffset>
            </wp:positionV>
            <wp:extent cx="458279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82795" cy="1460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Issued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Exercised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Extinguished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458279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82795" cy="146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Balance,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458279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827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458279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82795"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CONTINGENCIES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Consultant Litigation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380" w:type="dxa"/>
            <w:vAlign w:val="bottom"/>
            <w:gridSpan w:val="2"/>
          </w:tcPr>
          <w:p>
            <w:pPr>
              <w:jc w:val="right"/>
              <w:ind w:right="480"/>
              <w:spacing w:after="0"/>
              <w:rPr>
                <w:sz w:val="20"/>
                <w:szCs w:val="20"/>
                <w:color w:val="auto"/>
              </w:rPr>
            </w:pPr>
            <w:r>
              <w:rPr>
                <w:rFonts w:ascii="Arial" w:cs="Arial" w:eastAsia="Arial" w:hAnsi="Arial"/>
                <w:sz w:val="15"/>
                <w:szCs w:val="15"/>
                <w:color w:val="auto"/>
              </w:rPr>
              <w:t>Number of</w:t>
            </w:r>
          </w:p>
        </w:tc>
        <w:tc>
          <w:tcPr>
            <w:tcW w:w="1400" w:type="dxa"/>
            <w:vAlign w:val="bottom"/>
            <w:gridSpan w:val="3"/>
          </w:tcPr>
          <w:p>
            <w:pPr>
              <w:ind w:left="20"/>
              <w:spacing w:after="0"/>
              <w:rPr>
                <w:sz w:val="20"/>
                <w:szCs w:val="20"/>
                <w:color w:val="auto"/>
              </w:rPr>
            </w:pPr>
            <w:r>
              <w:rPr>
                <w:rFonts w:ascii="Arial" w:cs="Arial" w:eastAsia="Arial" w:hAnsi="Arial"/>
                <w:sz w:val="15"/>
                <w:szCs w:val="15"/>
                <w:color w:val="auto"/>
              </w:rPr>
              <w:t>Weighted Average</w:t>
            </w: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Weighted Average</w:t>
            </w:r>
          </w:p>
        </w:tc>
      </w:tr>
      <w:tr>
        <w:trPr>
          <w:trHeight w:val="194"/>
        </w:trPr>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Warrants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Remaining Life</w:t>
            </w:r>
          </w:p>
        </w:tc>
        <w:tc>
          <w:tcPr>
            <w:tcW w:w="20" w:type="dxa"/>
            <w:vAlign w:val="bottom"/>
          </w:tcPr>
          <w:p>
            <w:pPr>
              <w:spacing w:after="0"/>
              <w:rPr>
                <w:sz w:val="16"/>
                <w:szCs w:val="16"/>
                <w:color w:val="auto"/>
              </w:rPr>
            </w:pPr>
          </w:p>
        </w:tc>
      </w:tr>
      <w:tr>
        <w:trPr>
          <w:trHeight w:val="351"/>
        </w:trPr>
        <w:tc>
          <w:tcPr>
            <w:tcW w:w="1140" w:type="dxa"/>
            <w:vAlign w:val="bottom"/>
          </w:tcPr>
          <w:p>
            <w:pPr>
              <w:jc w:val="right"/>
              <w:spacing w:after="0"/>
              <w:rPr>
                <w:sz w:val="20"/>
                <w:szCs w:val="20"/>
                <w:color w:val="auto"/>
              </w:rPr>
            </w:pPr>
            <w:r>
              <w:rPr>
                <w:rFonts w:ascii="Arial" w:cs="Arial" w:eastAsia="Arial" w:hAnsi="Arial"/>
                <w:sz w:val="15"/>
                <w:szCs w:val="15"/>
                <w:color w:val="auto"/>
              </w:rPr>
              <w:t>2,659,417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1.83</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4.15</w:t>
            </w:r>
          </w:p>
        </w:tc>
      </w:tr>
      <w:tr>
        <w:trPr>
          <w:trHeight w:val="181"/>
        </w:trPr>
        <w:tc>
          <w:tcPr>
            <w:tcW w:w="1140" w:type="dxa"/>
            <w:vAlign w:val="bottom"/>
          </w:tcPr>
          <w:p>
            <w:pPr>
              <w:jc w:val="right"/>
              <w:spacing w:after="0"/>
              <w:rPr>
                <w:sz w:val="20"/>
                <w:szCs w:val="20"/>
                <w:color w:val="auto"/>
              </w:rPr>
            </w:pPr>
            <w:r>
              <w:rPr>
                <w:rFonts w:ascii="Arial" w:cs="Arial" w:eastAsia="Arial" w:hAnsi="Arial"/>
                <w:sz w:val="15"/>
                <w:szCs w:val="15"/>
                <w:color w:val="auto"/>
              </w:rPr>
              <w:t>62,090,975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1.03</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3.96</w:t>
            </w:r>
          </w:p>
        </w:tc>
      </w:tr>
      <w:tr>
        <w:trPr>
          <w:trHeight w:val="181"/>
        </w:trPr>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94"/>
        </w:trPr>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(7,500)</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50.00</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81"/>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64,742,892</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3.95</w:t>
            </w:r>
          </w:p>
        </w:tc>
        <w:tc>
          <w:tcPr>
            <w:tcW w:w="20" w:type="dxa"/>
            <w:vAlign w:val="bottom"/>
          </w:tcPr>
          <w:p>
            <w:pPr>
              <w:spacing w:after="0"/>
              <w:rPr>
                <w:sz w:val="15"/>
                <w:szCs w:val="15"/>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5" w:lineRule="exact"/>
        <w:rPr>
          <w:sz w:val="20"/>
          <w:szCs w:val="20"/>
          <w:color w:val="auto"/>
        </w:rPr>
      </w:pPr>
    </w:p>
    <w:p>
      <w:pPr>
        <w:sectPr>
          <w:pgSz w:w="11900" w:h="16838" w:orient="portrait"/>
          <w:cols w:equalWidth="0" w:num="2">
            <w:col w:w="6620" w:space="720"/>
            <w:col w:w="4100"/>
          </w:cols>
          <w:pgMar w:left="240" w:top="457" w:right="219" w:bottom="1440" w:gutter="0" w:footer="0" w:header="0"/>
          <w:type w:val="continuous"/>
        </w:sectPr>
      </w:pPr>
    </w:p>
    <w:p>
      <w:pPr>
        <w:jc w:val="both"/>
        <w:spacing w:after="0" w:line="277" w:lineRule="auto"/>
        <w:rPr>
          <w:sz w:val="20"/>
          <w:szCs w:val="20"/>
          <w:color w:val="auto"/>
        </w:rPr>
      </w:pPr>
      <w:r>
        <w:rPr>
          <w:rFonts w:ascii="Arial" w:cs="Arial" w:eastAsia="Arial" w:hAnsi="Arial"/>
          <w:sz w:val="14"/>
          <w:szCs w:val="14"/>
          <w:color w:val="auto"/>
        </w:rPr>
        <w:t>In May 2012, the Company issued 112,000 post-consolidated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was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2014 the arbitrator ordered (on July 18, 2014) the consultant to pay Tapimmune $196,204 plus 9% interest from the date of the award. The Company is attempting to collect the award from Mr. Michael Gardner.</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Vendor Litigation</w:t>
      </w:r>
    </w:p>
    <w:p>
      <w:pPr>
        <w:spacing w:after="0" w:line="18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and is currently accrued on the balance sheet. We intend on settling that matter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TAPIMMUNE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24,64,000 Shares of Common Stock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August 7, 2015</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b w:val="1"/>
          <w:bCs w:val="1"/>
          <w:color w:val="auto"/>
        </w:rPr>
        <w:t>Until November 5, 2015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27456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4560" cy="38735"/>
                    </a:xfrm>
                    <a:prstGeom prst="rect">
                      <a:avLst/>
                    </a:prstGeom>
                    <a:noFill/>
                  </pic:spPr>
                </pic:pic>
              </a:graphicData>
            </a:graphic>
          </wp:anchor>
        </w:drawing>
      </w:r>
    </w:p>
    <w:sectPr>
      <w:pgSz w:w="11900" w:h="16838" w:orient="portrait"/>
      <w:cols w:equalWidth="0" w:num="1">
        <w:col w:w="11440"/>
      </w:cols>
      <w:pgMar w:left="24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Roman"/>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lvl w:ilvl="1">
      <w:lvlJc w:val="left"/>
      <w:lvlText w:val="(%2)"/>
      <w:numFmt w:val="decimal"/>
      <w:start w:val="4"/>
    </w:lvl>
  </w:abstractNum>
  <w:abstractNum w:abstractNumId="17">
    <w:nsid w:val="8EDBDAB"/>
    <w:multiLevelType w:val="hybridMultilevel"/>
    <w:lvl w:ilvl="0">
      <w:lvlJc w:val="left"/>
      <w:lvlText w:val="(%1)"/>
      <w:numFmt w:val="decimal"/>
      <w:start w:val="5"/>
    </w:lvl>
    <w:lvl w:ilvl="1">
      <w:lvlJc w:val="left"/>
      <w:lvlText w:val="%2"/>
      <w:numFmt w:val="decimal"/>
      <w:start w:val="1"/>
    </w:lvl>
  </w:abstractNum>
  <w:abstractNum w:abstractNumId="18">
    <w:nsid w:val="79838CB2"/>
    <w:multiLevelType w:val="hybridMultilevel"/>
    <w:lvl w:ilvl="0">
      <w:lvlJc w:val="left"/>
      <w:lvlText w:val="(%1)"/>
      <w:numFmt w:val="decimal"/>
      <w:start w:val="9"/>
    </w:lvl>
  </w:abstractNum>
  <w:abstractNum w:abstractNumId="19">
    <w:nsid w:val="4353D0CD"/>
    <w:multiLevelType w:val="hybridMultilevel"/>
    <w:lvl w:ilvl="0">
      <w:lvlJc w:val="left"/>
      <w:lvlText w:val="●"/>
      <w:numFmt w:val="bullet"/>
      <w:start w:val="1"/>
    </w:lvl>
    <w:lvl w:ilvl="1">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lvl w:ilvl="1">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decimal"/>
      <w:start w:val="1"/>
    </w:lvl>
  </w:abstractNum>
  <w:abstractNum w:abstractNumId="28">
    <w:nsid w:val="8138641"/>
    <w:multiLevelType w:val="hybridMultilevel"/>
    <w:lvl w:ilvl="0">
      <w:lvlJc w:val="left"/>
      <w:lvlText w:val="%1."/>
      <w:numFmt w:val="decimal"/>
      <w:start w:val="2"/>
    </w:lvl>
    <w:lvl w:ilvl="1">
      <w:lvlJc w:val="left"/>
      <w:lvlText w:val="%2"/>
      <w:numFmt w:val="decimal"/>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2020-01-24T07:22:46Z</dcterms:created>
  <dcterms:modified xsi:type="dcterms:W3CDTF">2020-01-24T07:22:46Z</dcterms:modified>
</cp:coreProperties>
</file>