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 SECURITIES AND EXCHANGE COMMISSION</w:t>
      </w:r>
    </w:p>
    <w:p>
      <w:pPr>
        <w:spacing w:after="0" w:line="23" w:lineRule="exact"/>
        <w:rPr>
          <w:sz w:val="24"/>
          <w:szCs w:val="24"/>
          <w:color w:val="auto"/>
        </w:rPr>
      </w:pPr>
    </w:p>
    <w:p>
      <w:pPr>
        <w:jc w:val="center"/>
        <w:ind w:left="660"/>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FORM 10-Q</w:t>
      </w:r>
    </w:p>
    <w:p>
      <w:pPr>
        <w:spacing w:after="0" w:line="242" w:lineRule="exact"/>
        <w:rPr>
          <w:sz w:val="24"/>
          <w:szCs w:val="24"/>
          <w:color w:val="auto"/>
        </w:rPr>
      </w:pPr>
    </w:p>
    <w:p>
      <w:pPr>
        <w:ind w:left="600" w:hanging="592"/>
        <w:spacing w:after="0"/>
        <w:tabs>
          <w:tab w:leader="none" w:pos="60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 xml:space="preserve">Quarterly Report Under Section 13 or 15(d) of the Securities Exchange Act of 1934 for the quarterly period ended </w:t>
      </w:r>
      <w:r>
        <w:rPr>
          <w:rFonts w:ascii="Arial" w:cs="Arial" w:eastAsia="Arial" w:hAnsi="Arial"/>
          <w:sz w:val="18"/>
          <w:szCs w:val="18"/>
          <w:b w:val="1"/>
          <w:bCs w:val="1"/>
          <w:u w:val="single" w:color="auto"/>
          <w:color w:val="auto"/>
        </w:rPr>
        <w:t>March 31, 2015</w:t>
      </w:r>
    </w:p>
    <w:p>
      <w:pPr>
        <w:spacing w:after="0" w:line="256" w:lineRule="exact"/>
        <w:rPr>
          <w:sz w:val="24"/>
          <w:szCs w:val="24"/>
          <w:color w:val="auto"/>
        </w:rPr>
      </w:pPr>
    </w:p>
    <w:p>
      <w:pPr>
        <w:ind w:left="4340" w:right="1380" w:hanging="4332"/>
        <w:spacing w:after="0" w:line="559" w:lineRule="auto"/>
        <w:tabs>
          <w:tab w:leader="none" w:pos="588"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Transition Report Under Section 13 or 15(d) of the Securities Exchange Act of 1934 for the transition period from _____ to _____. Commission File Number: </w:t>
      </w:r>
      <w:r>
        <w:rPr>
          <w:rFonts w:ascii="Arial" w:cs="Arial" w:eastAsia="Arial" w:hAnsi="Arial"/>
          <w:sz w:val="18"/>
          <w:szCs w:val="18"/>
          <w:b w:val="1"/>
          <w:bCs w:val="1"/>
          <w:u w:val="single" w:color="auto"/>
          <w:color w:val="auto"/>
        </w:rPr>
        <w:t>000-27239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TAPIMMUNE INC.</w:t>
      </w:r>
    </w:p>
    <w:p>
      <w:pPr>
        <w:spacing w:after="0" w:line="8" w:lineRule="exact"/>
        <w:rPr>
          <w:sz w:val="24"/>
          <w:szCs w:val="24"/>
          <w:color w:val="auto"/>
        </w:rPr>
      </w:pPr>
    </w:p>
    <w:tbl>
      <w:tblPr>
        <w:tblLayout w:type="fixed"/>
        <w:tblInd w:w="1320" w:type="dxa"/>
        <w:tblCellMar>
          <w:top w:w="0" w:type="dxa"/>
          <w:left w:w="0" w:type="dxa"/>
          <w:bottom w:w="0" w:type="dxa"/>
          <w:right w:w="0" w:type="dxa"/>
        </w:tblCellMar>
      </w:tblPr>
      <w:tr>
        <w:trPr>
          <w:trHeight w:val="207"/>
        </w:trPr>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(Name of registrant in its charter)</w:t>
            </w: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4"/>
        </w:trPr>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0" w:type="dxa"/>
            <w:vAlign w:val="bottom"/>
            <w:gridSpan w:val="4"/>
          </w:tcPr>
          <w:p>
            <w:pPr>
              <w:jc w:val="center"/>
              <w:ind w:right="3570"/>
              <w:spacing w:after="0" w:line="194" w:lineRule="exact"/>
              <w:rPr>
                <w:sz w:val="20"/>
                <w:szCs w:val="20"/>
                <w:color w:val="auto"/>
              </w:rPr>
            </w:pPr>
            <w:r>
              <w:rPr>
                <w:rFonts w:ascii="Arial" w:cs="Arial" w:eastAsia="Arial" w:hAnsi="Arial"/>
                <w:sz w:val="18"/>
                <w:szCs w:val="18"/>
                <w:b w:val="1"/>
                <w:bCs w:val="1"/>
                <w:color w:val="auto"/>
                <w:w w:val="97"/>
              </w:rPr>
              <w:t>NEVADA</w:t>
            </w:r>
          </w:p>
        </w:tc>
        <w:tc>
          <w:tcPr>
            <w:tcW w:w="3180" w:type="dxa"/>
            <w:vAlign w:val="bottom"/>
            <w:gridSpan w:val="5"/>
          </w:tcPr>
          <w:p>
            <w:pPr>
              <w:jc w:val="right"/>
              <w:ind w:right="880"/>
              <w:spacing w:after="0" w:line="194" w:lineRule="exact"/>
              <w:rPr>
                <w:sz w:val="20"/>
                <w:szCs w:val="20"/>
                <w:color w:val="auto"/>
              </w:rPr>
            </w:pPr>
            <w:r>
              <w:rPr>
                <w:rFonts w:ascii="Arial" w:cs="Arial" w:eastAsia="Arial" w:hAnsi="Arial"/>
                <w:sz w:val="18"/>
                <w:szCs w:val="18"/>
                <w:b w:val="1"/>
                <w:bCs w:val="1"/>
                <w:color w:val="auto"/>
              </w:rPr>
              <w:t>88-0277072</w:t>
            </w:r>
          </w:p>
        </w:tc>
      </w:tr>
      <w:tr>
        <w:trPr>
          <w:trHeight w:val="20"/>
        </w:trPr>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6180" w:type="dxa"/>
            <w:vAlign w:val="bottom"/>
            <w:gridSpan w:val="7"/>
          </w:tcPr>
          <w:p>
            <w:pPr>
              <w:jc w:val="center"/>
              <w:ind w:right="17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180" w:type="dxa"/>
            <w:vAlign w:val="bottom"/>
            <w:gridSpan w:val="5"/>
          </w:tcPr>
          <w:p>
            <w:pPr>
              <w:jc w:val="center"/>
              <w:ind w:left="47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6180" w:type="dxa"/>
            <w:vAlign w:val="bottom"/>
            <w:gridSpan w:val="7"/>
          </w:tcPr>
          <w:p>
            <w:pPr>
              <w:jc w:val="center"/>
              <w:ind w:right="1790"/>
              <w:spacing w:after="0"/>
              <w:rPr>
                <w:sz w:val="20"/>
                <w:szCs w:val="20"/>
                <w:color w:val="auto"/>
              </w:rPr>
            </w:pPr>
            <w:r>
              <w:rPr>
                <w:rFonts w:ascii="Arial" w:cs="Arial" w:eastAsia="Arial" w:hAnsi="Arial"/>
                <w:sz w:val="18"/>
                <w:szCs w:val="18"/>
                <w:b w:val="1"/>
                <w:bCs w:val="1"/>
                <w:color w:val="auto"/>
                <w:w w:val="89"/>
              </w:rPr>
              <w:t>1551 Eastlake Avenue East, Suite 100</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4"/>
        </w:trPr>
        <w:tc>
          <w:tcPr>
            <w:tcW w:w="1380" w:type="dxa"/>
            <w:vAlign w:val="bottom"/>
          </w:tcPr>
          <w:p>
            <w:pPr>
              <w:spacing w:after="0"/>
              <w:rPr>
                <w:sz w:val="16"/>
                <w:szCs w:val="16"/>
                <w:color w:val="auto"/>
              </w:rPr>
            </w:pPr>
          </w:p>
        </w:tc>
        <w:tc>
          <w:tcPr>
            <w:tcW w:w="1540" w:type="dxa"/>
            <w:vAlign w:val="bottom"/>
            <w:tcBorders>
              <w:bottom w:val="single" w:sz="8" w:color="auto"/>
            </w:tcBorders>
            <w:gridSpan w:val="5"/>
          </w:tcPr>
          <w:p>
            <w:pPr>
              <w:jc w:val="center"/>
              <w:spacing w:after="0" w:line="194" w:lineRule="exact"/>
              <w:rPr>
                <w:sz w:val="20"/>
                <w:szCs w:val="20"/>
                <w:color w:val="auto"/>
              </w:rPr>
            </w:pPr>
            <w:r>
              <w:rPr>
                <w:rFonts w:ascii="Arial" w:cs="Arial" w:eastAsia="Arial" w:hAnsi="Arial"/>
                <w:sz w:val="18"/>
                <w:szCs w:val="18"/>
                <w:b w:val="1"/>
                <w:bCs w:val="1"/>
                <w:color w:val="auto"/>
                <w:w w:val="89"/>
              </w:rPr>
              <w:t>Seattle, Washington</w:t>
            </w:r>
          </w:p>
        </w:tc>
        <w:tc>
          <w:tcPr>
            <w:tcW w:w="3260" w:type="dxa"/>
            <w:vAlign w:val="bottom"/>
          </w:tcPr>
          <w:p>
            <w:pPr>
              <w:spacing w:after="0"/>
              <w:rPr>
                <w:sz w:val="16"/>
                <w:szCs w:val="16"/>
                <w:color w:val="auto"/>
              </w:rPr>
            </w:pPr>
          </w:p>
        </w:tc>
        <w:tc>
          <w:tcPr>
            <w:tcW w:w="1640" w:type="dxa"/>
            <w:vAlign w:val="bottom"/>
            <w:gridSpan w:val="2"/>
          </w:tcPr>
          <w:p>
            <w:pPr>
              <w:spacing w:after="0"/>
              <w:rPr>
                <w:sz w:val="16"/>
                <w:szCs w:val="16"/>
                <w:color w:val="auto"/>
              </w:rPr>
            </w:pPr>
          </w:p>
        </w:tc>
        <w:tc>
          <w:tcPr>
            <w:tcW w:w="4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w w:val="87"/>
              </w:rPr>
              <w:t>98102</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7"/>
        </w:trPr>
        <w:tc>
          <w:tcPr>
            <w:tcW w:w="6180" w:type="dxa"/>
            <w:vAlign w:val="bottom"/>
            <w:gridSpan w:val="7"/>
          </w:tcPr>
          <w:p>
            <w:pPr>
              <w:jc w:val="center"/>
              <w:ind w:right="1790"/>
              <w:spacing w:after="0"/>
              <w:rPr>
                <w:sz w:val="20"/>
                <w:szCs w:val="20"/>
                <w:color w:val="auto"/>
              </w:rPr>
            </w:pPr>
            <w:r>
              <w:rPr>
                <w:rFonts w:ascii="Arial" w:cs="Arial" w:eastAsia="Arial" w:hAnsi="Arial"/>
                <w:sz w:val="18"/>
                <w:szCs w:val="18"/>
                <w:color w:val="auto"/>
                <w:w w:val="92"/>
              </w:rPr>
              <w:t>(Address of principal executive offices)</w:t>
            </w:r>
          </w:p>
        </w:tc>
        <w:tc>
          <w:tcPr>
            <w:tcW w:w="144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r>
        <w:trPr>
          <w:trHeight w:val="392"/>
        </w:trPr>
        <w:tc>
          <w:tcPr>
            <w:tcW w:w="2700" w:type="dxa"/>
            <w:vAlign w:val="bottom"/>
            <w:gridSpan w:val="5"/>
          </w:tcPr>
          <w:p>
            <w:pPr>
              <w:jc w:val="center"/>
              <w:ind w:left="1510"/>
              <w:spacing w:after="0"/>
              <w:rPr>
                <w:sz w:val="20"/>
                <w:szCs w:val="20"/>
                <w:color w:val="auto"/>
              </w:rPr>
            </w:pPr>
            <w:r>
              <w:rPr>
                <w:rFonts w:ascii="Arial" w:cs="Arial" w:eastAsia="Arial" w:hAnsi="Arial"/>
                <w:sz w:val="18"/>
                <w:szCs w:val="18"/>
                <w:b w:val="1"/>
                <w:bCs w:val="1"/>
                <w:color w:val="auto"/>
                <w:w w:val="90"/>
              </w:rPr>
              <w:t>(206) 504 7278</w:t>
            </w:r>
          </w:p>
        </w:tc>
        <w:tc>
          <w:tcPr>
            <w:tcW w:w="2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
        </w:trPr>
        <w:tc>
          <w:tcPr>
            <w:tcW w:w="1600" w:type="dxa"/>
            <w:vAlign w:val="bottom"/>
            <w:gridSpan w:val="2"/>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6180" w:type="dxa"/>
            <w:vAlign w:val="bottom"/>
            <w:gridSpan w:val="7"/>
          </w:tcPr>
          <w:p>
            <w:pPr>
              <w:jc w:val="center"/>
              <w:ind w:right="1790"/>
              <w:spacing w:after="0"/>
              <w:rPr>
                <w:sz w:val="20"/>
                <w:szCs w:val="20"/>
                <w:color w:val="auto"/>
              </w:rPr>
            </w:pPr>
            <w:r>
              <w:rPr>
                <w:rFonts w:ascii="Arial" w:cs="Arial" w:eastAsia="Arial" w:hAnsi="Arial"/>
                <w:sz w:val="18"/>
                <w:szCs w:val="18"/>
                <w:color w:val="auto"/>
                <w:w w:val="88"/>
              </w:rPr>
              <w:t>(Issuer's telephone number)</w:t>
            </w: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Arial" w:cs="Arial" w:eastAsia="Arial" w:hAnsi="Arial"/>
          <w:sz w:val="18"/>
          <w:szCs w:val="18"/>
          <w:b w:val="1"/>
          <w:bCs w:val="1"/>
          <w:color w:val="auto"/>
        </w:rPr>
        <w:t>S</w:t>
      </w:r>
      <w:r>
        <w:rPr>
          <w:rFonts w:ascii="Arial" w:cs="Arial" w:eastAsia="Arial" w:hAnsi="Arial"/>
          <w:sz w:val="18"/>
          <w:szCs w:val="18"/>
          <w:color w:val="auto"/>
        </w:rPr>
        <w:t xml:space="preserve"> No o</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S No o</w:t>
      </w:r>
    </w:p>
    <w:p>
      <w:pPr>
        <w:spacing w:after="0" w:line="208"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non-accelerated filer or a smaller reporting company. See definition of “accelerated filer”, “large accelerated filer” and “smaller reporting company” in Rule 12b-2 of the Exchange Act (check one):</w:t>
      </w:r>
    </w:p>
    <w:p>
      <w:pPr>
        <w:sectPr>
          <w:pgSz w:w="11900" w:h="16838" w:orient="portrait"/>
          <w:cols w:equalWidth="0" w:num="1">
            <w:col w:w="11420"/>
          </w:cols>
          <w:pgMar w:left="240" w:top="1044" w:right="239" w:bottom="144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o Large accelerated filer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7"/>
          <w:szCs w:val="17"/>
          <w:color w:val="auto"/>
        </w:rPr>
        <w:t>o Accelerated filer</w:t>
      </w:r>
    </w:p>
    <w:p>
      <w:pPr>
        <w:spacing w:after="0" w:line="200" w:lineRule="exact"/>
        <w:rPr>
          <w:sz w:val="24"/>
          <w:szCs w:val="24"/>
          <w:color w:val="auto"/>
        </w:rPr>
      </w:pPr>
    </w:p>
    <w:p>
      <w:pPr>
        <w:sectPr>
          <w:pgSz w:w="11900" w:h="16838" w:orient="portrait"/>
          <w:cols w:equalWidth="0" w:num="2">
            <w:col w:w="4900" w:space="720"/>
            <w:col w:w="5800"/>
          </w:cols>
          <w:pgMar w:left="240" w:top="1044" w:right="23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o Non-accelerated filer (Do not check</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S </w:t>
      </w:r>
      <w:r>
        <w:rPr>
          <w:rFonts w:ascii="Arial" w:cs="Arial" w:eastAsia="Arial" w:hAnsi="Arial"/>
          <w:sz w:val="16"/>
          <w:szCs w:val="16"/>
          <w:color w:val="auto"/>
        </w:rPr>
        <w:t>Smaller reporting company</w:t>
      </w:r>
    </w:p>
    <w:p>
      <w:pPr>
        <w:spacing w:after="0" w:line="204" w:lineRule="exact"/>
        <w:rPr>
          <w:sz w:val="24"/>
          <w:szCs w:val="24"/>
          <w:color w:val="auto"/>
        </w:rPr>
      </w:pPr>
    </w:p>
    <w:p>
      <w:pPr>
        <w:sectPr>
          <w:pgSz w:w="11900" w:h="16838" w:orient="portrait"/>
          <w:cols w:equalWidth="0" w:num="2">
            <w:col w:w="4800" w:space="720"/>
            <w:col w:w="5900"/>
          </w:cols>
          <w:pgMar w:left="240" w:top="1044" w:right="239" w:bottom="1440" w:gutter="0" w:footer="0" w:header="0"/>
          <w:type w:val="continuous"/>
        </w:sectPr>
      </w:pPr>
    </w:p>
    <w:p>
      <w:pPr>
        <w:spacing w:after="0" w:line="75" w:lineRule="exact"/>
        <w:rPr>
          <w:sz w:val="24"/>
          <w:szCs w:val="24"/>
          <w:color w:val="auto"/>
        </w:rPr>
      </w:pPr>
    </w:p>
    <w:p>
      <w:pPr>
        <w:ind w:left="280"/>
        <w:spacing w:after="0"/>
        <w:rPr>
          <w:sz w:val="20"/>
          <w:szCs w:val="20"/>
          <w:color w:val="auto"/>
        </w:rPr>
      </w:pPr>
      <w:r>
        <w:rPr>
          <w:rFonts w:ascii="Arial" w:cs="Arial" w:eastAsia="Arial" w:hAnsi="Arial"/>
          <w:sz w:val="16"/>
          <w:szCs w:val="16"/>
          <w:color w:val="auto"/>
        </w:rPr>
        <w:t>if smaller reporting company)</w:t>
      </w:r>
    </w:p>
    <w:p>
      <w:pPr>
        <w:sectPr>
          <w:pgSz w:w="11900" w:h="16838" w:orient="portrait"/>
          <w:cols w:equalWidth="0" w:num="1">
            <w:col w:w="11420"/>
          </w:cols>
          <w:pgMar w:left="240" w:top="1044" w:right="239" w:bottom="1440" w:gutter="0" w:footer="0" w:header="0"/>
          <w:type w:val="continuous"/>
        </w:sectPr>
      </w:pP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7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Yes o  No </w:t>
      </w:r>
      <w:r>
        <w:rPr>
          <w:rFonts w:ascii="Arial" w:cs="Arial" w:eastAsia="Arial" w:hAnsi="Arial"/>
          <w:sz w:val="18"/>
          <w:szCs w:val="18"/>
          <w:b w:val="1"/>
          <w:bCs w:val="1"/>
          <w:color w:val="auto"/>
        </w:rPr>
        <w:t>S</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As of May 15, 2015, the Company had 32,638,811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733425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PART I – FINANCIAL INFORMATION</w:t>
      </w:r>
    </w:p>
    <w:p>
      <w:pPr>
        <w:spacing w:after="0" w:line="24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4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Page</w:t>
            </w:r>
          </w:p>
        </w:tc>
      </w:tr>
      <w:tr>
        <w:trPr>
          <w:trHeight w:val="432"/>
        </w:trPr>
        <w:tc>
          <w:tcPr>
            <w:tcW w:w="9960" w:type="dxa"/>
            <w:vAlign w:val="bottom"/>
          </w:tcPr>
          <w:p>
            <w:pPr>
              <w:spacing w:after="0"/>
              <w:rPr>
                <w:sz w:val="20"/>
                <w:szCs w:val="20"/>
                <w:color w:val="auto"/>
              </w:rPr>
            </w:pPr>
            <w:r>
              <w:rPr>
                <w:rFonts w:ascii="Arial" w:cs="Arial" w:eastAsia="Arial" w:hAnsi="Arial"/>
                <w:sz w:val="18"/>
                <w:szCs w:val="18"/>
                <w:color w:val="auto"/>
              </w:rPr>
              <w:t>Condensed Interim Financial Statements</w:t>
            </w:r>
          </w:p>
        </w:tc>
        <w:tc>
          <w:tcPr>
            <w:tcW w:w="1460" w:type="dxa"/>
            <w:vAlign w:val="bottom"/>
          </w:tcPr>
          <w:p>
            <w:pPr>
              <w:spacing w:after="0"/>
              <w:rPr>
                <w:sz w:val="24"/>
                <w:szCs w:val="24"/>
                <w:color w:val="auto"/>
              </w:rPr>
            </w:pPr>
          </w:p>
        </w:tc>
      </w:tr>
      <w:tr>
        <w:trPr>
          <w:trHeight w:val="432"/>
        </w:trPr>
        <w:tc>
          <w:tcPr>
            <w:tcW w:w="9960" w:type="dxa"/>
            <w:vAlign w:val="bottom"/>
          </w:tcPr>
          <w:p>
            <w:pPr>
              <w:spacing w:after="0"/>
              <w:rPr>
                <w:sz w:val="20"/>
                <w:szCs w:val="20"/>
                <w:color w:val="auto"/>
              </w:rPr>
            </w:pPr>
            <w:r>
              <w:rPr>
                <w:rFonts w:ascii="Arial" w:cs="Arial" w:eastAsia="Arial" w:hAnsi="Arial"/>
                <w:sz w:val="18"/>
                <w:szCs w:val="18"/>
                <w:color w:val="auto"/>
              </w:rPr>
              <w:t>Condensed Consolidated Balance Sheets as of March 31, 2015 (Unaudited) and December 31, 2014</w:t>
            </w:r>
          </w:p>
        </w:tc>
        <w:tc>
          <w:tcPr>
            <w:tcW w:w="1460" w:type="dxa"/>
            <w:vAlign w:val="bottom"/>
          </w:tcPr>
          <w:p>
            <w:pPr>
              <w:jc w:val="center"/>
              <w:ind w:right="150"/>
              <w:spacing w:after="0"/>
              <w:rPr>
                <w:sz w:val="20"/>
                <w:szCs w:val="20"/>
                <w:color w:val="auto"/>
              </w:rPr>
            </w:pPr>
            <w:r>
              <w:rPr>
                <w:rFonts w:ascii="Arial" w:cs="Arial" w:eastAsia="Arial" w:hAnsi="Arial"/>
                <w:sz w:val="18"/>
                <w:szCs w:val="18"/>
                <w:color w:val="auto"/>
                <w:w w:val="99"/>
              </w:rPr>
              <w:t>3</w:t>
            </w:r>
          </w:p>
        </w:tc>
      </w:tr>
      <w:tr>
        <w:trPr>
          <w:trHeight w:val="418"/>
        </w:trPr>
        <w:tc>
          <w:tcPr>
            <w:tcW w:w="9960" w:type="dxa"/>
            <w:vAlign w:val="bottom"/>
          </w:tcPr>
          <w:p>
            <w:pPr>
              <w:spacing w:after="0"/>
              <w:rPr>
                <w:sz w:val="20"/>
                <w:szCs w:val="20"/>
                <w:color w:val="auto"/>
              </w:rPr>
            </w:pPr>
            <w:r>
              <w:rPr>
                <w:rFonts w:ascii="Arial" w:cs="Arial" w:eastAsia="Arial" w:hAnsi="Arial"/>
                <w:sz w:val="18"/>
                <w:szCs w:val="18"/>
                <w:color w:val="auto"/>
                <w:w w:val="93"/>
              </w:rPr>
              <w:t>Condensed Consolidated Statements of Operations and Comprehensive Loss for the Three Months Ended March 31, 2015 and 2014</w:t>
            </w:r>
          </w:p>
        </w:tc>
        <w:tc>
          <w:tcPr>
            <w:tcW w:w="1460" w:type="dxa"/>
            <w:vAlign w:val="bottom"/>
          </w:tcPr>
          <w:p>
            <w:pPr>
              <w:spacing w:after="0"/>
              <w:rPr>
                <w:sz w:val="24"/>
                <w:szCs w:val="24"/>
                <w:color w:val="auto"/>
              </w:rPr>
            </w:pPr>
          </w:p>
        </w:tc>
      </w:tr>
      <w:tr>
        <w:trPr>
          <w:trHeight w:val="230"/>
        </w:trPr>
        <w:tc>
          <w:tcPr>
            <w:tcW w:w="9960" w:type="dxa"/>
            <w:vAlign w:val="bottom"/>
          </w:tcPr>
          <w:p>
            <w:pPr>
              <w:spacing w:after="0"/>
              <w:rPr>
                <w:sz w:val="20"/>
                <w:szCs w:val="20"/>
                <w:color w:val="auto"/>
              </w:rPr>
            </w:pPr>
            <w:r>
              <w:rPr>
                <w:rFonts w:ascii="Arial" w:cs="Arial" w:eastAsia="Arial" w:hAnsi="Arial"/>
                <w:sz w:val="18"/>
                <w:szCs w:val="18"/>
                <w:color w:val="auto"/>
              </w:rPr>
              <w:t>(Unaudited)</w:t>
            </w:r>
          </w:p>
        </w:tc>
        <w:tc>
          <w:tcPr>
            <w:tcW w:w="1460" w:type="dxa"/>
            <w:vAlign w:val="bottom"/>
          </w:tcPr>
          <w:p>
            <w:pPr>
              <w:jc w:val="center"/>
              <w:ind w:right="150"/>
              <w:spacing w:after="0"/>
              <w:rPr>
                <w:sz w:val="20"/>
                <w:szCs w:val="20"/>
                <w:color w:val="auto"/>
              </w:rPr>
            </w:pPr>
            <w:r>
              <w:rPr>
                <w:rFonts w:ascii="Arial" w:cs="Arial" w:eastAsia="Arial" w:hAnsi="Arial"/>
                <w:sz w:val="18"/>
                <w:szCs w:val="18"/>
                <w:color w:val="auto"/>
                <w:w w:val="99"/>
              </w:rPr>
              <w:t>4</w:t>
            </w:r>
          </w:p>
        </w:tc>
      </w:tr>
      <w:tr>
        <w:trPr>
          <w:trHeight w:val="432"/>
        </w:trPr>
        <w:tc>
          <w:tcPr>
            <w:tcW w:w="9960" w:type="dxa"/>
            <w:vAlign w:val="bottom"/>
          </w:tcPr>
          <w:p>
            <w:pPr>
              <w:spacing w:after="0"/>
              <w:rPr>
                <w:sz w:val="20"/>
                <w:szCs w:val="20"/>
                <w:color w:val="auto"/>
              </w:rPr>
            </w:pPr>
            <w:r>
              <w:rPr>
                <w:rFonts w:ascii="Arial" w:cs="Arial" w:eastAsia="Arial" w:hAnsi="Arial"/>
                <w:sz w:val="18"/>
                <w:szCs w:val="18"/>
                <w:color w:val="auto"/>
                <w:w w:val="99"/>
              </w:rPr>
              <w:t>Condensed Consolidated Statement of Stockholders' Equity (Deficit) for the Three Months Ended March 31, 2015 (Unaudited)</w:t>
            </w:r>
          </w:p>
        </w:tc>
        <w:tc>
          <w:tcPr>
            <w:tcW w:w="1460" w:type="dxa"/>
            <w:vAlign w:val="bottom"/>
          </w:tcPr>
          <w:p>
            <w:pPr>
              <w:jc w:val="center"/>
              <w:ind w:right="150"/>
              <w:spacing w:after="0"/>
              <w:rPr>
                <w:sz w:val="20"/>
                <w:szCs w:val="20"/>
                <w:color w:val="auto"/>
              </w:rPr>
            </w:pPr>
            <w:r>
              <w:rPr>
                <w:rFonts w:ascii="Arial" w:cs="Arial" w:eastAsia="Arial" w:hAnsi="Arial"/>
                <w:sz w:val="18"/>
                <w:szCs w:val="18"/>
                <w:color w:val="auto"/>
                <w:w w:val="99"/>
              </w:rPr>
              <w:t>5</w:t>
            </w:r>
          </w:p>
        </w:tc>
      </w:tr>
      <w:tr>
        <w:trPr>
          <w:trHeight w:val="432"/>
        </w:trPr>
        <w:tc>
          <w:tcPr>
            <w:tcW w:w="9960" w:type="dxa"/>
            <w:vAlign w:val="bottom"/>
          </w:tcPr>
          <w:p>
            <w:pPr>
              <w:spacing w:after="0"/>
              <w:rPr>
                <w:sz w:val="20"/>
                <w:szCs w:val="20"/>
                <w:color w:val="auto"/>
              </w:rPr>
            </w:pPr>
            <w:r>
              <w:rPr>
                <w:rFonts w:ascii="Arial" w:cs="Arial" w:eastAsia="Arial" w:hAnsi="Arial"/>
                <w:sz w:val="18"/>
                <w:szCs w:val="18"/>
                <w:color w:val="auto"/>
              </w:rPr>
              <w:t>Condensed Consolidated Statements of Cash Flows for the Three Months Ended March 31, 2015 and 2014 (Unaudited)</w:t>
            </w:r>
          </w:p>
        </w:tc>
        <w:tc>
          <w:tcPr>
            <w:tcW w:w="1460" w:type="dxa"/>
            <w:vAlign w:val="bottom"/>
          </w:tcPr>
          <w:p>
            <w:pPr>
              <w:jc w:val="center"/>
              <w:ind w:right="150"/>
              <w:spacing w:after="0"/>
              <w:rPr>
                <w:sz w:val="20"/>
                <w:szCs w:val="20"/>
                <w:color w:val="auto"/>
              </w:rPr>
            </w:pPr>
            <w:r>
              <w:rPr>
                <w:rFonts w:ascii="Arial" w:cs="Arial" w:eastAsia="Arial" w:hAnsi="Arial"/>
                <w:sz w:val="18"/>
                <w:szCs w:val="18"/>
                <w:color w:val="auto"/>
                <w:w w:val="99"/>
              </w:rPr>
              <w:t>6</w:t>
            </w:r>
          </w:p>
        </w:tc>
      </w:tr>
      <w:tr>
        <w:trPr>
          <w:trHeight w:val="432"/>
        </w:trPr>
        <w:tc>
          <w:tcPr>
            <w:tcW w:w="9960" w:type="dxa"/>
            <w:vAlign w:val="bottom"/>
          </w:tcPr>
          <w:p>
            <w:pPr>
              <w:spacing w:after="0"/>
              <w:rPr>
                <w:sz w:val="20"/>
                <w:szCs w:val="20"/>
                <w:color w:val="auto"/>
              </w:rPr>
            </w:pPr>
            <w:r>
              <w:rPr>
                <w:rFonts w:ascii="Arial" w:cs="Arial" w:eastAsia="Arial" w:hAnsi="Arial"/>
                <w:sz w:val="18"/>
                <w:szCs w:val="18"/>
                <w:color w:val="auto"/>
              </w:rPr>
              <w:t>Unaudited Notes to Condensed Consolidated Financial Statements</w:t>
            </w:r>
          </w:p>
        </w:tc>
        <w:tc>
          <w:tcPr>
            <w:tcW w:w="1460" w:type="dxa"/>
            <w:vAlign w:val="bottom"/>
          </w:tcPr>
          <w:p>
            <w:pPr>
              <w:jc w:val="center"/>
              <w:ind w:right="150"/>
              <w:spacing w:after="0"/>
              <w:rPr>
                <w:sz w:val="20"/>
                <w:szCs w:val="20"/>
                <w:color w:val="auto"/>
              </w:rPr>
            </w:pPr>
            <w:r>
              <w:rPr>
                <w:rFonts w:ascii="Arial" w:cs="Arial" w:eastAsia="Arial" w:hAnsi="Arial"/>
                <w:sz w:val="18"/>
                <w:szCs w:val="18"/>
                <w:color w:val="auto"/>
                <w:w w:val="99"/>
              </w:rPr>
              <w:t>8</w:t>
            </w:r>
          </w:p>
        </w:tc>
      </w:tr>
      <w:tr>
        <w:trPr>
          <w:trHeight w:val="1361"/>
        </w:trPr>
        <w:tc>
          <w:tcPr>
            <w:tcW w:w="99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20" w:type="dxa"/>
            <w:vAlign w:val="bottom"/>
            <w:tcBorders>
              <w:top w:val="single" w:sz="8" w:color="auto"/>
            </w:tcBorders>
          </w:tcPr>
          <w:p>
            <w:pPr>
              <w:spacing w:after="0"/>
              <w:rPr>
                <w:sz w:val="19"/>
                <w:szCs w:val="19"/>
                <w:color w:val="auto"/>
              </w:rPr>
            </w:pPr>
          </w:p>
        </w:tc>
        <w:tc>
          <w:tcPr>
            <w:tcW w:w="3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92"/>
              </w:rPr>
              <w:t>March 31,</w:t>
            </w:r>
          </w:p>
        </w:tc>
        <w:tc>
          <w:tcPr>
            <w:tcW w:w="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55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920" w:type="dxa"/>
            <w:vAlign w:val="bottom"/>
            <w:gridSpan w:val="4"/>
            <w:vMerge w:val="restart"/>
          </w:tcPr>
          <w:p>
            <w:pPr>
              <w:ind w:left="5320"/>
              <w:spacing w:after="0"/>
              <w:rPr>
                <w:sz w:val="20"/>
                <w:szCs w:val="20"/>
                <w:color w:val="auto"/>
              </w:rPr>
            </w:pPr>
            <w:r>
              <w:rPr>
                <w:rFonts w:ascii="Arial" w:cs="Arial" w:eastAsia="Arial" w:hAnsi="Arial"/>
                <w:sz w:val="18"/>
                <w:szCs w:val="18"/>
                <w:b w:val="1"/>
                <w:bCs w:val="1"/>
                <w:color w:val="auto"/>
              </w:rPr>
              <w:t>ASSETS</w:t>
            </w:r>
          </w:p>
        </w:tc>
        <w:tc>
          <w:tcPr>
            <w:tcW w:w="1040" w:type="dxa"/>
            <w:vAlign w:val="bottom"/>
          </w:tcPr>
          <w:p>
            <w:pPr>
              <w:jc w:val="center"/>
              <w:ind w:right="10"/>
              <w:spacing w:after="0"/>
              <w:rPr>
                <w:sz w:val="20"/>
                <w:szCs w:val="20"/>
                <w:color w:val="auto"/>
              </w:rPr>
            </w:pPr>
            <w:r>
              <w:rPr>
                <w:rFonts w:ascii="Arial" w:cs="Arial" w:eastAsia="Arial" w:hAnsi="Arial"/>
                <w:sz w:val="18"/>
                <w:szCs w:val="18"/>
                <w:color w:val="auto"/>
                <w:w w:val="91"/>
              </w:rPr>
              <w:t>(Unaudited)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920" w:type="dxa"/>
            <w:vAlign w:val="bottom"/>
            <w:gridSpan w:val="4"/>
            <w:vMerge w:val="continue"/>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5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00"/>
              <w:spacing w:after="0"/>
              <w:rPr>
                <w:sz w:val="20"/>
                <w:szCs w:val="20"/>
                <w:color w:val="auto"/>
              </w:rPr>
            </w:pPr>
            <w:r>
              <w:rPr>
                <w:rFonts w:ascii="Arial" w:cs="Arial" w:eastAsia="Arial" w:hAnsi="Arial"/>
                <w:sz w:val="18"/>
                <w:szCs w:val="18"/>
                <w:color w:val="auto"/>
              </w:rPr>
              <w:t>Cash</w:t>
            </w:r>
          </w:p>
        </w:tc>
        <w:tc>
          <w:tcPr>
            <w:tcW w:w="3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1,453,505</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141,944</w:t>
            </w:r>
          </w:p>
        </w:tc>
        <w:tc>
          <w:tcPr>
            <w:tcW w:w="0" w:type="dxa"/>
            <w:vAlign w:val="bottom"/>
          </w:tcPr>
          <w:p>
            <w:pPr>
              <w:spacing w:after="0"/>
              <w:rPr>
                <w:sz w:val="1"/>
                <w:szCs w:val="1"/>
                <w:color w:val="auto"/>
              </w:rPr>
            </w:pPr>
          </w:p>
        </w:tc>
      </w:tr>
      <w:tr>
        <w:trPr>
          <w:trHeight w:val="230"/>
        </w:trPr>
        <w:tc>
          <w:tcPr>
            <w:tcW w:w="5520" w:type="dxa"/>
            <w:vAlign w:val="bottom"/>
          </w:tcPr>
          <w:p>
            <w:pPr>
              <w:ind w:left="100"/>
              <w:spacing w:after="0"/>
              <w:rPr>
                <w:sz w:val="20"/>
                <w:szCs w:val="20"/>
                <w:color w:val="auto"/>
              </w:rPr>
            </w:pPr>
            <w:r>
              <w:rPr>
                <w:rFonts w:ascii="Arial" w:cs="Arial" w:eastAsia="Arial" w:hAnsi="Arial"/>
                <w:sz w:val="18"/>
                <w:szCs w:val="18"/>
                <w:color w:val="auto"/>
              </w:rPr>
              <w:t>Prepaid expenses and deposits</w:t>
            </w: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82,504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82,504</w:t>
            </w:r>
          </w:p>
        </w:tc>
        <w:tc>
          <w:tcPr>
            <w:tcW w:w="0" w:type="dxa"/>
            <w:vAlign w:val="bottom"/>
          </w:tcPr>
          <w:p>
            <w:pPr>
              <w:spacing w:after="0"/>
              <w:rPr>
                <w:sz w:val="1"/>
                <w:szCs w:val="1"/>
                <w:color w:val="auto"/>
              </w:rPr>
            </w:pPr>
          </w:p>
        </w:tc>
      </w:tr>
      <w:tr>
        <w:trPr>
          <w:trHeight w:val="27"/>
        </w:trPr>
        <w:tc>
          <w:tcPr>
            <w:tcW w:w="5520" w:type="dxa"/>
            <w:vAlign w:val="bottom"/>
            <w:shd w:val="clear" w:color="auto" w:fill="000000"/>
          </w:tcPr>
          <w:p>
            <w:pPr>
              <w:spacing w:after="0"/>
              <w:rPr>
                <w:sz w:val="2"/>
                <w:szCs w:val="2"/>
                <w:color w:val="auto"/>
              </w:rPr>
            </w:pPr>
          </w:p>
        </w:tc>
        <w:tc>
          <w:tcPr>
            <w:tcW w:w="3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5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1,536,009</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224,448</w:t>
            </w:r>
          </w:p>
        </w:tc>
        <w:tc>
          <w:tcPr>
            <w:tcW w:w="0" w:type="dxa"/>
            <w:vAlign w:val="bottom"/>
          </w:tcPr>
          <w:p>
            <w:pPr>
              <w:spacing w:after="0"/>
              <w:rPr>
                <w:sz w:val="1"/>
                <w:szCs w:val="1"/>
                <w:color w:val="auto"/>
              </w:rPr>
            </w:pPr>
          </w:p>
        </w:tc>
      </w:tr>
      <w:tr>
        <w:trPr>
          <w:trHeight w:val="21"/>
        </w:trPr>
        <w:tc>
          <w:tcPr>
            <w:tcW w:w="87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8920" w:type="dxa"/>
            <w:vAlign w:val="bottom"/>
            <w:gridSpan w:val="4"/>
          </w:tcPr>
          <w:p>
            <w:pPr>
              <w:ind w:left="3240"/>
              <w:spacing w:after="0"/>
              <w:rPr>
                <w:sz w:val="20"/>
                <w:szCs w:val="20"/>
                <w:color w:val="auto"/>
              </w:rPr>
            </w:pPr>
            <w:r>
              <w:rPr>
                <w:rFonts w:ascii="Arial" w:cs="Arial" w:eastAsia="Arial" w:hAnsi="Arial"/>
                <w:sz w:val="18"/>
                <w:szCs w:val="18"/>
                <w:b w:val="1"/>
                <w:bCs w:val="1"/>
                <w:color w:val="auto"/>
              </w:rPr>
              <w:t>LIABILITIES AND STOCKHOLDERS’ EQUITY (DEFICIT)</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5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80"/>
              <w:spacing w:after="0"/>
              <w:rPr>
                <w:sz w:val="20"/>
                <w:szCs w:val="20"/>
                <w:color w:val="auto"/>
              </w:rPr>
            </w:pPr>
            <w:r>
              <w:rPr>
                <w:rFonts w:ascii="Arial" w:cs="Arial" w:eastAsia="Arial" w:hAnsi="Arial"/>
                <w:sz w:val="18"/>
                <w:szCs w:val="18"/>
                <w:color w:val="auto"/>
              </w:rPr>
              <w:t>Accounts payable and accrued liabilities</w:t>
            </w:r>
          </w:p>
        </w:tc>
        <w:tc>
          <w:tcPr>
            <w:tcW w:w="3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703,323</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693,362</w:t>
            </w:r>
          </w:p>
        </w:tc>
        <w:tc>
          <w:tcPr>
            <w:tcW w:w="0" w:type="dxa"/>
            <w:vAlign w:val="bottom"/>
          </w:tcPr>
          <w:p>
            <w:pPr>
              <w:spacing w:after="0"/>
              <w:rPr>
                <w:sz w:val="1"/>
                <w:szCs w:val="1"/>
                <w:color w:val="auto"/>
              </w:rPr>
            </w:pPr>
          </w:p>
        </w:tc>
      </w:tr>
      <w:tr>
        <w:trPr>
          <w:trHeight w:val="216"/>
        </w:trPr>
        <w:tc>
          <w:tcPr>
            <w:tcW w:w="5520" w:type="dxa"/>
            <w:vAlign w:val="bottom"/>
          </w:tcPr>
          <w:p>
            <w:pPr>
              <w:ind w:left="100"/>
              <w:spacing w:after="0"/>
              <w:rPr>
                <w:sz w:val="20"/>
                <w:szCs w:val="20"/>
                <w:color w:val="auto"/>
              </w:rPr>
            </w:pPr>
            <w:r>
              <w:rPr>
                <w:rFonts w:ascii="Arial" w:cs="Arial" w:eastAsia="Arial" w:hAnsi="Arial"/>
                <w:sz w:val="18"/>
                <w:szCs w:val="18"/>
                <w:color w:val="auto"/>
              </w:rPr>
              <w:t>Research agreement obligations</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492,365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492,365</w:t>
            </w:r>
          </w:p>
        </w:tc>
        <w:tc>
          <w:tcPr>
            <w:tcW w:w="0" w:type="dxa"/>
            <w:vAlign w:val="bottom"/>
          </w:tcPr>
          <w:p>
            <w:pPr>
              <w:spacing w:after="0"/>
              <w:rPr>
                <w:sz w:val="1"/>
                <w:szCs w:val="1"/>
                <w:color w:val="auto"/>
              </w:rPr>
            </w:pPr>
          </w:p>
        </w:tc>
      </w:tr>
      <w:tr>
        <w:trPr>
          <w:trHeight w:val="216"/>
        </w:trPr>
        <w:tc>
          <w:tcPr>
            <w:tcW w:w="5520" w:type="dxa"/>
            <w:vAlign w:val="bottom"/>
          </w:tcPr>
          <w:p>
            <w:pPr>
              <w:ind w:left="100"/>
              <w:spacing w:after="0"/>
              <w:rPr>
                <w:sz w:val="20"/>
                <w:szCs w:val="20"/>
                <w:color w:val="auto"/>
              </w:rPr>
            </w:pPr>
            <w:r>
              <w:rPr>
                <w:rFonts w:ascii="Arial" w:cs="Arial" w:eastAsia="Arial" w:hAnsi="Arial"/>
                <w:sz w:val="18"/>
                <w:szCs w:val="18"/>
                <w:color w:val="auto"/>
              </w:rPr>
              <w:t>Derivative liability – warrants</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2,052,975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9,415</w:t>
            </w:r>
          </w:p>
        </w:tc>
        <w:tc>
          <w:tcPr>
            <w:tcW w:w="0" w:type="dxa"/>
            <w:vAlign w:val="bottom"/>
          </w:tcPr>
          <w:p>
            <w:pPr>
              <w:spacing w:after="0"/>
              <w:rPr>
                <w:sz w:val="1"/>
                <w:szCs w:val="1"/>
                <w:color w:val="auto"/>
              </w:rPr>
            </w:pPr>
          </w:p>
        </w:tc>
      </w:tr>
      <w:tr>
        <w:trPr>
          <w:trHeight w:val="237"/>
        </w:trPr>
        <w:tc>
          <w:tcPr>
            <w:tcW w:w="5520" w:type="dxa"/>
            <w:vAlign w:val="bottom"/>
          </w:tcPr>
          <w:p>
            <w:pPr>
              <w:ind w:left="100"/>
              <w:spacing w:after="0"/>
              <w:rPr>
                <w:sz w:val="20"/>
                <w:szCs w:val="20"/>
                <w:color w:val="auto"/>
              </w:rPr>
            </w:pPr>
            <w:r>
              <w:rPr>
                <w:rFonts w:ascii="Arial" w:cs="Arial" w:eastAsia="Arial" w:hAnsi="Arial"/>
                <w:sz w:val="18"/>
                <w:szCs w:val="18"/>
                <w:color w:val="auto"/>
              </w:rPr>
              <w:t>Promissory notes</w:t>
            </w: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52,942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52,942</w:t>
            </w:r>
          </w:p>
        </w:tc>
        <w:tc>
          <w:tcPr>
            <w:tcW w:w="0" w:type="dxa"/>
            <w:vAlign w:val="bottom"/>
          </w:tcPr>
          <w:p>
            <w:pPr>
              <w:spacing w:after="0"/>
              <w:rPr>
                <w:sz w:val="1"/>
                <w:szCs w:val="1"/>
                <w:color w:val="auto"/>
              </w:rPr>
            </w:pPr>
          </w:p>
        </w:tc>
      </w:tr>
      <w:tr>
        <w:trPr>
          <w:trHeight w:val="223"/>
        </w:trPr>
        <w:tc>
          <w:tcPr>
            <w:tcW w:w="5520" w:type="dxa"/>
            <w:vAlign w:val="bottom"/>
            <w:tcBorders>
              <w:top w:val="single" w:sz="8" w:color="auto"/>
              <w:bottom w:val="single" w:sz="8" w:color="auto"/>
            </w:tcBorders>
          </w:tcPr>
          <w:p>
            <w:pPr>
              <w:spacing w:after="0"/>
              <w:rPr>
                <w:sz w:val="19"/>
                <w:szCs w:val="19"/>
                <w:color w:val="auto"/>
              </w:rPr>
            </w:pPr>
          </w:p>
        </w:tc>
        <w:tc>
          <w:tcPr>
            <w:tcW w:w="318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3,301,605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52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20" w:type="dxa"/>
            <w:vAlign w:val="bottom"/>
            <w:gridSpan w:val="4"/>
          </w:tcPr>
          <w:p>
            <w:pPr>
              <w:spacing w:after="0"/>
              <w:rPr>
                <w:sz w:val="20"/>
                <w:szCs w:val="20"/>
                <w:color w:val="auto"/>
              </w:rPr>
            </w:pPr>
            <w:r>
              <w:rPr>
                <w:rFonts w:ascii="Arial" w:cs="Arial" w:eastAsia="Arial" w:hAnsi="Arial"/>
                <w:sz w:val="18"/>
                <w:szCs w:val="18"/>
                <w:color w:val="auto"/>
              </w:rPr>
              <w:t>Convertible preferred stock, $0.001 par value — 10,000,000 shares authorized:</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4"/>
          </w:tcPr>
          <w:p>
            <w:pPr>
              <w:ind w:left="180"/>
              <w:spacing w:after="0"/>
              <w:rPr>
                <w:sz w:val="20"/>
                <w:szCs w:val="20"/>
                <w:color w:val="auto"/>
              </w:rPr>
            </w:pPr>
            <w:r>
              <w:rPr>
                <w:rFonts w:ascii="Arial" w:cs="Arial" w:eastAsia="Arial" w:hAnsi="Arial"/>
                <w:sz w:val="18"/>
                <w:szCs w:val="18"/>
                <w:color w:val="auto"/>
                <w:w w:val="92"/>
              </w:rPr>
              <w:t>Series A, $0.001 par value, 1,250,000 shares designated, -0- shares issued and outstanding as of March 31, 2015 and</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December 31, 2014</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w w:val="88"/>
              </w:rPr>
              <w:t>Series B, $0.001 par value, 1,500,000 shares designated, -0- shares issued</w:t>
            </w:r>
          </w:p>
        </w:tc>
        <w:tc>
          <w:tcPr>
            <w:tcW w:w="3400" w:type="dxa"/>
            <w:vAlign w:val="bottom"/>
            <w:gridSpan w:val="3"/>
          </w:tcPr>
          <w:p>
            <w:pPr>
              <w:jc w:val="right"/>
              <w:ind w:right="320"/>
              <w:spacing w:after="0"/>
              <w:rPr>
                <w:sz w:val="20"/>
                <w:szCs w:val="20"/>
                <w:color w:val="auto"/>
              </w:rPr>
            </w:pPr>
            <w:r>
              <w:rPr>
                <w:rFonts w:ascii="Arial" w:cs="Arial" w:eastAsia="Arial" w:hAnsi="Arial"/>
                <w:sz w:val="18"/>
                <w:szCs w:val="18"/>
                <w:color w:val="auto"/>
                <w:w w:val="90"/>
              </w:rPr>
              <w:t>and outstanding as of March 31, 2015 and</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December 31, 2014</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Common stock, $0.001 par value, 500,000,000 shares authorized</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32,638,811 shares issued and outstanding (2014 – 20,318,815)</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32,639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20,319</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85,493,220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85,265,776</w:t>
            </w: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r>
              <w:rPr>
                <w:rFonts w:ascii="Arial" w:cs="Arial" w:eastAsia="Arial" w:hAnsi="Arial"/>
                <w:sz w:val="18"/>
                <w:szCs w:val="18"/>
                <w:color w:val="auto"/>
              </w:rPr>
              <w:t>Accumulated deficit</w:t>
            </w: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(87,291,455)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7"/>
              </w:rPr>
              <w:t>(86,309,731)</w:t>
            </w:r>
          </w:p>
        </w:tc>
        <w:tc>
          <w:tcPr>
            <w:tcW w:w="0" w:type="dxa"/>
            <w:vAlign w:val="bottom"/>
          </w:tcPr>
          <w:p>
            <w:pPr>
              <w:spacing w:after="0"/>
              <w:rPr>
                <w:sz w:val="1"/>
                <w:szCs w:val="1"/>
                <w:color w:val="auto"/>
              </w:rPr>
            </w:pPr>
          </w:p>
        </w:tc>
      </w:tr>
      <w:tr>
        <w:trPr>
          <w:trHeight w:val="223"/>
        </w:trPr>
        <w:tc>
          <w:tcPr>
            <w:tcW w:w="5520" w:type="dxa"/>
            <w:vAlign w:val="bottom"/>
            <w:tcBorders>
              <w:top w:val="single" w:sz="8" w:color="auto"/>
              <w:bottom w:val="single" w:sz="8" w:color="auto"/>
            </w:tcBorders>
          </w:tcPr>
          <w:p>
            <w:pPr>
              <w:spacing w:after="0"/>
              <w:rPr>
                <w:sz w:val="19"/>
                <w:szCs w:val="19"/>
                <w:color w:val="auto"/>
              </w:rPr>
            </w:pPr>
          </w:p>
        </w:tc>
        <w:tc>
          <w:tcPr>
            <w:tcW w:w="318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(1,765,596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(1,023,636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32"/>
        </w:trPr>
        <w:tc>
          <w:tcPr>
            <w:tcW w:w="5520" w:type="dxa"/>
            <w:vAlign w:val="bottom"/>
          </w:tcPr>
          <w:p>
            <w:pPr>
              <w:spacing w:after="0"/>
              <w:rPr>
                <w:sz w:val="24"/>
                <w:szCs w:val="24"/>
                <w:color w:val="auto"/>
              </w:rPr>
            </w:pPr>
          </w:p>
        </w:tc>
        <w:tc>
          <w:tcPr>
            <w:tcW w:w="3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1,536,009</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224,448</w:t>
            </w:r>
          </w:p>
        </w:tc>
        <w:tc>
          <w:tcPr>
            <w:tcW w:w="0" w:type="dxa"/>
            <w:vAlign w:val="bottom"/>
          </w:tcPr>
          <w:p>
            <w:pPr>
              <w:spacing w:after="0"/>
              <w:rPr>
                <w:sz w:val="1"/>
                <w:szCs w:val="1"/>
                <w:color w:val="auto"/>
              </w:rPr>
            </w:pPr>
          </w:p>
        </w:tc>
      </w:tr>
      <w:tr>
        <w:trPr>
          <w:trHeight w:val="21"/>
        </w:trPr>
        <w:tc>
          <w:tcPr>
            <w:tcW w:w="5520" w:type="dxa"/>
            <w:vAlign w:val="bottom"/>
            <w:tcBorders>
              <w:top w:val="single" w:sz="8" w:color="auto"/>
              <w:bottom w:val="single" w:sz="8" w:color="auto"/>
            </w:tcBorders>
          </w:tcPr>
          <w:p>
            <w:pPr>
              <w:spacing w:after="0" w:line="20" w:lineRule="exact"/>
              <w:rPr>
                <w:sz w:val="1"/>
                <w:szCs w:val="1"/>
                <w:color w:val="auto"/>
              </w:rPr>
            </w:pPr>
          </w:p>
        </w:tc>
        <w:tc>
          <w:tcPr>
            <w:tcW w:w="3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7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8"/>
                <w:szCs w:val="18"/>
                <w:color w:val="auto"/>
                <w:w w:val="91"/>
              </w:rPr>
              <w:t>Three Months</w:t>
            </w:r>
          </w:p>
        </w:tc>
        <w:tc>
          <w:tcPr>
            <w:tcW w:w="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8"/>
                <w:szCs w:val="18"/>
                <w:color w:val="auto"/>
                <w:w w:val="91"/>
              </w:rPr>
              <w:t>Three Months</w:t>
            </w: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Ended</w:t>
            </w: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March 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March 31,</w:t>
            </w:r>
          </w:p>
        </w:tc>
      </w:tr>
      <w:tr>
        <w:trPr>
          <w:trHeight w:val="237"/>
        </w:trPr>
        <w:tc>
          <w:tcPr>
            <w:tcW w:w="8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r>
      <w:tr>
        <w:trPr>
          <w:trHeight w:val="418"/>
        </w:trPr>
        <w:tc>
          <w:tcPr>
            <w:tcW w:w="87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418,786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1,164,098</w:t>
            </w:r>
          </w:p>
        </w:tc>
      </w:tr>
      <w:tr>
        <w:trPr>
          <w:trHeight w:val="230"/>
        </w:trPr>
        <w:tc>
          <w:tcPr>
            <w:tcW w:w="87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609,378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22,500</w:t>
            </w:r>
          </w:p>
        </w:tc>
      </w:tr>
      <w:tr>
        <w:trPr>
          <w:trHeight w:val="27"/>
        </w:trPr>
        <w:tc>
          <w:tcPr>
            <w:tcW w:w="8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32"/>
        </w:trPr>
        <w:tc>
          <w:tcPr>
            <w:tcW w:w="870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(1,028,164)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(1,186,598)</w:t>
            </w:r>
          </w:p>
        </w:tc>
      </w:tr>
      <w:tr>
        <w:trPr>
          <w:trHeight w:val="418"/>
        </w:trPr>
        <w:tc>
          <w:tcPr>
            <w:tcW w:w="870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Changes in fair value of derivative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46,440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(338,297)</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Accretion of discount on convertible notes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483,636)</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Interest and financing charges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(35,269)</w:t>
            </w:r>
          </w:p>
        </w:tc>
      </w:tr>
      <w:tr>
        <w:trPr>
          <w:trHeight w:val="230"/>
        </w:trPr>
        <w:tc>
          <w:tcPr>
            <w:tcW w:w="8700" w:type="dxa"/>
            <w:vAlign w:val="bottom"/>
          </w:tcPr>
          <w:p>
            <w:pPr>
              <w:ind w:left="180"/>
              <w:spacing w:after="0"/>
              <w:rPr>
                <w:sz w:val="20"/>
                <w:szCs w:val="20"/>
                <w:color w:val="auto"/>
              </w:rPr>
            </w:pPr>
            <w:r>
              <w:rPr>
                <w:rFonts w:ascii="Arial" w:cs="Arial" w:eastAsia="Arial" w:hAnsi="Arial"/>
                <w:sz w:val="18"/>
                <w:szCs w:val="18"/>
                <w:color w:val="auto"/>
              </w:rPr>
              <w:t>Loss on extinguishment of debt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(27,663,430)</w:t>
            </w:r>
          </w:p>
        </w:tc>
      </w:tr>
      <w:tr>
        <w:trPr>
          <w:trHeight w:val="27"/>
        </w:trPr>
        <w:tc>
          <w:tcPr>
            <w:tcW w:w="8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39"/>
        </w:trPr>
        <w:tc>
          <w:tcPr>
            <w:tcW w:w="8700" w:type="dxa"/>
            <w:vAlign w:val="bottom"/>
          </w:tcPr>
          <w:p>
            <w:pPr>
              <w:spacing w:after="0"/>
              <w:rPr>
                <w:sz w:val="20"/>
                <w:szCs w:val="20"/>
                <w:color w:val="auto"/>
              </w:rPr>
            </w:pPr>
            <w:r>
              <w:rPr>
                <w:rFonts w:ascii="Arial" w:cs="Arial" w:eastAsia="Arial" w:hAnsi="Arial"/>
                <w:sz w:val="18"/>
                <w:szCs w:val="18"/>
                <w:b w:val="1"/>
                <w:bCs w:val="1"/>
                <w:color w:val="auto"/>
              </w:rPr>
              <w:t>Net Loss for the Period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(981,724)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(29,707,230)</w:t>
            </w:r>
          </w:p>
        </w:tc>
      </w:tr>
      <w:tr>
        <w:trPr>
          <w:trHeight w:val="418"/>
        </w:trPr>
        <w:tc>
          <w:tcPr>
            <w:tcW w:w="87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Other comprehensive income</w:t>
            </w: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8700" w:type="dxa"/>
            <w:vAlign w:val="bottom"/>
          </w:tcPr>
          <w:p>
            <w:pPr>
              <w:ind w:left="180"/>
              <w:spacing w:after="0"/>
              <w:rPr>
                <w:sz w:val="20"/>
                <w:szCs w:val="20"/>
                <w:color w:val="auto"/>
              </w:rPr>
            </w:pPr>
            <w:r>
              <w:rPr>
                <w:rFonts w:ascii="Arial" w:cs="Arial" w:eastAsia="Arial" w:hAnsi="Arial"/>
                <w:sz w:val="18"/>
                <w:szCs w:val="18"/>
                <w:color w:val="auto"/>
              </w:rPr>
              <w:t>Foreign exchange translation adjustment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(1,249)</w:t>
            </w:r>
          </w:p>
        </w:tc>
      </w:tr>
      <w:tr>
        <w:trPr>
          <w:trHeight w:val="27"/>
        </w:trPr>
        <w:tc>
          <w:tcPr>
            <w:tcW w:w="8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32"/>
        </w:trPr>
        <w:tc>
          <w:tcPr>
            <w:tcW w:w="8700" w:type="dxa"/>
            <w:vAlign w:val="bottom"/>
          </w:tcPr>
          <w:p>
            <w:pPr>
              <w:spacing w:after="0"/>
              <w:rPr>
                <w:sz w:val="20"/>
                <w:szCs w:val="20"/>
                <w:color w:val="auto"/>
              </w:rPr>
            </w:pPr>
            <w:r>
              <w:rPr>
                <w:rFonts w:ascii="Arial" w:cs="Arial" w:eastAsia="Arial" w:hAnsi="Arial"/>
                <w:sz w:val="18"/>
                <w:szCs w:val="18"/>
                <w:b w:val="1"/>
                <w:bCs w:val="1"/>
                <w:color w:val="auto"/>
              </w:rPr>
              <w:t>TOTAL COMPREHENSIVE LOSS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(981,724)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(29,708,479)</w:t>
            </w:r>
          </w:p>
        </w:tc>
      </w:tr>
      <w:tr>
        <w:trPr>
          <w:trHeight w:val="21"/>
        </w:trPr>
        <w:tc>
          <w:tcPr>
            <w:tcW w:w="8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7"/>
        </w:trPr>
        <w:tc>
          <w:tcPr>
            <w:tcW w:w="8700" w:type="dxa"/>
            <w:vAlign w:val="bottom"/>
          </w:tcPr>
          <w:p>
            <w:pPr>
              <w:spacing w:after="0"/>
              <w:rPr>
                <w:sz w:val="20"/>
                <w:szCs w:val="20"/>
                <w:color w:val="auto"/>
              </w:rPr>
            </w:pPr>
            <w:r>
              <w:rPr>
                <w:rFonts w:ascii="Arial" w:cs="Arial" w:eastAsia="Arial" w:hAnsi="Arial"/>
                <w:sz w:val="18"/>
                <w:szCs w:val="18"/>
                <w:b w:val="1"/>
                <w:bCs w:val="1"/>
                <w:color w:val="auto"/>
              </w:rPr>
              <w:t>Basic and Diluted Net Loss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8700" w:type="dxa"/>
            <w:vAlign w:val="bottom"/>
          </w:tcPr>
          <w:p>
            <w:pPr>
              <w:spacing w:after="0"/>
              <w:rPr>
                <w:sz w:val="20"/>
                <w:szCs w:val="20"/>
                <w:color w:val="auto"/>
              </w:rPr>
            </w:pPr>
            <w:r>
              <w:rPr>
                <w:rFonts w:ascii="Arial" w:cs="Arial" w:eastAsia="Arial" w:hAnsi="Arial"/>
                <w:sz w:val="18"/>
                <w:szCs w:val="18"/>
                <w:b w:val="1"/>
                <w:bCs w:val="1"/>
                <w:color w:val="auto"/>
              </w:rPr>
              <w:t>per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(0.04)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(3.89)</w:t>
            </w:r>
          </w:p>
        </w:tc>
      </w:tr>
      <w:tr>
        <w:trPr>
          <w:trHeight w:val="21"/>
        </w:trPr>
        <w:tc>
          <w:tcPr>
            <w:tcW w:w="8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7"/>
        </w:trPr>
        <w:tc>
          <w:tcPr>
            <w:tcW w:w="8700" w:type="dxa"/>
            <w:vAlign w:val="bottom"/>
          </w:tcPr>
          <w:p>
            <w:pPr>
              <w:spacing w:after="0"/>
              <w:rPr>
                <w:sz w:val="20"/>
                <w:szCs w:val="20"/>
                <w:color w:val="auto"/>
              </w:rPr>
            </w:pPr>
            <w:r>
              <w:rPr>
                <w:rFonts w:ascii="Arial" w:cs="Arial" w:eastAsia="Arial" w:hAnsi="Arial"/>
                <w:sz w:val="18"/>
                <w:szCs w:val="18"/>
                <w:b w:val="1"/>
                <w:bCs w:val="1"/>
                <w:color w:val="auto"/>
              </w:rPr>
              <w:t>Weighted Average Number of</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8700" w:type="dxa"/>
            <w:vAlign w:val="bottom"/>
          </w:tcPr>
          <w:p>
            <w:pPr>
              <w:spacing w:after="0"/>
              <w:rPr>
                <w:sz w:val="20"/>
                <w:szCs w:val="20"/>
                <w:color w:val="auto"/>
              </w:rPr>
            </w:pPr>
            <w:r>
              <w:rPr>
                <w:rFonts w:ascii="Arial" w:cs="Arial" w:eastAsia="Arial" w:hAnsi="Arial"/>
                <w:sz w:val="18"/>
                <w:szCs w:val="18"/>
                <w:b w:val="1"/>
                <w:bCs w:val="1"/>
                <w:color w:val="auto"/>
              </w:rPr>
              <w:t>Common Shares Outstanding</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27,611,255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7,631,669</w:t>
            </w:r>
          </w:p>
        </w:tc>
      </w:tr>
      <w:tr>
        <w:trPr>
          <w:trHeight w:val="21"/>
        </w:trPr>
        <w:tc>
          <w:tcPr>
            <w:tcW w:w="8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 (DEFICIT)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1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92"/>
              </w:rPr>
              <w:t>Accumulated</w:t>
            </w: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5"/>
          </w:tcPr>
          <w:p>
            <w:pPr>
              <w:ind w:left="720"/>
              <w:spacing w:after="0"/>
              <w:rPr>
                <w:sz w:val="20"/>
                <w:szCs w:val="20"/>
                <w:color w:val="auto"/>
              </w:rPr>
            </w:pPr>
            <w:r>
              <w:rPr>
                <w:rFonts w:ascii="Arial" w:cs="Arial" w:eastAsia="Arial" w:hAnsi="Arial"/>
                <w:sz w:val="18"/>
                <w:szCs w:val="18"/>
                <w:color w:val="auto"/>
              </w:rPr>
              <w:t>Common Stock</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Additional</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Other</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Paid In</w:t>
            </w:r>
          </w:p>
        </w:tc>
        <w:tc>
          <w:tcPr>
            <w:tcW w:w="8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Accumulated</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Comprehensive</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shares</w:t>
            </w:r>
          </w:p>
        </w:tc>
        <w:tc>
          <w:tcPr>
            <w:tcW w:w="120" w:type="dxa"/>
            <w:vAlign w:val="bottom"/>
          </w:tcPr>
          <w:p>
            <w:pPr>
              <w:spacing w:after="0"/>
              <w:rPr>
                <w:sz w:val="18"/>
                <w:szCs w:val="18"/>
                <w:color w:val="auto"/>
              </w:rPr>
            </w:pPr>
          </w:p>
        </w:tc>
        <w:tc>
          <w:tcPr>
            <w:tcW w:w="1380" w:type="dxa"/>
            <w:vAlign w:val="bottom"/>
            <w:gridSpan w:val="2"/>
          </w:tcPr>
          <w:p>
            <w:pPr>
              <w:ind w:left="280"/>
              <w:spacing w:after="0"/>
              <w:rPr>
                <w:sz w:val="20"/>
                <w:szCs w:val="20"/>
                <w:color w:val="auto"/>
              </w:rPr>
            </w:pPr>
            <w:r>
              <w:rPr>
                <w:rFonts w:ascii="Arial" w:cs="Arial" w:eastAsia="Arial" w:hAnsi="Arial"/>
                <w:sz w:val="18"/>
                <w:szCs w:val="18"/>
                <w:color w:val="auto"/>
              </w:rPr>
              <w:t>Amount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Capital</w:t>
            </w:r>
          </w:p>
        </w:tc>
        <w:tc>
          <w:tcPr>
            <w:tcW w:w="8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Deficit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Loss</w:t>
            </w:r>
          </w:p>
        </w:tc>
        <w:tc>
          <w:tcPr>
            <w:tcW w:w="1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r>
      <w:tr>
        <w:trPr>
          <w:trHeight w:val="237"/>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9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0"/>
                <w:szCs w:val="20"/>
                <w:color w:val="auto"/>
              </w:rPr>
            </w:pPr>
          </w:p>
        </w:tc>
        <w:tc>
          <w:tcPr>
            <w:tcW w:w="122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126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3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Balance, December 31, 2014</w:t>
            </w:r>
          </w:p>
        </w:tc>
        <w:tc>
          <w:tcPr>
            <w:tcW w:w="14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20,318,816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20,319</w:t>
            </w:r>
          </w:p>
        </w:tc>
        <w:tc>
          <w:tcPr>
            <w:tcW w:w="22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85,265,776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(86,309,731)</w:t>
            </w:r>
          </w:p>
        </w:tc>
        <w:tc>
          <w:tcPr>
            <w:tcW w:w="2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(1,023,636)</w:t>
            </w:r>
          </w:p>
        </w:tc>
        <w:tc>
          <w:tcPr>
            <w:tcW w:w="100" w:type="dxa"/>
            <w:vAlign w:val="bottom"/>
          </w:tcPr>
          <w:p>
            <w:pPr>
              <w:spacing w:after="0"/>
              <w:rPr>
                <w:sz w:val="20"/>
                <w:szCs w:val="20"/>
                <w:color w:val="auto"/>
              </w:rPr>
            </w:pPr>
          </w:p>
        </w:tc>
      </w:tr>
      <w:tr>
        <w:trPr>
          <w:trHeight w:val="404"/>
        </w:trPr>
        <w:tc>
          <w:tcPr>
            <w:tcW w:w="3200" w:type="dxa"/>
            <w:vAlign w:val="bottom"/>
            <w:gridSpan w:val="2"/>
          </w:tcPr>
          <w:p>
            <w:pPr>
              <w:spacing w:after="0"/>
              <w:rPr>
                <w:sz w:val="20"/>
                <w:szCs w:val="20"/>
                <w:color w:val="auto"/>
              </w:rPr>
            </w:pPr>
            <w:r>
              <w:rPr>
                <w:rFonts w:ascii="Arial" w:cs="Arial" w:eastAsia="Arial" w:hAnsi="Arial"/>
                <w:sz w:val="18"/>
                <w:szCs w:val="18"/>
                <w:color w:val="auto"/>
              </w:rPr>
              <w:t>Private placement (net of finders’ fee of</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$140,000)</w:t>
            </w:r>
          </w:p>
        </w:tc>
        <w:tc>
          <w:tcPr>
            <w:tcW w:w="1420" w:type="dxa"/>
            <w:vAlign w:val="bottom"/>
            <w:gridSpan w:val="3"/>
          </w:tcPr>
          <w:p>
            <w:pPr>
              <w:jc w:val="right"/>
              <w:ind w:right="120"/>
              <w:spacing w:after="0"/>
              <w:rPr>
                <w:sz w:val="20"/>
                <w:szCs w:val="20"/>
                <w:color w:val="auto"/>
              </w:rPr>
            </w:pPr>
            <w:r>
              <w:rPr>
                <w:rFonts w:ascii="Arial" w:cs="Arial" w:eastAsia="Arial" w:hAnsi="Arial"/>
                <w:sz w:val="18"/>
                <w:szCs w:val="18"/>
                <w:color w:val="auto"/>
              </w:rPr>
              <w:t>12,319,995</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12,320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2,313,694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2,326,014</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Fair value of warrants recognized as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derivative liabilities</w:t>
            </w:r>
          </w:p>
        </w:tc>
        <w:tc>
          <w:tcPr>
            <w:tcW w:w="1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(2,090,000)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(2,090,000)</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Stock- based compensation</w:t>
            </w:r>
          </w:p>
        </w:tc>
        <w:tc>
          <w:tcPr>
            <w:tcW w:w="1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3,750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3,750</w:t>
            </w:r>
          </w:p>
        </w:tc>
      </w:tr>
      <w:tr>
        <w:trPr>
          <w:trHeight w:val="237"/>
        </w:trPr>
        <w:tc>
          <w:tcPr>
            <w:tcW w:w="32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(981,724)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(981,724)</w:t>
            </w:r>
          </w:p>
        </w:tc>
      </w:tr>
      <w:tr>
        <w:trPr>
          <w:trHeight w:val="216"/>
        </w:trPr>
        <w:tc>
          <w:tcPr>
            <w:tcW w:w="3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Balance, March 31, 2015</w:t>
            </w:r>
          </w:p>
        </w:tc>
        <w:tc>
          <w:tcPr>
            <w:tcW w:w="14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32,638,811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32,639</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85,493,220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(87,291,455</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(1,765,596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
        </w:trPr>
        <w:tc>
          <w:tcPr>
            <w:tcW w:w="20" w:type="dxa"/>
            <w:vAlign w:val="bottom"/>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86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1"/>
              </w:rPr>
              <w:t>Three Months</w:t>
            </w:r>
          </w:p>
        </w:tc>
        <w:tc>
          <w:tcPr>
            <w:tcW w:w="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1"/>
              </w:rPr>
              <w:t>Three Months</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Ended</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March 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March 31,</w:t>
            </w:r>
          </w:p>
        </w:tc>
      </w:tr>
      <w:tr>
        <w:trPr>
          <w:trHeight w:val="237"/>
        </w:trPr>
        <w:tc>
          <w:tcPr>
            <w:tcW w:w="20" w:type="dxa"/>
            <w:vAlign w:val="bottom"/>
          </w:tcPr>
          <w:p>
            <w:pPr>
              <w:spacing w:after="0"/>
              <w:rPr>
                <w:sz w:val="20"/>
                <w:szCs w:val="20"/>
                <w:color w:val="auto"/>
              </w:rPr>
            </w:pPr>
          </w:p>
        </w:tc>
        <w:tc>
          <w:tcPr>
            <w:tcW w:w="8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r>
      <w:tr>
        <w:trPr>
          <w:trHeight w:val="418"/>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(981,724)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(29,707,230)</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Adjustments to reconcile net loss to</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net cash from operating activities: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Changes in fair value of derivative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(46,440)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338,297</w:t>
            </w: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Loss on extinguishment of debt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27,663,430</w:t>
            </w: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Non-cash interest and finance charges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483,636</w:t>
            </w: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Stock based compensation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3,750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690,000</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8680" w:type="dxa"/>
            <w:vAlign w:val="bottom"/>
          </w:tcPr>
          <w:p>
            <w:pPr>
              <w:ind w:left="6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9, 961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158,913</w:t>
            </w:r>
          </w:p>
        </w:tc>
      </w:tr>
      <w:tr>
        <w:trPr>
          <w:trHeight w:val="223"/>
        </w:trPr>
        <w:tc>
          <w:tcPr>
            <w:tcW w:w="20" w:type="dxa"/>
            <w:vAlign w:val="bottom"/>
            <w:tcBorders>
              <w:bottom w:val="single" w:sz="8" w:color="auto"/>
            </w:tcBorders>
          </w:tcPr>
          <w:p>
            <w:pPr>
              <w:spacing w:after="0"/>
              <w:rPr>
                <w:sz w:val="19"/>
                <w:szCs w:val="19"/>
                <w:color w:val="auto"/>
              </w:rPr>
            </w:pPr>
          </w:p>
        </w:tc>
        <w:tc>
          <w:tcPr>
            <w:tcW w:w="8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(1,014,453</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(372,954)</w:t>
            </w:r>
          </w:p>
        </w:tc>
        <w:tc>
          <w:tcPr>
            <w:tcW w:w="100" w:type="dxa"/>
            <w:vAlign w:val="bottom"/>
          </w:tcPr>
          <w:p>
            <w:pPr>
              <w:spacing w:after="0"/>
              <w:rPr>
                <w:sz w:val="19"/>
                <w:szCs w:val="19"/>
                <w:color w:val="auto"/>
              </w:rPr>
            </w:pPr>
          </w:p>
        </w:tc>
      </w:tr>
      <w:tr>
        <w:trPr>
          <w:trHeight w:val="418"/>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Issuance of shares, net of issuance costs of $140,000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2,326,014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Convertible note issuance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418,000</w:t>
            </w:r>
          </w:p>
        </w:tc>
      </w:tr>
      <w:tr>
        <w:trPr>
          <w:trHeight w:val="223"/>
        </w:trPr>
        <w:tc>
          <w:tcPr>
            <w:tcW w:w="20" w:type="dxa"/>
            <w:vAlign w:val="bottom"/>
            <w:tcBorders>
              <w:bottom w:val="single" w:sz="8" w:color="auto"/>
            </w:tcBorders>
          </w:tcPr>
          <w:p>
            <w:pPr>
              <w:spacing w:after="0"/>
              <w:rPr>
                <w:sz w:val="19"/>
                <w:szCs w:val="19"/>
                <w:color w:val="auto"/>
              </w:rPr>
            </w:pPr>
          </w:p>
        </w:tc>
        <w:tc>
          <w:tcPr>
            <w:tcW w:w="8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2,326,014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418,000</w:t>
            </w:r>
          </w:p>
        </w:tc>
        <w:tc>
          <w:tcPr>
            <w:tcW w:w="100" w:type="dxa"/>
            <w:vAlign w:val="bottom"/>
          </w:tcPr>
          <w:p>
            <w:pPr>
              <w:spacing w:after="0"/>
              <w:rPr>
                <w:sz w:val="19"/>
                <w:szCs w:val="19"/>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INCREASE IN CASH</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1,311,561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45,046</w:t>
            </w:r>
          </w:p>
        </w:tc>
      </w:tr>
      <w:tr>
        <w:trPr>
          <w:trHeight w:val="439"/>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CASH, BEGINNING OF PERIOD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141,944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48,589</w:t>
            </w:r>
          </w:p>
        </w:tc>
      </w:tr>
      <w:tr>
        <w:trPr>
          <w:trHeight w:val="216"/>
        </w:trPr>
        <w:tc>
          <w:tcPr>
            <w:tcW w:w="87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CASH, END OF PERIOD</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1,453,505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93,635</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7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Three Months</w:t>
            </w: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8"/>
                <w:szCs w:val="18"/>
                <w:color w:val="auto"/>
                <w:w w:val="91"/>
              </w:rPr>
              <w:t>Three Months</w:t>
            </w: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Ended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Ended</w:t>
            </w: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March 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March 31,</w:t>
            </w:r>
          </w:p>
        </w:tc>
      </w:tr>
      <w:tr>
        <w:trPr>
          <w:trHeight w:val="237"/>
        </w:trPr>
        <w:tc>
          <w:tcPr>
            <w:tcW w:w="8700" w:type="dxa"/>
            <w:vAlign w:val="bottom"/>
          </w:tcPr>
          <w:p>
            <w:pPr>
              <w:spacing w:after="0"/>
              <w:rPr>
                <w:sz w:val="20"/>
                <w:szCs w:val="20"/>
                <w:color w:val="auto"/>
              </w:rPr>
            </w:pPr>
          </w:p>
        </w:tc>
        <w:tc>
          <w:tcPr>
            <w:tcW w:w="120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2015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r>
      <w:tr>
        <w:trPr>
          <w:trHeight w:val="432"/>
        </w:trPr>
        <w:tc>
          <w:tcPr>
            <w:tcW w:w="87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SUPPLEMENTAL SCHEDULE OF NON-CASH ACTIVITIES</w:t>
            </w:r>
          </w:p>
        </w:tc>
        <w:tc>
          <w:tcPr>
            <w:tcW w:w="12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700" w:type="dxa"/>
            <w:vAlign w:val="bottom"/>
          </w:tcPr>
          <w:p>
            <w:pPr>
              <w:spacing w:after="0"/>
              <w:rPr>
                <w:sz w:val="20"/>
                <w:szCs w:val="20"/>
                <w:color w:val="auto"/>
              </w:rPr>
            </w:pPr>
            <w:r>
              <w:rPr>
                <w:rFonts w:ascii="Arial" w:cs="Arial" w:eastAsia="Arial" w:hAnsi="Arial"/>
                <w:sz w:val="18"/>
                <w:szCs w:val="18"/>
                <w:color w:val="auto"/>
              </w:rPr>
              <w:t>Accounts payable settled in common stock</w:t>
            </w:r>
          </w:p>
        </w:tc>
        <w:tc>
          <w:tcPr>
            <w:tcW w:w="120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513,000</w:t>
            </w:r>
          </w:p>
        </w:tc>
      </w:tr>
      <w:tr>
        <w:trPr>
          <w:trHeight w:val="418"/>
        </w:trPr>
        <w:tc>
          <w:tcPr>
            <w:tcW w:w="8700" w:type="dxa"/>
            <w:vAlign w:val="bottom"/>
          </w:tcPr>
          <w:p>
            <w:pPr>
              <w:spacing w:after="0"/>
              <w:rPr>
                <w:sz w:val="20"/>
                <w:szCs w:val="20"/>
                <w:color w:val="auto"/>
              </w:rPr>
            </w:pPr>
            <w:r>
              <w:rPr>
                <w:rFonts w:ascii="Arial" w:cs="Arial" w:eastAsia="Arial" w:hAnsi="Arial"/>
                <w:sz w:val="18"/>
                <w:szCs w:val="18"/>
                <w:b w:val="1"/>
                <w:bCs w:val="1"/>
                <w:color w:val="auto"/>
              </w:rPr>
              <w:t>Conversion of debt obligations into common stock:</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Accrued interest</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476,000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Convertible notes payable</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3,293,000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Loans payable, related party</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42,000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Promissory notes, related party</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210,000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Due to related parties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369,000</w:t>
            </w: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Fair value derivative liability – conversion option at conversion</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708,000</w:t>
            </w:r>
          </w:p>
        </w:tc>
      </w:tr>
      <w:tr>
        <w:trPr>
          <w:trHeight w:val="439"/>
        </w:trPr>
        <w:tc>
          <w:tcPr>
            <w:tcW w:w="8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i w:val="1"/>
          <w:iCs w:val="1"/>
          <w:color w:val="auto"/>
        </w:rPr>
        <w:t>TAPIMMUNE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TapImmune Inc. (the “Company”),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condensed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The condensed consolidated balance sheet as of March 31, 2015, condensed consolidated statements of interim financials include all adjustments, consisting only of normal recurring adjustments, which the Company considers necessary for a fair presentation of the financial position, operating results and cash flows for the periods presented.</w:t>
      </w:r>
    </w:p>
    <w:p>
      <w:pPr>
        <w:spacing w:after="0" w:line="220" w:lineRule="exact"/>
        <w:rPr>
          <w:sz w:val="20"/>
          <w:szCs w:val="20"/>
          <w:color w:val="auto"/>
        </w:rPr>
      </w:pPr>
    </w:p>
    <w:p>
      <w:pPr>
        <w:jc w:val="both"/>
        <w:ind w:firstLine="53"/>
        <w:spacing w:after="0" w:line="257" w:lineRule="auto"/>
        <w:rPr>
          <w:sz w:val="20"/>
          <w:szCs w:val="20"/>
          <w:color w:val="auto"/>
        </w:rPr>
      </w:pPr>
      <w:r>
        <w:rPr>
          <w:rFonts w:ascii="Arial" w:cs="Arial" w:eastAsia="Arial" w:hAnsi="Arial"/>
          <w:sz w:val="18"/>
          <w:szCs w:val="18"/>
          <w:color w:val="auto"/>
        </w:rPr>
        <w:t>The results for the statement of operations are not necessarily indicative of results to be expected for the year ending December 31, 2015 or for any future interim period. The condensed balance sheet at December 31, 2014 has been derived from audited financial statements; however, it does not include all of the information and notes required by U.S. GAAP for complete financial statements. The accompanying condensed financial statements should be read in conjunction with the consolidated financial statements for the year ended December 31, 2014, and notes thereto included in the Company’s annual report on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LIQUIDITY AND FINANCIAL CONDITION</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develop a customer base; attract, retain and motivate qualified personnel; and develop strategic alliances. From inception, the Company has been funded by a combination of equity and debt financings.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expects to continue to incur substantial losses over the next several years during its development phase. To fully execute its business plan, the Company will need to complete certain research and development activities and clinical studies. Further, the Company’s product candidates will require regulatory approval prior to commercialization. These activities may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product sales.</w:t>
      </w:r>
    </w:p>
    <w:p>
      <w:pPr>
        <w:spacing w:after="0" w:line="20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March 31, 2015, the Company had cash and cash equivalents of approximately $1,454,000. Historically, the Company has net losses and negative cash flows from operations. The Company believes its current capital resources are not sufficient to support its operations. Management intends to continue its research efforts and to finance operations of the Company through debt and/or equity financings. Management plans to seek additional debt and/or equity financing through private or public offerings or through a business combination or strategic partnership. There can be no assurance that the Company will be successful in obtaining additional financing on favorable terms, or at all. These matters raise substantial doubt about the Company’s ability to continue as a going concern. The financial statements do not include any adjustments that might result from the outcome of these uncertainties.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4: SIGNIFICANT ACCOUNTING POLICIES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in the Company’s significant accounting policies to those previously disclosed in the Company’s annual report on Form 10-K, which was filed with the SEC on April 15,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Period Reclassifications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prior period amounts that were combined in the March 31, 2014 consolidated financial statements have been reclassified for comparability with the March 31, 2015 presentation. These reclassifications had no effect on previously reported net loss.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POTENTIALLY DILUTIVE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Options, warrants, and convertible debt outstanding were all considered anti-dilutive for the three months ended March 31, 2015 and 2014, due to net losses.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securities were not included in the diluted net loss per share calculation because their effect was anti-dilutive as of the periods presented:</w:t>
      </w:r>
    </w:p>
    <w:p>
      <w:pPr>
        <w:spacing w:after="0" w:line="260" w:lineRule="exact"/>
        <w:rPr>
          <w:sz w:val="20"/>
          <w:szCs w:val="20"/>
          <w:color w:val="auto"/>
        </w:rPr>
      </w:pPr>
    </w:p>
    <w:p>
      <w:pPr>
        <w:ind w:left="9620"/>
        <w:spacing w:after="0"/>
        <w:rPr>
          <w:sz w:val="20"/>
          <w:szCs w:val="20"/>
          <w:color w:val="auto"/>
        </w:rPr>
      </w:pPr>
      <w:r>
        <w:rPr>
          <w:rFonts w:ascii="Arial" w:cs="Arial" w:eastAsia="Arial" w:hAnsi="Arial"/>
          <w:sz w:val="18"/>
          <w:szCs w:val="18"/>
          <w:b w:val="1"/>
          <w:bCs w:val="1"/>
          <w:color w:val="auto"/>
        </w:rPr>
        <w:t>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tcPr>
          <w:p>
            <w:pPr>
              <w:spacing w:after="0"/>
              <w:rPr>
                <w:sz w:val="20"/>
                <w:szCs w:val="20"/>
                <w:color w:val="auto"/>
              </w:rPr>
            </w:pPr>
          </w:p>
        </w:tc>
        <w:tc>
          <w:tcPr>
            <w:tcW w:w="11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360" w:type="dxa"/>
            <w:vAlign w:val="bottom"/>
            <w:tcBorders>
              <w:top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2014</w:t>
            </w:r>
          </w:p>
        </w:tc>
      </w:tr>
      <w:tr>
        <w:trPr>
          <w:trHeight w:val="202"/>
        </w:trPr>
        <w:tc>
          <w:tcPr>
            <w:tcW w:w="8820" w:type="dxa"/>
            <w:vAlign w:val="bottom"/>
          </w:tcPr>
          <w:p>
            <w:pPr>
              <w:spacing w:after="0" w:line="201" w:lineRule="exact"/>
              <w:rPr>
                <w:sz w:val="20"/>
                <w:szCs w:val="20"/>
                <w:color w:val="auto"/>
              </w:rPr>
            </w:pPr>
            <w:r>
              <w:rPr>
                <w:rFonts w:ascii="Arial" w:cs="Arial" w:eastAsia="Arial" w:hAnsi="Arial"/>
                <w:sz w:val="18"/>
                <w:szCs w:val="18"/>
                <w:color w:val="auto"/>
              </w:rPr>
              <w:t>Common stock options</w:t>
            </w: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65,000</w:t>
            </w: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65,000</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Common stock warrants - equity treatment</w:t>
            </w:r>
          </w:p>
        </w:tc>
        <w:tc>
          <w:tcPr>
            <w:tcW w:w="1140" w:type="dxa"/>
            <w:vAlign w:val="bottom"/>
          </w:tcPr>
          <w:p>
            <w:pPr>
              <w:jc w:val="right"/>
              <w:spacing w:after="0"/>
              <w:rPr>
                <w:sz w:val="20"/>
                <w:szCs w:val="20"/>
                <w:color w:val="auto"/>
              </w:rPr>
            </w:pPr>
            <w:r>
              <w:rPr>
                <w:rFonts w:ascii="Arial" w:cs="Arial" w:eastAsia="Arial" w:hAnsi="Arial"/>
                <w:sz w:val="18"/>
                <w:szCs w:val="18"/>
                <w:color w:val="auto"/>
              </w:rPr>
              <w:t>52,229,000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193,000</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Common stock warrants - liability treatment</w:t>
            </w:r>
          </w:p>
        </w:tc>
        <w:tc>
          <w:tcPr>
            <w:tcW w:w="1140" w:type="dxa"/>
            <w:vAlign w:val="bottom"/>
          </w:tcPr>
          <w:p>
            <w:pPr>
              <w:jc w:val="right"/>
              <w:spacing w:after="0"/>
              <w:rPr>
                <w:sz w:val="20"/>
                <w:szCs w:val="20"/>
                <w:color w:val="auto"/>
              </w:rPr>
            </w:pPr>
            <w:r>
              <w:rPr>
                <w:rFonts w:ascii="Arial" w:cs="Arial" w:eastAsia="Arial" w:hAnsi="Arial"/>
                <w:sz w:val="18"/>
                <w:szCs w:val="18"/>
                <w:color w:val="auto"/>
              </w:rPr>
              <w:t>12,514,000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57,000</w:t>
            </w: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Convertible notes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15,000</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64,808,000</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330,000</w:t>
            </w:r>
          </w:p>
        </w:tc>
      </w:tr>
      <w:tr>
        <w:trPr>
          <w:trHeight w:val="21"/>
        </w:trPr>
        <w:tc>
          <w:tcPr>
            <w:tcW w:w="8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DERIVATIVE LIABILITY - WARRANTS AND DERIVATIVE LIABILITY – CONVERSION OPTION</w:t>
      </w:r>
    </w:p>
    <w:p>
      <w:pPr>
        <w:spacing w:after="0" w:line="25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 summary of quantitative information with respect to valuation methodology and significant unobservable inputs used for the Company’s common stock purchase warrants that are categorized within Level 3 of the fair value hierarchy for the three months ended 2015 and 2014 is as follows: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7"/>
          </w:tcPr>
          <w:p>
            <w:pPr>
              <w:ind w:left="20"/>
              <w:spacing w:after="0"/>
              <w:rPr>
                <w:sz w:val="20"/>
                <w:szCs w:val="20"/>
                <w:color w:val="auto"/>
              </w:rPr>
            </w:pPr>
            <w:r>
              <w:rPr>
                <w:rFonts w:ascii="Arial" w:cs="Arial" w:eastAsia="Arial" w:hAnsi="Arial"/>
                <w:sz w:val="18"/>
                <w:szCs w:val="18"/>
                <w:b w:val="1"/>
                <w:bCs w:val="1"/>
                <w:color w:val="auto"/>
                <w:w w:val="95"/>
              </w:rPr>
              <w:t>Weighted Average Inputs for the</w:t>
            </w:r>
          </w:p>
        </w:tc>
      </w:tr>
      <w:tr>
        <w:trPr>
          <w:trHeight w:val="241"/>
        </w:trPr>
        <w:tc>
          <w:tcPr>
            <w:tcW w:w="8720" w:type="dxa"/>
            <w:vAlign w:val="bottom"/>
            <w:gridSpan w:val="2"/>
          </w:tcPr>
          <w:p>
            <w:pPr>
              <w:spacing w:after="0"/>
              <w:rPr>
                <w:sz w:val="20"/>
                <w:szCs w:val="20"/>
                <w:color w:val="auto"/>
              </w:rPr>
            </w:pPr>
            <w:r>
              <w:rPr>
                <w:rFonts w:ascii="Arial" w:cs="Arial" w:eastAsia="Arial" w:hAnsi="Arial"/>
                <w:sz w:val="18"/>
                <w:szCs w:val="18"/>
                <w:b w:val="1"/>
                <w:bCs w:val="1"/>
                <w:color w:val="auto"/>
              </w:rPr>
              <w:t>Share Purchase Warrants</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Period</w:t>
            </w: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198"/>
        </w:trPr>
        <w:tc>
          <w:tcPr>
            <w:tcW w:w="8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1"/>
              </w:rPr>
              <w:t>For the</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90"/>
              <w:spacing w:after="0" w:line="198" w:lineRule="exact"/>
              <w:rPr>
                <w:sz w:val="20"/>
                <w:szCs w:val="20"/>
                <w:color w:val="auto"/>
              </w:rPr>
            </w:pPr>
            <w:r>
              <w:rPr>
                <w:rFonts w:ascii="Arial" w:cs="Arial" w:eastAsia="Arial" w:hAnsi="Arial"/>
                <w:sz w:val="18"/>
                <w:szCs w:val="18"/>
                <w:b w:val="1"/>
                <w:bCs w:val="1"/>
                <w:color w:val="auto"/>
                <w:w w:val="94"/>
              </w:rPr>
              <w:t>For the</w:t>
            </w:r>
          </w:p>
        </w:tc>
        <w:tc>
          <w:tcPr>
            <w:tcW w:w="140" w:type="dxa"/>
            <w:vAlign w:val="bottom"/>
          </w:tcPr>
          <w:p>
            <w:pPr>
              <w:spacing w:after="0"/>
              <w:rPr>
                <w:sz w:val="17"/>
                <w:szCs w:val="17"/>
                <w:color w:val="auto"/>
              </w:rPr>
            </w:pPr>
          </w:p>
        </w:tc>
      </w:t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Quarter</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Quarter</w:t>
            </w:r>
          </w:p>
        </w:tc>
      </w:t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Ending March</w:t>
            </w:r>
          </w:p>
        </w:tc>
        <w:tc>
          <w:tcPr>
            <w:tcW w:w="6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5"/>
              </w:rPr>
              <w:t>Ending March</w:t>
            </w:r>
          </w:p>
        </w:tc>
      </w:tr>
      <w:tr>
        <w:trPr>
          <w:trHeight w:val="241"/>
        </w:trPr>
        <w:tc>
          <w:tcPr>
            <w:tcW w:w="8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 of valuation</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31, 2015</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31, 2014</w:t>
            </w:r>
          </w:p>
        </w:tc>
        <w:tc>
          <w:tcPr>
            <w:tcW w:w="140" w:type="dxa"/>
            <w:vAlign w:val="bottom"/>
          </w:tcPr>
          <w:p>
            <w:pPr>
              <w:spacing w:after="0"/>
              <w:rPr>
                <w:sz w:val="20"/>
                <w:szCs w:val="20"/>
                <w:color w:val="auto"/>
              </w:rPr>
            </w:pPr>
          </w:p>
        </w:tc>
      </w:tr>
      <w:tr>
        <w:trPr>
          <w:trHeight w:val="202"/>
        </w:trPr>
        <w:tc>
          <w:tcPr>
            <w:tcW w:w="8620" w:type="dxa"/>
            <w:vAlign w:val="bottom"/>
          </w:tcPr>
          <w:p>
            <w:pPr>
              <w:spacing w:after="0" w:line="201" w:lineRule="exact"/>
              <w:rPr>
                <w:sz w:val="20"/>
                <w:szCs w:val="20"/>
                <w:color w:val="auto"/>
              </w:rPr>
            </w:pPr>
            <w:r>
              <w:rPr>
                <w:rFonts w:ascii="Arial" w:cs="Arial" w:eastAsia="Arial" w:hAnsi="Arial"/>
                <w:sz w:val="18"/>
                <w:szCs w:val="18"/>
                <w:color w:val="auto"/>
              </w:rPr>
              <w:t>Dividend yield (per share)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0%</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Strike price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5.84</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Volatility (annual)</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155.00%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159.00%</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Risk-free rate</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0.65%</w:t>
            </w:r>
          </w:p>
        </w:tc>
      </w:tr>
      <w:tr>
        <w:trPr>
          <w:trHeight w:val="237"/>
        </w:trPr>
        <w:tc>
          <w:tcPr>
            <w:tcW w:w="8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Contractual term (years)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40" w:type="dxa"/>
            <w:vAlign w:val="bottom"/>
          </w:tcPr>
          <w:p>
            <w:pPr>
              <w:spacing w:after="0"/>
              <w:rPr>
                <w:sz w:val="20"/>
                <w:szCs w:val="20"/>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assumptions are reviewed quarterly and are subject to change based primarily on management’s assessment of the probability of the events described occurring. Accordingly, changes to these assessments could materially affect the valuations.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 and Liabilities Measured at Fair Value on a Recurring Basis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assets and liabilities measured at fair value on a recurring basis are summarized below and disclosed on the balance sheet under Derivative liability – warrants and Derivative liability – conversion option:</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0"/>
        </w:trPr>
        <w:tc>
          <w:tcPr>
            <w:tcW w:w="45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700" w:type="dxa"/>
            <w:vAlign w:val="bottom"/>
            <w:tcBorders>
              <w:top w:val="single" w:sz="8" w:color="auto"/>
              <w:bottom w:val="single" w:sz="8" w:color="auto"/>
            </w:tcBorders>
            <w:gridSpan w:val="4"/>
          </w:tcPr>
          <w:p>
            <w:pPr>
              <w:ind w:left="1080"/>
              <w:spacing w:after="0"/>
              <w:rPr>
                <w:sz w:val="20"/>
                <w:szCs w:val="20"/>
                <w:color w:val="auto"/>
              </w:rPr>
            </w:pPr>
            <w:r>
              <w:rPr>
                <w:rFonts w:ascii="Arial" w:cs="Arial" w:eastAsia="Arial" w:hAnsi="Arial"/>
                <w:sz w:val="18"/>
                <w:szCs w:val="18"/>
                <w:b w:val="1"/>
                <w:bCs w:val="1"/>
                <w:color w:val="auto"/>
                <w:w w:val="89"/>
              </w:rPr>
              <w:t>As of March 31, 2015</w:t>
            </w:r>
          </w:p>
        </w:tc>
        <w:tc>
          <w:tcPr>
            <w:tcW w:w="3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r>
      <w:tr>
        <w:trPr>
          <w:trHeight w:val="223"/>
        </w:trPr>
        <w:tc>
          <w:tcPr>
            <w:tcW w:w="4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20" w:type="dxa"/>
            <w:vAlign w:val="bottom"/>
            <w:gridSpan w:val="5"/>
          </w:tcPr>
          <w:p>
            <w:pPr>
              <w:ind w:left="920"/>
              <w:spacing w:after="0"/>
              <w:rPr>
                <w:sz w:val="20"/>
                <w:szCs w:val="20"/>
                <w:color w:val="auto"/>
              </w:rPr>
            </w:pPr>
            <w:r>
              <w:rPr>
                <w:rFonts w:ascii="Arial" w:cs="Arial" w:eastAsia="Arial" w:hAnsi="Arial"/>
                <w:sz w:val="18"/>
                <w:szCs w:val="18"/>
                <w:b w:val="1"/>
                <w:bCs w:val="1"/>
                <w:color w:val="auto"/>
                <w:w w:val="95"/>
              </w:rPr>
              <w:t>Fair Value Measurements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420"/>
              <w:spacing w:after="0" w:line="201" w:lineRule="exact"/>
              <w:rPr>
                <w:sz w:val="20"/>
                <w:szCs w:val="20"/>
                <w:color w:val="auto"/>
              </w:rPr>
            </w:pPr>
            <w:r>
              <w:rPr>
                <w:rFonts w:ascii="Arial" w:cs="Arial" w:eastAsia="Arial" w:hAnsi="Arial"/>
                <w:sz w:val="18"/>
                <w:szCs w:val="18"/>
                <w:b w:val="1"/>
                <w:bCs w:val="1"/>
                <w:color w:val="auto"/>
                <w:w w:val="97"/>
              </w:rPr>
              <w:t>Fair Value</w:t>
            </w:r>
          </w:p>
        </w:tc>
        <w:tc>
          <w:tcPr>
            <w:tcW w:w="1360" w:type="dxa"/>
            <w:vAlign w:val="bottom"/>
            <w:gridSpan w:val="2"/>
          </w:tcPr>
          <w:p>
            <w:pPr>
              <w:jc w:val="right"/>
              <w:ind w:right="220"/>
              <w:spacing w:after="0" w:line="201" w:lineRule="exact"/>
              <w:rPr>
                <w:sz w:val="20"/>
                <w:szCs w:val="20"/>
                <w:color w:val="auto"/>
              </w:rPr>
            </w:pPr>
            <w:r>
              <w:rPr>
                <w:rFonts w:ascii="Arial" w:cs="Arial" w:eastAsia="Arial" w:hAnsi="Arial"/>
                <w:sz w:val="18"/>
                <w:szCs w:val="18"/>
                <w:b w:val="1"/>
                <w:bCs w:val="1"/>
                <w:color w:val="auto"/>
              </w:rPr>
              <w:t>Level 1</w:t>
            </w:r>
          </w:p>
        </w:tc>
        <w:tc>
          <w:tcPr>
            <w:tcW w:w="1340" w:type="dxa"/>
            <w:vAlign w:val="bottom"/>
            <w:gridSpan w:val="2"/>
          </w:tcPr>
          <w:p>
            <w:pPr>
              <w:jc w:val="right"/>
              <w:ind w:right="200"/>
              <w:spacing w:after="0" w:line="201" w:lineRule="exact"/>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17"/>
                <w:szCs w:val="17"/>
                <w:color w:val="auto"/>
              </w:rPr>
            </w:pPr>
          </w:p>
        </w:tc>
        <w:tc>
          <w:tcPr>
            <w:tcW w:w="920" w:type="dxa"/>
            <w:vAlign w:val="bottom"/>
            <w:gridSpan w:val="2"/>
          </w:tcPr>
          <w:p>
            <w:pPr>
              <w:jc w:val="right"/>
              <w:ind w:right="100"/>
              <w:spacing w:after="0" w:line="201" w:lineRule="exact"/>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ind w:left="500"/>
              <w:spacing w:after="0" w:line="201" w:lineRule="exact"/>
              <w:rPr>
                <w:sz w:val="20"/>
                <w:szCs w:val="20"/>
                <w:color w:val="auto"/>
              </w:rPr>
            </w:pPr>
            <w:r>
              <w:rPr>
                <w:rFonts w:ascii="Arial" w:cs="Arial" w:eastAsia="Arial" w:hAnsi="Arial"/>
                <w:sz w:val="18"/>
                <w:szCs w:val="18"/>
                <w:b w:val="1"/>
                <w:bCs w:val="1"/>
                <w:color w:val="auto"/>
              </w:rPr>
              <w:t>Total</w:t>
            </w:r>
          </w:p>
        </w:tc>
      </w:t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Derivative liability - warrants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2,053,000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2,053,000</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2,053,000</w:t>
            </w:r>
          </w:p>
        </w:tc>
      </w:tr>
      <w:tr>
        <w:trPr>
          <w:trHeight w:val="216"/>
        </w:trPr>
        <w:tc>
          <w:tcPr>
            <w:tcW w:w="4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2,053,000</w:t>
            </w:r>
          </w:p>
        </w:tc>
        <w:tc>
          <w:tcPr>
            <w:tcW w:w="26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2,053,000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2,053,000</w:t>
            </w:r>
          </w:p>
        </w:tc>
        <w:tc>
          <w:tcPr>
            <w:tcW w:w="100" w:type="dxa"/>
            <w:vAlign w:val="bottom"/>
          </w:tcPr>
          <w:p>
            <w:pPr>
              <w:spacing w:after="0"/>
              <w:rPr>
                <w:sz w:val="18"/>
                <w:szCs w:val="18"/>
                <w:color w:val="auto"/>
              </w:rPr>
            </w:pPr>
          </w:p>
        </w:tc>
      </w:tr>
      <w:tr>
        <w:trPr>
          <w:trHeight w:val="21"/>
        </w:trPr>
        <w:tc>
          <w:tcPr>
            <w:tcW w:w="4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7"/>
        </w:trPr>
        <w:tc>
          <w:tcPr>
            <w:tcW w:w="4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23"/>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5"/>
          </w:tcPr>
          <w:p>
            <w:pPr>
              <w:ind w:left="940"/>
              <w:spacing w:after="0"/>
              <w:rPr>
                <w:sz w:val="20"/>
                <w:szCs w:val="20"/>
                <w:color w:val="auto"/>
              </w:rPr>
            </w:pPr>
            <w:r>
              <w:rPr>
                <w:rFonts w:ascii="Arial" w:cs="Arial" w:eastAsia="Arial" w:hAnsi="Arial"/>
                <w:sz w:val="18"/>
                <w:szCs w:val="18"/>
                <w:b w:val="1"/>
                <w:bCs w:val="1"/>
                <w:color w:val="auto"/>
                <w:w w:val="97"/>
              </w:rPr>
              <w:t>As of December 31, 2014</w:t>
            </w: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20" w:type="dxa"/>
            <w:vAlign w:val="bottom"/>
            <w:gridSpan w:val="5"/>
          </w:tcPr>
          <w:p>
            <w:pPr>
              <w:ind w:left="920"/>
              <w:spacing w:after="0"/>
              <w:rPr>
                <w:sz w:val="20"/>
                <w:szCs w:val="20"/>
                <w:color w:val="auto"/>
              </w:rPr>
            </w:pPr>
            <w:r>
              <w:rPr>
                <w:rFonts w:ascii="Arial" w:cs="Arial" w:eastAsia="Arial" w:hAnsi="Arial"/>
                <w:sz w:val="18"/>
                <w:szCs w:val="18"/>
                <w:b w:val="1"/>
                <w:bCs w:val="1"/>
                <w:color w:val="auto"/>
                <w:w w:val="95"/>
              </w:rPr>
              <w:t>Fair Value Measurements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420"/>
              <w:spacing w:after="0" w:line="201" w:lineRule="exact"/>
              <w:rPr>
                <w:sz w:val="20"/>
                <w:szCs w:val="20"/>
                <w:color w:val="auto"/>
              </w:rPr>
            </w:pPr>
            <w:r>
              <w:rPr>
                <w:rFonts w:ascii="Arial" w:cs="Arial" w:eastAsia="Arial" w:hAnsi="Arial"/>
                <w:sz w:val="18"/>
                <w:szCs w:val="18"/>
                <w:b w:val="1"/>
                <w:bCs w:val="1"/>
                <w:color w:val="auto"/>
                <w:w w:val="97"/>
              </w:rPr>
              <w:t>Fair Value</w:t>
            </w:r>
          </w:p>
        </w:tc>
        <w:tc>
          <w:tcPr>
            <w:tcW w:w="1360" w:type="dxa"/>
            <w:vAlign w:val="bottom"/>
            <w:gridSpan w:val="2"/>
          </w:tcPr>
          <w:p>
            <w:pPr>
              <w:jc w:val="right"/>
              <w:ind w:right="220"/>
              <w:spacing w:after="0" w:line="201" w:lineRule="exact"/>
              <w:rPr>
                <w:sz w:val="20"/>
                <w:szCs w:val="20"/>
                <w:color w:val="auto"/>
              </w:rPr>
            </w:pPr>
            <w:r>
              <w:rPr>
                <w:rFonts w:ascii="Arial" w:cs="Arial" w:eastAsia="Arial" w:hAnsi="Arial"/>
                <w:sz w:val="18"/>
                <w:szCs w:val="18"/>
                <w:b w:val="1"/>
                <w:bCs w:val="1"/>
                <w:color w:val="auto"/>
              </w:rPr>
              <w:t>Level 1</w:t>
            </w:r>
          </w:p>
        </w:tc>
        <w:tc>
          <w:tcPr>
            <w:tcW w:w="1340" w:type="dxa"/>
            <w:vAlign w:val="bottom"/>
            <w:gridSpan w:val="2"/>
          </w:tcPr>
          <w:p>
            <w:pPr>
              <w:jc w:val="right"/>
              <w:ind w:right="200"/>
              <w:spacing w:after="0" w:line="201" w:lineRule="exact"/>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17"/>
                <w:szCs w:val="17"/>
                <w:color w:val="auto"/>
              </w:rPr>
            </w:pPr>
          </w:p>
        </w:tc>
        <w:tc>
          <w:tcPr>
            <w:tcW w:w="920" w:type="dxa"/>
            <w:vAlign w:val="bottom"/>
            <w:gridSpan w:val="2"/>
          </w:tcPr>
          <w:p>
            <w:pPr>
              <w:jc w:val="right"/>
              <w:ind w:right="100"/>
              <w:spacing w:after="0" w:line="201" w:lineRule="exact"/>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ind w:left="500"/>
              <w:spacing w:after="0" w:line="201" w:lineRule="exact"/>
              <w:rPr>
                <w:sz w:val="20"/>
                <w:szCs w:val="20"/>
                <w:color w:val="auto"/>
              </w:rPr>
            </w:pPr>
            <w:r>
              <w:rPr>
                <w:rFonts w:ascii="Arial" w:cs="Arial" w:eastAsia="Arial" w:hAnsi="Arial"/>
                <w:sz w:val="18"/>
                <w:szCs w:val="18"/>
                <w:b w:val="1"/>
                <w:bCs w:val="1"/>
                <w:color w:val="auto"/>
              </w:rPr>
              <w:t>Total</w:t>
            </w:r>
          </w:p>
        </w:tc>
      </w:t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Derivative liability - warrants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r>
      <w:tr>
        <w:trPr>
          <w:trHeight w:val="216"/>
        </w:trPr>
        <w:tc>
          <w:tcPr>
            <w:tcW w:w="4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26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8"/>
                <w:szCs w:val="18"/>
                <w:color w:val="auto"/>
              </w:rPr>
            </w:pPr>
          </w:p>
        </w:tc>
      </w:tr>
      <w:tr>
        <w:trPr>
          <w:trHeight w:val="21"/>
        </w:trPr>
        <w:tc>
          <w:tcPr>
            <w:tcW w:w="4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2 or 3 during the three months ended March 31, 2015.</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80" w:type="dxa"/>
            <w:vAlign w:val="bottom"/>
          </w:tcPr>
          <w:p>
            <w:pPr>
              <w:spacing w:after="0"/>
              <w:rPr>
                <w:sz w:val="20"/>
                <w:szCs w:val="20"/>
                <w:color w:val="auto"/>
              </w:rPr>
            </w:pPr>
            <w:r>
              <w:rPr>
                <w:rFonts w:ascii="Arial" w:cs="Arial" w:eastAsia="Arial" w:hAnsi="Arial"/>
                <w:sz w:val="18"/>
                <w:szCs w:val="18"/>
                <w:color w:val="auto"/>
              </w:rPr>
              <w:t>The following table presents changes in Level 3 liabilities measured at fair value for the three months ended March 31, 2015: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3"/>
            <w:vMerge w:val="restart"/>
          </w:tcPr>
          <w:p>
            <w:pPr>
              <w:jc w:val="center"/>
              <w:ind w:right="220"/>
              <w:spacing w:after="0"/>
              <w:rPr>
                <w:sz w:val="20"/>
                <w:szCs w:val="20"/>
                <w:color w:val="auto"/>
              </w:rPr>
            </w:pPr>
            <w:r>
              <w:rPr>
                <w:rFonts w:ascii="Arial" w:cs="Arial" w:eastAsia="Arial" w:hAnsi="Arial"/>
                <w:sz w:val="18"/>
                <w:szCs w:val="18"/>
                <w:color w:val="auto"/>
                <w:w w:val="94"/>
              </w:rPr>
              <w:t>Derivative</w:t>
            </w:r>
          </w:p>
        </w:tc>
        <w:tc>
          <w:tcPr>
            <w:tcW w:w="0" w:type="dxa"/>
            <w:vAlign w:val="bottom"/>
          </w:tcPr>
          <w:p>
            <w:pPr>
              <w:spacing w:after="0"/>
              <w:rPr>
                <w:sz w:val="1"/>
                <w:szCs w:val="1"/>
                <w:color w:val="auto"/>
              </w:rPr>
            </w:pPr>
          </w:p>
        </w:tc>
      </w:tr>
      <w:tr>
        <w:trPr>
          <w:trHeight w:val="202"/>
        </w:trPr>
        <w:tc>
          <w:tcPr>
            <w:tcW w:w="10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8"/>
                <w:szCs w:val="18"/>
                <w:color w:val="auto"/>
              </w:rPr>
              <w:t>liability –</w:t>
            </w:r>
          </w:p>
        </w:tc>
        <w:tc>
          <w:tcPr>
            <w:tcW w:w="0" w:type="dxa"/>
            <w:vAlign w:val="bottom"/>
          </w:tcPr>
          <w:p>
            <w:pPr>
              <w:spacing w:after="0"/>
              <w:rPr>
                <w:sz w:val="1"/>
                <w:szCs w:val="1"/>
                <w:color w:val="auto"/>
              </w:rPr>
            </w:pPr>
          </w:p>
        </w:tc>
      </w:tr>
      <w:tr>
        <w:trPr>
          <w:trHeight w:val="237"/>
        </w:trPr>
        <w:tc>
          <w:tcPr>
            <w:tcW w:w="10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warrants</w:t>
            </w:r>
          </w:p>
        </w:tc>
        <w:tc>
          <w:tcPr>
            <w:tcW w:w="0" w:type="dxa"/>
            <w:vAlign w:val="bottom"/>
          </w:tcPr>
          <w:p>
            <w:pPr>
              <w:spacing w:after="0"/>
              <w:rPr>
                <w:sz w:val="1"/>
                <w:szCs w:val="1"/>
                <w:color w:val="auto"/>
              </w:rPr>
            </w:pPr>
          </w:p>
        </w:tc>
      </w:tr>
      <w:tr>
        <w:trPr>
          <w:trHeight w:val="202"/>
        </w:trPr>
        <w:tc>
          <w:tcPr>
            <w:tcW w:w="10180" w:type="dxa"/>
            <w:vAlign w:val="bottom"/>
          </w:tcPr>
          <w:p>
            <w:pPr>
              <w:spacing w:after="0" w:line="201" w:lineRule="exact"/>
              <w:rPr>
                <w:sz w:val="20"/>
                <w:szCs w:val="20"/>
                <w:color w:val="auto"/>
              </w:rPr>
            </w:pPr>
            <w:r>
              <w:rPr>
                <w:rFonts w:ascii="Arial" w:cs="Arial" w:eastAsia="Arial" w:hAnsi="Arial"/>
                <w:sz w:val="18"/>
                <w:szCs w:val="18"/>
                <w:color w:val="auto"/>
              </w:rPr>
              <w:t>Balance – December 31, 2014</w:t>
            </w:r>
          </w:p>
        </w:tc>
        <w:tc>
          <w:tcPr>
            <w:tcW w:w="20" w:type="dxa"/>
            <w:vAlign w:val="bottom"/>
          </w:tcPr>
          <w:p>
            <w:pPr>
              <w:spacing w:after="0"/>
              <w:rPr>
                <w:sz w:val="17"/>
                <w:szCs w:val="17"/>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9,000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Additions during the quarter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2,090,000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18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(46,000)</w:t>
            </w:r>
          </w:p>
        </w:tc>
        <w:tc>
          <w:tcPr>
            <w:tcW w:w="0" w:type="dxa"/>
            <w:vAlign w:val="bottom"/>
          </w:tcPr>
          <w:p>
            <w:pPr>
              <w:spacing w:after="0"/>
              <w:rPr>
                <w:sz w:val="1"/>
                <w:szCs w:val="1"/>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Balance – March 31, 2015</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2,053,000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valuation of warrants is subjective and is affected by changes in inputs to the valuation model including the price per share of common stock, the historical volatility of the stock price, risk-free rates based on U.S.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Statements of Operations.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7" w:right="239" w:bottom="1440" w:gutter="0" w:footer="0" w:header="0"/>
        </w:sectPr>
      </w:pPr>
    </w:p>
    <w:bookmarkStart w:id="10" w:name="page11"/>
    <w:bookmarkEnd w:id="10"/>
    <w:p>
      <w:pPr>
        <w:jc w:val="both"/>
        <w:ind w:right="20"/>
        <w:spacing w:after="0" w:line="264" w:lineRule="auto"/>
        <w:rPr>
          <w:sz w:val="20"/>
          <w:szCs w:val="20"/>
          <w:color w:val="auto"/>
        </w:rPr>
      </w:pPr>
      <w:r>
        <w:rPr>
          <w:rFonts w:ascii="Arial" w:cs="Arial" w:eastAsia="Arial" w:hAnsi="Arial"/>
          <w:sz w:val="18"/>
          <w:szCs w:val="18"/>
          <w:color w:val="auto"/>
        </w:rPr>
        <w:t>During 2014 the Company entered into numerous extinguishment agreements with various holders. As a result the derivative liability associated with the bifurcated conversion options were extinguished at the date of conversion and recorded in the loss on extinguishment in the Statement of Operations. The inputs utilized in the final mark to market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7"/>
          </w:tcPr>
          <w:p>
            <w:pPr>
              <w:ind w:left="20"/>
              <w:spacing w:after="0"/>
              <w:rPr>
                <w:sz w:val="20"/>
                <w:szCs w:val="20"/>
                <w:color w:val="auto"/>
              </w:rPr>
            </w:pPr>
            <w:r>
              <w:rPr>
                <w:rFonts w:ascii="Arial" w:cs="Arial" w:eastAsia="Arial" w:hAnsi="Arial"/>
                <w:sz w:val="18"/>
                <w:szCs w:val="18"/>
                <w:b w:val="1"/>
                <w:bCs w:val="1"/>
                <w:color w:val="auto"/>
                <w:w w:val="95"/>
              </w:rPr>
              <w:t>Weighted Average Inputs for the</w:t>
            </w:r>
          </w:p>
        </w:tc>
      </w:tr>
      <w:tr>
        <w:trPr>
          <w:trHeight w:val="241"/>
        </w:trPr>
        <w:tc>
          <w:tcPr>
            <w:tcW w:w="8720" w:type="dxa"/>
            <w:vAlign w:val="bottom"/>
            <w:gridSpan w:val="2"/>
          </w:tcPr>
          <w:p>
            <w:pPr>
              <w:spacing w:after="0"/>
              <w:rPr>
                <w:sz w:val="20"/>
                <w:szCs w:val="20"/>
                <w:color w:val="auto"/>
              </w:rPr>
            </w:pPr>
            <w:r>
              <w:rPr>
                <w:rFonts w:ascii="Arial" w:cs="Arial" w:eastAsia="Arial" w:hAnsi="Arial"/>
                <w:sz w:val="18"/>
                <w:szCs w:val="18"/>
                <w:b w:val="1"/>
                <w:bCs w:val="1"/>
                <w:color w:val="auto"/>
              </w:rPr>
              <w:t>Conversion Option</w:t>
            </w:r>
          </w:p>
        </w:tc>
        <w:tc>
          <w:tcPr>
            <w:tcW w:w="9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6"/>
              </w:rPr>
              <w:t>Period</w:t>
            </w: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198"/>
        </w:trPr>
        <w:tc>
          <w:tcPr>
            <w:tcW w:w="8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ind w:left="280"/>
              <w:spacing w:after="0" w:line="198" w:lineRule="exact"/>
              <w:rPr>
                <w:sz w:val="20"/>
                <w:szCs w:val="20"/>
                <w:color w:val="auto"/>
              </w:rPr>
            </w:pPr>
            <w:r>
              <w:rPr>
                <w:rFonts w:ascii="Arial" w:cs="Arial" w:eastAsia="Arial" w:hAnsi="Arial"/>
                <w:sz w:val="18"/>
                <w:szCs w:val="18"/>
                <w:b w:val="1"/>
                <w:bCs w:val="1"/>
                <w:color w:val="auto"/>
              </w:rPr>
              <w:t>For the</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90"/>
              <w:spacing w:after="0" w:line="198" w:lineRule="exact"/>
              <w:rPr>
                <w:sz w:val="20"/>
                <w:szCs w:val="20"/>
                <w:color w:val="auto"/>
              </w:rPr>
            </w:pPr>
            <w:r>
              <w:rPr>
                <w:rFonts w:ascii="Arial" w:cs="Arial" w:eastAsia="Arial" w:hAnsi="Arial"/>
                <w:sz w:val="18"/>
                <w:szCs w:val="18"/>
                <w:b w:val="1"/>
                <w:bCs w:val="1"/>
                <w:color w:val="auto"/>
                <w:w w:val="94"/>
              </w:rPr>
              <w:t>For the</w:t>
            </w:r>
          </w:p>
        </w:tc>
        <w:tc>
          <w:tcPr>
            <w:tcW w:w="140" w:type="dxa"/>
            <w:vAlign w:val="bottom"/>
          </w:tcPr>
          <w:p>
            <w:pPr>
              <w:spacing w:after="0"/>
              <w:rPr>
                <w:sz w:val="17"/>
                <w:szCs w:val="17"/>
                <w:color w:val="auto"/>
              </w:rPr>
            </w:pPr>
          </w:p>
        </w:tc>
      </w:t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ind w:left="260"/>
              <w:spacing w:after="0"/>
              <w:rPr>
                <w:sz w:val="20"/>
                <w:szCs w:val="20"/>
                <w:color w:val="auto"/>
              </w:rPr>
            </w:pPr>
            <w:r>
              <w:rPr>
                <w:rFonts w:ascii="Arial" w:cs="Arial" w:eastAsia="Arial" w:hAnsi="Arial"/>
                <w:sz w:val="18"/>
                <w:szCs w:val="18"/>
                <w:b w:val="1"/>
                <w:bCs w:val="1"/>
                <w:color w:val="auto"/>
              </w:rPr>
              <w:t>Quarter</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Quarter</w:t>
            </w:r>
          </w:p>
        </w:tc>
      </w:t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Ending March</w:t>
            </w:r>
          </w:p>
        </w:tc>
        <w:tc>
          <w:tcPr>
            <w:tcW w:w="6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5"/>
              </w:rPr>
              <w:t>Ending March</w:t>
            </w:r>
          </w:p>
        </w:tc>
      </w:tr>
      <w:tr>
        <w:trPr>
          <w:trHeight w:val="241"/>
        </w:trPr>
        <w:tc>
          <w:tcPr>
            <w:tcW w:w="8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 of valuation</w:t>
            </w:r>
          </w:p>
        </w:tc>
        <w:tc>
          <w:tcPr>
            <w:tcW w:w="100" w:type="dxa"/>
            <w:vAlign w:val="bottom"/>
          </w:tcPr>
          <w:p>
            <w:pPr>
              <w:spacing w:after="0"/>
              <w:rPr>
                <w:sz w:val="20"/>
                <w:szCs w:val="20"/>
                <w:color w:val="auto"/>
              </w:rPr>
            </w:pPr>
          </w:p>
        </w:tc>
        <w:tc>
          <w:tcPr>
            <w:tcW w:w="9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w w:val="94"/>
              </w:rPr>
              <w:t>31, 2015</w:t>
            </w:r>
          </w:p>
        </w:tc>
        <w:tc>
          <w:tcPr>
            <w:tcW w:w="2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31, 2014</w:t>
            </w:r>
          </w:p>
        </w:tc>
        <w:tc>
          <w:tcPr>
            <w:tcW w:w="140" w:type="dxa"/>
            <w:vAlign w:val="bottom"/>
          </w:tcPr>
          <w:p>
            <w:pPr>
              <w:spacing w:after="0"/>
              <w:rPr>
                <w:sz w:val="20"/>
                <w:szCs w:val="20"/>
                <w:color w:val="auto"/>
              </w:rPr>
            </w:pPr>
          </w:p>
        </w:tc>
      </w:tr>
      <w:tr>
        <w:trPr>
          <w:trHeight w:val="202"/>
        </w:trPr>
        <w:tc>
          <w:tcPr>
            <w:tcW w:w="8620" w:type="dxa"/>
            <w:vAlign w:val="bottom"/>
          </w:tcPr>
          <w:p>
            <w:pPr>
              <w:spacing w:after="0" w:line="201" w:lineRule="exact"/>
              <w:rPr>
                <w:sz w:val="20"/>
                <w:szCs w:val="20"/>
                <w:color w:val="auto"/>
              </w:rPr>
            </w:pPr>
            <w:r>
              <w:rPr>
                <w:rFonts w:ascii="Arial" w:cs="Arial" w:eastAsia="Arial" w:hAnsi="Arial"/>
                <w:sz w:val="18"/>
                <w:szCs w:val="18"/>
                <w:color w:val="auto"/>
              </w:rPr>
              <w:t>Dividend yield (per share)</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ind w:left="140"/>
              <w:spacing w:after="0"/>
              <w:rPr>
                <w:sz w:val="20"/>
                <w:szCs w:val="20"/>
                <w:color w:val="auto"/>
              </w:rPr>
            </w:pPr>
            <w:r>
              <w:rPr>
                <w:rFonts w:ascii="Arial" w:cs="Arial" w:eastAsia="Arial" w:hAnsi="Arial"/>
                <w:sz w:val="16"/>
                <w:szCs w:val="16"/>
                <w:color w:val="auto"/>
                <w:w w:val="74"/>
              </w:rPr>
              <w:t>-</w:t>
            </w:r>
          </w:p>
        </w:tc>
        <w:tc>
          <w:tcPr>
            <w:tcW w:w="200" w:type="dxa"/>
            <w:vAlign w:val="bottom"/>
          </w:tcPr>
          <w:p>
            <w:pPr>
              <w:jc w:val="right"/>
              <w:spacing w:after="0" w:line="201" w:lineRule="exact"/>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0%</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Strike price</w:t>
            </w:r>
          </w:p>
        </w:tc>
        <w:tc>
          <w:tcPr>
            <w:tcW w:w="94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Volatility (annual)</w:t>
            </w:r>
          </w:p>
        </w:tc>
        <w:tc>
          <w:tcPr>
            <w:tcW w:w="940" w:type="dxa"/>
            <w:vAlign w:val="bottom"/>
          </w:tcPr>
          <w:p>
            <w:pPr>
              <w:spacing w:after="0"/>
              <w:rPr>
                <w:sz w:val="18"/>
                <w:szCs w:val="18"/>
                <w:color w:val="auto"/>
              </w:rPr>
            </w:pP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199.00%</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Risk-free rate</w:t>
            </w:r>
          </w:p>
        </w:tc>
        <w:tc>
          <w:tcPr>
            <w:tcW w:w="940" w:type="dxa"/>
            <w:vAlign w:val="bottom"/>
          </w:tcPr>
          <w:p>
            <w:pPr>
              <w:spacing w:after="0"/>
              <w:rPr>
                <w:sz w:val="18"/>
                <w:szCs w:val="18"/>
                <w:color w:val="auto"/>
              </w:rPr>
            </w:pP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0.05%</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Contractual term (years)</w:t>
            </w:r>
          </w:p>
        </w:tc>
        <w:tc>
          <w:tcPr>
            <w:tcW w:w="940" w:type="dxa"/>
            <w:vAlign w:val="bottom"/>
          </w:tcPr>
          <w:p>
            <w:pPr>
              <w:spacing w:after="0"/>
              <w:rPr>
                <w:sz w:val="20"/>
                <w:szCs w:val="20"/>
                <w:color w:val="auto"/>
              </w:rPr>
            </w:pP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r>
      <w:tr>
        <w:trPr>
          <w:trHeight w:val="223"/>
        </w:trPr>
        <w:tc>
          <w:tcPr>
            <w:tcW w:w="8720" w:type="dxa"/>
            <w:vAlign w:val="bottom"/>
            <w:gridSpan w:val="2"/>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1100" w:type="dxa"/>
            <w:vAlign w:val="bottom"/>
            <w:gridSpan w:val="2"/>
          </w:tcPr>
          <w:p>
            <w:pPr>
              <w:spacing w:after="0"/>
              <w:rPr>
                <w:sz w:val="19"/>
                <w:szCs w:val="19"/>
                <w:color w:val="auto"/>
              </w:rPr>
            </w:pPr>
          </w:p>
        </w:tc>
      </w:tr>
      <w:tr>
        <w:trPr>
          <w:trHeight w:val="223"/>
        </w:trPr>
        <w:tc>
          <w:tcPr>
            <w:tcW w:w="8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Fair value of Conversion Option at extinguishment</w:t>
            </w: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708,000</w:t>
            </w:r>
          </w:p>
        </w:tc>
        <w:tc>
          <w:tcPr>
            <w:tcW w:w="140" w:type="dxa"/>
            <w:vAlign w:val="bottom"/>
          </w:tcPr>
          <w:p>
            <w:pPr>
              <w:spacing w:after="0"/>
              <w:rPr>
                <w:sz w:val="19"/>
                <w:szCs w:val="19"/>
                <w:color w:val="auto"/>
              </w:rPr>
            </w:pPr>
          </w:p>
        </w:tc>
      </w:tr>
      <w:tr>
        <w:trPr>
          <w:trHeight w:val="459"/>
        </w:trPr>
        <w:tc>
          <w:tcPr>
            <w:tcW w:w="8720" w:type="dxa"/>
            <w:vAlign w:val="bottom"/>
            <w:gridSpan w:val="2"/>
          </w:tcPr>
          <w:p>
            <w:pPr>
              <w:spacing w:after="0"/>
              <w:rPr>
                <w:sz w:val="20"/>
                <w:szCs w:val="20"/>
                <w:color w:val="auto"/>
              </w:rPr>
            </w:pPr>
            <w:r>
              <w:rPr>
                <w:rFonts w:ascii="Arial" w:cs="Arial" w:eastAsia="Arial" w:hAnsi="Arial"/>
                <w:sz w:val="18"/>
                <w:szCs w:val="18"/>
                <w:b w:val="1"/>
                <w:bCs w:val="1"/>
                <w:color w:val="auto"/>
              </w:rPr>
              <w:t>NOTE 7: PROMISSORY NOTES, RELATED PARTY</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outstanding promissory notes in the amount of $52,942 (December 31, 2014 - $52,942), of which $23,000 of promissory notes are from an officer and a director of the Company. The promissory notes bear no interest charges and have no fixed repayment terms.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CAPITAL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Share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January, 2015, the Company entered into a Securities Purchase Agreement with certain investors for the sale of 7,320,000 units at a purchase price of $0.20 per unit, for a total purchase price of approximately $1,250,000, net of finders’ fee and offering expenses of approximately $214,000. Each unit consisting of</w:t>
      </w:r>
    </w:p>
    <w:p>
      <w:pPr>
        <w:jc w:val="both"/>
        <w:ind w:firstLine="8"/>
        <w:spacing w:after="0" w:line="252" w:lineRule="auto"/>
        <w:tabs>
          <w:tab w:leader="none" w:pos="221" w:val="left"/>
        </w:tabs>
        <w:numPr>
          <w:ilvl w:val="0"/>
          <w:numId w:val="3"/>
        </w:numPr>
        <w:rPr>
          <w:rFonts w:ascii="Arial" w:cs="Arial" w:eastAsia="Arial" w:hAnsi="Arial"/>
          <w:sz w:val="18"/>
          <w:szCs w:val="18"/>
          <w:color w:val="auto"/>
        </w:rPr>
      </w:pPr>
      <w:r>
        <w:rPr>
          <w:rFonts w:ascii="Arial" w:cs="Arial" w:eastAsia="Arial" w:hAnsi="Arial"/>
          <w:sz w:val="18"/>
          <w:szCs w:val="18"/>
          <w:color w:val="auto"/>
        </w:rPr>
        <w:t>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“January 2015 Warrants”). Series A warrants are exercisable at $1.50 per share, with a five year term. Series B warrants are exercisable at $0.40 per share, with a six month term. Series C warrants are exercisable at $1.00 per share, with a five year term. Series D warrants are exercisable at $0.75 per share only if and to the extent that the Series B warrants are exercised, with a five year term from the date that the Series B warrants are exercised. Series E warrants are exercisable at $1.25 per share, only if and to the extent that the Series C warrants are exercised, with a five year term from the date that the Series C warrants are exercised.</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a placement agent agreement, the Company agreed to issue warrants to purchase 366,000 common shares with substantially the same terms as the January 2015 Warrants.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Series A warrants were issued with price reset features. The fair value of these warrants was determined to be $1,346,000 and recognized as a derivative liability.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Series B, C, D &amp; E warrants was determined to be $4,635,000 and was included within equity.</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2015, the Company entered into a Securities Purchase Agreement with certain accredited investors for the sale of 5,000,000 units at a purchase price of $0.20 per unit, for a total purchase price of approximately $950,000, net of finders’ fee and offering expenses of approximately $50,000.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“March 2015 Warrants”). The March 2015 Warrants have substantially the same terms as the January 2015 Warrants.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Pursuant to a placement agent agreement, the Company agreed to issue warrants to purchase 125,000 common shares with substantially the same terms as the March 2015 Warrants.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Series A warrants were issued with price reset features. The fair value of these warrants was determined to be $744,000 and recognized as a derivative liability.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Series B, C, D &amp; E warrants was determined to be $2,588,000 and was included within equity.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Warrants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share purchase warrants as of March 31, 2015 and changes during the period is presented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3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89"/>
              </w:rPr>
              <w:t>Weighted</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Weighted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Average</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Number of</w:t>
            </w:r>
          </w:p>
        </w:tc>
        <w:tc>
          <w:tcPr>
            <w:tcW w:w="1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Average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Remaining</w:t>
            </w:r>
          </w:p>
        </w:tc>
      </w:tr>
      <w:tr>
        <w:trPr>
          <w:trHeight w:val="237"/>
        </w:trPr>
        <w:tc>
          <w:tcPr>
            <w:tcW w:w="20" w:type="dxa"/>
            <w:vAlign w:val="bottom"/>
          </w:tcPr>
          <w:p>
            <w:pPr>
              <w:spacing w:after="0"/>
              <w:rPr>
                <w:sz w:val="20"/>
                <w:szCs w:val="20"/>
                <w:color w:val="auto"/>
              </w:rPr>
            </w:pPr>
          </w:p>
        </w:tc>
        <w:tc>
          <w:tcPr>
            <w:tcW w:w="7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Warrants</w:t>
            </w: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Exercise Price</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Life</w:t>
            </w:r>
          </w:p>
        </w:tc>
        <w:tc>
          <w:tcPr>
            <w:tcW w:w="100" w:type="dxa"/>
            <w:vAlign w:val="bottom"/>
          </w:tcPr>
          <w:p>
            <w:pPr>
              <w:spacing w:after="0"/>
              <w:rPr>
                <w:sz w:val="20"/>
                <w:szCs w:val="20"/>
                <w:color w:val="auto"/>
              </w:rPr>
            </w:pPr>
          </w:p>
        </w:tc>
      </w:tr>
      <w:tr>
        <w:trPr>
          <w:trHeight w:val="418"/>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Balance, December 31, 2014</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2,659,417</w:t>
            </w: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Issued</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62,090,975</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Exercised</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Extinguished or expired</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(7,500)</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Borders>
              <w:bottom w:val="single" w:sz="8" w:color="auto"/>
            </w:tcBorders>
          </w:tcPr>
          <w:p>
            <w:pPr>
              <w:spacing w:after="0"/>
              <w:rPr>
                <w:sz w:val="18"/>
                <w:szCs w:val="18"/>
                <w:color w:val="auto"/>
              </w:rPr>
            </w:pPr>
          </w:p>
        </w:tc>
        <w:tc>
          <w:tcPr>
            <w:tcW w:w="7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Balance, March 31, 2015</w:t>
            </w:r>
          </w:p>
        </w:tc>
        <w:tc>
          <w:tcPr>
            <w:tcW w:w="1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64,742,892</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CONTINGENCIES AND COMMITMENTS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Consultant Litigation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May 2012, the Company issued 112,000 post-consolidated shares of common stock to two consultants. The Company contested the validity of the services provided and initially was able to delay the sale of the contested shares. The Company was not successful in recovering the contested shares. A claim for alleged damages of approximately $362,000 plus costs by one of the consultants as a result of the contesting of the issuance of the shares was filed in the Supreme Court of New York. The claim was for damages on the difference between market price at the time the Company was able to delay the sale of his shares and the market price at the time of the sale of all of his shares. As the result of a judicial decision in New York the consultant received a bond payment of approximately $100,000 that the Company had used to secure a temporary restraining order against the issuance of stock to him. Following hearings at the International Arbitration Tribunal held in New York on May 13-16, 2014 the arbitrator ordered (on July 18, 2014) the consultant to pay Tapimmune $196,204 plus 9% interest from the date of the award. The Company is attempting to collect the award from Mr. Michael Gardner.</w:t>
      </w:r>
    </w:p>
    <w:p>
      <w:pPr>
        <w:spacing w:after="0" w:line="16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July 18, 2014, the International Center for Dispute Resolution International Arbitration Tribunal issued a Final Award in the matter of TapImmune Inc. vs. Michael Gardner awarding TapImmune $196,204 plus post-award interest at a rate of 9% per year. This award stemmed from the dispute discussed above with Mr. Gardner regarding the May 2012 consulting agreement. The arbitrator found that we were fraudulently induced into entering said agreement through “1) misrepresentations as to what he would or could do for the Company, including raising funds, and 2) omissions about his reputation and ability to obtain or assist in obtaining financing for TapImmune” among other reasons. We are attempting to collect the award from Mr. Gardner.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Vendor Litigation</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One of our suppliers, Fischer Scientific was awarded a judgment against us for $51,000 which is equal to the amount owed to them and is currently accrued on the balance sheet. We intend on settling that matter in the second quarter of 2015.</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Securities and Exchange Commission.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As used in this quarterly report: (i) the terms “we”, “us”, “our”, “TapImmune” and the “Company” mean TapImmune Inc. and its wholly owned subsidiary,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should be read in conjunction with our unaudited consolidated interim financial statements and related notes for the three months ended March 31, 2015 included in this quarterly report, as well as our Annual Report on Form 10-K for the year ended December 31,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Cancer Vaccines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TapImmune is a biotechnology company focusing on immunotherapy specializing in the development of innovative peptide and gene-based immunotherapeutics and vaccines for the treatment of cancer and infectious disease. The Company combines a set of proprietary technologies to improve the ability of the cellular immune system to destroy diseased cells. These are peptide antigen technologies and DNA expression technologies, Polystart™ and TAP.</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enhance shareholder value and taking into account development timelines, the Company plans to focus on advancing its clinical programs including our HER2/neu peptide antigen program and our Folate Receptor Alpha program for breast and ovarian trials into Phase II. In parallel, we plan to complete the preclinical development of our Polystart™ technology and to continue to develop the TAP-based franchise as an integral component of our prime-and-boost vaccine methodology.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Immunotherapy Industry for Cancer</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Immunotherapy has become the most rapidly growing sector in the pharmaceutical and biotech industry. The approval and success of checkpoint inhibitors Yervoy and Opdivo (Bristol Myers Squibb) and Keytruda (Merck) together with the development of CAR T-cell therapies (Juno, Kite) has provided much momentum in this sector. In addition, new evidence points to the increasing use of combination immunotherapies for the treatment of cancer. This has provided greater opportunities for the successful development of T-cell vaccines in combination with other approaches.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Technology in Development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Phase I Human Clinical Trials – </w:t>
      </w:r>
      <w:r>
        <w:rPr>
          <w:rFonts w:ascii="Arial" w:cs="Arial" w:eastAsia="Arial" w:hAnsi="Arial"/>
          <w:sz w:val="18"/>
          <w:szCs w:val="18"/>
          <w:b w:val="1"/>
          <w:bCs w:val="1"/>
          <w:color w:val="auto"/>
        </w:rPr>
        <w:t>HER2/neu+ Breast Cancer – Mayo Clinic</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Patient dosing has been completed. Interim safety analysis on the first six patients is complete and shown to be safe. In addition, each of the first six patients treated, developed specific T-cell immune responses to the antigens in the vaccine composition providing a solid case for advancement to Phase II in 2015. An additional secondary endpoint incorporated into this Phase I Trial will be a two year follow on recording time to disease recurrence in the participating breast cancer patients. The assessment of vaccine safety (primary endpoint) and evaluation of immunogenicity (secondary endpoint) for this trial are currently scheduled for review and determination of progression into Phase II, in 2015. Patients enrolled in the Phase I study will be followed for up to two years after completion of trials.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Phase I(b)/II studies, we plan to add a Class I peptide, licensed from the Mayo Clinic (April 16, 2012), to the four Class II peptides. Management believes that the combination of Class I and Class II HER2/neu antigens, gives us the leading HER2/neu vaccine platform. Therefore a key goal in 2015 is to progress the HER2/neu vaccine towards the above mentioned Phase 1(b)/II Clinical Trial.</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 xml:space="preserve">Phase I Human Clinical Trials – </w:t>
      </w:r>
      <w:r>
        <w:rPr>
          <w:rFonts w:ascii="Arial" w:cs="Arial" w:eastAsia="Arial" w:hAnsi="Arial"/>
          <w:sz w:val="18"/>
          <w:szCs w:val="18"/>
          <w:b w:val="1"/>
          <w:bCs w:val="1"/>
          <w:color w:val="auto"/>
        </w:rPr>
        <w:t>Folate Alpha Breast and Ovarian Cancer – Mayo Clinic</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Folate Receptor Alpha is expressed in over 80% of triple negative breast cancers and in addition, over 90% of ovarian cancers, for which the only treatment options are surgery and chemotherapy, leaving a very important and urgent clinical need for a new therapeutic. Time to recurrence is relatively short for these types of cancer and survival prognosis is extremely poor after recurrence. In the United States alone, there are approximately 30,000 ovarian cancer patients and 40,000 triple negative breast cancer patients newly diagnosed every year.</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 24 patient Phase I clinical trial has been completed.. The vaccine is well tolerated and safe and 20 out of 21 evaluable patients showed positive immune responses providing a strong rationale rational for progressing to phase 2 trials. These data have been submitted to ASCO (Chicago, May 29-31, 2015) and we will be in attendance to discuss our findings. GMP manufacturing for Phase II trials is underway and final analysis of clinical plans are near completion. TapImmune is currently finalizing negotiations with the Mayo Clinic to convert the exclusive license option into a full License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Polystart™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converted the previously filed U.S. Provisional Patent Application on Polystart™ into a full Patent Application, and will extend technology constructs as boost strategies for the current clinical programs in breast and ovarian cancer.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State of the Company</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TapImmune is a clinical-stage immunotherapy company specializing in the development of innovative peptide and gene-based immunotherapeutics and vaccines for the treatment of cancer. The Company now has multiple clinical trials underway at the Mayo Clinic in Rochester, MN. In addition to our own sponsored clinical trials, a new grant-funded breast and ovarian cancer trial was started by Mayo using the same Folate Alpha Receptor peptides to which we have the exclusive commercial rights. Our development pipeline is extremely strong and provides us the opportunity to continue to expand on collaborations with leading institutions and corporations.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Q1 2015, we strengthened our balance sheet by raising additional $2.5M in working capital giving us confidence in our ability to continue developing our products on the path to commercialization. The structure of this financing gives us additional opportunities to raise additional capital through the exercise of short-term and long-term warrants. The strength of our science and development approaches is becoming more widely appreciated, particularly as our clinical program has now generated positive interim data on both clinical programs in Breast and Ovarian Cancer. Also, we are pleased to report that our clinical programs are seeing positive outcomes and we expect further read outs on the data as we approach the annual ASCO meeting (Association of Clinical Oncology) in Chicago at the end of May.</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continue to be focused on our entry into Phase II Triple Negative Cancer Trials including application for Fast Track &amp; Orphan Drug Status as well as planning for Phase II HER2/neu Breast Cancer Trials.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also produce new PolyStart™ constructs, in-house, to facilitate collaborative efforts in our current clinical indications and those where others have already indicated interest in combination therapies.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will continue to work on deficit reduction and capital improvement in order to make the required benchmarks for an uplisting to the NASDAQ. To that end we are also anticipating the result of grant applications submitted early this year.</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Together, these fundamental programs and corporate activities have positioned TapImmune extremely well to capitalize on the acceptance of immunotherapy as a leading therapeutic strategy in cancer and infectious disease resulting in exploding valuations in the market.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TapImmune’s Pipeline</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a deep pipeline of potential blockbuster immunotherapies under development. Two of the clinical programs are completing Phase I studies and are expected to advance to Phase II in 2015. These are major inflection and valuation events, and we believe that, in light of these assets, the Company is significantly undervalued. Over the past year a number of highly visible transactions and billion dollar acquisitions have taken place that validate the work we are doing. We believe that, if our treatment successfully reaches commercialization, our treatment is applicable to 50% of the HER2/neu Breast Cancer market, which is a $21 billion annual market. We further believe that if our Ovarian Cancer treatment reaches commercialization, it will be applicable to 95% of the market which Decision Resources, one of the world’s leading research firms for pharmaceuticals and healthcare, believes will triple in the next 10 years to at least $1.5 billion annually.</w:t>
      </w: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the exciting clinical developments, our peptide vaccine technology may be coupled with our recently developed in-house Polystart™ nucleic acid-based technology designed to make vaccines significantly more effective by producing four times the required peptides for the immune systems to recognize and act on. Our nucleic acid-based systems can also incorporate “TAP” which stands for Transporter associated with Antigen Presentation. Our technologies are also widely applicable to the treatment of emerging viral threats and pandemics. In particular, our highly versatile PolyStart™ technology has application in these areas. With respect to validation of our technologies, it is important to note that the majority of our technologies have been published in leading peer-reviewed journals. The timing of such publications is consistent with the filing of patents.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A list of publications on our TAP technology can be found on our website (www.tapimmune.com). Publication of our data on PolyStart will occur after current patent filings have been completed.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 key component to success is having a comprehensive patent strategy that continually updates and extends patent coverage for key products. It is highly unlikely that early patents will extend through ultimate product marketing, so extending patent life is an important strategy for ensuring product protection. TapImmune has four patent estates, details of which can be found on our website: </w:t>
      </w:r>
      <w:r>
        <w:rPr>
          <w:rFonts w:ascii="Arial" w:cs="Arial" w:eastAsia="Arial" w:hAnsi="Arial"/>
          <w:sz w:val="18"/>
          <w:szCs w:val="18"/>
          <w:u w:val="single" w:color="auto"/>
          <w:color w:val="auto"/>
        </w:rPr>
        <w:t>www.tapimmune.com</w:t>
      </w:r>
      <w:r>
        <w:rPr>
          <w:rFonts w:ascii="Arial" w:cs="Arial" w:eastAsia="Arial" w:hAnsi="Arial"/>
          <w:sz w:val="18"/>
          <w:szCs w:val="18"/>
          <w:color w:val="auto"/>
        </w:rPr>
        <w:t>.</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the pathway to successful product development takes time, we believe we have put in place significant resources in technical and corporate fundamentals for success. The strength of our product pipeline and access to leading scientists and institutions gives us a unique opportunity to make a major contribution to global health care.</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 number of early stage billion dollar pharma acquisitions and recent IPOs have highlighted the growing interest in investment in immunotherapy space. Looking at our current valuation and those of our peers and considering our pipeline of clinical programs with very near-term advancements and the value inflections those represent, we believe this is an excellent opportunity and presents exceptional entry point for those that have not yet become a shareholder.</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the broader market, a major driver and positive influence on our activities has been the emergence and general acceptance of the potential of a new generation of immunotherapies that promise to change the standard of care for cancer. The immunotherapy sector has been greatly stimulated by the approval of Provenge® for prostate cancer and Yervoy™ for metastatic melanoma, progression of the areas of checkpoint inhibitors and adoptive T-cell therapy and multiple approaches reaching Phase II and Phase III status.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through our combination of technologies, we are well positioned to be a leading player in this emerging market. It is important to note that many of the late stage immunotherapies currently in development do not represent competition to our programs, but instead offer synergistic opportunities to partner our antigen based immunotherapeutics, Polystart™ and/or TAP expression systems. Thus, the use of naturally processed T-cell antigens discovered using samples derived from cancer patients plus our Polystart™ expression technology to improve antigen presentation to T-cells could not only produce an effective cancer vaccines in its own right but also to enhance the efficacy of other immunotherapy approaches such as CAR-T and PD1 inhibitors for example.</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Consistent with our corporate development and advancement of clinical trials we have made significant additions to our personnel through appointments of a Consultant Medical Director (Patrick Yeramian, M.D.) and a Consultant Regulatory Director (Dr. Stacy Suber). In addition, we have appointed Dr. John Bonfiglio as a Corporate Strategic Advisor and have appointed David Lasko-Pooley to our Board of Directors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the technology and product pipeline side, management believes that the company is fundamentally strong and poised to be a leading company in a highly attractive, multi-billion dollar and expanding market, a position reinforced by our recruitment of top-class managers, advisors and investors who all share our vision.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discussion of the Company’s results of operations and financial condition, amounts, other than per-share amounts, have been rounded to the nearest thousand dollars.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2015 Compared to Three Months Ended March 31, 2014</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a net loss of $982,000 or ($0.04) per share during the three months ended March 31, 2015 compared to $29,707,000 or ($3.89) per share for the three months ended March 31, 2014.</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costs decreased to $1,028,000 during the three months ended March 31, 2015 compared to $1,187,000 in the prior period. Significant changes in operating expenses are outlined as follows:</w:t>
      </w:r>
    </w:p>
    <w:p>
      <w:pPr>
        <w:spacing w:after="0" w:line="197" w:lineRule="exact"/>
        <w:rPr>
          <w:sz w:val="20"/>
          <w:szCs w:val="20"/>
          <w:color w:val="auto"/>
        </w:rPr>
      </w:pPr>
    </w:p>
    <w:p>
      <w:pPr>
        <w:jc w:val="both"/>
        <w:ind w:left="660" w:hanging="139"/>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and administrative expenses decreased to $419,000 during the three months ended March 31, 2015 from $1,164,000 during the prior period. The decrease was primarily due to absence of non-cash consulting fees paid as stock-based compensation during the three months ended March 31, 2015 from $686,000 during the prior period. The decrease in non-cash consulting fees from the prior year was due to the Company curtailing its business development activities in the current year.</w:t>
      </w:r>
    </w:p>
    <w:p>
      <w:pPr>
        <w:spacing w:after="0" w:line="213" w:lineRule="exact"/>
        <w:rPr>
          <w:rFonts w:ascii="Arial" w:cs="Arial" w:eastAsia="Arial" w:hAnsi="Arial"/>
          <w:sz w:val="18"/>
          <w:szCs w:val="18"/>
          <w:color w:val="auto"/>
        </w:rPr>
      </w:pPr>
    </w:p>
    <w:p>
      <w:pPr>
        <w:jc w:val="both"/>
        <w:ind w:left="660" w:hanging="139"/>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Research and development costs during the three months ended March 31, 2015 were $609,000 compared to $23,000 during the prior period. This was due to the Company exercising its option to acquire Mayo Clinic technology as part of an agreement entered into in March 2014 and increased in in-house research activity in the current period.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number of shares outstanding was 27,611,255 for the three months ended March 31, 2015 compared to 7,631,669 for the prior year.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working capital as of March 31, 2015 and December 31, 2014:</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7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418"/>
        </w:trPr>
        <w:tc>
          <w:tcPr>
            <w:tcW w:w="8700" w:type="dxa"/>
            <w:vAlign w:val="bottom"/>
          </w:tcPr>
          <w:p>
            <w:pPr>
              <w:ind w:left="180"/>
              <w:spacing w:after="0"/>
              <w:rPr>
                <w:sz w:val="20"/>
                <w:szCs w:val="20"/>
                <w:color w:val="auto"/>
              </w:rPr>
            </w:pPr>
            <w:r>
              <w:rPr>
                <w:rFonts w:ascii="Arial" w:cs="Arial" w:eastAsia="Arial" w:hAnsi="Arial"/>
                <w:sz w:val="18"/>
                <w:szCs w:val="18"/>
                <w:color w:val="auto"/>
              </w:rPr>
              <w:t>Cash reserves</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1,454,000</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142,000</w:t>
            </w:r>
          </w:p>
        </w:tc>
      </w:tr>
      <w:tr>
        <w:trPr>
          <w:trHeight w:val="230"/>
        </w:trPr>
        <w:tc>
          <w:tcPr>
            <w:tcW w:w="8700" w:type="dxa"/>
            <w:vAlign w:val="bottom"/>
          </w:tcPr>
          <w:p>
            <w:pPr>
              <w:ind w:left="180"/>
              <w:spacing w:after="0"/>
              <w:rPr>
                <w:sz w:val="20"/>
                <w:szCs w:val="20"/>
                <w:color w:val="auto"/>
              </w:rPr>
            </w:pPr>
            <w:r>
              <w:rPr>
                <w:rFonts w:ascii="Arial" w:cs="Arial" w:eastAsia="Arial" w:hAnsi="Arial"/>
                <w:sz w:val="18"/>
                <w:szCs w:val="18"/>
                <w:color w:val="auto"/>
              </w:rPr>
              <w:t>Working capital (deficit)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(1,766,000)</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(1,024,000)</w:t>
            </w:r>
          </w:p>
        </w:tc>
      </w:tr>
      <w:tr>
        <w:trPr>
          <w:trHeight w:val="21"/>
        </w:trPr>
        <w:tc>
          <w:tcPr>
            <w:tcW w:w="8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Subject to the availability of additional financing, we intend to spend approximately $7,500,000 over the next twelve months in carrying out our plan of operations. At March 31, 2015, we had $1,454,000 of cash on hand and a working capital deficit of $1,766,000. In January and March 2015, we raised approximately $2.33 million in private and brokered placements.</w:t>
      </w:r>
    </w:p>
    <w:p>
      <w:pPr>
        <w:spacing w:after="0" w:line="208"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Various conditions outside of our control may detract from our ability to raise additional capital needed to execute our plan of operations, including overall market conditions in the international and local economies. We recognize that the United States economy has suffered through a period of uncertainty during which the capital markets have been depressed, and that there is no certainty that these levels will stabilize or reverse despite the optics of an improving economy. Any of these factors could have a material impact upon our ability to raise financing and, as a result, upon our short-term or long-term liquidity.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operating activities during the three months ended March 31, 2015 was $1,014,000 compared to $373,000 during the prior period. We had no revenues during the current or prior periods. Operating expenditures, excluding non-cash interest and stock-based charges during the current period primarily consisted of consulting and management fees, office and general expenditures, and professional fees.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Net cash provided by financing activities during the three months ended March 31, 2015 was $2,326,000 compared to $418,000 during the prior period.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Current period financing consisted of proceeds from private placements while prior period financing relates to proceeds from convertible notes.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2015, we anticipate that we will need significant financing to enable us to meet our anticipated expenditures for the next twelve months, which are expected to be in the range of $7,500,000 assuming a single Phase 2 clinical trial.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no sources of revenue to provide incoming cash flows to sustain our future operations. As outlined above, our ability to pursue our planned business activities is dependent upon our successful efforts to raise additional financing. These factors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As at March 31, 2015, we had accumulated losses of $87,291,000 since inception. Our financial statements do not include any adjustments to the recoverability and classification of recorded asset amounts and classification of liabilities that might be necessary should we be unable to continue as a going concern.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is material to investors.</w:t>
      </w:r>
    </w:p>
    <w:p>
      <w:pPr>
        <w:spacing w:after="0" w:line="14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16" w:name="page17"/>
    <w:bookmarkEnd w:id="16"/>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Principal Executive Officer and Principal Financial Officer, as appropriate, to allow timely decisions regarding required disclosure. Based on such evaluation, our Chief Executive Officer and Chief Financial Officer has concluded that, as of the end of the period covered by this report, our disclosure controls and procedures are not effective in recording, processing, summarizing and reporting, on a timely basis, information required to be disclosed by us in the reports that we file or submit under the Exchange Act.</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March 31, 2015 that have materially affected, or are reasonably likely to materially affect, our internal control over financial reporting.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Consultant Litigation</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May 2012, we issued what is now equal to 112,000 shares of our common stock to two consultants. We contested the validity of the issuances of this common stock based on our belief that the consultants did not perform the services agreed to under their respective consulting agreements. While we initially were able to delay the sale of the contested shares, we were not successful in clawing back the contested shares. A claim for perceived damages from Michael Gardner (one of the consultants) suffered as a result of our contesting the issuance under the consulting agreements has been filed in the Supreme Court of New York. He has based his claim for damages on the difference between market price at the time we were able to delay the sale of his shares and the market price at the time of the sale of all of his shares. As the result of a judicial decision in New York he received a bond payment of ($100,000) that the Company had used to secure a temporary restraining order against the issuance of stock to him.</w:t>
      </w:r>
    </w:p>
    <w:p>
      <w:pPr>
        <w:spacing w:after="0" w:line="20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18, 2014, the International Center for Dispute Resolution International Arbitration Tribunal issued a Final Award in the matter of TapImmune Inc. vs. Michael Gardner awarding TapImmune $196,204 plus post-award interest at a rate of 9% per year. This award stemmed from the dispute discussed above with Mr. Gardner regarding the May 2012 consulting agreement. The arbitrator found that we were fraudulently induced into entering said agreement through “1) misrepresentations as to what he would or could do for the Company, including raising funds, and 2) omissions about his reputation and ability to obtain or assist in obtaining financing for TapImmune” among other reasons. We are attempting to collect the award from Mr. Gardner.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Vendor Litigation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One of our suppliers, Fischer Scientific was awarded a judgment against us for $51,000 which is equal to the amount owed to them. We intend on settling that matter in the second quarter of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required.</w:t>
      </w:r>
    </w:p>
    <w:p>
      <w:pPr>
        <w:spacing w:after="0" w:line="24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not issued any unregistered equity securities that we have not previously reported in a current or periodic report filed with the US Securities and Exchange Commission.</w:t>
      </w:r>
    </w:p>
    <w:p>
      <w:pPr>
        <w:spacing w:after="0" w:line="19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made non-material errors in the table included in Item 12 – Security Ownership of Certain Beneficial Owners in our Annual Report on Form 10-K for the fiscal year ended December 31, 2015 regarding Brio Capital Master. Theses errors are:</w:t>
      </w:r>
    </w:p>
    <w:p>
      <w:pPr>
        <w:spacing w:after="0" w:line="170" w:lineRule="exact"/>
        <w:rPr>
          <w:sz w:val="20"/>
          <w:szCs w:val="20"/>
          <w:color w:val="auto"/>
        </w:rPr>
      </w:pPr>
    </w:p>
    <w:p>
      <w:pPr>
        <w:ind w:left="1380" w:hanging="706"/>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 and Nature of Beneficial Owner” in that table should have read “2,500,000 (6)” instead of “30,000,000 (4)” and</w:t>
      </w:r>
    </w:p>
    <w:p>
      <w:pPr>
        <w:spacing w:after="0" w:line="225" w:lineRule="exact"/>
        <w:rPr>
          <w:rFonts w:ascii="Arial" w:cs="Arial" w:eastAsia="Arial" w:hAnsi="Arial"/>
          <w:sz w:val="18"/>
          <w:szCs w:val="18"/>
          <w:color w:val="auto"/>
        </w:rPr>
      </w:pPr>
    </w:p>
    <w:p>
      <w:pPr>
        <w:ind w:left="1380" w:hanging="706"/>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“Percent of Class” in that table should have read “9.99”% instead of “52.0%”.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with this Quarterly Report on Form 10-Q:</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240" w:type="dxa"/>
            <w:vAlign w:val="bottom"/>
            <w:tcBorders>
              <w:top w:val="single" w:sz="8" w:color="auto"/>
              <w:bottom w:val="single" w:sz="8" w:color="auto"/>
            </w:tcBorders>
          </w:tcPr>
          <w:p>
            <w:pPr>
              <w:jc w:val="center"/>
              <w:ind w:left="530"/>
              <w:spacing w:after="0"/>
              <w:rPr>
                <w:sz w:val="20"/>
                <w:szCs w:val="20"/>
                <w:color w:val="auto"/>
              </w:rPr>
            </w:pPr>
            <w:r>
              <w:rPr>
                <w:rFonts w:ascii="Arial" w:cs="Arial" w:eastAsia="Arial" w:hAnsi="Arial"/>
                <w:sz w:val="18"/>
                <w:szCs w:val="18"/>
                <w:b w:val="1"/>
                <w:bCs w:val="1"/>
                <w:color w:val="auto"/>
                <w:w w:val="94"/>
              </w:rPr>
              <w:t>Exhibit Number</w:t>
            </w:r>
          </w:p>
        </w:tc>
        <w:tc>
          <w:tcPr>
            <w:tcW w:w="91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Description of Exhibit</w:t>
            </w:r>
          </w:p>
        </w:tc>
      </w:tr>
      <w:tr>
        <w:trPr>
          <w:trHeight w:val="202"/>
        </w:trPr>
        <w:tc>
          <w:tcPr>
            <w:tcW w:w="2240" w:type="dxa"/>
            <w:vAlign w:val="bottom"/>
          </w:tcPr>
          <w:p>
            <w:pPr>
              <w:jc w:val="center"/>
              <w:ind w:left="550"/>
              <w:spacing w:after="0" w:line="201" w:lineRule="exact"/>
              <w:rPr>
                <w:sz w:val="20"/>
                <w:szCs w:val="20"/>
                <w:color w:val="auto"/>
              </w:rPr>
            </w:pPr>
            <w:r>
              <w:rPr>
                <w:rFonts w:ascii="Arial" w:cs="Arial" w:eastAsia="Arial" w:hAnsi="Arial"/>
                <w:sz w:val="18"/>
                <w:szCs w:val="18"/>
                <w:color w:val="auto"/>
                <w:w w:val="91"/>
              </w:rPr>
              <w:t>31.1</w:t>
            </w:r>
          </w:p>
        </w:tc>
        <w:tc>
          <w:tcPr>
            <w:tcW w:w="9180" w:type="dxa"/>
            <w:vAlign w:val="bottom"/>
          </w:tcPr>
          <w:p>
            <w:pPr>
              <w:ind w:left="200"/>
              <w:spacing w:after="0" w:line="201" w:lineRule="exact"/>
              <w:rPr>
                <w:sz w:val="20"/>
                <w:szCs w:val="20"/>
                <w:color w:val="auto"/>
              </w:rPr>
            </w:pPr>
            <w:r>
              <w:rPr>
                <w:rFonts w:ascii="Arial" w:cs="Arial" w:eastAsia="Arial" w:hAnsi="Arial"/>
                <w:sz w:val="18"/>
                <w:szCs w:val="18"/>
                <w:color w:val="auto"/>
                <w:w w:val="96"/>
              </w:rPr>
              <w:t>Certification of Principal Executive Officer and Acting Principal Accounting Officer Pursuant to Rule 13a-14(a) or 15d-</w:t>
            </w:r>
          </w:p>
        </w:tc>
      </w:tr>
      <w:tr>
        <w:trPr>
          <w:trHeight w:val="216"/>
        </w:trPr>
        <w:tc>
          <w:tcPr>
            <w:tcW w:w="224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14(a) of the Securities Exchange Act of 1933, as amended.</w:t>
            </w:r>
          </w:p>
        </w:tc>
      </w:tr>
      <w:tr>
        <w:trPr>
          <w:trHeight w:val="216"/>
        </w:trPr>
        <w:tc>
          <w:tcPr>
            <w:tcW w:w="2240" w:type="dxa"/>
            <w:vAlign w:val="bottom"/>
          </w:tcPr>
          <w:p>
            <w:pPr>
              <w:jc w:val="center"/>
              <w:ind w:left="550"/>
              <w:spacing w:after="0"/>
              <w:rPr>
                <w:sz w:val="20"/>
                <w:szCs w:val="20"/>
                <w:color w:val="auto"/>
              </w:rPr>
            </w:pPr>
            <w:r>
              <w:rPr>
                <w:rFonts w:ascii="Arial" w:cs="Arial" w:eastAsia="Arial" w:hAnsi="Arial"/>
                <w:sz w:val="18"/>
                <w:szCs w:val="18"/>
                <w:color w:val="auto"/>
                <w:w w:val="91"/>
              </w:rPr>
              <w:t>32.1</w:t>
            </w:r>
          </w:p>
        </w:tc>
        <w:tc>
          <w:tcPr>
            <w:tcW w:w="9180" w:type="dxa"/>
            <w:vAlign w:val="bottom"/>
          </w:tcPr>
          <w:p>
            <w:pPr>
              <w:ind w:left="200"/>
              <w:spacing w:after="0"/>
              <w:rPr>
                <w:sz w:val="20"/>
                <w:szCs w:val="20"/>
                <w:color w:val="auto"/>
              </w:rPr>
            </w:pPr>
            <w:r>
              <w:rPr>
                <w:rFonts w:ascii="Arial" w:cs="Arial" w:eastAsia="Arial" w:hAnsi="Arial"/>
                <w:sz w:val="18"/>
                <w:szCs w:val="18"/>
                <w:color w:val="auto"/>
                <w:w w:val="92"/>
              </w:rPr>
              <w:t>Certification of Principal Executive Officer and Acting Principal Accounting Officer pursuant to 18 U.S.C. 1350 as adopted</w:t>
            </w:r>
          </w:p>
        </w:tc>
      </w:tr>
      <w:tr>
        <w:trPr>
          <w:trHeight w:val="230"/>
        </w:trPr>
        <w:tc>
          <w:tcPr>
            <w:tcW w:w="2240" w:type="dxa"/>
            <w:vAlign w:val="bottom"/>
          </w:tcPr>
          <w:p>
            <w:pPr>
              <w:spacing w:after="0"/>
              <w:rPr>
                <w:sz w:val="20"/>
                <w:szCs w:val="20"/>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pursuant to Section 906 of the Sarbanes-Oxley Act of 2002.</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Exhibit 101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101.INS - XBRL Instance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101.SCH -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101.CAL - 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 - XBRL Taxonomy Extension Definition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 - 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 - XBRL Taxonomy Extension Presentation Linkbase Document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i w:val="1"/>
          <w:iCs w:val="1"/>
          <w:u w:val="single" w:color="auto"/>
          <w:color w:val="auto"/>
        </w:rPr>
        <w:t>/s/ Glynn Wilson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Glynn Wilson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Chairman, Chief Executive Officer, Principal Executive Officer and Chief Financial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Date: May 15,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50430" cy="450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198120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Glynn Wilson, certify that:</w:t>
      </w:r>
    </w:p>
    <w:p>
      <w:pPr>
        <w:spacing w:after="0" w:line="252"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quarterly period ended March 31, 2015 of TapImmune Inc.;</w:t>
      </w:r>
    </w:p>
    <w:p>
      <w:pPr>
        <w:spacing w:after="0" w:line="25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10840" w:type="dxa"/>
            <w:vAlign w:val="bottom"/>
            <w:gridSpan w:val="2"/>
          </w:tcPr>
          <w:p>
            <w:pPr>
              <w:ind w:left="320"/>
              <w:spacing w:after="0"/>
              <w:rPr>
                <w:sz w:val="20"/>
                <w:szCs w:val="20"/>
                <w:color w:val="auto"/>
              </w:rPr>
            </w:pPr>
            <w:r>
              <w:rPr>
                <w:rFonts w:ascii="Arial" w:cs="Arial" w:eastAsia="Arial" w:hAnsi="Arial"/>
                <w:sz w:val="18"/>
                <w:szCs w:val="18"/>
                <w:color w:val="auto"/>
              </w:rPr>
              <w:t>May 15, 2015</w:t>
            </w:r>
          </w:p>
        </w:tc>
      </w:tr>
      <w:tr>
        <w:trPr>
          <w:trHeight w:val="419"/>
        </w:trPr>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w w:val="90"/>
              </w:rPr>
              <w:t>/s/ Glynn Wilson</w:t>
            </w:r>
          </w:p>
        </w:tc>
        <w:tc>
          <w:tcPr>
            <w:tcW w:w="10220" w:type="dxa"/>
            <w:vAlign w:val="bottom"/>
          </w:tcPr>
          <w:p>
            <w:pPr>
              <w:spacing w:after="0"/>
              <w:rPr>
                <w:sz w:val="24"/>
                <w:szCs w:val="24"/>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0840" w:type="dxa"/>
            <w:vAlign w:val="bottom"/>
            <w:gridSpan w:val="2"/>
          </w:tcPr>
          <w:p>
            <w:pPr>
              <w:ind w:left="180"/>
              <w:spacing w:after="0"/>
              <w:rPr>
                <w:sz w:val="20"/>
                <w:szCs w:val="20"/>
                <w:color w:val="auto"/>
              </w:rPr>
            </w:pPr>
            <w:r>
              <w:rPr>
                <w:rFonts w:ascii="Arial" w:cs="Arial" w:eastAsia="Arial" w:hAnsi="Arial"/>
                <w:sz w:val="18"/>
                <w:szCs w:val="18"/>
                <w:b w:val="1"/>
                <w:bCs w:val="1"/>
                <w:color w:val="auto"/>
              </w:rPr>
              <w:t>Glynn Wilson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10840" w:type="dxa"/>
            <w:vAlign w:val="bottom"/>
            <w:gridSpan w:val="2"/>
          </w:tcPr>
          <w:p>
            <w:pPr>
              <w:ind w:left="300"/>
              <w:spacing w:after="0"/>
              <w:rPr>
                <w:sz w:val="20"/>
                <w:szCs w:val="20"/>
                <w:color w:val="auto"/>
              </w:rPr>
            </w:pPr>
            <w:r>
              <w:rPr>
                <w:rFonts w:ascii="Arial" w:cs="Arial" w:eastAsia="Arial" w:hAnsi="Arial"/>
                <w:sz w:val="18"/>
                <w:szCs w:val="18"/>
                <w:color w:val="auto"/>
              </w:rPr>
              <w:t>Chairman, Chief Executive Officer, Principal Executive Officer and Acting Principal Accounting Officer</w:t>
            </w:r>
          </w:p>
        </w:tc>
      </w:tr>
      <w:tr>
        <w:trPr>
          <w:trHeight w:val="848"/>
        </w:trPr>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20" w:type="dxa"/>
            <w:vAlign w:val="bottom"/>
          </w:tcPr>
          <w:p>
            <w:pPr>
              <w:spacing w:after="0"/>
              <w:rPr>
                <w:sz w:val="24"/>
                <w:szCs w:val="24"/>
                <w:color w:val="auto"/>
              </w:rPr>
            </w:pPr>
          </w:p>
        </w:tc>
      </w:tr>
      <w:tr>
        <w:trPr>
          <w:trHeight w:val="71"/>
        </w:trPr>
        <w:tc>
          <w:tcPr>
            <w:tcW w:w="580" w:type="dxa"/>
            <w:vAlign w:val="bottom"/>
            <w:shd w:val="clear" w:color="auto" w:fill="808080"/>
          </w:tcPr>
          <w:p>
            <w:pPr>
              <w:spacing w:after="0"/>
              <w:rPr>
                <w:sz w:val="6"/>
                <w:szCs w:val="6"/>
                <w:color w:val="auto"/>
              </w:rPr>
            </w:pPr>
          </w:p>
        </w:tc>
        <w:tc>
          <w:tcPr>
            <w:tcW w:w="620" w:type="dxa"/>
            <w:vAlign w:val="bottom"/>
            <w:shd w:val="clear" w:color="auto" w:fill="808080"/>
          </w:tcPr>
          <w:p>
            <w:pPr>
              <w:spacing w:after="0"/>
              <w:rPr>
                <w:sz w:val="6"/>
                <w:szCs w:val="6"/>
                <w:color w:val="auto"/>
              </w:rPr>
            </w:pPr>
          </w:p>
        </w:tc>
        <w:tc>
          <w:tcPr>
            <w:tcW w:w="10220" w:type="dxa"/>
            <w:vAlign w:val="bottom"/>
            <w:shd w:val="clear" w:color="auto" w:fill="808080"/>
          </w:tcPr>
          <w:p>
            <w:pPr>
              <w:spacing w:after="0"/>
              <w:rPr>
                <w:sz w:val="6"/>
                <w:szCs w:val="6"/>
                <w:color w:val="auto"/>
              </w:rPr>
            </w:pPr>
          </w:p>
        </w:tc>
      </w:tr>
    </w:tbl>
    <w:p>
      <w:pPr>
        <w:sectPr>
          <w:pgSz w:w="11900" w:h="16838" w:orient="portrait"/>
          <w:cols w:equalWidth="0" w:num="1">
            <w:col w:w="11420"/>
          </w:cols>
          <w:pgMar w:left="240" w:top="445"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198120</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undersigned, Glynn Wilson, the Principal Executive Officer and Acting Principal Accounting Officer of TapImmune Inc. (the “Company”) hereby certifies, pursuant to 18 U.S.C. Section 1350, as adopted pursuant to Section 906 of the Sarbanes-Oxley Act of 2002, that, to his or her knowledge, the Report on Form 10-Q of TapImmune Inc., for the quarterly period ended March 31, 2015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2015</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i w:val="1"/>
          <w:iCs w:val="1"/>
          <w:u w:val="single" w:color="auto"/>
          <w:color w:val="auto"/>
        </w:rPr>
        <w:t>/s/ Glynn Wilson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Glynn Wilson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Chairman, Chief Executive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Principal Executive Officer and Acting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3168015</wp:posOffset>
            </wp:positionV>
            <wp:extent cx="7250430" cy="450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S"/>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Roman"/>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2020-01-23T15:29:23Z</dcterms:created>
  <dcterms:modified xsi:type="dcterms:W3CDTF">2020-01-23T15:29:23Z</dcterms:modified>
</cp:coreProperties>
</file>