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July 21, 2014</w:t>
      </w:r>
    </w:p>
    <w:p>
      <w:pPr>
        <w:spacing w:after="0" w:line="225" w:lineRule="exact"/>
        <w:rPr>
          <w:sz w:val="24"/>
          <w:szCs w:val="24"/>
          <w:color w:val="auto"/>
        </w:rPr>
      </w:pPr>
    </w:p>
    <w:p>
      <w:pPr>
        <w:ind w:left="8220"/>
        <w:spacing w:after="0"/>
        <w:tabs>
          <w:tab w:leader="none" w:pos="9640" w:val="left"/>
        </w:tabs>
        <w:rPr>
          <w:sz w:val="20"/>
          <w:szCs w:val="20"/>
          <w:color w:val="auto"/>
        </w:rPr>
      </w:pPr>
      <w:r>
        <w:rPr>
          <w:rFonts w:ascii="Arial" w:cs="Arial" w:eastAsia="Arial" w:hAnsi="Arial"/>
          <w:sz w:val="18"/>
          <w:szCs w:val="18"/>
          <w:b w:val="1"/>
          <w:bCs w:val="1"/>
          <w:color w:val="auto"/>
        </w:rPr>
        <w:t>Registration No.</w:t>
      </w:r>
      <w:r>
        <w:rPr>
          <w:sz w:val="20"/>
          <w:szCs w:val="20"/>
          <w:color w:val="auto"/>
        </w:rPr>
        <w:tab/>
      </w:r>
      <w:r>
        <w:rPr>
          <w:rFonts w:ascii="Arial" w:cs="Arial" w:eastAsia="Arial" w:hAnsi="Arial"/>
          <w:sz w:val="16"/>
          <w:szCs w:val="16"/>
          <w:b w:val="1"/>
          <w:bCs w:val="1"/>
          <w:color w:val="auto"/>
        </w:rPr>
        <w:t>333-196115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NO.1 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S-3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3660" w:type="dxa"/>
            <w:vAlign w:val="bottom"/>
            <w:gridSpan w:val="2"/>
          </w:tcPr>
          <w:p>
            <w:pPr>
              <w:jc w:val="center"/>
              <w:ind w:right="3080"/>
              <w:spacing w:after="0"/>
              <w:rPr>
                <w:sz w:val="20"/>
                <w:szCs w:val="20"/>
                <w:color w:val="auto"/>
              </w:rPr>
            </w:pPr>
            <w:r>
              <w:rPr>
                <w:rFonts w:ascii="Arial" w:cs="Arial" w:eastAsia="Arial" w:hAnsi="Arial"/>
                <w:sz w:val="18"/>
                <w:szCs w:val="18"/>
                <w:b w:val="1"/>
                <w:bCs w:val="1"/>
                <w:color w:val="auto"/>
                <w:w w:val="90"/>
              </w:rPr>
              <w:t>Nevada</w:t>
            </w:r>
          </w:p>
        </w:tc>
        <w:tc>
          <w:tcPr>
            <w:tcW w:w="3720" w:type="dxa"/>
            <w:vAlign w:val="bottom"/>
            <w:gridSpan w:val="3"/>
          </w:tcPr>
          <w:p>
            <w:pPr>
              <w:jc w:val="right"/>
              <w:ind w:right="940"/>
              <w:spacing w:after="0"/>
              <w:rPr>
                <w:sz w:val="20"/>
                <w:szCs w:val="20"/>
                <w:color w:val="auto"/>
              </w:rPr>
            </w:pPr>
            <w:r>
              <w:rPr>
                <w:rFonts w:ascii="Arial" w:cs="Arial" w:eastAsia="Arial" w:hAnsi="Arial"/>
                <w:sz w:val="18"/>
                <w:szCs w:val="18"/>
                <w:b w:val="1"/>
                <w:bCs w:val="1"/>
                <w:color w:val="auto"/>
              </w:rPr>
              <w:t>88-0277072</w:t>
            </w:r>
          </w:p>
        </w:tc>
      </w:tr>
      <w:tr>
        <w:trPr>
          <w:trHeight w:val="20"/>
        </w:trPr>
        <w:tc>
          <w:tcPr>
            <w:tcW w:w="2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7"/>
        </w:trPr>
        <w:tc>
          <w:tcPr>
            <w:tcW w:w="57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92"/>
              </w:rPr>
              <w:t>(State or Other Jurisdiction of Incorporation or Organization)</w:t>
            </w:r>
          </w:p>
        </w:tc>
        <w:tc>
          <w:tcPr>
            <w:tcW w:w="372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93"/>
              </w:rPr>
              <w:t>(I.R.S. Employer 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1551 Eastlake Avenue East,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Suite 100, Seattle, WA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(206) 504-7278</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Sierra Corporate Services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100 West Liberty Street, 10th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Reno, Nevada 89501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Commission is requested to send copies of all communications to:</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William S Rosenstadt,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Sanders Ortoli Vaughn-Flam Rosenstadt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501 Madison Ave.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(212) 588-0022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Facsimile: (212) 826-9307</w:t>
      </w:r>
    </w:p>
    <w:p>
      <w:pPr>
        <w:spacing w:after="0" w:line="207" w:lineRule="exact"/>
        <w:rPr>
          <w:sz w:val="24"/>
          <w:szCs w:val="24"/>
          <w:color w:val="auto"/>
        </w:rPr>
      </w:pPr>
    </w:p>
    <w:p>
      <w:pPr>
        <w:ind w:left="500"/>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the effective date of this registration statement.</w:t>
      </w:r>
    </w:p>
    <w:p>
      <w:pPr>
        <w:spacing w:after="0" w:line="241"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box. o</w:t>
      </w:r>
    </w:p>
    <w:p>
      <w:pPr>
        <w:spacing w:after="0" w:line="211" w:lineRule="exact"/>
        <w:rPr>
          <w:sz w:val="24"/>
          <w:szCs w:val="24"/>
          <w:color w:val="auto"/>
        </w:rPr>
      </w:pPr>
    </w:p>
    <w:p>
      <w:pPr>
        <w:ind w:right="20" w:firstLine="486"/>
        <w:spacing w:after="0" w:line="342"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943610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firstLine="486"/>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0"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70"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definition of “large accelerated filer,” “accelerated filer” and “smaller reporting company” in Rule 12b-2 of the Exchange Act.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60" w:type="dxa"/>
            <w:vAlign w:val="bottom"/>
          </w:tcPr>
          <w:p>
            <w:pPr>
              <w:ind w:left="480"/>
              <w:spacing w:after="0"/>
              <w:rPr>
                <w:sz w:val="20"/>
                <w:szCs w:val="20"/>
                <w:color w:val="auto"/>
              </w:rPr>
            </w:pPr>
            <w:r>
              <w:rPr>
                <w:rFonts w:ascii="Arial" w:cs="Arial" w:eastAsia="Arial" w:hAnsi="Arial"/>
                <w:sz w:val="18"/>
                <w:szCs w:val="18"/>
                <w:color w:val="auto"/>
              </w:rPr>
              <w:t>Large accelerated filer</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o</w:t>
            </w: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Accelerated filer</w:t>
            </w:r>
          </w:p>
        </w:tc>
        <w:tc>
          <w:tcPr>
            <w:tcW w:w="920" w:type="dxa"/>
            <w:vAlign w:val="bottom"/>
          </w:tcPr>
          <w:p>
            <w:pPr>
              <w:jc w:val="right"/>
              <w:ind w:right="550"/>
              <w:spacing w:after="0"/>
              <w:rPr>
                <w:sz w:val="20"/>
                <w:szCs w:val="20"/>
                <w:color w:val="auto"/>
              </w:rPr>
            </w:pPr>
            <w:r>
              <w:rPr>
                <w:rFonts w:ascii="Arial" w:cs="Arial" w:eastAsia="Arial" w:hAnsi="Arial"/>
                <w:sz w:val="18"/>
                <w:szCs w:val="18"/>
                <w:color w:val="auto"/>
              </w:rPr>
              <w:t>o</w:t>
            </w:r>
          </w:p>
        </w:tc>
      </w:tr>
      <w:tr>
        <w:trPr>
          <w:trHeight w:val="230"/>
        </w:trPr>
        <w:tc>
          <w:tcPr>
            <w:tcW w:w="20" w:type="dxa"/>
            <w:vAlign w:val="bottom"/>
          </w:tcPr>
          <w:p>
            <w:pPr>
              <w:spacing w:after="0"/>
              <w:rPr>
                <w:sz w:val="20"/>
                <w:szCs w:val="20"/>
                <w:color w:val="auto"/>
              </w:rPr>
            </w:pPr>
          </w:p>
        </w:tc>
        <w:tc>
          <w:tcPr>
            <w:tcW w:w="2360" w:type="dxa"/>
            <w:vAlign w:val="bottom"/>
          </w:tcPr>
          <w:p>
            <w:pPr>
              <w:ind w:left="480"/>
              <w:spacing w:after="0"/>
              <w:rPr>
                <w:sz w:val="20"/>
                <w:szCs w:val="20"/>
                <w:color w:val="auto"/>
              </w:rPr>
            </w:pPr>
            <w:r>
              <w:rPr>
                <w:rFonts w:ascii="Arial" w:cs="Arial" w:eastAsia="Arial" w:hAnsi="Arial"/>
                <w:sz w:val="18"/>
                <w:szCs w:val="18"/>
                <w:color w:val="auto"/>
              </w:rPr>
              <w:t>Non-accelerated filer</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320" w:type="dxa"/>
            <w:vAlign w:val="bottom"/>
            <w:gridSpan w:val="5"/>
          </w:tcPr>
          <w:p>
            <w:pPr>
              <w:ind w:left="100"/>
              <w:spacing w:after="0"/>
              <w:rPr>
                <w:sz w:val="20"/>
                <w:szCs w:val="20"/>
                <w:color w:val="auto"/>
              </w:rPr>
            </w:pPr>
            <w:r>
              <w:rPr>
                <w:rFonts w:ascii="Arial" w:cs="Arial" w:eastAsia="Arial" w:hAnsi="Arial"/>
                <w:sz w:val="18"/>
                <w:szCs w:val="18"/>
                <w:color w:val="auto"/>
              </w:rPr>
              <w:t>o (Do not check if smaller reporting company)</w:t>
            </w:r>
          </w:p>
        </w:tc>
        <w:tc>
          <w:tcPr>
            <w:tcW w:w="2100" w:type="dxa"/>
            <w:vAlign w:val="bottom"/>
            <w:gridSpan w:val="2"/>
          </w:tcPr>
          <w:p>
            <w:pPr>
              <w:ind w:left="20"/>
              <w:spacing w:after="0"/>
              <w:rPr>
                <w:sz w:val="20"/>
                <w:szCs w:val="20"/>
                <w:color w:val="auto"/>
              </w:rPr>
            </w:pPr>
            <w:r>
              <w:rPr>
                <w:rFonts w:ascii="Arial" w:cs="Arial" w:eastAsia="Arial" w:hAnsi="Arial"/>
                <w:sz w:val="18"/>
                <w:szCs w:val="18"/>
                <w:color w:val="auto"/>
                <w:w w:val="95"/>
              </w:rPr>
              <w:t>Smaller reporting company</w:t>
            </w:r>
          </w:p>
        </w:tc>
        <w:tc>
          <w:tcPr>
            <w:tcW w:w="920" w:type="dxa"/>
            <w:vAlign w:val="bottom"/>
          </w:tcPr>
          <w:p>
            <w:pPr>
              <w:jc w:val="right"/>
              <w:ind w:right="630"/>
              <w:spacing w:after="0"/>
              <w:rPr>
                <w:sz w:val="20"/>
                <w:szCs w:val="20"/>
                <w:color w:val="auto"/>
              </w:rPr>
            </w:pPr>
            <w:r>
              <w:rPr>
                <w:rFonts w:ascii="Arial" w:cs="Arial" w:eastAsia="Arial" w:hAnsi="Arial"/>
                <w:sz w:val="18"/>
                <w:szCs w:val="18"/>
                <w:color w:val="auto"/>
              </w:rPr>
              <w:t>x</w:t>
            </w:r>
          </w:p>
        </w:tc>
      </w:tr>
      <w:tr>
        <w:trPr>
          <w:trHeight w:val="459"/>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320" w:type="dxa"/>
            <w:vAlign w:val="bottom"/>
            <w:gridSpan w:val="5"/>
          </w:tcPr>
          <w:p>
            <w:pPr>
              <w:ind w:left="40"/>
              <w:spacing w:after="0"/>
              <w:rPr>
                <w:sz w:val="20"/>
                <w:szCs w:val="20"/>
                <w:color w:val="auto"/>
              </w:rPr>
            </w:pPr>
            <w:r>
              <w:rPr>
                <w:rFonts w:ascii="Arial" w:cs="Arial" w:eastAsia="Arial" w:hAnsi="Arial"/>
                <w:sz w:val="18"/>
                <w:szCs w:val="18"/>
                <w:b w:val="1"/>
                <w:bCs w:val="1"/>
                <w:color w:val="auto"/>
              </w:rPr>
              <w:t>CALCULATION OF REGISTRATION FEE</w:t>
            </w: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1"/>
              </w:rPr>
              <w:t>Title of</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3"/>
              </w:rPr>
              <w:t>each class of</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Proposed maximum</w:t>
            </w:r>
          </w:p>
        </w:tc>
        <w:tc>
          <w:tcPr>
            <w:tcW w:w="120" w:type="dxa"/>
            <w:vAlign w:val="bottom"/>
          </w:tcPr>
          <w:p>
            <w:pPr>
              <w:spacing w:after="0"/>
              <w:rPr>
                <w:sz w:val="18"/>
                <w:szCs w:val="18"/>
                <w:color w:val="auto"/>
              </w:rPr>
            </w:pPr>
          </w:p>
        </w:tc>
        <w:tc>
          <w:tcPr>
            <w:tcW w:w="20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Proposed maximum</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to</w:t>
            </w:r>
          </w:p>
        </w:tc>
        <w:tc>
          <w:tcPr>
            <w:tcW w:w="12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2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8"/>
              </w:rPr>
              <w:t>aggregate offering</w:t>
            </w:r>
          </w:p>
        </w:tc>
        <w:tc>
          <w:tcPr>
            <w:tcW w:w="120" w:type="dxa"/>
            <w:vAlign w:val="bottom"/>
          </w:tcPr>
          <w:p>
            <w:pPr>
              <w:spacing w:after="0"/>
              <w:rPr>
                <w:sz w:val="18"/>
                <w:szCs w:val="18"/>
                <w:color w:val="auto"/>
              </w:rPr>
            </w:pPr>
          </w:p>
        </w:tc>
        <w:tc>
          <w:tcPr>
            <w:tcW w:w="20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aggregate offering</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8"/>
              </w:rPr>
              <w:t>be registered</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registered(1)</w:t>
            </w:r>
          </w:p>
        </w:tc>
        <w:tc>
          <w:tcPr>
            <w:tcW w:w="24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1"/>
              </w:rPr>
              <w:t>price per unit</w:t>
            </w:r>
          </w:p>
        </w:tc>
        <w:tc>
          <w:tcPr>
            <w:tcW w:w="120" w:type="dxa"/>
            <w:vAlign w:val="bottom"/>
          </w:tcPr>
          <w:p>
            <w:pPr>
              <w:spacing w:after="0"/>
              <w:rPr>
                <w:sz w:val="20"/>
                <w:szCs w:val="20"/>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price</w:t>
            </w:r>
          </w:p>
        </w:tc>
        <w:tc>
          <w:tcPr>
            <w:tcW w:w="220" w:type="dxa"/>
            <w:vAlign w:val="bottom"/>
          </w:tcPr>
          <w:p>
            <w:pPr>
              <w:spacing w:after="0"/>
              <w:rPr>
                <w:sz w:val="20"/>
                <w:szCs w:val="20"/>
                <w:color w:val="auto"/>
              </w:rPr>
            </w:pPr>
          </w:p>
        </w:tc>
        <w:tc>
          <w:tcPr>
            <w:tcW w:w="28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Amount of registration fee(2)</w:t>
            </w:r>
          </w:p>
        </w:tc>
      </w:tr>
      <w:tr>
        <w:trPr>
          <w:trHeight w:val="202"/>
        </w:trPr>
        <w:tc>
          <w:tcPr>
            <w:tcW w:w="20" w:type="dxa"/>
            <w:vAlign w:val="bottom"/>
          </w:tcPr>
          <w:p>
            <w:pPr>
              <w:spacing w:after="0"/>
              <w:rPr>
                <w:sz w:val="17"/>
                <w:szCs w:val="17"/>
                <w:color w:val="auto"/>
              </w:rPr>
            </w:pPr>
          </w:p>
        </w:tc>
        <w:tc>
          <w:tcPr>
            <w:tcW w:w="2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Common Stock, $0.001par</w:t>
            </w:r>
          </w:p>
        </w:tc>
        <w:tc>
          <w:tcPr>
            <w:tcW w:w="1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value per share</w:t>
            </w:r>
          </w:p>
        </w:tc>
        <w:tc>
          <w:tcPr>
            <w:tcW w:w="120" w:type="dxa"/>
            <w:vAlign w:val="bottom"/>
          </w:tcPr>
          <w:p>
            <w:pPr>
              <w:spacing w:after="0"/>
              <w:rPr>
                <w:sz w:val="20"/>
                <w:szCs w:val="20"/>
                <w:color w:val="auto"/>
              </w:rPr>
            </w:pPr>
          </w:p>
        </w:tc>
        <w:tc>
          <w:tcPr>
            <w:tcW w:w="1440" w:type="dxa"/>
            <w:vAlign w:val="bottom"/>
          </w:tcPr>
          <w:p>
            <w:pPr>
              <w:ind w:left="1120"/>
              <w:spacing w:after="0"/>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20"/>
                <w:szCs w:val="20"/>
                <w:color w:val="auto"/>
              </w:rPr>
            </w:pPr>
          </w:p>
        </w:tc>
        <w:tc>
          <w:tcPr>
            <w:tcW w:w="1960" w:type="dxa"/>
            <w:vAlign w:val="bottom"/>
          </w:tcPr>
          <w:p>
            <w:pPr>
              <w:ind w:left="1640"/>
              <w:spacing w:after="0"/>
              <w:rPr>
                <w:sz w:val="20"/>
                <w:szCs w:val="20"/>
                <w:color w:val="auto"/>
              </w:rPr>
            </w:pPr>
            <w:r>
              <w:rPr>
                <w:rFonts w:ascii="Arial" w:cs="Arial" w:eastAsia="Arial" w:hAnsi="Arial"/>
                <w:sz w:val="18"/>
                <w:szCs w:val="18"/>
                <w:color w:val="auto"/>
                <w:w w:val="99"/>
              </w:rPr>
              <w:t>N/A</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color w:val="auto"/>
              </w:rPr>
              <w:t>$40,000,000</w:t>
            </w: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$5,152</w:t>
            </w:r>
          </w:p>
        </w:tc>
      </w:tr>
      <w:tr>
        <w:trPr>
          <w:trHeight w:val="432"/>
        </w:trPr>
        <w:tc>
          <w:tcPr>
            <w:tcW w:w="2380" w:type="dxa"/>
            <w:vAlign w:val="bottom"/>
            <w:gridSpan w:val="2"/>
          </w:tcPr>
          <w:p>
            <w:pPr>
              <w:spacing w:after="0"/>
              <w:rPr>
                <w:sz w:val="20"/>
                <w:szCs w:val="20"/>
                <w:color w:val="auto"/>
              </w:rPr>
            </w:pPr>
            <w:r>
              <w:rPr>
                <w:rFonts w:ascii="Arial" w:cs="Arial" w:eastAsia="Arial" w:hAnsi="Arial"/>
                <w:sz w:val="18"/>
                <w:szCs w:val="18"/>
                <w:color w:val="auto"/>
              </w:rPr>
              <w:t>Warrrants</w:t>
            </w:r>
          </w:p>
        </w:tc>
        <w:tc>
          <w:tcPr>
            <w:tcW w:w="120" w:type="dxa"/>
            <w:vAlign w:val="bottom"/>
          </w:tcPr>
          <w:p>
            <w:pPr>
              <w:spacing w:after="0"/>
              <w:rPr>
                <w:sz w:val="24"/>
                <w:szCs w:val="24"/>
                <w:color w:val="auto"/>
              </w:rPr>
            </w:pPr>
          </w:p>
        </w:tc>
        <w:tc>
          <w:tcPr>
            <w:tcW w:w="1440" w:type="dxa"/>
            <w:vAlign w:val="bottom"/>
          </w:tcPr>
          <w:p>
            <w:pPr>
              <w:ind w:left="1120"/>
              <w:spacing w:after="0"/>
              <w:rPr>
                <w:sz w:val="20"/>
                <w:szCs w:val="20"/>
                <w:color w:val="auto"/>
              </w:rPr>
            </w:pPr>
            <w:r>
              <w:rPr>
                <w:rFonts w:ascii="Arial" w:cs="Arial" w:eastAsia="Arial" w:hAnsi="Arial"/>
                <w:sz w:val="18"/>
                <w:szCs w:val="18"/>
                <w:color w:val="auto"/>
                <w:w w:val="99"/>
              </w:rPr>
              <w:t>N/A</w:t>
            </w:r>
          </w:p>
        </w:tc>
        <w:tc>
          <w:tcPr>
            <w:tcW w:w="240" w:type="dxa"/>
            <w:vAlign w:val="bottom"/>
          </w:tcPr>
          <w:p>
            <w:pPr>
              <w:spacing w:after="0"/>
              <w:rPr>
                <w:sz w:val="24"/>
                <w:szCs w:val="24"/>
                <w:color w:val="auto"/>
              </w:rPr>
            </w:pPr>
          </w:p>
        </w:tc>
        <w:tc>
          <w:tcPr>
            <w:tcW w:w="1960" w:type="dxa"/>
            <w:vAlign w:val="bottom"/>
          </w:tcPr>
          <w:p>
            <w:pPr>
              <w:ind w:left="1640"/>
              <w:spacing w:after="0"/>
              <w:rPr>
                <w:sz w:val="20"/>
                <w:szCs w:val="20"/>
                <w:color w:val="auto"/>
              </w:rPr>
            </w:pPr>
            <w:r>
              <w:rPr>
                <w:rFonts w:ascii="Arial" w:cs="Arial" w:eastAsia="Arial" w:hAnsi="Arial"/>
                <w:sz w:val="18"/>
                <w:szCs w:val="18"/>
                <w:color w:val="auto"/>
                <w:w w:val="99"/>
              </w:rPr>
              <w:t>N/A</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color w:val="auto"/>
              </w:rPr>
              <w:t>$40,000,000</w:t>
            </w: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32"/>
        </w:trPr>
        <w:tc>
          <w:tcPr>
            <w:tcW w:w="2380" w:type="dxa"/>
            <w:vAlign w:val="bottom"/>
            <w:gridSpan w:val="2"/>
          </w:tcPr>
          <w:p>
            <w:pPr>
              <w:spacing w:after="0"/>
              <w:rPr>
                <w:sz w:val="20"/>
                <w:szCs w:val="20"/>
                <w:color w:val="auto"/>
              </w:rPr>
            </w:pPr>
            <w:r>
              <w:rPr>
                <w:rFonts w:ascii="Arial" w:cs="Arial" w:eastAsia="Arial" w:hAnsi="Arial"/>
                <w:sz w:val="18"/>
                <w:szCs w:val="18"/>
                <w:color w:val="auto"/>
              </w:rPr>
              <w:t>Units</w:t>
            </w:r>
          </w:p>
        </w:tc>
        <w:tc>
          <w:tcPr>
            <w:tcW w:w="120" w:type="dxa"/>
            <w:vAlign w:val="bottom"/>
          </w:tcPr>
          <w:p>
            <w:pPr>
              <w:spacing w:after="0"/>
              <w:rPr>
                <w:sz w:val="24"/>
                <w:szCs w:val="24"/>
                <w:color w:val="auto"/>
              </w:rPr>
            </w:pPr>
          </w:p>
        </w:tc>
        <w:tc>
          <w:tcPr>
            <w:tcW w:w="1440" w:type="dxa"/>
            <w:vAlign w:val="bottom"/>
          </w:tcPr>
          <w:p>
            <w:pPr>
              <w:ind w:left="110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24"/>
                <w:szCs w:val="24"/>
                <w:color w:val="auto"/>
              </w:rPr>
            </w:pPr>
          </w:p>
        </w:tc>
        <w:tc>
          <w:tcPr>
            <w:tcW w:w="1960" w:type="dxa"/>
            <w:vAlign w:val="bottom"/>
          </w:tcPr>
          <w:p>
            <w:pPr>
              <w:ind w:left="1620"/>
              <w:spacing w:after="0"/>
              <w:rPr>
                <w:sz w:val="20"/>
                <w:szCs w:val="20"/>
                <w:color w:val="auto"/>
              </w:rPr>
            </w:pPr>
            <w:r>
              <w:rPr>
                <w:rFonts w:ascii="Arial" w:cs="Arial" w:eastAsia="Arial" w:hAnsi="Arial"/>
                <w:sz w:val="18"/>
                <w:szCs w:val="18"/>
                <w:color w:val="auto"/>
              </w:rPr>
              <w:t>N/A</w:t>
            </w:r>
          </w:p>
        </w:tc>
        <w:tc>
          <w:tcPr>
            <w:tcW w:w="2120" w:type="dxa"/>
            <w:vAlign w:val="bottom"/>
            <w:gridSpan w:val="3"/>
          </w:tcPr>
          <w:p>
            <w:pPr>
              <w:jc w:val="right"/>
              <w:ind w:right="20"/>
              <w:spacing w:after="0"/>
              <w:rPr>
                <w:sz w:val="20"/>
                <w:szCs w:val="20"/>
                <w:color w:val="auto"/>
              </w:rPr>
            </w:pPr>
            <w:r>
              <w:rPr>
                <w:rFonts w:ascii="Arial" w:cs="Arial" w:eastAsia="Arial" w:hAnsi="Arial"/>
                <w:sz w:val="18"/>
                <w:szCs w:val="18"/>
                <w:color w:val="auto"/>
              </w:rPr>
              <w:t>$40,000,000</w:t>
            </w: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29" w:lineRule="exact"/>
        <w:rPr>
          <w:sz w:val="20"/>
          <w:szCs w:val="20"/>
          <w:color w:val="auto"/>
        </w:rPr>
      </w:pPr>
    </w:p>
    <w:p>
      <w:pPr>
        <w:jc w:val="both"/>
        <w:ind w:left="500" w:hanging="370"/>
        <w:spacing w:after="0" w:line="302"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registration statement includes $40,000,000 of securities which may be issued by the registration from time to time in indeterminate amounts and at indeterminate times. Securities registered hereunder may be sold separately, together or as unites with other securities registered hereunder. Pursuant to Rule 416 under the Securities Act of 1933, as amended, such number of shares of Common Stock registered hereby shall include an indeterminate number of shares of Common Stock that may be issued in connection with a stock split, stock dividend, recapitalization or similar event.</w:t>
      </w:r>
    </w:p>
    <w:p>
      <w:pPr>
        <w:spacing w:after="0" w:line="154" w:lineRule="exact"/>
        <w:rPr>
          <w:rFonts w:ascii="Arial" w:cs="Arial" w:eastAsia="Arial" w:hAnsi="Arial"/>
          <w:sz w:val="16"/>
          <w:szCs w:val="16"/>
          <w:color w:val="auto"/>
        </w:rPr>
      </w:pPr>
    </w:p>
    <w:p>
      <w:pPr>
        <w:ind w:left="500" w:hanging="370"/>
        <w:spacing w:after="0" w:line="342"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registration fee has been calculated in accordance with Rule 457(o) under the Securities Act of 1933, as amended. $2,576 of the filing fee was previously paid with the Registrant’s registration statement on Form S-3 on May 20, 2013 and the remainder was paid on, or prior to, the date hereof.</w:t>
      </w:r>
    </w:p>
    <w:p>
      <w:pPr>
        <w:spacing w:after="0" w:line="33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981710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Completion—Dated July 21,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160020</wp:posOffset>
            </wp:positionV>
            <wp:extent cx="2084070" cy="1063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84070"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07"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____________________________________________________________________________________________________</w:t>
      </w:r>
    </w:p>
    <w:p>
      <w:pPr>
        <w:spacing w:after="0" w:line="200" w:lineRule="exact"/>
        <w:rPr>
          <w:sz w:val="20"/>
          <w:szCs w:val="20"/>
          <w:color w:val="auto"/>
        </w:rPr>
      </w:pPr>
    </w:p>
    <w:p>
      <w:pPr>
        <w:spacing w:after="0" w:line="24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may offer to sell, from time to time in one or more offerings, any combination of common stock, warrants or units having an aggregate initial offering price not exceeding $40,000,000. When we decide to sell a particular class or series of securities, we will provide specific terms of the offered securities in a prospectus supplement. You should read this prospectus and any prospectus supplement carefully before you invest.</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provides a general description of the securities we may offer. Each time we sell securities, we will provide specific terms of the securities offered in a supplement to this prospectus. The prospectus supplement may also add, update or change information contained in this prospectus. You should carefully read this prospectus and the applicable prospectus supplement carefully before you invest in any securities. This prospectus may not be used to consummate a sale of securities unless accompanied by the applicable prospectus supplement.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common stock is traded on the OTC Bulletin Board under the symbol “TPIV”. On July 14, 2014 the last reported sale price for our common stock on the OTC Bulletin Board was $1.60 per share and we had 16,806,569 shares of common stock outstanding. Neither our warranty nor our units are publically traded.</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March 21, 2014, the aggregate market value of the voting and non-voting common equity held by non-affiliates of the registrant computed by reference to the price at which the registrant’s common equity was last sold was approximately $79,065,000, based on approximately 15,060,000 shares of common stock held by non-affiliates and a closing share price of $5.25.</w:t>
      </w:r>
    </w:p>
    <w:p>
      <w:pPr>
        <w:spacing w:after="0" w:line="20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Investing in our securities involves risks. You should review carefully the risks and uncertainties described under the heading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on page 5 and contained in any applicable prospectus supplement and under similar headings in the other documents that are incorporated by reference into this prospectus.</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offer our common stock, warrants or units, in one or more offerings in amounts, at prices, and on terms determined at the time of the offering. We may sell these securities through agents we select or through underwriters and dealers we select. If we use agents, underwriters or dealers, we will name them and describe their compensation in a prospectus supplement.</w:t>
      </w:r>
    </w:p>
    <w:p>
      <w:pPr>
        <w:spacing w:after="0" w:line="17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ind w:left="4140"/>
              <w:spacing w:after="0"/>
              <w:rPr>
                <w:sz w:val="20"/>
                <w:szCs w:val="20"/>
                <w:color w:val="auto"/>
              </w:rPr>
            </w:pPr>
            <w:r>
              <w:rPr>
                <w:rFonts w:ascii="Arial" w:cs="Arial" w:eastAsia="Arial" w:hAnsi="Arial"/>
                <w:sz w:val="18"/>
                <w:szCs w:val="18"/>
                <w:color w:val="auto"/>
              </w:rPr>
              <w:t>The date of this prospectus is</w:t>
            </w:r>
          </w:p>
        </w:tc>
        <w:tc>
          <w:tcPr>
            <w:tcW w:w="4640" w:type="dxa"/>
            <w:vAlign w:val="bottom"/>
          </w:tcPr>
          <w:p>
            <w:pPr>
              <w:jc w:val="right"/>
              <w:ind w:right="3550"/>
              <w:spacing w:after="0"/>
              <w:rPr>
                <w:sz w:val="20"/>
                <w:szCs w:val="20"/>
                <w:color w:val="auto"/>
              </w:rPr>
            </w:pPr>
            <w:r>
              <w:rPr>
                <w:rFonts w:ascii="Arial" w:cs="Arial" w:eastAsia="Arial" w:hAnsi="Arial"/>
                <w:sz w:val="18"/>
                <w:szCs w:val="18"/>
                <w:color w:val="auto"/>
              </w:rPr>
              <w:t>, 2014</w:t>
            </w:r>
          </w:p>
        </w:tc>
      </w:tr>
      <w:tr>
        <w:trPr>
          <w:trHeight w:val="1361"/>
        </w:trPr>
        <w:tc>
          <w:tcPr>
            <w:tcW w:w="678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7100" w:type="dxa"/>
            <w:vAlign w:val="bottom"/>
            <w:gridSpan w:val="4"/>
          </w:tcPr>
          <w:p>
            <w:pPr>
              <w:ind w:left="720"/>
              <w:spacing w:after="0"/>
              <w:rPr>
                <w:sz w:val="20"/>
                <w:szCs w:val="20"/>
                <w:color w:val="auto"/>
              </w:rPr>
            </w:pPr>
            <w:r>
              <w:rPr>
                <w:rFonts w:ascii="Arial" w:cs="Arial" w:eastAsia="Arial" w:hAnsi="Arial"/>
                <w:sz w:val="18"/>
                <w:szCs w:val="18"/>
                <w:b w:val="1"/>
                <w:bCs w:val="1"/>
                <w:color w:val="auto"/>
              </w:rPr>
              <w:t>Table of Contents</w:t>
            </w:r>
          </w:p>
        </w:tc>
      </w:tr>
      <w:tr>
        <w:trPr>
          <w:trHeight w:val="460"/>
        </w:trPr>
        <w:tc>
          <w:tcPr>
            <w:tcW w:w="4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58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418"/>
        </w:trPr>
        <w:tc>
          <w:tcPr>
            <w:tcW w:w="4320" w:type="dxa"/>
            <w:vAlign w:val="bottom"/>
          </w:tcPr>
          <w:p>
            <w:pPr>
              <w:spacing w:after="0"/>
              <w:rPr>
                <w:sz w:val="20"/>
                <w:szCs w:val="20"/>
                <w:color w:val="auto"/>
              </w:rPr>
            </w:pPr>
            <w:r>
              <w:rPr>
                <w:rFonts w:ascii="Arial" w:cs="Arial" w:eastAsia="Arial" w:hAnsi="Arial"/>
                <w:sz w:val="18"/>
                <w:szCs w:val="18"/>
                <w:color w:val="auto"/>
              </w:rPr>
              <w:t>About this Prospectus</w:t>
            </w: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i</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Prospectus Summary</w:t>
            </w:r>
          </w:p>
        </w:tc>
        <w:tc>
          <w:tcPr>
            <w:tcW w:w="7100" w:type="dxa"/>
            <w:vAlign w:val="bottom"/>
            <w:gridSpan w:val="4"/>
          </w:tcPr>
          <w:p>
            <w:pPr>
              <w:jc w:val="center"/>
              <w:ind w:left="5570"/>
              <w:spacing w:after="0"/>
              <w:rPr>
                <w:sz w:val="20"/>
                <w:szCs w:val="20"/>
                <w:color w:val="auto"/>
              </w:rPr>
            </w:pPr>
            <w:r>
              <w:rPr>
                <w:rFonts w:ascii="Arial" w:cs="Arial" w:eastAsia="Arial" w:hAnsi="Arial"/>
                <w:sz w:val="18"/>
                <w:szCs w:val="18"/>
                <w:color w:val="auto"/>
                <w:w w:val="79"/>
              </w:rPr>
              <w:t>1</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Risk Factors</w:t>
            </w:r>
          </w:p>
        </w:tc>
        <w:tc>
          <w:tcPr>
            <w:tcW w:w="7100" w:type="dxa"/>
            <w:vAlign w:val="bottom"/>
            <w:gridSpan w:val="4"/>
          </w:tcPr>
          <w:p>
            <w:pPr>
              <w:jc w:val="center"/>
              <w:ind w:left="5570"/>
              <w:spacing w:after="0"/>
              <w:rPr>
                <w:sz w:val="20"/>
                <w:szCs w:val="20"/>
                <w:color w:val="auto"/>
              </w:rPr>
            </w:pPr>
            <w:r>
              <w:rPr>
                <w:rFonts w:ascii="Arial" w:cs="Arial" w:eastAsia="Arial" w:hAnsi="Arial"/>
                <w:sz w:val="18"/>
                <w:szCs w:val="18"/>
                <w:color w:val="auto"/>
                <w:w w:val="79"/>
              </w:rPr>
              <w:t>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Use of Proceeds</w:t>
            </w:r>
          </w:p>
        </w:tc>
        <w:tc>
          <w:tcPr>
            <w:tcW w:w="7100" w:type="dxa"/>
            <w:vAlign w:val="bottom"/>
            <w:gridSpan w:val="4"/>
          </w:tcPr>
          <w:p>
            <w:pPr>
              <w:jc w:val="center"/>
              <w:ind w:left="5550"/>
              <w:spacing w:after="0"/>
              <w:rPr>
                <w:sz w:val="20"/>
                <w:szCs w:val="20"/>
                <w:color w:val="auto"/>
              </w:rPr>
            </w:pPr>
            <w:r>
              <w:rPr>
                <w:rFonts w:ascii="Arial" w:cs="Arial" w:eastAsia="Arial" w:hAnsi="Arial"/>
                <w:sz w:val="18"/>
                <w:szCs w:val="18"/>
                <w:color w:val="auto"/>
                <w:w w:val="89"/>
              </w:rPr>
              <w:t>20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Plan of Distribution</w:t>
            </w:r>
          </w:p>
        </w:tc>
        <w:tc>
          <w:tcPr>
            <w:tcW w:w="7100" w:type="dxa"/>
            <w:vAlign w:val="bottom"/>
            <w:gridSpan w:val="4"/>
          </w:tcPr>
          <w:p>
            <w:pPr>
              <w:jc w:val="center"/>
              <w:ind w:left="5550"/>
              <w:spacing w:after="0"/>
              <w:rPr>
                <w:sz w:val="20"/>
                <w:szCs w:val="20"/>
                <w:color w:val="auto"/>
              </w:rPr>
            </w:pPr>
            <w:r>
              <w:rPr>
                <w:rFonts w:ascii="Arial" w:cs="Arial" w:eastAsia="Arial" w:hAnsi="Arial"/>
                <w:sz w:val="18"/>
                <w:szCs w:val="18"/>
                <w:color w:val="auto"/>
                <w:w w:val="89"/>
              </w:rPr>
              <w:t>20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Description of Securities</w:t>
            </w:r>
          </w:p>
        </w:tc>
        <w:tc>
          <w:tcPr>
            <w:tcW w:w="7100" w:type="dxa"/>
            <w:vAlign w:val="bottom"/>
            <w:gridSpan w:val="4"/>
          </w:tcPr>
          <w:p>
            <w:pPr>
              <w:jc w:val="center"/>
              <w:ind w:left="5550"/>
              <w:spacing w:after="0"/>
              <w:rPr>
                <w:sz w:val="20"/>
                <w:szCs w:val="20"/>
                <w:color w:val="auto"/>
              </w:rPr>
            </w:pPr>
            <w:r>
              <w:rPr>
                <w:rFonts w:ascii="Arial" w:cs="Arial" w:eastAsia="Arial" w:hAnsi="Arial"/>
                <w:sz w:val="18"/>
                <w:szCs w:val="18"/>
                <w:color w:val="auto"/>
                <w:w w:val="89"/>
              </w:rPr>
              <w:t>22</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Legal Matters</w:t>
            </w:r>
          </w:p>
        </w:tc>
        <w:tc>
          <w:tcPr>
            <w:tcW w:w="7100" w:type="dxa"/>
            <w:vAlign w:val="bottom"/>
            <w:gridSpan w:val="4"/>
          </w:tcPr>
          <w:p>
            <w:pPr>
              <w:jc w:val="center"/>
              <w:ind w:left="5550"/>
              <w:spacing w:after="0"/>
              <w:rPr>
                <w:sz w:val="20"/>
                <w:szCs w:val="20"/>
                <w:color w:val="auto"/>
              </w:rPr>
            </w:pPr>
            <w:r>
              <w:rPr>
                <w:rFonts w:ascii="Arial" w:cs="Arial" w:eastAsia="Arial" w:hAnsi="Arial"/>
                <w:sz w:val="18"/>
                <w:szCs w:val="18"/>
                <w:color w:val="auto"/>
                <w:w w:val="89"/>
              </w:rPr>
              <w:t>24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Experts</w:t>
            </w:r>
          </w:p>
        </w:tc>
        <w:tc>
          <w:tcPr>
            <w:tcW w:w="7100" w:type="dxa"/>
            <w:vAlign w:val="bottom"/>
            <w:gridSpan w:val="4"/>
          </w:tcPr>
          <w:p>
            <w:pPr>
              <w:jc w:val="center"/>
              <w:ind w:left="5550"/>
              <w:spacing w:after="0"/>
              <w:rPr>
                <w:sz w:val="20"/>
                <w:szCs w:val="20"/>
                <w:color w:val="auto"/>
              </w:rPr>
            </w:pPr>
            <w:r>
              <w:rPr>
                <w:rFonts w:ascii="Arial" w:cs="Arial" w:eastAsia="Arial" w:hAnsi="Arial"/>
                <w:sz w:val="18"/>
                <w:szCs w:val="18"/>
                <w:color w:val="auto"/>
                <w:w w:val="89"/>
              </w:rPr>
              <w:t>24</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7100" w:type="dxa"/>
            <w:vAlign w:val="bottom"/>
            <w:gridSpan w:val="4"/>
          </w:tcPr>
          <w:p>
            <w:pPr>
              <w:jc w:val="center"/>
              <w:ind w:left="5550"/>
              <w:spacing w:after="0"/>
              <w:rPr>
                <w:sz w:val="20"/>
                <w:szCs w:val="20"/>
                <w:color w:val="auto"/>
              </w:rPr>
            </w:pPr>
            <w:r>
              <w:rPr>
                <w:rFonts w:ascii="Arial" w:cs="Arial" w:eastAsia="Arial" w:hAnsi="Arial"/>
                <w:sz w:val="18"/>
                <w:szCs w:val="18"/>
                <w:color w:val="auto"/>
                <w:w w:val="89"/>
              </w:rPr>
              <w:t>24</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Incorporation of Certain Informatin By Reference</w:t>
            </w:r>
          </w:p>
        </w:tc>
        <w:tc>
          <w:tcPr>
            <w:tcW w:w="7100" w:type="dxa"/>
            <w:vAlign w:val="bottom"/>
            <w:gridSpan w:val="4"/>
          </w:tcPr>
          <w:p>
            <w:pPr>
              <w:jc w:val="center"/>
              <w:ind w:left="5550"/>
              <w:spacing w:after="0"/>
              <w:rPr>
                <w:sz w:val="20"/>
                <w:szCs w:val="20"/>
                <w:color w:val="auto"/>
              </w:rPr>
            </w:pPr>
            <w:r>
              <w:rPr>
                <w:rFonts w:ascii="Arial" w:cs="Arial" w:eastAsia="Arial" w:hAnsi="Arial"/>
                <w:sz w:val="18"/>
                <w:szCs w:val="18"/>
                <w:color w:val="auto"/>
                <w:w w:val="89"/>
              </w:rPr>
              <w:t>24</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This prospectus is a part of a registration statement that we filed with the Securities and Exchange Commission, or SEC, utilizing a “shelf” registration process. Under this shelf process, we may sell the securities described in this prospectus in one or more offerings.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or in any documents that we have incorporated by reference into this prospectus. You should read this prospectus and any applicable prospectus supplement, together with the information incorporated herein by reference as described under the heading “Where You Can Find More Information.”</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You should rely only on the information that we have provided or incorporated by reference in this prospectus and any applicable prospectus supplement. We have not authorized any dealer, salesman or other person to give any information or to make any representation other than those contained or incorporated by reference in this prospectus or any applicable prospectus supplement. You must not rely upon any information or representation not contained or incorporated by reference in this prospectus or the accompanying prospectus supplement. We take no responsibility for, and can provide no assurance as to the reliability of, any other information that others may give you.</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and any accompanying applicable supplement to this prospectus do not constitute an offer to sell or the solicitation of an offer to buy any securities other than the registered securities to which they relate, nor do this prospectus and any accompanying applicable supplement to this prospectus constitute an offer to sell or the solicitation of an offer to buy securities in any jurisdiction to any person to whom it is unlawful to make such offer or solicitation in such jurisdiction. You should not assume that the information contained in this prospectus or any applicable prospectus supplement is accurate on any date subsequent to the date set forth on the front of the document or that any information we have incorporated by reference is correct on any date subsequent to the date of the document incorporated by reference, even though this prospectus or any applicable prospectus supplement is delivered or securities sold on a later date.</w:t>
      </w:r>
    </w:p>
    <w:p>
      <w:pPr>
        <w:spacing w:after="0" w:line="2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provide, upon written or oral request, without charge to you, including any beneficial owner to whom this prospectus is delivered, a copy of any or all of the documents incorporated herein by reference other than the exhibits to those documents, unless the exhibits are specifically incorporated by reference into the information that this prospectus incorporates. You should direct a request for copies to us at President Glynn Wilson, TapImmune Inc, 1551 Eastlake Avenue East, Suite 100, Seattle, WA, 98102 or you may call us at (206) 504-7278.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686"/>
        <w:spacing w:after="0" w:line="286" w:lineRule="auto"/>
        <w:rPr>
          <w:sz w:val="20"/>
          <w:szCs w:val="20"/>
          <w:color w:val="auto"/>
        </w:rPr>
      </w:pPr>
      <w:r>
        <w:rPr>
          <w:rFonts w:ascii="Arial" w:cs="Arial" w:eastAsia="Arial" w:hAnsi="Arial"/>
          <w:sz w:val="16"/>
          <w:szCs w:val="16"/>
          <w:color w:val="auto"/>
        </w:rPr>
        <w:t>Certain information set forth in this prospectus or incorporated by reference in this prospectus may contain forward-looking statements within the meaning of Section 27A of the Securities Act of 1933, as amended (the “Securities Act”), and Section 21E of the Securities Exchange Act of 1934, as amended (the “Exchange Act”),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“should,” “would,” “could,” “seek,” “intend,” “plan,” “estimate,” “goal,” “anticipate,” “project” or other comparable terms. Forward-looking statements involve inherent risks and uncertainties which could cause actual results to differ materially from those in the forward-looking statements, as a result of various factors including those risks and uncertainties included in this prospectus under the caption “Risk Factors,” and those risks and uncertainties described in the documents incorporated by reference into this prospectus. We urge you to consider those risks and uncertainties in evaluating our forward-looking statements. All subsequent written and oral forward-looking statements attributable to us or to persons acting on our behalf are expressly qualified in their entirety by the applicable cautionary statements. We further caution readers not to place undue reliance upon any such forward-looking statements, which speak only as of the date made. Except as otherwise required by the federal securities laws, we disclaim any obligation or undertaking to publicly release any updates or revisions to any forward-looking statement contained herein or in the accompanying prospectus (or elsewhere) to reflect any change in our expectations with regard thereto or any change in events, conditions or circumstances on which any such statement is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370"/>
        <w:spacing w:after="0" w:line="302" w:lineRule="auto"/>
        <w:rPr>
          <w:sz w:val="20"/>
          <w:szCs w:val="20"/>
          <w:color w:val="auto"/>
        </w:rPr>
      </w:pPr>
      <w:r>
        <w:rPr>
          <w:rFonts w:ascii="Arial" w:cs="Arial" w:eastAsia="Arial" w:hAnsi="Arial"/>
          <w:sz w:val="16"/>
          <w:szCs w:val="16"/>
          <w:color w:val="auto"/>
        </w:rPr>
        <w:t>This summary highlights selected information from this prospectus and does not contain all of the information that you need to consider in making your investment decision. You should carefully read the entire prospectus, including the risks of investing discussed under “Risk Factors” on page 5, the information incorporated by reference, including our financial statements, and the exhibits to the registration statement of which this prospectus is a part. Unless otherwise stated or the context requires otherwise, references in this prospectus to “TapImmune,” “we,” “us,” or “our” refer to TapImmune Inc.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specialize in the development of innovative peptide and gene-based immunotherapeutics and vaccines for the treatment of cancer and infectious disease. The field of immunotherapy is a relatively new area of cancer treatment development that holds tremendous promise to generate more effective and better tolerated treatments for cancer than the more traditional, high dose chemotherapy and radiation and surgery therapies. Traditional treatments are not precise in targeting only cancerous cells, and they often fail to remove or destroy all of the cancer. The remaining cancer cells may then grow into new tumors, which can be fatally resistant to further chemotherapy or radiation. In the United States, deaths from cancer are second only to cardiovascular deaths.</w:t>
      </w:r>
    </w:p>
    <w:p>
      <w:pPr>
        <w:spacing w:after="0" w:line="1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Unlike other immunotherapeutic and vaccine technologies that narrowly address the initiation of an immune response, we have designed our approach ("Prime" and "Boost") to broadly stimulate the cellular immune system by enhancing the function of killer T-cells and helper T-cells. Our business strategy in cancer is to take products through Phase II clinical trials and then partner with pharmaceutical marketing organizations ahead of Phase III trials.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principal product candidates are:</w:t>
      </w:r>
    </w:p>
    <w:p>
      <w:pPr>
        <w:spacing w:after="0" w:line="252" w:lineRule="exact"/>
        <w:rPr>
          <w:sz w:val="20"/>
          <w:szCs w:val="20"/>
          <w:color w:val="auto"/>
        </w:rPr>
      </w:pPr>
    </w:p>
    <w:p>
      <w:pPr>
        <w:ind w:left="340" w:hanging="143"/>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new Her2/neu breast cancer immunotherapeutic vaccine technology in-licensed from the Mayo Clinic, MN,</w:t>
      </w:r>
    </w:p>
    <w:p>
      <w:pPr>
        <w:spacing w:after="0" w:line="252"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Folate Alpha Receptor immunotherapeutic vaccine comprised of a set of unique peptide epitopes targeting both breast cancer and ovarian cancer that we have an option to in-license from the Mayo Clinic,</w:t>
      </w:r>
    </w:p>
    <w:p>
      <w:pPr>
        <w:spacing w:after="0" w:line="197" w:lineRule="exact"/>
        <w:rPr>
          <w:rFonts w:ascii="Arial" w:cs="Arial" w:eastAsia="Arial" w:hAnsi="Arial"/>
          <w:sz w:val="18"/>
          <w:szCs w:val="18"/>
          <w:color w:val="auto"/>
        </w:rPr>
      </w:pPr>
    </w:p>
    <w:p>
      <w:pPr>
        <w:ind w:left="340" w:hanging="143"/>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Polystart™, our proprietary immunotherapeutic, nucleic acid-based expression technology,</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TAP, a DNA technology expressing Transporter associated with Antigen Processing, and</w:t>
      </w:r>
    </w:p>
    <w:p>
      <w:pPr>
        <w:spacing w:after="0" w:line="252"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field of infectious diseases, use of our technology platforms to create and improve on therapeutic vaccines for pandemic diseases and national preparedness.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current operations are focused on developing four product candidates. Two of these candidates are currently in Phase I clinical trials that we would like to progress to Phase II clinical trials in 2014. The other two product candidates are proprietary immunotherapeutic technologies that are in preclinical trials.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Her2/NEU</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2010 we signed a Technology Option Agreement with the Mayo Foundation for Medical Education and Research, Rochester, MN (the “Mayo Clinic”), for the evaluation of Her2/neu peptide epitopes as antigens for a breast cancer vaccine. The agreement grants us an exclusive worldwide option to become the exclusive in-licensee of the technology after completion of Phase I clinical trials. The Mayo Clinic is completing a Phase I study to evaluate the safety and immune response(s) for Her2/neu antigens. This trial is fully enrolled and closed, and patient dosing has been completed. All patients have received the vaccine composition, and interim safety analysis on the first six patients has been completed and shown to be safe. In addition, each of the first six patients treated developed specific T-cell immune responses to the antigens in the vaccine composition proving a solid case for advancement to Phase II in 2014. An additional secondary endpoint incorporated into this Phase I trial will be a two-year follow-on recording time to disease recurrence in the participating breast cancer patients. The assessment of vaccine safety (primary endpoint) and evaluation of immunogenicity (secondary endpoint) for this trial are currently scheduled for completion at the end of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p>
      <w:pPr>
        <w:jc w:val="both"/>
        <w:ind w:firstLine="324"/>
        <w:spacing w:after="0" w:line="286" w:lineRule="auto"/>
        <w:rPr>
          <w:sz w:val="20"/>
          <w:szCs w:val="20"/>
          <w:color w:val="auto"/>
        </w:rPr>
      </w:pPr>
      <w:r>
        <w:rPr>
          <w:rFonts w:ascii="Arial" w:cs="Arial" w:eastAsia="Arial" w:hAnsi="Arial"/>
          <w:sz w:val="17"/>
          <w:szCs w:val="17"/>
          <w:color w:val="auto"/>
        </w:rPr>
        <w:t>As this Phase I Trial progresses, we plan to add a Class I peptide, in-licensed from the Mayo Clinic in 2012 to the four Class II peptides in the context of a Phase I(b)/II clinical trial. We believe that the combination of Class I and Class II Her2/neu antigens gives us the leading Her2/neu vaccine platform. Therefore a key goal in 2014 is to progress the Her2/neu vaccine into the above mentioned Phase 1(b)/II Clinical trial.</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future, we would like to incorporate the pre-clinical development of Polystart™ as a boost strategy for Her2/neu breast cancer. We believe that the comprehensive scientific underpinnings of our overall approach, to elicit the production of both helper T-cells and killer T-cells, will provide us with highly competitive product candidates for the treatment of Her2/neu positive breast cancer.</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business strategy with respect to the Her2/neu peptide epitopes is to take them through Phase II clinical trials and then partner with pharmaceutical marketing organizations ahead of Phase III trials.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Folate Alpha Receptor</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2014, we acquired the option to in-license the technology being used in a late stage 24 patient, Phase l clinical program in ovarian cancer (Folate Alpha) being conducted by the Mayo Clinic. We will have the exclusive option to in-license the Folate Alpha Receptor upon the completion of Phase I if we exercise our option to acquire that license prior to the completion of Phase I. We intend to use the proceeds from the offering to which this Prospectus relates to exercise the option to acquire the in-license.</w:t>
      </w:r>
    </w:p>
    <w:p>
      <w:pPr>
        <w:spacing w:after="0" w:line="2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Folate Alpha Receptor is expressed in over 90% of ovarian cancer and in 86% of triple negative breast cancer, for which the only treatment options are surgery and chemotherapy, leaving a very important and urgent clinical need for a new therapeutic. In ovarian cancer, time to recurrence is relatively short for this type of cancer and survival prognosis is extremely poor after recurrence. We intend to exercise this option and to initiate a second Phase II trial in 2014 to include the Folate Alpha Receptor epitopes. This trial will likely focus on ovarian cancer. As ovarian cancer has few treatment options, our plan is to present a Phase II advancement plan with an application for orphan drug status. Orphan drug status is allowed by the FDA in cases where the disease affects fewer than 200,000 people in the USA and makes allowances for a number of commercial benefits including sales of the drug for seven years without competition.</w:t>
      </w:r>
    </w:p>
    <w:p>
      <w:pPr>
        <w:spacing w:after="0" w:line="19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plan to incorporate the pre-clinical development of Polystart™ as a boost strategy for ovarian cancer and triple negative breast cancer. We believe that the comprehensive scientific underpinnings of our overall approach, to elicit the production of both helper T-cells and killer T-cells, will provide us with competitive product candidates for the treatment of ovarian cancer and triple negative breast cancer.</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Polystart™</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Polystart™ is our proprietary immunotherapeutic, nucleic acid-based expression technology. Our Polystart™ technology comprises two portions, one supporting high level of expression and the other a T-cell peptide antigen array (“PAA”). The antigens making up the PAA are naturally processed inside a patient’s own cells where they are then presented on the cell surface visible for T-cell recognition, activation and expansion.</w:t>
      </w:r>
    </w:p>
    <w:p>
      <w:pPr>
        <w:spacing w:after="0" w:line="19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Polystart™ technology directs the translation and subsequent endogenous natural processing of antigenic T-cell epitopes contained within a poly-antigen array(s) at four times the level of conventional comparator systems, thereby providing a greater signal/propensity to attract and directly interact with a patient’s T-cells. Accordingly, elevated levels of target specific cell surface presented T-cell antigen(s) are correspondingly expected to more effectively engage, activate and expand antigen specific killer T-cell population(s) that can then seek out and destroy target cells (e.g., cancer cells). In addition, our versatile Polystart™ technology is designed to express either Class I killer or Class II helper T-cell antigenic epitopes. We believe that our nucleic acid-based systems can also incorporate our TAP technology, although we have not yet taken steps to analyze their combined use.</w:t>
      </w:r>
    </w:p>
    <w:p>
      <w:pPr>
        <w:spacing w:after="0" w:line="205" w:lineRule="exact"/>
        <w:rPr>
          <w:sz w:val="20"/>
          <w:szCs w:val="20"/>
          <w:color w:val="auto"/>
        </w:rPr>
      </w:pPr>
    </w:p>
    <w:p>
      <w:pPr>
        <w:jc w:val="both"/>
        <w:ind w:right="20" w:firstLine="394"/>
        <w:spacing w:after="0" w:line="277" w:lineRule="auto"/>
        <w:rPr>
          <w:sz w:val="20"/>
          <w:szCs w:val="20"/>
          <w:color w:val="auto"/>
        </w:rPr>
      </w:pPr>
      <w:r>
        <w:rPr>
          <w:rFonts w:ascii="Arial" w:cs="Arial" w:eastAsia="Arial" w:hAnsi="Arial"/>
          <w:sz w:val="18"/>
          <w:szCs w:val="18"/>
          <w:color w:val="auto"/>
        </w:rPr>
        <w:t>We have undertaken preclinical studies with our Polystart™/PAA technology in connection with a smallpox vaccine candidate, and we have been encouraged by the results. We expect these studies to begin in 2015.</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Polystart™ technology was invented in-house and is therefore not subject to any licensing fees or downstream royalty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b w:val="1"/>
          <w:bCs w:val="1"/>
          <w:i w:val="1"/>
          <w:iCs w:val="1"/>
          <w:color w:val="auto"/>
        </w:rPr>
        <w:t>TAP</w:t>
      </w:r>
    </w:p>
    <w:p>
      <w:pPr>
        <w:spacing w:after="0" w:line="248"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color w:val="auto"/>
        </w:rPr>
        <w:t>TAP is our DNA expression technology designed to make cancer cells more immunogenic. In many solid cancer tumors, the TAP (</w:t>
      </w:r>
      <w:r>
        <w:rPr>
          <w:rFonts w:ascii="Arial" w:cs="Arial" w:eastAsia="Arial" w:hAnsi="Arial"/>
          <w:sz w:val="17"/>
          <w:szCs w:val="17"/>
          <w:b w:val="1"/>
          <w:bCs w:val="1"/>
          <w:color w:val="auto"/>
        </w:rPr>
        <w:t>T</w:t>
      </w:r>
      <w:r>
        <w:rPr>
          <w:rFonts w:ascii="Arial" w:cs="Arial" w:eastAsia="Arial" w:hAnsi="Arial"/>
          <w:sz w:val="17"/>
          <w:szCs w:val="17"/>
          <w:color w:val="auto"/>
        </w:rPr>
        <w:t xml:space="preserve">ransporter associated with </w:t>
      </w:r>
      <w:r>
        <w:rPr>
          <w:rFonts w:ascii="Arial" w:cs="Arial" w:eastAsia="Arial" w:hAnsi="Arial"/>
          <w:sz w:val="17"/>
          <w:szCs w:val="17"/>
          <w:b w:val="1"/>
          <w:bCs w:val="1"/>
          <w:color w:val="auto"/>
        </w:rPr>
        <w:t>A</w:t>
      </w:r>
      <w:r>
        <w:rPr>
          <w:rFonts w:ascii="Arial" w:cs="Arial" w:eastAsia="Arial" w:hAnsi="Arial"/>
          <w:sz w:val="17"/>
          <w:szCs w:val="17"/>
          <w:color w:val="auto"/>
        </w:rPr>
        <w:t xml:space="preserve">ntigen </w:t>
      </w:r>
      <w:r>
        <w:rPr>
          <w:rFonts w:ascii="Arial" w:cs="Arial" w:eastAsia="Arial" w:hAnsi="Arial"/>
          <w:sz w:val="17"/>
          <w:szCs w:val="17"/>
          <w:b w:val="1"/>
          <w:bCs w:val="1"/>
          <w:color w:val="auto"/>
        </w:rPr>
        <w:t>P</w:t>
      </w:r>
      <w:r>
        <w:rPr>
          <w:rFonts w:ascii="Arial" w:cs="Arial" w:eastAsia="Arial" w:hAnsi="Arial"/>
          <w:sz w:val="17"/>
          <w:szCs w:val="17"/>
          <w:color w:val="auto"/>
        </w:rPr>
        <w:t>resentation) protein system does not function and, therefore, the immune system is not stimulated to attack the cancer. We believe that although a number of cancer therapies have been developed that stimulate the immune system, these approaches have often proven ineffective because the cancers remain invisible to the immune system due to this apparent lack of or low expression of the TAP protein.</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By restoring TAP expression to TAP-deficient cells, the MHC Class I protein peptide complexes could signal the immune system to attack the cancer. One of our strategic visions is to restore the TAP function within cancerous cells, thus making them immunogenic, or more “visible” to cancer fighting immune cells. We believe that this strategy will provide a commercially viable therapeutic approach that addresses this problem of “non-immunogenicity” of cancer. We expect these studies to begin in 2015.</w:t>
      </w:r>
    </w:p>
    <w:p>
      <w:pPr>
        <w:spacing w:after="0" w:line="21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TAP technology was acquired from the University of British Columbia in full and is therefore not subject to any licensing fees or downstream royalty payments.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Infectious Diseases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infectious disease/biodefense area, our business strategy is to seek joint research and development partnerships on our infectious disease platform with companies seeking to expand their product portfolios. We are collaborating with the Mayo Clinic for the development of vaccines using TAP expression vectors aimed at viral pandemics/biodefense. We entered into a research and technology license option agreement with the Mayo Clinic to evaluate novel smallpox peptide antigens. The Agreement grants us an exclusive worldwide option to become the exclusive licensee of the smallpox vaccine technology after research studies have been completed under the terms of the agreement. Scientists at the Mayo Clinic have identified a novel set of peptide antigens which collectively can protect small animals from a lethal dose of vaccinia virus. This could form the basis of the first peptide-based vaccine for potential stockpiling. The subsequent regulatory pathway for this product is to use the FDA’s “Animal Efficacy Rule” for completion of efficacy studies in primates followed by Phase I clinical studies on vaccine safety.</w:t>
      </w:r>
    </w:p>
    <w:p>
      <w:pPr>
        <w:spacing w:after="0" w:line="2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plan to complete animal efficacy and human safety studies through non-dilutive grant funding in collaboration with Dr. Greg Poland and colleagues at the Mayo Clinic and anticipate that further development will be completed through strategic corporate partnerships. We anticipate that we will complete these studies with a strategic partner involved in the Biodefense space. The use of non-dilutive grant funding to progress this area allows us to focus the majority of our internal resources on our other product candidates.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were incorporated under the laws of the State of Nevada in 1991 under the name “Ward’s Futura Automotive Ltd”. We changed our name a number of times since 1991 and, in July 2002, we completed the acquisition of GeneMax Pharmaceuticals Inc. (“GeneMax Pharmaceuticals”), a Delaware corporation, in a reverse merger and changed our name to “GeneMax Corp”. As a result of this transaction, the former stockholders of GeneMax Pharmaceuticals then owned 75% of the total issued and outstanding shares of GeneMax Corp. GeneMax Pharmaceuticals is now a wholly owned subsidiary of TapImmune, and GeneMax Pharmaceuticals Canada Inc. (“GP Canada”), a British Columbia corporation, is a wholly owned subsidiary of GeneMax Pharmaceuticals. On June 28, 2007, we approved a name change to TapImmune Inc.</w:t>
      </w:r>
    </w:p>
    <w:p>
      <w:pPr>
        <w:spacing w:after="0" w:line="20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Our principal executive offices are located at 1551 Eastlake Avenue East, Suite 100, Seattle, WA 98102 and our telephone number is (206) 504-7278. We maintain a website at </w:t>
      </w:r>
      <w:r>
        <w:rPr>
          <w:rFonts w:ascii="Arial" w:cs="Arial" w:eastAsia="Arial" w:hAnsi="Arial"/>
          <w:sz w:val="18"/>
          <w:szCs w:val="18"/>
          <w:u w:val="single" w:color="auto"/>
          <w:color w:val="0000FF"/>
        </w:rPr>
        <w:t>http://www.tapimmune.com</w:t>
      </w:r>
      <w:r>
        <w:rPr>
          <w:rFonts w:ascii="Arial" w:cs="Arial" w:eastAsia="Arial" w:hAnsi="Arial"/>
          <w:sz w:val="18"/>
          <w:szCs w:val="18"/>
          <w:color w:val="auto"/>
        </w:rPr>
        <w:t xml:space="preserve"> which contains descriptions of our technology, our drugs and the trial status of each drug. The information on our website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may offer the securities described in this prospectus from time to time, together with any applicable prospectus supplement, at prices and on terms to be determined by market conditions at the time of offering. This prospectus provides you with a general description of the securities we may offer. Holders of our common stock are entitled to one vote for each share held of record on each matter submitted to a vote of stockholders. Until you have acquired shares of our common stock upon exercise of any warrants, you will have no rights with respect to the shares of our common stock underlying such warrants. Upon exercise of your warrants, you will be entitled to exercise the rights of a common stockholder only as matters of which the record date occurs after the exercise date. Each time we offer our securities, we will provide a prospectus supplement that will describe the specific amounts, prices and other important terms of the securities. A prospectus supplement to be provided to you may also add, update or change information contained in this prospectus or in documents we have incorporated by reference. However, no prospectus supplement will offer a security that is not registered and described in this prospectus at the time of the effectiveness of the registration statement of which this prospectus is a part.</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sell the securities directly to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spacing w:after="0" w:line="181"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names of those underwriters or agents;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Investing in our securities involves a high degree of risk. You should carefully consider and evaluate all of the information included and incorporated by reference or deemed to be incorporated by reference in this prospectus or any applicable prospectus supplement, including the risk factors contained herein and those incorporated by reference herein from our Annual Report on Form 10-K for the fiscal year ended December 31, 2013 and the Quarterly Report on Form 10-Q for the quarter ended March 30, 2014, respectively, as updated by annual, quarterly and other reports and documents we file with the SEC after the date of this prospectus and that are incorporated by reference herein or contained in any applicable prospectus supplement. Our business, results of operations or financial condition could be adversely affected by any of these risks or by additional risks and uncertainties not currently known to us or that we currently consider immaterial.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with a history of operating losses.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are a clinical-stage immunotherapy company with a history of losses, and we may always operate at a loss. We expect that we will continue to operate at a loss throughout our development stage, and as a result, we may exhaust our financial resources and be unable to complete the development of our products. We anticipate that our ongoing operational costs will increase significantly as we continue conducting our clinical development program. Our deficit will continue to grow during our drug development period. We have no sources of revenue to provide incoming cash flows to sustain our future operations. As outlined above, our ability to pursue our planned business activities depends upon our successful efforts to raise additional equity financing</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sustained losses from operations in each fiscal year since our inception, and we expect losses to continue for the indefinite future due to the substantial investment in research and development. As of December 31, 2013, we had an accumulated deficit of $55,427,000 since inception. We expect to spend substantial additional sums on the continued administration and research and development of licensed and proprietary products and technologies with no certainty that our approach and associated technologies will become commercially viable or profitable as a result of these expenditures. If we fail to raise a significant amount of capital, we may need to significantly curtail operations or cease operations in the near future. If any of our product candidates fails in clinical trials or does not gain regulatory approval, we may never generate revenue. Even if we generate revenue in the future, we may not be able to become profitable or sustain profitability in subsequent periods.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yet sold any products or received regulatory approval to sell our products.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no approved products or products pending approval. As a result, we have not derived any revenue from the sales of products and have not yet demonstrated ability to obtain regulatory approval, formulate and manufacture commercial scale products, or conduct sales and marketing activities necessary for successful product commercialization. Without revenue, we can only finance our company through debt and equity financings.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successfully or develop them on a timely basis.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immunotherapy product candidates are at various stages of research and development. Further development and extensive testing will be required to determine their technical feasibility and commercial viability. We will need to complete significant additional clinical trials demonstrating that our product candidates are safe and effective to the satisfaction of the FDA and other non-U.S. regulatory authorities. The drug approval process is time-consuming, which involves substantial expenditures of resources, and depends upon a number of factors, including the severity of the illness in question, the availability of alternative treatments, and the risks and benefits demonstrated in the clinical trials. Our success depends on our ability to achieve scientific and technological advances and to translate such advances into licensable, FDA-approvable, commercially competitive products on a timely basis. Failure can occur at any stage of the process. If such programs are not successful, we may be unable to develop revenue-producing products. As we enter a more extensive clinical program for our product candidates, the data generated in these studies may not be as compelling as the earlier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0" w:name="page11"/>
    <w:bookmarkEnd w:id="10"/>
    <w:p>
      <w:pPr>
        <w:jc w:val="both"/>
        <w:ind w:firstLine="324"/>
        <w:spacing w:after="0" w:line="268" w:lineRule="auto"/>
        <w:rPr>
          <w:sz w:val="20"/>
          <w:szCs w:val="20"/>
          <w:color w:val="auto"/>
        </w:rPr>
      </w:pPr>
      <w:r>
        <w:rPr>
          <w:rFonts w:ascii="Arial" w:cs="Arial" w:eastAsia="Arial" w:hAnsi="Arial"/>
          <w:sz w:val="17"/>
          <w:szCs w:val="17"/>
          <w:color w:val="auto"/>
        </w:rPr>
        <w:t>Immunotherapies and vaccines that we may develop are not likely to be commercially available for three or more years. Any delay in obtaining FDA and/or other necessary regulatory approvals in the United States and in countries outside the United States for any investigational new drug and failure to receive such approvals would have an adverse effect on the investigational new drug’s potential commercial success and on our business, prospects, financial condition and results of operations. The time required to obtain approval by the FDA and non-U.S. regulatory authorities is unpredictable but typically takes many years following the commencement of clinical trials and depends upon numerous factors, including the substantial discretion of the regulatory authorities. For example, the FDA or non-U.S. regulatory authorities may disagree with the design or implementation of our clinical trials or study endpoints; or we may be unable to demonstrate that a product candidate’s clinical and other benefits outweigh its safety risks. In addition, the FDA or non-U.S. regulatory authorities may disagree with our interpretation of data from preclinical studies or clinical trials or the data collected from clinical trials of our product candidates may not be sufficient to support the submission of a new drug application (“NDA”) or other submission or to obtain regulatory approval in the United States or elsewhere. The FDA or non-U.S. regulatory authorities may fail to approve the manufacturing processes or facilities of third-party manufacturers with which we contract for clinical and commercial supplies; and the approval policies or regulations of the FDA or non-U.S. regulatory authorities may significantly change in a manner rendering our clinical data insufficient for approval. In addition, approval policies, regulations, or the type and amount of clinical data necessary to gain approval may change during the course of a product candidate’s clinical development and may vary among jurisdictions. The proposed development schedules for our immunotherapy product candidates may be affected by a variety of other factors, including technological difficulties, clinical trial failures, regulatory hurdles, competitive products, intellectual property challenges and/or changes in governmental regulation, many of which will not be within our control.</w:t>
      </w:r>
    </w:p>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delay in the development, approval, introduction or marketing of our products could result either in such products being marketed at a time when their cost and performance characteristics would not be competitive in the marketplace or in the shortening of their commercial lives. In light of the long-term nature of our projects, the unproven technology involved and the other factors described elsewhere in this section, we might not be able to successfully complete the development or marketing of any new products, and as a result, our business, prospects, financial condition and results of operations could be materially and adversely affected. We may be required to reduce our staff, discontinue certain research or development programs of our future products and cease to operate.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achieve commercial success even if our product candidates are approved for sale.</w:t>
      </w:r>
    </w:p>
    <w:p>
      <w:pPr>
        <w:spacing w:after="0" w:line="256" w:lineRule="exact"/>
        <w:rPr>
          <w:sz w:val="20"/>
          <w:szCs w:val="20"/>
          <w:color w:val="auto"/>
        </w:rPr>
      </w:pPr>
    </w:p>
    <w:p>
      <w:pPr>
        <w:ind w:left="180" w:right="120"/>
        <w:spacing w:after="0" w:line="277" w:lineRule="auto"/>
        <w:rPr>
          <w:sz w:val="20"/>
          <w:szCs w:val="20"/>
          <w:color w:val="auto"/>
        </w:rPr>
      </w:pPr>
      <w:r>
        <w:rPr>
          <w:rFonts w:ascii="Arial" w:cs="Arial" w:eastAsia="Arial" w:hAnsi="Arial"/>
          <w:sz w:val="18"/>
          <w:szCs w:val="18"/>
          <w:color w:val="auto"/>
        </w:rPr>
        <w:t>Even if we obtain the required regulatory approvals to market our product candidates, there are many factors which may prevent us from ever successfully selling the products in commercial quantities. Some factors are beyond our control, such as:</w:t>
      </w:r>
    </w:p>
    <w:p>
      <w:pPr>
        <w:spacing w:after="0" w:line="170" w:lineRule="exact"/>
        <w:rPr>
          <w:sz w:val="20"/>
          <w:szCs w:val="20"/>
          <w:color w:val="auto"/>
        </w:rPr>
      </w:pPr>
    </w:p>
    <w:p>
      <w:pPr>
        <w:ind w:left="540" w:hanging="370"/>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acceptance of the formulation of Immunotherapies by health care professionals and patients;</w:t>
      </w:r>
    </w:p>
    <w:p>
      <w:pPr>
        <w:spacing w:after="0" w:line="225" w:lineRule="exact"/>
        <w:rPr>
          <w:rFonts w:ascii="Arial" w:cs="Arial" w:eastAsia="Arial" w:hAnsi="Arial"/>
          <w:sz w:val="18"/>
          <w:szCs w:val="18"/>
          <w:color w:val="auto"/>
        </w:rPr>
      </w:pPr>
    </w:p>
    <w:p>
      <w:pPr>
        <w:ind w:left="540" w:right="280" w:hanging="370"/>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third-parties that we may enter into collaboration agreements with for the manufacture, sales, marketing and distribution of our products; and</w:t>
      </w:r>
    </w:p>
    <w:p>
      <w:pPr>
        <w:spacing w:after="0" w:line="170" w:lineRule="exact"/>
        <w:rPr>
          <w:rFonts w:ascii="Arial" w:cs="Arial" w:eastAsia="Arial" w:hAnsi="Arial"/>
          <w:sz w:val="18"/>
          <w:szCs w:val="18"/>
          <w:color w:val="auto"/>
        </w:rPr>
      </w:pPr>
    </w:p>
    <w:p>
      <w:pPr>
        <w:ind w:left="540" w:hanging="370"/>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effectiveness and relative cost of alternative treatments which may be developed by competitors.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legal claims; Litigation is expensive and we may not be able to afford the costs.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face legal claims involving stockholders, consumers, competitors, entities from whom we license technology, entities with whom we collaborate, persons claiming that we are infringing on their intellectual property and others. As described in the discussion entitled “Legal Proceedings” in this prospectus, we are engaged in one legal proceeding, in which we could suffer significant financial losses. Legal proceedings are inherently uncertain, and adverse rulings could occur, including monetary damages, or an injunction stopping us from engaging in business practices, or requiring other remedies, such as compulsory licensing of patents.</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costs of litigation or any proceeding relating to our intellectual property or contractual rights could be substantial even if resolved in our favor. Some of our competitors or financial funding sources have far greater resources than we do and may be better able to afford the costs of complex legal procedures. Also, in a law suit for infringement or contractual breaches, even if frivolous, will require considerable time commitments on the part of management, its attorneys and consultants. Defending these types of proceedings or legal actions involve considerable expense and could negatively affect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research and development programs are subject to uncertainty.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affecting our research and development programs include, but are not limited to:</w:t>
      </w:r>
    </w:p>
    <w:p>
      <w:pPr>
        <w:spacing w:after="0" w:line="225" w:lineRule="exact"/>
        <w:rPr>
          <w:sz w:val="20"/>
          <w:szCs w:val="20"/>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companies that are substantially and financially stronger than we are;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need for acceptance of our Immunotherapies;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anticipate and adapt to a competitive market and rapid technological developments;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and timing of operating costs and capital expenditures relating to expansion of our business, operations and infrastructure;</w:t>
      </w:r>
    </w:p>
    <w:p>
      <w:pPr>
        <w:spacing w:after="0" w:line="225" w:lineRule="exact"/>
        <w:rPr>
          <w:rFonts w:ascii="Arial" w:cs="Arial" w:eastAsia="Arial" w:hAnsi="Arial"/>
          <w:sz w:val="18"/>
          <w:szCs w:val="18"/>
          <w:color w:val="auto"/>
        </w:rPr>
      </w:pPr>
    </w:p>
    <w:p>
      <w:pPr>
        <w:ind w:left="340" w:right="80" w:hanging="8"/>
        <w:spacing w:after="0" w:line="277" w:lineRule="auto"/>
        <w:tabs>
          <w:tab w:leader="none" w:pos="592" w:val="left"/>
        </w:tabs>
        <w:numPr>
          <w:ilvl w:val="0"/>
          <w:numId w:val="5"/>
        </w:numPr>
        <w:rPr>
          <w:rFonts w:ascii="Arial" w:cs="Arial" w:eastAsia="Arial" w:hAnsi="Arial"/>
          <w:sz w:val="18"/>
          <w:szCs w:val="18"/>
          <w:color w:val="auto"/>
        </w:rPr>
      </w:pPr>
      <w:r>
        <w:rPr>
          <w:rFonts w:ascii="Arial" w:cs="Arial" w:eastAsia="Arial" w:hAnsi="Arial"/>
          <w:sz w:val="18"/>
          <w:szCs w:val="18"/>
          <w:color w:val="auto"/>
        </w:rPr>
        <w:t>need to rely on multiple levels of outside funding due to the length of drug development cycles and governmental approved protocols associated with the pharmaceutical industry; and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dependence upon key personnel including key independent consultants and advisors.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research and development expenses may not be consistent from time to time. We may be required to accelerate or delay incurring certain expenses depending on the results of our studies and the availability of adequate funding.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technologies are in-licensed from third parties, and the protection of those technologies is not entirely within our control.</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license technologies from a third party, the Mayo Clinic. We in-license from the Mayo Clinic the technology for: (i) the Her2/neu peptide epitopes,</w:t>
      </w:r>
    </w:p>
    <w:p>
      <w:pPr>
        <w:spacing w:after="0" w:line="46" w:lineRule="exact"/>
        <w:rPr>
          <w:sz w:val="20"/>
          <w:szCs w:val="20"/>
          <w:color w:val="auto"/>
        </w:rPr>
      </w:pPr>
    </w:p>
    <w:p>
      <w:pPr>
        <w:jc w:val="both"/>
        <w:ind w:right="40" w:firstLine="8"/>
        <w:spacing w:after="0" w:line="255"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novel set of Class II HER2/neu antigens discovered in breast cancer patients and (iii) a novel smallpox peptide antigens. In addition, we have an option, which we intend to exercise, to license the Folate Alpha Receptor technology from the Mayo Clinic. As a result of these in-licenses, we could lose the right to develop each of the technologies if:</w:t>
      </w:r>
    </w:p>
    <w:p>
      <w:pPr>
        <w:spacing w:after="0" w:line="217" w:lineRule="exact"/>
        <w:rPr>
          <w:rFonts w:ascii="Arial" w:cs="Arial" w:eastAsia="Arial" w:hAnsi="Arial"/>
          <w:sz w:val="18"/>
          <w:szCs w:val="18"/>
          <w:color w:val="auto"/>
        </w:rPr>
      </w:pPr>
    </w:p>
    <w:p>
      <w:pPr>
        <w:ind w:left="380" w:right="20" w:hanging="142"/>
        <w:spacing w:after="0" w:line="277" w:lineRule="auto"/>
        <w:tabs>
          <w:tab w:leader="none" w:pos="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owners of the patent rights underlying the technologies that we license do not properly maintain or enforce the patents and intellectual property underlying those properties,</w:t>
      </w:r>
    </w:p>
    <w:p>
      <w:pPr>
        <w:spacing w:after="0" w:line="197" w:lineRule="exact"/>
        <w:rPr>
          <w:rFonts w:ascii="Arial" w:cs="Arial" w:eastAsia="Arial" w:hAnsi="Arial"/>
          <w:sz w:val="18"/>
          <w:szCs w:val="18"/>
          <w:color w:val="auto"/>
        </w:rPr>
      </w:pPr>
    </w:p>
    <w:p>
      <w:pPr>
        <w:ind w:left="360" w:hanging="136"/>
        <w:spacing w:after="0"/>
        <w:tabs>
          <w:tab w:leader="none" w:pos="3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Mayo Clinic seeks to terminate our license in contravention of the license agreements,</w:t>
      </w:r>
    </w:p>
    <w:p>
      <w:pPr>
        <w:spacing w:after="0" w:line="252" w:lineRule="exact"/>
        <w:rPr>
          <w:rFonts w:ascii="Arial" w:cs="Arial" w:eastAsia="Arial" w:hAnsi="Arial"/>
          <w:sz w:val="18"/>
          <w:szCs w:val="18"/>
          <w:color w:val="auto"/>
        </w:rPr>
      </w:pPr>
    </w:p>
    <w:p>
      <w:pPr>
        <w:ind w:left="380" w:hanging="142"/>
        <w:spacing w:after="0"/>
        <w:tabs>
          <w:tab w:leader="none" w:pos="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we fail to make all payments due and owing under any of the licenses or</w:t>
      </w:r>
    </w:p>
    <w:p>
      <w:pPr>
        <w:spacing w:after="0" w:line="252" w:lineRule="exact"/>
        <w:rPr>
          <w:rFonts w:ascii="Arial" w:cs="Arial" w:eastAsia="Arial" w:hAnsi="Arial"/>
          <w:sz w:val="18"/>
          <w:szCs w:val="18"/>
          <w:color w:val="auto"/>
        </w:rPr>
      </w:pPr>
    </w:p>
    <w:p>
      <w:pPr>
        <w:ind w:left="380" w:right="20" w:hanging="142"/>
        <w:spacing w:after="0" w:line="277" w:lineRule="auto"/>
        <w:tabs>
          <w:tab w:leader="none" w:pos="380" w:val="left"/>
        </w:tabs>
        <w:numPr>
          <w:ilvl w:val="2"/>
          <w:numId w:val="6"/>
        </w:numPr>
        <w:rPr>
          <w:rFonts w:ascii="Arial" w:cs="Arial" w:eastAsia="Arial" w:hAnsi="Arial"/>
          <w:sz w:val="18"/>
          <w:szCs w:val="18"/>
          <w:color w:val="auto"/>
        </w:rPr>
      </w:pPr>
      <w:r>
        <w:rPr>
          <w:rFonts w:ascii="Arial" w:cs="Arial" w:eastAsia="Arial" w:hAnsi="Arial"/>
          <w:sz w:val="18"/>
          <w:szCs w:val="18"/>
          <w:color w:val="auto"/>
        </w:rPr>
        <w:t>we fail to obtain on commercially reasonable terms, if at all, in-licenses from the Mayo Clinic or other for other rights that are necessary to develop the technology that we have already in-licensed.</w:t>
      </w:r>
    </w:p>
    <w:p>
      <w:pPr>
        <w:spacing w:after="0" w:line="170"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If any of the above occurs, we could lose the right to use the in-licensed intellectual property, which would adversely affect our ability to commercialize our technologies, products or services. The loss of any current or future licenses from Mayo Clinic or the exclusivity rights provided therein could materially harm our financial condition and operating results.</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an option to acquire an exclusive in-license technology from a third party, and if that party does not protect its license, we could lose the opportunity to develop that technology.</w:t>
      </w:r>
    </w:p>
    <w:p>
      <w:pPr>
        <w:spacing w:after="0" w:line="170"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In 2014, Ayer Special Situations Funds I, LP (“Ayer”) obtained an exclusive in-license from the Mayo Clinic to the Folate Alpha Receptor technology, and we obtained an option to acquire that exclusive in-license from Ayer. If Ayer does not maintain the in-license technology or, in contradiction of the terms of our agreement with Ayer, transfers it another party or relinquishes the in-license, our competitive position and business prospects could be harmed. Ayer also may seek to terminate our option to acquire the in-license, which could cause us to lose the right to use the right to develop intellectual property and adversely affect our ability to commercialize our technologies,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2" w:name="page13"/>
    <w:bookmarkEnd w:id="12"/>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rely upon patents to protect our technology. We may be unable to protect our intellectual property rights and we may be liable for infringing the intellectual property rights of others.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ability to compete effectively depends on our ability to maintain the proprietary nature of our technologies, including Polystart™, and the proprietary technology of others with whom we have entered into collaboration and licensing agreements.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own or hold licenses to a number of issued patents and U.S. pending patent applications, as well as foreign patents and foreign counterparts. Our success depends in part on our ability to obtain patent protection both in the United States and abroad for our product candidates, as well as the methods for treating patients in the product indications using these product candidates. Such patent protection is costly to obtain and maintain, and sufficient funds might not be available. Our ability to protect our product candidates from unauthorized or infringing use by third parties depends in substantial part on our ability to obtain and maintain valid and enforceable patents. Due to evolving legal standards relating to the patentability, validity and enforceability of patents covering pharmaceutical inventions and the scope of claims made under these patents, our ability to obtain, maintain and enforce patents is uncertain and involves complex legal and factual questions. Even if our product candidates, as well as methods for treating patients for prescribed indications using these product candidates are covered by valid and enforceable patents and have claims with sufficient scope, disclosure and support in the specification, the patents will provide protection only for a limited amount of time. Accordingly, rights under any issued patents may not provide us with sufficient protection for our product candidates or provide sufficient protection to afford us a commercial advantage against competitive products or processes.</w:t>
      </w:r>
    </w:p>
    <w:p>
      <w:pPr>
        <w:spacing w:after="0" w:line="16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we cannot guarantee that any patents will be issued from any pending or future patent applications owned by or licensed to us. Even if patents have been issued or will be issued, we cannot guarantee that the claims of these patents are or will be valid or enforceable or will provide us with any significant protection against competitive products or otherwise be commercially valuable to us. The laws of some foreign jurisdictions do not protect intellectual property rights to the same extent as in the United States and many companies have encountered significant difficulties in protecting and defending such rights in foreign jurisdictions. Furthermore, different countries have different procedures for obtaining patents, and patents issued in different countries offer different degrees of protection against use of the patented invention by others. If we encounter such difficulties in protecting or are otherwise precluded from effectively protecting our intellectual property rights in foreign jurisdictions, our business prospects could be substantially harmed.</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patent positions of biotechnology and pharmaceutical companies, including our patent position, involve complex legal and factual questions, and, therefore, validity and enforceability cannot be predicted with certainty. Patents may be challenged, deemed unenforceable, invalidated, or circumvented. Our patents can be challenged by our competitors who can argue that our patents are invalid, unenforceable, lack sufficient written description or enablement, or that the claims of the issued patents should be limited or narrowly construed. Patents also will not protect our product candidates if competitors devise ways of making or using these product candidates without infringing our patents.</w:t>
      </w:r>
    </w:p>
    <w:p>
      <w:pPr>
        <w:spacing w:after="0" w:line="18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will be able to protect our proprietary rights from unauthorized use by third parties only to the extent that our technologies, methods of treatment, product candidates, and any future products are covered by valid and enforceable patents or are effectively maintained as trade secrets and we have the funds to enforce our rights, if necessary.</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expiration of our owned or licensed patents before completing the research and development of our product candidates and receiving all required approvals in order to sell and distribute the products on a commercial scale can adversely affect our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and failure to obtain or maintain trade secret protection could adversely affect our competitive business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3" w:name="page14"/>
    <w:bookmarkEnd w:id="13"/>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obtain licenses needed for the development of our product candidates, or if we breach any of the agreements under which we license rights to patents or other intellectual property from third parties, we could lose license rights that are important to our business.</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If we are unable to maintain and/or obtain licenses needed for the development of our product candidates in the future, we may have to develop alternatives to avoid infringing on the patents of others, potentially causing increased costs and delays in drug development and introduction or precluding the development, manufacture, or sale of planned products. Some of our licenses provide for limited periods of exclusivity that require minimum license fees and payments and/or may be extended only with the consent of the licensor. We might not meet these minimum license fees in the future or these third parties might not grant extensions on any or all such licenses. This same restriction may be contained in licenses obtained in the future.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the patents underlying the licenses might not be valid and enforceable. To the extent any products developed by us are based on licensed technology, royalty payments on the licenses will reduce our gross profit from such product sales and may render the sales of such products uneconomical. In addition, the loss of any current or future licenses or the exclusivity rights provided therein could materially harm our business financial condition and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plan to present Phase II advancement plans in late 2014 for the Folate Alpha Receptor technology in the form of an application for orphan drug status. If we are not granted orphan drug designation, the Phase II trial will be significantly longer and costlier than we currently anticipate. Even if granted, we may not receive the benefits associated with orphan drug designation. This may result from a failure to maintain orphan drug status, or result from a competing product reaching the market that has an orphan designation for the same disease indication. Under U.S. regulations for orphan drugs, if such a competing product reaches the market before ours does, the competing product could potentially obtain a scope of market exclusivity that limits or precludes our product from being sold in the United States for seven years. Even if we obtain exclusivity, the FDA could subsequently approve a drug for the same condition if the FDA concludes that the later drug is clinically superior in that it is shown to be safer, more effective or makes a major contribution to patient care. A competitor also may receive approval of different products for the same indication for which our orphan product has exclusivity, or obtain approval for the same product but for a different indication for which the orphan product has exclusivity.</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if and when we request orphan drug designation in Europe, the European exclusivity period is ten years but can be reduced to six years if the drug no longer meets the criteria for orphan drug designation or if the drug is sufficiently profitable so that market exclusivity is no longer justified. Orphan drug exclusivity may be lost if the FDA or EMEA determines that the request for designation was materially defective or if the manufacturer is unable to assure sufficient quantity of the drug to meet the needs of patients with the rare disease or condition.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manufacturing, sales, marketing or distribution capability and we must rely upon third parties for such.</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intend to create facilities to manufacture our products and therefore will depend upon third parties to do so. We currently have no agreements with any commercial manufacturers.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establish or manage strategic collaborations in the future, our revenue and drug development may be limited.</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strategy includes eventual substantial reliance upon strategic collaborations for marketing and commercialization of our cancer vaccines, and we may rely even more on strategic collaborations for research, development, marketing and commercialization of our other Immunotherapies. If we are unsuccessful in securing such strategic collaborations we may be unable to commercialize our products as we have not yet licensed, marketed or sold any of our Immunotherapies or entered into successful collaborations for these services in order to ultimately commercialize our Immunotherapies. Establishing strategic collaborations is difficult and time-consuming. Our discussions with potential collaborators may not lead to the establishment of collaborations on favorable terms, if at all. Potential collaborators may reject collaborations based upon their assessment of our financial, clinical, regulatory or intellectual property position. If we successfully establish new collaborations, these relationships may never result in the successful development or commercialization of our Immunotherapies or the generation of sales revenue. To the extent that we enter into co-promotion or other collaborative arrangements, our product revenues are likely to be lower than if we directly marketed and sold any products that we may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color w:val="auto"/>
        </w:rPr>
        <w:t>Management of our relationships with our collaborators will require:</w:t>
      </w:r>
    </w:p>
    <w:p>
      <w:pPr>
        <w:spacing w:after="0" w:line="225" w:lineRule="exact"/>
        <w:rPr>
          <w:sz w:val="20"/>
          <w:szCs w:val="20"/>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time and effort from our management team;</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coordination of our research and development programs with the research and development priorities of our collaborators;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allocation of our resources to multiple projects.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continue to enter into research and development collaborations at the early phases of drug development, our success will in part depend on the performance of our corporate collaborators. We will not directly control the amount or timing of resources devoted by our corporate collaborators to activities related to our Immunotherapies. Our corporate collaborators may not commit sufficient resources to our research and development programs or the commercialization, marketing or distribution of our Immunotherapies. If any corporate collaborator fails to commit sufficient resources, our preclinical or clinical development programs related to this collaboration could be delayed or terminated. Also, our collaborators may pursue existing or other development-stage products or alternative technologies in preference to those being developed in collaboration with us. Finally, if we fail to make required milestone or royalty payments to our collaborators or to observe other obligations in our agreements with them, our collaborators may have the right to terminate those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attract and retain highly skilled personnel; we may be unable to effectively manage growth with our limited resources.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July 16, 2014, we had 2 full-time employees and a number of management and scientific consultants. Our ability to attract and retain highly skilled personnel is critical to our operations and expansion. We face competition for these types of personnel from other technology companies and more established organizations, many of which have significantly larger operations and greater financial, technical, human and other resources than we have. We may not be successful in attracting and retaining qualified personnel on a timely basis, on competitive terms, or at all. If we are not successful in attracting and retaining these personnel, or integrating them into our operations, our business, prospects, financial condition and results of operations will be materially adversely affected. In such circumstances we may be unable to conduct certain research and development programs, unable to adequately manage our clinical trials and other products, and unable to adequately address our management needs.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upon our senior management and key consultants and their loss or unavailability could put us at a competitive disadvantage.</w:t>
      </w:r>
    </w:p>
    <w:p>
      <w:pPr>
        <w:spacing w:after="0" w:line="2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depend upon the efforts and abilities of our senior executives, as well as the services of several key consultants, including Dr. Glynn Wilson and Dr. Robert Florkiewicz. The loss or unavailability of the services of either of these individuals for any significant period of time could have a material adverse effect on our business, prospects,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biotechnology and immunotherapy industries are characterized by rapid technological developments and a high degree of competition. We may be unable to compete with more substantial enterprises.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biotechnology and biopharmaceutical industries are characterized by rapid technological developments and a high degree of competition. As a result, our actual or proposed Immunotherapies could become obsolete before we recoup any portion of our related research and development and commercialization expenses. Competition in the biopharmaceutical industry is based significantly on scientific and technological factors. These factors include the availability of patent and other protection for technology and products, the ability to commercialize technological developments and the ability to obtain governmental approval for testing, manufacturing and marketing. We compete with specialized biopharmaceutical firms in the United States, Europe and elsewhere, as well as a growing number of large pharmaceutical companies that are applying biotechnology to their operations. Many biopharmaceutical companies have focused their development efforts in the human therapeutics area, including cancer. Many major pharmaceutical companies have developed or acquired internal biotechnology capabilities or made commercial arrangements with other biopharmaceutical companies. These companies, as well as academic institutions and governmental agencies and private research organizations, also compete with us in recruiting and retaining highly qualified scientific personnel and consultants. Our ability to compete successfully with other companies in the pharmaceutical field will also depend to a considerable degree on the continuing availability of capital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5" w:name="page16"/>
    <w:bookmarkEnd w:id="15"/>
    <w:p>
      <w:pPr>
        <w:jc w:val="both"/>
        <w:ind w:firstLine="324"/>
        <w:spacing w:after="0" w:line="293" w:lineRule="auto"/>
        <w:rPr>
          <w:sz w:val="20"/>
          <w:szCs w:val="20"/>
          <w:color w:val="auto"/>
        </w:rPr>
      </w:pPr>
      <w:r>
        <w:rPr>
          <w:rFonts w:ascii="Arial" w:cs="Arial" w:eastAsia="Arial" w:hAnsi="Arial"/>
          <w:sz w:val="16"/>
          <w:szCs w:val="16"/>
          <w:color w:val="auto"/>
        </w:rPr>
        <w:t>We are aware of certain investigational new drugs under development or approved products by competitors that are used for the prevention, diagnosis, or treatment of certain diseases we have targeted for drug development. Various companies are developing biopharmaceutical products that have the potential to directly compete with our Immunotherapies even though their approach may be different. The biotechnology and biopharmaceutical industries are highly competitive, and this competition comes from both biotechnology firms and from major pharmaceutical companies. Many of these companies have substantially greater financial, marketing, and human resources than we do. We also experience competition in the development of our Immunotherapies from universities, other research institutions and others in acquiring technology from such universities and institutions.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certain of our Immunotherapies may be subject to competition from investigational new drugs and/or products developed using other technologies, some of which have completed numerous clinical trials.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numerous risks inherent in conducting clinical trials.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outsource the management of our clinical trials to third parties. Agreements with clinical investigators and medical institutions for clinical testing and with other third parties for data management services, place substantial responsibilities on these parties that, if unmet, could result in delays in, or termination of, our clinical trials. If any of our clinical trial sites fail to comply with FDA-approved good clinical practices, we may be unable to use the data gathered at those sites. If these clinical investigators, medical institutions or other third parties do not carry out their contractual duties or obligations or fail to meet expected deadlines, or if the quality or accuracy of the clinical data they obtain is compromised due to their failure to adhere to our clinical protocols or for other reasons, our clinical trials may be extended, delayed or terminated, and we may be unable to obtain regulatory approval for, or successfully commercialize, agents. We cannot be certain that we will successfully recruit enough patients to complete our clinical trials nor that we will reach our primary endpoints. Delays in recruitment, lack of clinical benefit or unacceptable side effects would delay or prevent the initiation of the Phase II, clinical trials, planned for late 2014.</w:t>
      </w:r>
    </w:p>
    <w:p>
      <w:pPr>
        <w:spacing w:after="0" w:line="22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or our regulators may suspend or terminate our clinical trials for a variety of reasons. We may voluntarily suspend or terminate our clinical trials at any time if we believe they present an unacceptable risk to the patients enrolled in our clinical trials or do not demonstrate clinical benefit.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the patients enrolled in our clinical trials.</w:t>
      </w:r>
    </w:p>
    <w:p>
      <w:pPr>
        <w:spacing w:after="0" w:line="15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clinical trial operations are subject to regulatory inspections at any time. If regulatory inspectors conclude that we or our clinical trial sites are not in compliance with applicable regulatory requirements for conducting clinical trials, we may receive reports of observations or warning letters detailing deficiencies, and we will be required to implement corrective actions. If regulatory agencies deem our responses to be inadequate, or are dissatisfied with the corrective actions we or our clinical trial sites have implemented, our clinical trials may be temporarily or permanently discontinued, and we may be fined, we or our investigators may be precluded from conducting any ongoing or any future clinical trials, the government may refuse to approve our marketing applications or allow us to manufacture or market our products, and we may be criminally prosecuted.</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lengthy approval process as well as the unpredictability of future clinical trial results may result in our failing to obtain regulatory approval for our product candidates, which would materially harm our business,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The successful development of immunotherapies is highly uncertain.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Successful development of biopharmaceuticals is highly uncertain and depends on numerous factors, many of which are beyond our control.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Immunotherapies that appear promising in the early phases of development may fail to reach the market for several reasons including:</w:t>
      </w:r>
    </w:p>
    <w:p>
      <w:pPr>
        <w:spacing w:after="0" w:line="211" w:lineRule="exact"/>
        <w:rPr>
          <w:sz w:val="20"/>
          <w:szCs w:val="20"/>
          <w:color w:val="auto"/>
        </w:rPr>
      </w:pPr>
    </w:p>
    <w:p>
      <w:pPr>
        <w:ind w:left="340" w:right="80" w:hanging="8"/>
        <w:spacing w:after="0" w:line="277" w:lineRule="auto"/>
        <w:tabs>
          <w:tab w:leader="none" w:pos="592"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preclinical study results that may show the immunotherapy to be less effective than desired (e.g., the study failed to meet its primary objectives) or to have harmful or problematic side effects;</w:t>
      </w:r>
    </w:p>
    <w:p>
      <w:pPr>
        <w:spacing w:after="0" w:line="170" w:lineRule="exact"/>
        <w:rPr>
          <w:rFonts w:ascii="Arial" w:cs="Arial" w:eastAsia="Arial" w:hAnsi="Arial"/>
          <w:sz w:val="18"/>
          <w:szCs w:val="18"/>
          <w:color w:val="auto"/>
        </w:rPr>
      </w:pPr>
    </w:p>
    <w:p>
      <w:pPr>
        <w:ind w:left="340" w:right="300" w:hanging="8"/>
        <w:spacing w:after="0" w:line="277" w:lineRule="auto"/>
        <w:tabs>
          <w:tab w:leader="none" w:pos="592"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study results that may show the immunotherapy to be less effective than expected (e.g., the study failed to meet its primary endpoint) or to have unacceptable side effects;</w:t>
      </w:r>
    </w:p>
    <w:p>
      <w:pPr>
        <w:spacing w:after="0" w:line="170" w:lineRule="exact"/>
        <w:rPr>
          <w:rFonts w:ascii="Arial" w:cs="Arial" w:eastAsia="Arial" w:hAnsi="Arial"/>
          <w:sz w:val="18"/>
          <w:szCs w:val="18"/>
          <w:color w:val="auto"/>
        </w:rPr>
      </w:pPr>
    </w:p>
    <w:p>
      <w:pPr>
        <w:jc w:val="both"/>
        <w:ind w:left="340" w:right="80" w:hanging="8"/>
        <w:spacing w:after="0" w:line="312" w:lineRule="auto"/>
        <w:tabs>
          <w:tab w:leader="none" w:pos="592" w:val="left"/>
        </w:tabs>
        <w:numPr>
          <w:ilvl w:val="0"/>
          <w:numId w:val="8"/>
        </w:numPr>
        <w:rPr>
          <w:rFonts w:ascii="Arial" w:cs="Arial" w:eastAsia="Arial" w:hAnsi="Arial"/>
          <w:sz w:val="16"/>
          <w:szCs w:val="16"/>
          <w:color w:val="auto"/>
        </w:rPr>
      </w:pPr>
      <w:r>
        <w:rPr>
          <w:rFonts w:ascii="Arial" w:cs="Arial" w:eastAsia="Arial" w:hAnsi="Arial"/>
          <w:sz w:val="16"/>
          <w:szCs w:val="16"/>
          <w:color w:val="auto"/>
        </w:rPr>
        <w:t>failure to receive the necessary regulatory approvals or a delay in receiving such approvals. Among other things, such delays may be caused by slow enrollment in clinical studies, length of time to achieve study endpoints, additional time requirements for data analysis, or Biologics License Application preparation, discussions with the FDA, an FDA request for additional preclinical or clinical data, or unexpected safety or manufacturing issues;</w:t>
      </w:r>
    </w:p>
    <w:p>
      <w:pPr>
        <w:spacing w:after="0" w:line="146" w:lineRule="exact"/>
        <w:rPr>
          <w:rFonts w:ascii="Arial" w:cs="Arial" w:eastAsia="Arial" w:hAnsi="Arial"/>
          <w:sz w:val="16"/>
          <w:szCs w:val="16"/>
          <w:color w:val="auto"/>
        </w:rPr>
      </w:pPr>
    </w:p>
    <w:p>
      <w:pPr>
        <w:ind w:left="580" w:hanging="248"/>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manufacturing costs, formulation issues, pricing or reimbursement issues, or other factors that make the immunotherapy uneconomical; and</w:t>
      </w:r>
    </w:p>
    <w:p>
      <w:pPr>
        <w:spacing w:after="0" w:line="236" w:lineRule="exact"/>
        <w:rPr>
          <w:rFonts w:ascii="Arial" w:cs="Arial" w:eastAsia="Arial" w:hAnsi="Arial"/>
          <w:sz w:val="17"/>
          <w:szCs w:val="17"/>
          <w:color w:val="auto"/>
        </w:rPr>
      </w:pPr>
    </w:p>
    <w:p>
      <w:pPr>
        <w:ind w:left="580" w:hanging="248"/>
        <w:spacing w:after="0"/>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proprietary rights of others and their competing products and technologies that may prevent the immunotherapy from being commercialized.</w:t>
      </w: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Success in preclinical and early clinical studies does not ensure that large-scale clinical studies will be successful. Clinical results are frequently susceptible to varying interpretations that may delay, limit or prevent regulatory approvals. The length of time necessary to complete clinical studies and to submit an application for marketing approval for a final decision by a regulatory authority varies significantly from one immunotherapy to the next, and may be difficult to predict.</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Even if we are successful in getting market approval, commercial success of any of our product candidates will also depend in large part on the availability of coverage and adequate reimbursement from third-party payers, including government payers such as the Medicare and Medicaid programs and managed care organizations, which may be affected by existing and future health care reform measures designed to reduce the cost of health care. Third-party payers could require us to conduct additional studies, including post-marketing studies related to the cost effectiveness of a product, to qualify for reimbursement, which could be costly and divert our resources. If government and other health care payers were not to provide adequate coverage and reimbursement levels for one any of our products once approved, market acceptance and commercial success would be reduced.</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if one of our products is approved for marketing, we will be subject to significant regulatory obligations regarding the submission of safety and other post-marketing information and reports and registration, and will need to continue to comply (or ensure that our third party providers) comply with Good Manufacturing Practices (“GMPs”) and Good Clinical Practices (‘GCPs’), for any clinical trials that we conduct post-approval. In addition, there is always the risk that we or a regulatory authority might identify previously unknown problems with a product post-approval, such as adverse events of unanticipated severity or frequency. Compliance with these requirements is costly, and any failure to comply or other issues with our product candidates post-market approval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We must comply with significant government regulations.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research and development, manufacture and marketing of human therapeutic and diagnostic products are subject to regulation, primarily by the FDA in the United States and by comparable authorities in other countries. These national agencies and other federal, state, local and foreign entities regulate, among other things, research and development activities (including testing in animals and in humans) and the testing, manufacturing, handling, labeling, storage, record keeping, approval, advertising and promotion of the products that we are developing. If we obtain approval for any of our product candidates, our operations will be directly or indirectly through our customers, subject to various federal and state fraud and abuse laws, including, without limitation, the federal Anti-Kickback Statue and the federal False Claims Act, and privacy laws. Noncompliance with applicable laws and requirements can result in various adverse consequences, including delay in approving or refusal to approve product licenses or other applications, suspension or termination of clinical investigations, revocation of approvals previously granted, fines, criminal prosecution, civil and criminal penalties, recall or seizure of products, exclusion from having our products reimbursed by federal health care programs, the curtailment or restructuring of our operations, injunctions against shipping products and total or partial suspension of production and/or refusal to allow a company to enter into governmental supply contracts.</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process of obtaining requisite FDA approval has historically been costly and time-consuming. Current FDA requirements for a new human biological product to be marketed in the United States include: (1) the successful conclusion of preclinical laboratory and animal tests, if appropriate, to gain preliminary information on the product’s safety; (2) filing with the FDA of an IND to conduct human clinical trials for drugs or biologics; (3) the successful completion of adequate and well-controlled human clinical trials to establish the safety and efficacy of the investigational new drug for its recommended use; and (4) filing by a company and acceptance and approval by the FDA of a Biologic License Application, or BLA, for a biological investigational new drug, to allow commercial distribution of a biologic product. The FDA also requires that any drug or formulation to be tested in humans be manufactured in accordance with its Good Manufacturing Practices, or GMP, regulations. This has been extended to include any drug that will be tested for safety in animals in support of human testing. The GMPs set certain minimum requirements for procedures, record-keeping and the physical characteristics of the laboratories used in the production of these drugs. A delay in one or more of the procedural steps outlined above could be harmful to us in terms of getting our Immunotherapies through clinical testing and to market.</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Litigation regarding patents, patent applications and other proprietary rights may be expensive and time consuming. If we are involved in such litigation, it could cause delays in bringing product candidates to market and harm our ability to operate.</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success depends in part on our ability to operate without infringing the proprietary rights of third parties. The pharmaceutical industry is characterized by extensive litigation regarding patents and other intellectual property rights. Other parties may obtain patents in the future and allege that the products or use of our technologies infringe these patent claims or that we are employing their proprietary technology without authorization.</w:t>
      </w:r>
    </w:p>
    <w:p>
      <w:pPr>
        <w:spacing w:after="0" w:line="16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third parties may challenge or infringe upon our existing or future patents. Proceedings involving our patents or patent applications or those of others could result in adverse decisions regarding:</w:t>
      </w:r>
    </w:p>
    <w:p>
      <w:pPr>
        <w:spacing w:after="0" w:line="170" w:lineRule="exact"/>
        <w:rPr>
          <w:sz w:val="20"/>
          <w:szCs w:val="20"/>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patentability of our inventions relating to our product candidates; and/or</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enforceability, validity or scope of protection offered by our patents relating to our product candidates.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w:t>
      </w:r>
    </w:p>
    <w:p>
      <w:pPr>
        <w:spacing w:after="0" w:line="173" w:lineRule="exact"/>
        <w:rPr>
          <w:sz w:val="20"/>
          <w:szCs w:val="20"/>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substantial monetary damages;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encounter significant delays in bringing our product candidates to market; and/or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 precluded from participating in the manufacture, use or sale of our product candidates or methods of treatment requiring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may incur substantial liabilities from any product liability claims if our insurance coverage for those claims is inadequate.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our Immunotherapies in human clinical trials, and will face an even greater risk if the approved products are sold commercially. An individual may bring a liability claim against us if one of the Immunotherapies causes, or merely appears to have caused, an injury. If we cannot successfully defend ourselves against the product liability claims, we will incur substantial liabilities. Regardless of merit or eventual outcome, liability claims may result in:</w:t>
      </w:r>
    </w:p>
    <w:p>
      <w:pPr>
        <w:spacing w:after="0" w:line="187" w:lineRule="exact"/>
        <w:rPr>
          <w:sz w:val="20"/>
          <w:szCs w:val="20"/>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decreased demand for our Immunotherapies;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damage to our reputation;</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to commercialize Immunotherapies;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difficulty in raising required additional funds in the private and public capital markets.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have product liability insurance because we are not selling our products yet. We intend to maintain product liability insurance consistent with industry standards upon commencement of the marketing and distribution. There can be no assurance that product liability claims will not exceed such insurance coverage limits, which could have a materially adverse effect on our business, financial condition or results of operations, we may not be able to maintain insurance coverage at a reasonable cost and we may not be able to obtain insurance coverage that will be adequate to satisfy any liability that may arise.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may be higher or lower than the price you have paid, depending on many factors, some of which are beyond our control and may not be related to our operating performance. These fluctuations could cause you to lose part or all of your investment in our common stock. Those factors that could cause fluctuations include, but not limited to, the following:</w:t>
      </w:r>
    </w:p>
    <w:p>
      <w:pPr>
        <w:spacing w:after="0" w:line="214" w:lineRule="exact"/>
        <w:rPr>
          <w:sz w:val="20"/>
          <w:szCs w:val="20"/>
          <w:color w:val="auto"/>
        </w:rPr>
      </w:pPr>
    </w:p>
    <w:p>
      <w:pPr>
        <w:ind w:left="340" w:hanging="14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actual or anticipated changes in our net loss or fluctuations in our operating results or in the expectations of securities analysts;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positive and negative events relating to healthcare and the overall pharmaceutical and biotech sector;</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large blocks of our stock;</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dilution caused by the anti-dilutive clauses in our financial agreements;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regulatory status of our Immunotherapies, including results of our clinical trials;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events affecting Mayo Clinic, Mayo Foundation for Medical Education and Research or any future collaborators;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by us or our competitors;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other countries;</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 of our common stock to be listed or quoted on the OTCBB, the NASDAQ Capital Market, NYSE Amex Equities or other national market system;</w:t>
      </w:r>
    </w:p>
    <w:p>
      <w:pPr>
        <w:spacing w:after="0" w:line="275" w:lineRule="exact"/>
        <w:rPr>
          <w:rFonts w:ascii="Arial" w:cs="Arial" w:eastAsia="Arial" w:hAnsi="Arial"/>
          <w:sz w:val="16"/>
          <w:szCs w:val="16"/>
          <w:color w:val="auto"/>
        </w:rPr>
      </w:pPr>
    </w:p>
    <w:p>
      <w:pPr>
        <w:ind w:left="340" w:hanging="14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52" w:lineRule="exact"/>
        <w:rPr>
          <w:rFonts w:ascii="Arial" w:cs="Arial" w:eastAsia="Arial" w:hAnsi="Arial"/>
          <w:sz w:val="18"/>
          <w:szCs w:val="18"/>
          <w:color w:val="auto"/>
        </w:rPr>
      </w:pPr>
    </w:p>
    <w:p>
      <w:pPr>
        <w:ind w:left="340" w:hanging="143"/>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and scientific press and in online investor communities.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DTC “Chill” on the electronic clearing of trades in our securities in the future may affect the liquidity of our stock and our ability to raise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20" w:name="page21"/>
    <w:bookmarkEnd w:id="20"/>
    <w:p>
      <w:pPr>
        <w:jc w:val="both"/>
        <w:ind w:firstLine="324"/>
        <w:spacing w:after="0" w:line="255" w:lineRule="auto"/>
        <w:rPr>
          <w:sz w:val="20"/>
          <w:szCs w:val="20"/>
          <w:color w:val="auto"/>
        </w:rPr>
      </w:pPr>
      <w:r>
        <w:rPr>
          <w:rFonts w:ascii="Arial" w:cs="Arial" w:eastAsia="Arial" w:hAnsi="Arial"/>
          <w:sz w:val="18"/>
          <w:szCs w:val="18"/>
          <w:color w:val="auto"/>
        </w:rPr>
        <w:t>There is a risk that the Depository Trust Company (DTC) may place a “chill” on the electronic clearing of trades in our securities. This may lead some brokerage firms to be unwilling to accept certificates and/or electronic deposits of our stock and other securities and also some may not accept trades in our securities altogether. There is no assurance that a chill will not occur in the future. A future DTC chill would affect the liquidity of our securities and make it difficult to purchase or sell our securities in the open market. It may also have an adverse effect on our ability to raise capital because investors may be unable to easily resell our securities into the market. Our inability to raise capital on terms acceptable to us, if at all, could have a material and adverse effect on our business and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have difficulty selling our shares because they may be deemed “penny stocks.”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our common stock price does not increase above $5.00 per share or we are unsuccessful in listing on a “recognized” national exchange, our common stock may continue to be deemed a “penny stock” as that term is defined in Rule 3a51-1, promulgated under the Exchange Act. Penny stocks are, generally, stocks:</w:t>
      </w:r>
    </w:p>
    <w:p>
      <w:pPr>
        <w:spacing w:after="0" w:line="181" w:lineRule="exact"/>
        <w:rPr>
          <w:sz w:val="20"/>
          <w:szCs w:val="20"/>
          <w:color w:val="auto"/>
        </w:rPr>
      </w:pPr>
    </w:p>
    <w:p>
      <w:pPr>
        <w:ind w:left="580" w:hanging="248"/>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a price of less than $5.00 per share;</w:t>
      </w:r>
    </w:p>
    <w:p>
      <w:pPr>
        <w:spacing w:after="0" w:line="252" w:lineRule="exact"/>
        <w:rPr>
          <w:rFonts w:ascii="Arial" w:cs="Arial" w:eastAsia="Arial" w:hAnsi="Arial"/>
          <w:sz w:val="18"/>
          <w:szCs w:val="18"/>
          <w:color w:val="auto"/>
        </w:rPr>
      </w:pPr>
    </w:p>
    <w:p>
      <w:pPr>
        <w:ind w:left="340" w:right="120" w:hanging="8"/>
        <w:spacing w:after="0" w:line="277" w:lineRule="auto"/>
        <w:tabs>
          <w:tab w:leader="none" w:pos="5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are neither traded on a “recognized” national exchange nor listed on an automated quotation system sponsored by a registered national securities association meeting certain minimum initial listing standards; and</w:t>
      </w:r>
    </w:p>
    <w:p>
      <w:pPr>
        <w:spacing w:after="0" w:line="197" w:lineRule="exact"/>
        <w:rPr>
          <w:rFonts w:ascii="Arial" w:cs="Arial" w:eastAsia="Arial" w:hAnsi="Arial"/>
          <w:sz w:val="18"/>
          <w:szCs w:val="18"/>
          <w:color w:val="auto"/>
        </w:rPr>
      </w:pPr>
    </w:p>
    <w:p>
      <w:pPr>
        <w:ind w:left="340" w:right="260" w:hanging="8"/>
        <w:spacing w:after="0" w:line="308" w:lineRule="auto"/>
        <w:tabs>
          <w:tab w:leader="none" w:pos="592" w:val="left"/>
        </w:tabs>
        <w:numPr>
          <w:ilvl w:val="0"/>
          <w:numId w:val="13"/>
        </w:numPr>
        <w:rPr>
          <w:rFonts w:ascii="Arial" w:cs="Arial" w:eastAsia="Arial" w:hAnsi="Arial"/>
          <w:sz w:val="17"/>
          <w:szCs w:val="17"/>
          <w:color w:val="auto"/>
        </w:rPr>
      </w:pPr>
      <w:r>
        <w:rPr>
          <w:rFonts w:ascii="Arial" w:cs="Arial" w:eastAsia="Arial" w:hAnsi="Arial"/>
          <w:sz w:val="17"/>
          <w:szCs w:val="17"/>
          <w:color w:val="auto"/>
        </w:rPr>
        <w:t>of issuers with net tangible assets less than $2.0 million (if the issuer has been in continuous operation for at least three years) or $5.0 million (if in continuous operation for less than three years), or with average revenue of less than $6.0 million for the last three years.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Section 15(g) of the Exchange Act and Rule 15g-2 promulgated thereunder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We urge potential investors to obtain and read this disclosure carefully before purchasing any shares that are deemed to be “penny stock.”</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Rule 15g-9 promulgated under the Exchange Act requires broker-dealers in penny stocks to approve the account of any investor for transactions in such stocks before selling any “penny stock” to that investor. This procedure requires the broker-dealer to:</w:t>
      </w:r>
    </w:p>
    <w:p>
      <w:pPr>
        <w:spacing w:after="0" w:line="170" w:lineRule="exact"/>
        <w:rPr>
          <w:sz w:val="20"/>
          <w:szCs w:val="20"/>
          <w:color w:val="auto"/>
        </w:rPr>
      </w:pPr>
    </w:p>
    <w:p>
      <w:pPr>
        <w:ind w:left="580" w:hanging="248"/>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from the investor information about his or her financial situation, investment experience and investment objectives;</w:t>
      </w:r>
    </w:p>
    <w:p>
      <w:pPr>
        <w:spacing w:after="0" w:line="252" w:lineRule="exact"/>
        <w:rPr>
          <w:rFonts w:ascii="Arial" w:cs="Arial" w:eastAsia="Arial" w:hAnsi="Arial"/>
          <w:sz w:val="18"/>
          <w:szCs w:val="18"/>
          <w:color w:val="auto"/>
        </w:rPr>
      </w:pPr>
    </w:p>
    <w:p>
      <w:pPr>
        <w:ind w:left="340" w:right="540" w:hanging="8"/>
        <w:spacing w:after="0" w:line="277" w:lineRule="auto"/>
        <w:tabs>
          <w:tab w:leader="none" w:pos="5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reasonably determine, based on that information, that transactions in penny stocks are suitable for the investor and that the investor has enough knowledge and experience to be able to evaluate the risks of “penny stock” transactions;</w:t>
      </w:r>
    </w:p>
    <w:p>
      <w:pPr>
        <w:spacing w:after="0" w:line="197" w:lineRule="exact"/>
        <w:rPr>
          <w:rFonts w:ascii="Arial" w:cs="Arial" w:eastAsia="Arial" w:hAnsi="Arial"/>
          <w:sz w:val="18"/>
          <w:szCs w:val="18"/>
          <w:color w:val="auto"/>
        </w:rPr>
      </w:pPr>
    </w:p>
    <w:p>
      <w:pPr>
        <w:ind w:left="580" w:hanging="248"/>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the investor with a written statement setting forth the basis on which the broker-dealer made his or her determination; and</w:t>
      </w:r>
    </w:p>
    <w:p>
      <w:pPr>
        <w:spacing w:after="0" w:line="252" w:lineRule="exact"/>
        <w:rPr>
          <w:rFonts w:ascii="Arial" w:cs="Arial" w:eastAsia="Arial" w:hAnsi="Arial"/>
          <w:sz w:val="18"/>
          <w:szCs w:val="18"/>
          <w:color w:val="auto"/>
        </w:rPr>
      </w:pPr>
    </w:p>
    <w:p>
      <w:pPr>
        <w:ind w:left="340" w:right="120" w:hanging="8"/>
        <w:spacing w:after="0" w:line="277" w:lineRule="auto"/>
        <w:tabs>
          <w:tab w:leader="none" w:pos="5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 a signed and dated copy of the statement from the investor, confirming that it accurately reflects the investor’s financial situation, investment experience and investment objectives.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Compliance with these requirements may make it harder for investors in our common stock to resell their shares to third parties. Accordingly, our common stock should only be purchased by investors, who understand that such investment is a long-term and illiquid investment, and are capable of and prepared to bear the risk of holding our common stock for an indefinite period of time.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Although one reason we asked our shareholders to approve a reverse stock split was to increase the price per share of our common stock such that it would not be subject to the “penny stock” rules. Our stock closed at $1.60 per share on July 14, 2014 and the per share price of our common stock might not obtain or maintain the necessary levels to prevent our stock being subject to these rules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A limited public trading market may cause volatility in the price of our common stock.</w:t>
      </w:r>
    </w:p>
    <w:p>
      <w:pPr>
        <w:spacing w:after="0" w:line="252" w:lineRule="exact"/>
        <w:rPr>
          <w:sz w:val="20"/>
          <w:szCs w:val="20"/>
          <w:color w:val="auto"/>
        </w:rPr>
      </w:pPr>
    </w:p>
    <w:p>
      <w:pPr>
        <w:jc w:val="both"/>
        <w:ind w:firstLine="685"/>
        <w:spacing w:after="0" w:line="273" w:lineRule="auto"/>
        <w:rPr>
          <w:sz w:val="20"/>
          <w:szCs w:val="20"/>
          <w:color w:val="auto"/>
        </w:rPr>
      </w:pPr>
      <w:r>
        <w:rPr>
          <w:rFonts w:ascii="Arial" w:cs="Arial" w:eastAsia="Arial" w:hAnsi="Arial"/>
          <w:sz w:val="17"/>
          <w:szCs w:val="17"/>
          <w:color w:val="auto"/>
        </w:rPr>
        <w:t>The quotation of our common stock on the OTCBB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this volatility. Sales of substantial amounts of common stock, or the perception that such sales might occur, could adversely affect prevailing market prices of our common stock and our stock price may decline substantially in a short time and our shareholders could suffer losses or be unable to liquidate their holdings.. Our stock is thinly traded due to the limited number of shares available for trading on the market thus causing large swings in price. In addition, there is no established trading market for our warrants.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market for the warrants to purchase common stock being offering in this offering.</w:t>
      </w:r>
    </w:p>
    <w:p>
      <w:pPr>
        <w:spacing w:after="0" w:line="225" w:lineRule="exact"/>
        <w:rPr>
          <w:sz w:val="20"/>
          <w:szCs w:val="20"/>
          <w:color w:val="auto"/>
        </w:rPr>
      </w:pPr>
    </w:p>
    <w:p>
      <w:pPr>
        <w:ind w:right="180" w:firstLine="663"/>
        <w:spacing w:after="0" w:line="264" w:lineRule="auto"/>
        <w:rPr>
          <w:sz w:val="20"/>
          <w:szCs w:val="20"/>
          <w:color w:val="auto"/>
        </w:rPr>
      </w:pPr>
      <w:r>
        <w:rPr>
          <w:rFonts w:ascii="Arial" w:cs="Arial" w:eastAsia="Arial" w:hAnsi="Arial"/>
          <w:sz w:val="18"/>
          <w:szCs w:val="18"/>
          <w:color w:val="auto"/>
        </w:rPr>
        <w:t>There is no established public trading market for the warrants being offered in this offering, and we do not expect a market to develop. In addition, we do not intend to apply for a listing of any of the warrants on any securities exchange. Without an active market, the liquidity of the warrants will be limited.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our warrants will have no rights as a common stockholder until such holders exercise their warrants and acquire our common stock.</w:t>
      </w:r>
    </w:p>
    <w:p>
      <w:pPr>
        <w:spacing w:after="0" w:line="248" w:lineRule="exact"/>
        <w:rPr>
          <w:sz w:val="20"/>
          <w:szCs w:val="20"/>
          <w:color w:val="auto"/>
        </w:rPr>
      </w:pPr>
    </w:p>
    <w:p>
      <w:pPr>
        <w:ind w:right="80" w:firstLine="666"/>
        <w:spacing w:after="0" w:line="264" w:lineRule="auto"/>
        <w:rPr>
          <w:sz w:val="20"/>
          <w:szCs w:val="20"/>
          <w:color w:val="auto"/>
        </w:rPr>
      </w:pPr>
      <w:r>
        <w:rPr>
          <w:rFonts w:ascii="Arial" w:cs="Arial" w:eastAsia="Arial" w:hAnsi="Arial"/>
          <w:sz w:val="18"/>
          <w:szCs w:val="18"/>
          <w:color w:val="auto"/>
        </w:rPr>
        <w:t>Until you acquire shares of our common stock upon exercise of your warrants, you will have no rights with respect to the shares of our common stock underlying such warrants. Upon exercise of your warrants, you will be entitled to exercise the rights of a common stockholder only as matters of which the record date occurs after the exercise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prices for our common stock may be adversely impacted by future events.</w:t>
      </w:r>
    </w:p>
    <w:p>
      <w:pPr>
        <w:spacing w:after="0" w:line="252" w:lineRule="exact"/>
        <w:rPr>
          <w:sz w:val="20"/>
          <w:szCs w:val="20"/>
          <w:color w:val="auto"/>
        </w:rPr>
      </w:pPr>
    </w:p>
    <w:p>
      <w:pPr>
        <w:jc w:val="both"/>
        <w:ind w:firstLine="704"/>
        <w:spacing w:after="0" w:line="264" w:lineRule="auto"/>
        <w:rPr>
          <w:sz w:val="20"/>
          <w:szCs w:val="20"/>
          <w:color w:val="auto"/>
        </w:rPr>
      </w:pPr>
      <w:r>
        <w:rPr>
          <w:rFonts w:ascii="Arial" w:cs="Arial" w:eastAsia="Arial" w:hAnsi="Arial"/>
          <w:sz w:val="18"/>
          <w:szCs w:val="18"/>
          <w:color w:val="auto"/>
        </w:rPr>
        <w:t>Our common stock began trades on the over-the-counter-markets and is currently quoted on the OTCBB under the symbol “TPIV.OB” and on the Frankfurt and Berlin Stock Exchanges under the symbol “GX1A.” The listing on the Berlin Stock Exchange was done without the Company’s knowledge and consent. Market prices for our common stock and warrants will be influenced by a number of factors, including:</w:t>
      </w:r>
    </w:p>
    <w:p>
      <w:pPr>
        <w:spacing w:after="0" w:line="181" w:lineRule="exact"/>
        <w:rPr>
          <w:sz w:val="20"/>
          <w:szCs w:val="20"/>
          <w:color w:val="auto"/>
        </w:rPr>
      </w:pPr>
    </w:p>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issuance of new equity securities pursuant to a future offering, including issuances of preferred stock;</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dilution caused by the anti-dilutive clauses in our financial agreements;</w:t>
      </w:r>
    </w:p>
    <w:p>
      <w:pPr>
        <w:spacing w:after="0" w:line="252" w:lineRule="exact"/>
        <w:rPr>
          <w:rFonts w:ascii="Arial" w:cs="Arial" w:eastAsia="Arial" w:hAnsi="Arial"/>
          <w:sz w:val="18"/>
          <w:szCs w:val="18"/>
          <w:color w:val="auto"/>
        </w:rPr>
      </w:pPr>
    </w:p>
    <w:p>
      <w:pPr>
        <w:ind w:left="180" w:right="360" w:firstLine="314"/>
        <w:spacing w:after="0" w:line="258" w:lineRule="auto"/>
        <w:tabs>
          <w:tab w:leader="none" w:pos="7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w:t>
      </w:r>
    </w:p>
    <w:p>
      <w:pPr>
        <w:spacing w:after="0" w:line="1"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commitments;</w:t>
      </w:r>
    </w:p>
    <w:p>
      <w:pPr>
        <w:spacing w:after="0" w:line="210" w:lineRule="exact"/>
        <w:rPr>
          <w:rFonts w:ascii="Arial" w:cs="Arial" w:eastAsia="Arial" w:hAnsi="Arial"/>
          <w:sz w:val="18"/>
          <w:szCs w:val="18"/>
          <w:color w:val="auto"/>
        </w:rPr>
      </w:pPr>
    </w:p>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 and warrants;</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investor perceptions of our company and the pharmaceutical and biotech industries generally; and</w:t>
      </w:r>
    </w:p>
    <w:p>
      <w:pPr>
        <w:spacing w:after="0" w:line="252" w:lineRule="exact"/>
        <w:rPr>
          <w:rFonts w:ascii="Arial" w:cs="Arial" w:eastAsia="Arial" w:hAnsi="Arial"/>
          <w:sz w:val="18"/>
          <w:szCs w:val="18"/>
          <w:color w:val="auto"/>
        </w:rPr>
      </w:pPr>
    </w:p>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remain current with our listing requirements, we could be removed from the OTCBB which would limit the ability of broker-dealers to sell our securities and the ability of shareholders to sell their securities in the secondary market.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Companies trading on the OTCBB must be reporting issuers under Section 12 of the Securities Exchange Act, as amended. If we fail to file such reports in a timely manner, the shares of our common stock would eventually cease to be quoted on the OTCBB, and the market liquidity for our securities could be severely adversely affected by limiting the ability of broker-dealers to sell our securities and the ability of shareholders to sell their securities in the secondary market.</w:t>
      </w:r>
    </w:p>
    <w:p>
      <w:pPr>
        <w:spacing w:after="0" w:line="187" w:lineRule="exact"/>
        <w:rPr>
          <w:sz w:val="20"/>
          <w:szCs w:val="20"/>
          <w:color w:val="auto"/>
        </w:rPr>
      </w:pPr>
    </w:p>
    <w:p>
      <w:pPr>
        <w:ind w:right="140" w:firstLine="45"/>
        <w:spacing w:after="0" w:line="312" w:lineRule="auto"/>
        <w:rPr>
          <w:sz w:val="20"/>
          <w:szCs w:val="20"/>
          <w:color w:val="auto"/>
        </w:rPr>
      </w:pPr>
      <w:r>
        <w:rPr>
          <w:rFonts w:ascii="Arial" w:cs="Arial" w:eastAsia="Arial" w:hAnsi="Arial"/>
          <w:sz w:val="16"/>
          <w:szCs w:val="16"/>
          <w:b w:val="1"/>
          <w:bCs w:val="1"/>
          <w:i w:val="1"/>
          <w:iCs w:val="1"/>
          <w:color w:val="auto"/>
        </w:rPr>
        <w:t>Our internal control over financial reporting and our disclosure controls and procedures have been ineffective in the past, and may be ineffective again in the future, and failure to improve them at such time could lead to errors in our financial statements that could require a restatement or untimely filings, which could cause investors to lose confidence in our reported financial information, and a decline in our stock price.</w:t>
      </w:r>
    </w:p>
    <w:p>
      <w:pPr>
        <w:spacing w:after="0" w:line="147"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w:t>
      </w:r>
    </w:p>
    <w:p>
      <w:pPr>
        <w:spacing w:after="0" w:line="208" w:lineRule="exact"/>
        <w:rPr>
          <w:sz w:val="20"/>
          <w:szCs w:val="20"/>
          <w:color w:val="auto"/>
        </w:rPr>
      </w:pPr>
    </w:p>
    <w:p>
      <w:pPr>
        <w:ind w:right="20" w:firstLine="267"/>
        <w:spacing w:after="0" w:line="270" w:lineRule="auto"/>
        <w:rPr>
          <w:sz w:val="20"/>
          <w:szCs w:val="20"/>
          <w:color w:val="auto"/>
        </w:rPr>
      </w:pPr>
      <w:r>
        <w:rPr>
          <w:rFonts w:ascii="Arial" w:cs="Arial" w:eastAsia="Arial" w:hAnsi="Arial"/>
          <w:sz w:val="17"/>
          <w:szCs w:val="17"/>
          <w:color w:val="auto"/>
        </w:rPr>
        <w:t>The Company has evaluated the application ASC 480-10 Distinguishing liabilities from equity, ASC 815-40 Contracts in an Entity’s Own Equity and ASC 718-10 Compensation – Stock Compensation to the issued and outstanding warrants to purchase common stock that were issued with the convertible notes, private placements, consulting agreements, and various debt settlements during 2009 through 2012. Based on the guidance, management concluded these instruments are required to be accounted for as derivatives either due to a ratchet down protection feature available on the exercise price or a holder’s right to put the warrants back to the Company for cash under certain conditions or a conversion option feature with conversion into variable number of shares. Under ASC 815-40-25, the Company records the fair value of these warrants and conversion options (derivatives) on its balance sheet, at fair value, with changes in the values reflected in the statements of operations as “Changes in fair value of derivative liabilities”. The fair value of the share purchase warrants are recorded on the balance sheet under ‘Derivative liability – warrants’ and the fair value of the conversion options are recorded on the balance sheet under ‘Derivative liability – conversion option’.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additional equity securities may adversely affect the market price of our common stock and your rights may be reduced.</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expect to continue to incur drug development and sale, general and administrative costs, and to satisfy our funding requirements, we will need to sell additional equity securities, which may be subject to registration rights and warrants with anti-dilutive protective provisions. The sale or the proposed sale of substantial amounts of our common stock or other equity securities in the public markets may adversely affect the market price of our common stock and our stock price may decline substantially. Our shareholders may experience substantial dilution and a reduction in the price that they are able to obtain upon sale of their shares. Also, new equity securities issued may have greater rights, preferences or privileges than our existing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authorized shares of common stock available for issuance may adversely affect the market price of our securities.</w:t>
      </w:r>
    </w:p>
    <w:p>
      <w:pPr>
        <w:spacing w:after="0" w:line="252" w:lineRule="exact"/>
        <w:rPr>
          <w:sz w:val="20"/>
          <w:szCs w:val="20"/>
          <w:color w:val="auto"/>
        </w:rPr>
      </w:pPr>
    </w:p>
    <w:p>
      <w:pPr>
        <w:jc w:val="both"/>
        <w:ind w:firstLine="398"/>
        <w:spacing w:after="0" w:line="276" w:lineRule="auto"/>
        <w:rPr>
          <w:sz w:val="20"/>
          <w:szCs w:val="20"/>
          <w:color w:val="auto"/>
        </w:rPr>
      </w:pPr>
      <w:r>
        <w:rPr>
          <w:rFonts w:ascii="Arial" w:cs="Arial" w:eastAsia="Arial" w:hAnsi="Arial"/>
          <w:sz w:val="17"/>
          <w:szCs w:val="17"/>
          <w:color w:val="auto"/>
        </w:rPr>
        <w:t>We are currently authorized to issue 500,000,000 shares of our common stock. As of July 14, 2014, we had 16,806,569 shares of our common stock issued and outstanding, excluding shares issuable upon exercise of our outstanding warrants, options and shares of common stock earned but not yet issued under Omnibus Stock Option Plan. Those outstanding shares represent 3.2% of are authorized shares, meaning that the ownership position of the current shareholders could be diluted significantly were we to issue a large number of additional shares. Fear of such ownership dilution could reduce the desirability of our shares and reduce the price at which you are able to resell your shares.</w:t>
      </w:r>
    </w:p>
    <w:p>
      <w:pPr>
        <w:spacing w:after="0" w:line="1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The accounting treatment for certain of our warrants is complex and subject to judgments concerning the valuation of embedded derivative rights within the applicable securities. Fluctuations in the valuation of these rights could cause us to take charges to our earnings and make our financial results unpredictable.</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Certain of our outstanding warrants contain, or may be deemed to contain from time to time, embedded derivative rights in accordance with U.S. Generally Accepted Accounting Principles, or GAAP. These derivative rights, or similar rights in securities we may issue in the future, need to be, or may need to be, separately valued as of the end of each accounting period in accordance with GAAP. We record these embedded derivatives as liabilities at issuance, valued using the American Binomial Option Pricing Model and are subject to revaluation at each reporting date. Any change in fair value between reporting periods is reported on our statement of operations. At March 31, 2014, the fair value of the derivative liability – warrants was $603,893. Changes in the valuations of these rights, the valuation methodology or the assumptions on which the valuations are based could cause us to take charges to our earnings, which would adversely impact our results of operations. Moreover, the methodologies, assumptions and related interpretations of accounting or regulatory authorities associated with these embedded derivatives are complex and in some cases uncertain, which could cause our accounting for these derivatives, and as a result, our financial results, to fluctuate. There is a risk that questions could arise from investors or regulatory authorities concerning the appropriate accounting treatment of these instruments, which could require us to restate previous financial statements, which in turn could adversely affect our reputation, as well as our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have not declared or paid any cash dividends on our common stock, and we do not anticipate declaring or paying cash dividends for the foreseeable future. Any future determination as to the payment of cash dividends on our common stock will be at our board of directors’ discretion and depends on our financial condition, operating results, capital requirements and other factors that our board of directors considers to be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491"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t>Nevada law has anti-takeover provisions that could discourage, delay or prevent a change in control, which may cause our stock price to decline.</w:t>
      </w:r>
    </w:p>
    <w:p>
      <w:pPr>
        <w:spacing w:after="0" w:line="24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Nevada law contains provisions which could make it more difficult for a third party to acquire us, even if closing such a transaction would be beneficial to our shareholders. We are authorized to issue up to 5,000,000 shares of preferred stock. This preferred stock may be issued in one or more series, the terms of which may be determined at the time of issuance by our Board of Directors without further action by shareholders. The terms of any series of preferred stock may include voting rights (including the right to vote as a series on particular matters), preferences as to dividend, liquidation, conversion and redemption rights and sinking fund provisions. The issuance of any preferred stock could materially adversely affect the rights of the holders of our common stock, and therefore, reduce the value of our common stock. In particular, specific rights granted to future holders of preferred stock could be used to restrict our ability to merge with, or sell our assets to, a third party and thereby preserve control by the present management.</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Provisions of Nevada law also could have the effect of discouraging potential acquisition proposals or making a tender offer or delaying or preventing a change in control, including changes a shareholder might consider favorable. Such provisions may also prevent or frustrate attempts by our shareholders to replace or remove our management. In particular, Nevada law, among other things, provides the Board of Directors with the ability to alter the Bylaws without shareholder approval, and provide that vacancies on the Board of Directors may be filled by a majority of directors in office, although less than a quorum.</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also subject to Section78.378 and78.379 of Nevada Revised Statutes Section, which, subject to certain exceptions, imposes regulations over the acquisition of a controlling interest in certain Nevada corporations unless the articles of incorporation or bylaws of the corporation provide that the provisions of these sections do not apply to the corporation or to an acquisition of a controlling interest specifically by types of existing or future stockholders, whether or not identified. In addition, the articles of incorporation, the bylaws or a resolution adopted by the directors of the issuing corporation may impose stricter requirements on the acquisition of a controlling interest in the corporation than the provisions of NRS 78.378 to 78.379.</w:t>
      </w:r>
    </w:p>
    <w:p>
      <w:pPr>
        <w:spacing w:after="0" w:line="2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These provisions are expected to discourage certain types of coercive takeover practices and inadequate takeover bids and to encourage persons seeking to acquire control of our company to first negotiate with its board. These provisions may delay or prevent someone from acquiring or merging with us, which may cause the market price of our common stock to decline.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corporate offices are currently located at 1551 Eastlake Avenue East, Suite 100, Seattle, Washington, 98102.We are on a month to month basis with our landlord for our current facility which is an approximately 2,682 square feet in Seattle, Washington.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8, 2012, we entered into a consulting agreement with Michael Gardner whereby he was issued 56,000 shares of our common stock in exchange for consulting duties, including the raising of capital. We determined that Mr. Gardener had no intent to fulfill his obligations under that agreement and terminated that agreement. The court denied our motion for a TRO and we were unable to raise necessary funds to continue our defense against Mr. Gardner, As a result, we defaulted on a $100,000 bond. In addition, we attempted to restrict Mr. Gardner’s ability to transfer his shares he received pursuant to that agreement. Mr. Gardner sued us in New York Supreme Court attempting to compel us to remove the legend from his shares and we countered a Temporary Restraining Order.</w:t>
      </w:r>
    </w:p>
    <w:p>
      <w:pPr>
        <w:spacing w:after="0" w:line="22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also brought an action against Mr. Gardner in the American Arbitration Association. That action remains pending. We have claimed losses totaling approximately $800,000. Mr. Gardner has claimed damages totaling $633,000, 82,000 shares of our common stock and legal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4" w:name="page25"/>
    <w:bookmarkEnd w:id="24"/>
    <w:p>
      <w:pPr>
        <w:jc w:val="both"/>
        <w:ind w:firstLine="324"/>
        <w:spacing w:after="0" w:line="264" w:lineRule="auto"/>
        <w:rPr>
          <w:sz w:val="20"/>
          <w:szCs w:val="20"/>
          <w:color w:val="auto"/>
        </w:rPr>
      </w:pPr>
      <w:r>
        <w:rPr>
          <w:rFonts w:ascii="Arial" w:cs="Arial" w:eastAsia="Arial" w:hAnsi="Arial"/>
          <w:sz w:val="18"/>
          <w:szCs w:val="18"/>
          <w:color w:val="auto"/>
        </w:rPr>
        <w:t>The law firm that we used to pursue the Gardner Action was awarded a judgment against us for $210,255 of unpaid legal fees (“G&amp;S Judgment”). Shareholders of the Company acquired the G&amp;S Judgment in full, converted that Judgment into shares of Company common stock and subsequently released the Company from any liability related thereto.</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One of our suppliers, Fischer Scientific was awarded a judgment against us for $51,000 which is equal to the amount owed to them. We intend to settle that matter in the second quarter of 2014.</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not aware of any legal proceedings contemplated by any government authority or any other party involving the Company. As of the date of this Report, no director, officer or affiliate is (i) a party adverse to us in any legal proceeding, or (ii) has an adverse interest to us in any legal proceeding. Management is not aware of any other legal proceedings pending or threatened against the Company.</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 foregoing, we may from time to time get involved in legal proceedings in the ordinary course of our business. We do not believe that any of these claims and proceedings against us is likely to have, individually or in the aggregate, a material adverse effect on our financial condition or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Unless an applicable prospectus supplement states otherwise, we expect to use the proceeds from the sale of the sale of these securities in the following order:</w:t>
      </w:r>
    </w:p>
    <w:p>
      <w:pPr>
        <w:spacing w:after="0" w:line="197" w:lineRule="exact"/>
        <w:rPr>
          <w:sz w:val="20"/>
          <w:szCs w:val="20"/>
          <w:color w:val="auto"/>
        </w:rPr>
      </w:pPr>
    </w:p>
    <w:p>
      <w:pPr>
        <w:ind w:left="500" w:hanging="141"/>
        <w:spacing w:after="0"/>
        <w:tabs>
          <w:tab w:leader="none" w:pos="5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$400,000 of proceeds of the sale of these securities to exercise our option to acquire an exclusive license to the Folate Alpha Receptor technology,</w:t>
      </w:r>
    </w:p>
    <w:p>
      <w:pPr>
        <w:spacing w:after="0" w:line="275" w:lineRule="exact"/>
        <w:rPr>
          <w:rFonts w:ascii="Arial" w:cs="Arial" w:eastAsia="Arial" w:hAnsi="Arial"/>
          <w:sz w:val="16"/>
          <w:szCs w:val="16"/>
          <w:color w:val="auto"/>
        </w:rPr>
      </w:pPr>
    </w:p>
    <w:p>
      <w:pPr>
        <w:ind w:left="340" w:hanging="143"/>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remainder for general corporate purposes, which may include funding clinical studies, repayment of existing indebtedness, working capital, capital expenditures, acquisitions and joint ventures.</w:t>
      </w:r>
    </w:p>
    <w:p>
      <w:pPr>
        <w:spacing w:after="0" w:line="19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As of the date of this prospectus, we have not identified as probable any specific material proposed uses of these proceeds except as set out above. If, as</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the date of any prospectus supplement, we have identified any such uses, we will describe them in the prospectus supplement. The amount of securities offered from time to time pursuant to this prospectus and any prospectus supplement, and the precise amounts and timing of the application of net proceeds from the sale of those securities, depends upon our funding requirements. Pending these uses, we intend to invest the net proceeds in investment-grade, interest-bearing securities.</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sell securities to one or more underwriters or dealers for public offering and sale by them, or we may sell the securities to investors directly or through agents. An applicable prospectus supplement will set forth the terms of the offering and the method of distribution and will identify any firms acting as underwriters, dealers or agents in connection with the offering, including:</w:t>
      </w:r>
    </w:p>
    <w:p>
      <w:pPr>
        <w:spacing w:after="0" w:line="181" w:lineRule="exact"/>
        <w:rPr>
          <w:sz w:val="20"/>
          <w:szCs w:val="20"/>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name or names of any underwriters;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underwriters’ compensation;</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initial public offering price and the net proceeds we will receive from such sale;</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distribute our securities from time to time in one or more transactions at a fixed price or prices, which may be changed, or at prices determined as a prospectus supplement specifies, including in “at-the-market” offerings. We may sell our securities through rights offering, forward contracts or similar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5" w:name="page26"/>
    <w:bookmarkEnd w:id="25"/>
    <w:p>
      <w:pPr>
        <w:jc w:val="both"/>
        <w:ind w:firstLine="324"/>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a prospectus supplement pursuant to delayed delivery contracts providing for payment and delivery on a specified date in the future. The contracts will be subject only to those conditions set forth in an applicable prospectus supplement, and the prospectus supplement will set forth any commissions we pay for solicitation of these contracts.</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Any underwriting discounts or other compensation which we pay to underwriters or agents in connection with the offering of our securities, and any discounts, concessions or commissions which underwriters allow to dealers, will be set forth in a prospectus supplement. Underwriters may sell our securities to or through dealers, and such dealers may receive compensation in the form of discounts, concessions or commissions from the underwriters and commissions from the purchasers for whom they may act as agents. Underwriters, dealers and agents that participate in the distribution of our securities may be deemed to be underwriters under the Securities Act and any discounts or commissions they receive from us and any profit on the resale of our securities they realize may be deemed to be underwriting discounts and commissions under the Securities Act. Any such underwriter or agent will be identified, and any such compensation received from us, will be described in the applicable supplement to this prospectus. Unless otherwise set forth in the supplement to this prospectus relating thereto, the obligations of the underwriters or agents to purchase our securities will be subject to conditions precedent and the underwriters will be obligated to purchase all our offered securities if any are purchased. The public offering price and any discounts or concessions allowed or reallowed or paid to dealers may be changed from time to time.</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Any common stock sold pursuant to this prospectus and applicable prospectus supplement, will be approved for trading, upon notice of issuance, on the OCTBB market or such other stock exchange that our securities are trading upon. Any warrants or units sold pursuant to this prospectus will not be approved on any market or exchange. However, the shares of common stock underlying those warrants will also be approved for trading upon exercise of the warrants on the OTCBB market or such other exchange that our securities are trading upon.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of 1933, as amended, or to contribution with respect to payments which the agents or underwriters may be required to make in respect thereof.</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 underwriter may engage in over-allotment, stabilizing transactions, short covering transactions and penalty bids in accordance with securities laws. Over-allotment involves sales in excess of the offering size, which creates a short position. Stabilizing transactions permit bidders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The underwriters may engage in these activities on any exchange or other market in which the securities may be traded. If commenced, the underwriters may discontinue these activities at any time.</w:t>
      </w:r>
    </w:p>
    <w:p>
      <w:pPr>
        <w:spacing w:after="0" w:line="17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Certain of the underwriters and their affiliates may be customers of, engage in transactions with, and perform services for, us and our subsidiaries in the ordinary course of business at any time. We may sell the securities covered in this prospectus in any of these ways (or in any combination).</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compliance with the guidelines of the Financial Services Regulatory Authority, Inc., or FINRA, the maximum compensation to be received by a FINRA member or independent broker-dealer may not exceed 8% of the offering proceeds. It is anticipated that the maximum compensation to be received in any particular offering of securities will be no more than this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the date hereof, we are authorized by our certificate of incorporation to issue an aggregate of 500,000,000 shares of common stock, par value $0.001 per share and 5,000,000 shares as blank check preferred shares, no par value. On Jan 10, 2014 the shareholders and the Board of Directors approved a reverse stock split whereby every one hundred (100) shares of common stock held by a TapImmune stockholder was exchanged for one share of TapImmune common stock (the “Reverse Stock Split”). The Board of Directors set the close of business on the twentieth day following the mailing of an information statement to the shareholders as the date on which to file a “Certificate Pursuant to NRS 78.209” with the Nevada Secretary of State to make the reverse stock split effective. The principal effect of the reverse stock split decreased the number of outstanding shares of common stock. At the time of the approval of the reverse stock split by the shareholders on January 10, 2014, we had approximately 145,000,000 common shares outstanding, which number was reduced to approximately 1,450,000 shares as a result of the reverse stock split.</w:t>
      </w:r>
    </w:p>
    <w:p>
      <w:pPr>
        <w:spacing w:after="0" w:line="206"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8"/>
          <w:szCs w:val="18"/>
          <w:color w:val="auto"/>
        </w:rPr>
        <w:t>This prospectus contains only a summary of the common stock we may offer from time to time, in one or more offerings, in a dollar amount that does not exceed, in the aggregate, $20,000,000. The specific terms of any securities actually offered for sale, together with the terms of that offering, the initial price and the net proceeds to us from the sale of these securities, will be set forth in an accompanying prospectus supplement. That prospectus supplement also will contain information, where applicable, about material United States federal income tax considerations relating to the securities, and the securities exchange, if any, on which the securities will be listed. This prospectus may not be used to consummate a sale of securities unless it is accompanied by a prospectus supplement.</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summary of the terms of our common stock and preferred stock, respectively, may not be complete and is subject to, and qualified in its entirety by reference to, the terms and provisions of our amended and restated certificate of incorporation and our amended and restated bylaws. You should refer to, and read this summary together with, our amended and restated certificate of incorporation and amended and restated bylaws to review all of the terms of our common stock and preferred stock, respectively, that may be important to you.</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of record on each matter submitted to a vote of stockholders. In this event, the holders of the remaining shares of common stock would not be able to elect any directors. Except as otherwise required by Nevada law, and subject to the rights of the holders of preferred stock, if any, all stockholder action is taken by the vote of a majority of the outstanding shares of common stock voting as a single class present at a meeting of stockholders at which a quorum consisting of one-third of the outstanding shares of common stock is present in person or proxy.</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Subject to the prior rights of any class or series of preferred stock which may from time to time be outstanding, if any, holders of our common stock are entitled to receive ratably, dividends when, as, and if declared by our board of directors out of funds legally available for that purpose and, upon our liquidation, dissolution, or winding up, are entitled to share ratably in all assets remaining after payment of liabilities and payment of accrued dividends and liquidation preferences on the preferred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We may issue warrants for the purchase of common stock. We may issue warrants independently or together with any other securities offered by any prospectus supplement and they may be attached to or separate from the other offered securities. Each series of warrants will be issued under a separate warrant agreement to be entered into by us. Further terms of the warrants and the applicable warrant agreements will be set forth in the applicable prospectus supplement.</w:t>
      </w:r>
    </w:p>
    <w:p>
      <w:pPr>
        <w:spacing w:after="0" w:line="214"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197" w:lineRule="exact"/>
        <w:rPr>
          <w:sz w:val="20"/>
          <w:szCs w:val="20"/>
          <w:color w:val="auto"/>
        </w:rPr>
      </w:pPr>
    </w:p>
    <w:p>
      <w:pPr>
        <w:ind w:left="500" w:hanging="141"/>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3" w:lineRule="exact"/>
        <w:rPr>
          <w:rFonts w:ascii="Arial" w:cs="Arial" w:eastAsia="Arial" w:hAnsi="Arial"/>
          <w:sz w:val="18"/>
          <w:szCs w:val="18"/>
          <w:color w:val="auto"/>
        </w:rPr>
      </w:pPr>
    </w:p>
    <w:p>
      <w:pPr>
        <w:ind w:left="500" w:hanging="141"/>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terms and number of shares of common stock purchasable upon exercise of the warrants;</w:t>
      </w:r>
    </w:p>
    <w:p>
      <w:pPr>
        <w:spacing w:after="0" w:line="9" w:lineRule="exact"/>
        <w:rPr>
          <w:rFonts w:ascii="Arial" w:cs="Arial" w:eastAsia="Arial" w:hAnsi="Arial"/>
          <w:sz w:val="18"/>
          <w:szCs w:val="18"/>
          <w:color w:val="auto"/>
        </w:rPr>
      </w:pPr>
    </w:p>
    <w:p>
      <w:pPr>
        <w:ind w:left="500" w:right="20" w:hanging="141"/>
        <w:spacing w:after="0" w:line="250"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ind w:left="500" w:hanging="141"/>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common stock will be separately transferable;</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 at which each share of common stock purchasable upon exercise of the warrants may be purchased;</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 w:lineRule="exact"/>
        <w:rPr>
          <w:rFonts w:ascii="Arial" w:cs="Arial" w:eastAsia="Arial" w:hAnsi="Arial"/>
          <w:sz w:val="18"/>
          <w:szCs w:val="18"/>
          <w:color w:val="auto"/>
        </w:rPr>
      </w:pPr>
    </w:p>
    <w:p>
      <w:pPr>
        <w:ind w:left="500" w:hanging="141"/>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2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56"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ectPr>
          <w:pgSz w:w="11900" w:h="16838" w:orient="portrait"/>
          <w:cols w:equalWidth="0" w:num="1">
            <w:col w:w="11420"/>
          </w:cols>
          <w:pgMar w:left="240" w:top="756" w:right="239" w:bottom="0" w:gutter="0" w:footer="0" w:header="0"/>
        </w:sectPr>
      </w:pPr>
    </w:p>
    <w:bookmarkStart w:id="27" w:name="page28"/>
    <w:bookmarkEnd w:id="27"/>
    <w:p>
      <w:pPr>
        <w:ind w:left="340"/>
        <w:spacing w:after="0"/>
        <w:rPr>
          <w:sz w:val="20"/>
          <w:szCs w:val="20"/>
          <w:color w:val="auto"/>
        </w:rPr>
      </w:pPr>
      <w:r>
        <w:rPr>
          <w:rFonts w:ascii="Arial" w:cs="Arial" w:eastAsia="Arial" w:hAnsi="Arial"/>
          <w:sz w:val="22"/>
          <w:szCs w:val="22"/>
          <w:color w:val="auto"/>
        </w:rPr>
        <w:t>The applicable prospectus supplement will describe, among other matters, :</w:t>
      </w:r>
    </w:p>
    <w:p>
      <w:pPr>
        <w:spacing w:after="0" w:line="240" w:lineRule="exact"/>
        <w:rPr>
          <w:sz w:val="20"/>
          <w:szCs w:val="20"/>
          <w:color w:val="auto"/>
        </w:rPr>
      </w:pPr>
    </w:p>
    <w:p>
      <w:pPr>
        <w:ind w:left="340" w:right="140" w:hanging="8"/>
        <w:spacing w:after="0" w:line="258" w:lineRule="auto"/>
        <w:tabs>
          <w:tab w:leader="none" w:pos="475" w:val="left"/>
        </w:tabs>
        <w:numPr>
          <w:ilvl w:val="0"/>
          <w:numId w:val="19"/>
        </w:numPr>
        <w:rPr>
          <w:rFonts w:ascii="Arial" w:cs="Arial" w:eastAsia="Arial" w:hAnsi="Arial"/>
          <w:sz w:val="18"/>
          <w:szCs w:val="18"/>
          <w:color w:val="222222"/>
        </w:rPr>
      </w:pPr>
      <w:r>
        <w:rPr>
          <w:rFonts w:ascii="Arial" w:cs="Arial" w:eastAsia="Arial" w:hAnsi="Arial"/>
          <w:sz w:val="18"/>
          <w:szCs w:val="18"/>
          <w:color w:val="222222"/>
        </w:rPr>
        <w:t>the designation and terms of the units and of the securities comprising the units, including whether and under what circumstances those securities may be held or transferred separately;</w:t>
      </w:r>
    </w:p>
    <w:p>
      <w:pPr>
        <w:spacing w:after="0" w:line="1" w:lineRule="exact"/>
        <w:rPr>
          <w:rFonts w:ascii="Arial" w:cs="Arial" w:eastAsia="Arial" w:hAnsi="Arial"/>
          <w:sz w:val="18"/>
          <w:szCs w:val="18"/>
          <w:color w:val="222222"/>
        </w:rPr>
      </w:pPr>
    </w:p>
    <w:p>
      <w:pPr>
        <w:ind w:left="460" w:hanging="128"/>
        <w:spacing w:after="0"/>
        <w:tabs>
          <w:tab w:leader="none" w:pos="460" w:val="left"/>
        </w:tabs>
        <w:numPr>
          <w:ilvl w:val="0"/>
          <w:numId w:val="19"/>
        </w:numPr>
        <w:rPr>
          <w:rFonts w:ascii="Arial" w:cs="Arial" w:eastAsia="Arial" w:hAnsi="Arial"/>
          <w:sz w:val="18"/>
          <w:szCs w:val="18"/>
          <w:color w:val="222222"/>
        </w:rPr>
      </w:pPr>
      <w:r>
        <w:rPr>
          <w:rFonts w:ascii="Arial" w:cs="Arial" w:eastAsia="Arial" w:hAnsi="Arial"/>
          <w:sz w:val="18"/>
          <w:szCs w:val="18"/>
          <w:color w:val="222222"/>
        </w:rPr>
        <w:t>any agreement under which the units will be issued;</w:t>
      </w:r>
    </w:p>
    <w:p>
      <w:pPr>
        <w:spacing w:after="0" w:line="9" w:lineRule="exact"/>
        <w:rPr>
          <w:rFonts w:ascii="Arial" w:cs="Arial" w:eastAsia="Arial" w:hAnsi="Arial"/>
          <w:sz w:val="18"/>
          <w:szCs w:val="18"/>
          <w:color w:val="222222"/>
        </w:rPr>
      </w:pPr>
    </w:p>
    <w:p>
      <w:pPr>
        <w:ind w:left="460" w:hanging="128"/>
        <w:spacing w:after="0"/>
        <w:tabs>
          <w:tab w:leader="none" w:pos="460" w:val="left"/>
        </w:tabs>
        <w:numPr>
          <w:ilvl w:val="0"/>
          <w:numId w:val="19"/>
        </w:numPr>
        <w:rPr>
          <w:rFonts w:ascii="Arial" w:cs="Arial" w:eastAsia="Arial" w:hAnsi="Arial"/>
          <w:sz w:val="18"/>
          <w:szCs w:val="18"/>
          <w:color w:val="222222"/>
        </w:rPr>
      </w:pPr>
      <w:r>
        <w:rPr>
          <w:rFonts w:ascii="Arial" w:cs="Arial" w:eastAsia="Arial" w:hAnsi="Arial"/>
          <w:sz w:val="18"/>
          <w:szCs w:val="18"/>
          <w:color w:val="222222"/>
        </w:rPr>
        <w:t>any provisions for the issuance, payment, settlement, transfer or exchange of the units or of the securities comprising the units; and</w:t>
      </w:r>
    </w:p>
    <w:p>
      <w:pPr>
        <w:spacing w:after="0" w:line="9" w:lineRule="exact"/>
        <w:rPr>
          <w:rFonts w:ascii="Arial" w:cs="Arial" w:eastAsia="Arial" w:hAnsi="Arial"/>
          <w:sz w:val="18"/>
          <w:szCs w:val="18"/>
          <w:color w:val="222222"/>
        </w:rPr>
      </w:pPr>
    </w:p>
    <w:p>
      <w:pPr>
        <w:ind w:left="460" w:hanging="128"/>
        <w:spacing w:after="0"/>
        <w:tabs>
          <w:tab w:leader="none" w:pos="460" w:val="left"/>
        </w:tabs>
        <w:numPr>
          <w:ilvl w:val="0"/>
          <w:numId w:val="19"/>
        </w:numPr>
        <w:rPr>
          <w:rFonts w:ascii="Arial" w:cs="Arial" w:eastAsia="Arial" w:hAnsi="Arial"/>
          <w:sz w:val="18"/>
          <w:szCs w:val="18"/>
          <w:color w:val="222222"/>
        </w:rPr>
      </w:pPr>
      <w:r>
        <w:rPr>
          <w:rFonts w:ascii="Arial" w:cs="Arial" w:eastAsia="Arial" w:hAnsi="Arial"/>
          <w:sz w:val="18"/>
          <w:szCs w:val="18"/>
          <w:color w:val="222222"/>
        </w:rPr>
        <w:t>whether the units will be issued in fully registered or global form.</w:t>
      </w:r>
    </w:p>
    <w:p>
      <w:pPr>
        <w:spacing w:after="0" w:line="238"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depositary arrangements relating to such units.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None of our outstanding shares of common stock or shares of common stock issuable upon conversion of our convertible notes and shares of common stock issuable upon exercise of outstanding warrants are subject to demand or piggyback registration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56"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provisions of Nevada law and our bylaws may have the effect of delaying, deferring or preventing another party from acquiring control of the company. These provisions may discourage and prevent coercive takeover practices and inadequate takeover bids.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Nevada Law</w:t>
      </w:r>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Nevada law contains a provision governing “acquisition of controlling interest.” This law provides generally that any person or entity that acquires 20% or more of the outstanding voting shares of a publicly-held Nevada corporation in the secondary public or private market may be denied voting rights with respect to the acquired shares, unless a majority of the disinterested shareholders of the corporation elects to restore such voting rights in whole or in part. The control share acquisition act provides that a person or entity acquires “control shares” whenever it acquires shares that, but for the operation of the control share acquisition act, would bring its voting power within any of the following three ranges: 20 to 33-1/3%; 33-1/3 to 50%; or more than 50%.</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“control share acquisition” is generally defined as the direct or indirect acquisition of either ownership or voting power associated with issued and outstanding control shares. The shareholders or Board of Directors of a corporation may elect to exempt the stock of the corporation from the provisions of the control share acquisition act through adoption of a provision to that effect in the articles of incorporation or bylaws of the corporation. Our articles of incorporation and bylaws do not exempt our common stock from the control share acquisition act.</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control share acquisition act is applicable only to shares of “Issuing Corporations” as defined by the Nevada law. An Issuing Corporation is a Nevada corporation which (i) has 200 or more shareholders, with at least 100 of such shareholders being both shareholders of record and residents of Nevada, and (ii) does business in Nevada directly or through an affiliated corporation.</w:t>
      </w:r>
    </w:p>
    <w:p>
      <w:pPr>
        <w:spacing w:after="0" w:line="20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this time, we do not believe we have 100 shareholders of record resident of Nevada and we do not conduct business in Nevada directly. Therefore, the provisions of the control share acquisition act are believed not to apply to acquisitions of our shares and will not until such time as these requirements have been met. At such time as they may apply, the provisions of the control share acquisition act may discourage companies or persons interested in acquiring a significant interest in or control of us, regardless of whether such acquisition may be in the interest of our shareholders.</w:t>
      </w:r>
    </w:p>
    <w:p>
      <w:pPr>
        <w:spacing w:after="0" w:line="19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Nevada “Combination with Interested Stockholders Statute” may also have an effect of delaying or making it more difficult to effect a change in control of us. This statute prevents an “interested stockholder” and a resident domestic Nevada corporation from entering into a “combination,” unless certain conditions are met. The statute defines “combination” to include any merger or consolidation with an “interested stockholder,” or any sale, lease, exchange, mortgage, pledge, transfer or other disposition, in one transaction or a series of transactions with an “interested stockholder” having (i) an aggregate market value equal to 5% or more of the aggregate market value of the assets of the corporation, (ii) an aggregate market value equal to 5% or more of the aggregate market value of all outstanding shares of the corporation, or (iii) representing 10% or more of the earning power or net income of the corporation.</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 “interested stockholder” means the beneficial owner of 10% or more of the voting shares of a resident domestic corporation, or an affiliate or associate thereof. A corporation affected by the statute may not engage in a “combination” within three years after the interested stockholder acquires its shares unless the combination or purchase is approved by the Board of Directors before the interested stockholder acquired such shares. If approval is not obtained, then after the expiration of the three-year period, the business combination may be consummated with the approval of the Board of Directors or a majority of the voting power held by disinterested stockholders, or if the consideration to be paid by the interested stockholder is at least equal to the highest of (i) the highest price per share paid by the interested stockholder within the three years immediately preceding the date of the announcement of the combination or in the transaction in which he became an interested stockholder, whichever is higher, (ii) the market value per common share on the date of announcement of the combination or the date the interested stockholder acquired the shares, whichever is higher, or (iii) if higher for the holders of preferred stock, the highest liquidation value of the preferred stock.</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Articles of Incorporation and Bylaws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articles of incorporation are silent as to cumulative voting rights in the election of our directors. Nevada law requires the existence of cumulative voting rights to be provided for by a corporation's articles of incorporation. In the event that a few stockholders end up owning a significant portion of our issued and outstanding common stock, the lack of cumulative voting would make it more difficult for other stockholders to replace our Board of Directors or for a third party to obtain control of us by replacing our Board of Directors. Our articles of incorporation and bylaws do not contain any explicit provisions that would have an effect of delaying, deferring or preventing a change in control of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Island Stock Transfer, 1550 Roosevelt Blvd Suite 301, Clean water FL 33760.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shares of our common stock are quoted on the OTCBB under the symbol TPIV.OB. On July 14, 2014 the last reported sale price per share for our common stock on the OTCBB as reported was $1.60.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legality and validity of the securities offered from time to time under this prospectus will be passed upon by Sanders Ortoli Vaughn-Flam Rosenstadt LLP.</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consolidated financial statements as of December 31, 2013 and 2012, and for each of the three years in the period ended December 31, 2013 incorporated herein by reference from our Annual Report in Form 10-K for the year ended December 31, 2013 have been audited by Dale Matheson Carr-Hilton LaBonte LLP, an independent registered public accounting firm, as set forth in their report therein, and are incorporated in reliance upon such report given on the authority of such firm as experts in accounting and auditing.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We are a reporting company and file annual, quarterly and current reports, proxy statements and other information with the SEC. We have filed with the SEC a registration statement on Form S-3 under the Securities Act with respect to the securities we are offering under this prospectus.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may read and copy the registration statement, as well as our reports, proxy statements and other information,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The SEC maintains an internet site that contains reports, proxy and information statements, and other information regarding issuers that file electronically with the SEC, where our SEC filings are also available. The address of the SEC’s web site is </w:t>
      </w:r>
      <w:r>
        <w:rPr>
          <w:rFonts w:ascii="Arial" w:cs="Arial" w:eastAsia="Arial" w:hAnsi="Arial"/>
          <w:sz w:val="17"/>
          <w:szCs w:val="17"/>
          <w:u w:val="single" w:color="auto"/>
          <w:color w:val="0000FF"/>
        </w:rPr>
        <w:t>http://www.sec.gov</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SEC allows us to “incorporate by reference” into this prospectus the information we file with the SEC. This means that we can disclose important information to you by referring you to those documents without restating that information in this document. The information incorporated by reference into this prospectus is considered to be part of this prospectus, and information we file with the SEC pursuant to Section 13(a), 13(c), 14 or 15(d) of the Securities Exchange Act of 1934, as amended, or the Exchange Act, after the date of this prospectus and prior to the termination of this offering, will automatically update and supersede the information contained in this prospectus and documents listed below. We incorporate by reference into this prospectus the documents listed below, except to the extent information in those documents differs from information contained in this prospectus, and any future filings made by us with the SEC under Sections 13(a), 13(c), 14 or 15(d) of the Exchange Act, including exhibits (other than in each case, documents or information deemed to be furnished and not filed in accordance with SEC rules):</w:t>
      </w:r>
    </w:p>
    <w:p>
      <w:pPr>
        <w:spacing w:after="0" w:line="179" w:lineRule="exact"/>
        <w:rPr>
          <w:sz w:val="20"/>
          <w:szCs w:val="20"/>
          <w:color w:val="auto"/>
        </w:rPr>
      </w:pPr>
    </w:p>
    <w:p>
      <w:pPr>
        <w:ind w:left="500" w:right="180" w:hanging="249"/>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2013 as filed with the SEC on April 14, 2014 as amended by Form 10-K/A filed with the SEC on April 17, 2014; and</w:t>
      </w:r>
    </w:p>
    <w:p>
      <w:pPr>
        <w:spacing w:after="0" w:line="170" w:lineRule="exact"/>
        <w:rPr>
          <w:rFonts w:ascii="Arial" w:cs="Arial" w:eastAsia="Arial" w:hAnsi="Arial"/>
          <w:sz w:val="18"/>
          <w:szCs w:val="18"/>
          <w:color w:val="auto"/>
        </w:rPr>
      </w:pPr>
    </w:p>
    <w:p>
      <w:pPr>
        <w:ind w:left="500" w:hanging="249"/>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Periodic Reports on Form 10-Q filed with the SEC on May 20,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0" w:name="page31"/>
    <w:bookmarkEnd w:id="30"/>
    <w:p>
      <w:pPr>
        <w:jc w:val="both"/>
        <w:ind w:firstLine="324"/>
        <w:spacing w:after="0" w:line="270" w:lineRule="auto"/>
        <w:rPr>
          <w:sz w:val="20"/>
          <w:szCs w:val="20"/>
          <w:color w:val="auto"/>
        </w:rPr>
      </w:pPr>
      <w:r>
        <w:rPr>
          <w:rFonts w:ascii="Arial" w:cs="Arial" w:eastAsia="Arial" w:hAnsi="Arial"/>
          <w:sz w:val="17"/>
          <w:szCs w:val="17"/>
          <w:color w:val="auto"/>
        </w:rPr>
        <w:t>In addition, all documents that we file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herein or in a document incorporated or deemed to be incorporated by reference or deemed to be a part of this Registration Statement shall be deemed to be modified or superseded for purposes of this Registration Statement to the extent that a statement contained in this Registration Statement or in any other subsequently filed document that also is or is deemed to be incorporated by reference or deemed to be a part of this Registration Statement modifies or supersedes such statement. Any statement contained in a document that is deemed to be incorporated by reference or deemed to be a part of this Registration Statement after the most recent effective date may modify or replace existing statements contained in this Registration Statement. In either case, any statement so modified or superseded shall not be deemed to constitute a part of this Registration Statement, except as so modified or superseded.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provide to each person, including any beneficial owner, to whom a copy of this prospectus is delivered, a copy of any or all of the information that we have incorporated by reference into this prospectus. We will provide this information upon written or oral request at no cost to the requester. You may request this information by contacting our corporate headquarters at the following address: TapImmune Inc.1551 Eastlake Avenue East, Suite 100, Seattle Washington. Attn: Glynn Wilson or by calling (206) 504-7278.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1" w:name="page32"/>
    <w:bookmarkEnd w:id="31"/>
    <w:p>
      <w:pPr>
        <w:jc w:val="center"/>
        <w:ind w:right="4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TAPIMMUNE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Up to $40,000,000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Common Stock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18"/>
          <w:szCs w:val="18"/>
          <w:color w:val="auto"/>
        </w:rPr>
        <w:t>,</w:t>
      </w:r>
      <w:r>
        <w:rPr>
          <w:rFonts w:ascii="Arial" w:cs="Arial" w:eastAsia="Arial" w:hAnsi="Arial"/>
          <w:sz w:val="18"/>
          <w:szCs w:val="18"/>
          <w:b w:val="1"/>
          <w:bCs w:val="1"/>
          <w:color w:val="auto"/>
        </w:rPr>
        <w:t xml:space="preserve"> 2014]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firstLine="486"/>
        <w:spacing w:after="0" w:line="266" w:lineRule="auto"/>
        <w:rPr>
          <w:sz w:val="20"/>
          <w:szCs w:val="20"/>
          <w:color w:val="auto"/>
        </w:rPr>
      </w:pPr>
      <w:r>
        <w:rPr>
          <w:rFonts w:ascii="Arial" w:cs="Arial" w:eastAsia="Arial" w:hAnsi="Arial"/>
          <w:sz w:val="18"/>
          <w:szCs w:val="18"/>
          <w:b w:val="1"/>
          <w:bCs w:val="1"/>
          <w:color w:val="auto"/>
        </w:rPr>
        <w:t>Until [[</w:t>
      </w:r>
      <w:r>
        <w:rPr>
          <w:rFonts w:ascii="Arial" w:cs="Arial" w:eastAsia="Arial" w:hAnsi="Arial"/>
          <w:sz w:val="18"/>
          <w:szCs w:val="18"/>
          <w:color w:val="auto"/>
        </w:rPr>
        <w:t>♦]</w:t>
      </w:r>
      <w:r>
        <w:rPr>
          <w:rFonts w:ascii="Arial" w:cs="Arial" w:eastAsia="Arial" w:hAnsi="Arial"/>
          <w:sz w:val="18"/>
          <w:szCs w:val="18"/>
          <w:b w:val="1"/>
          <w:bCs w:val="1"/>
          <w:color w:val="auto"/>
        </w:rPr>
        <w:t>, 2014] (the 90th day after the date of this Prospectus), all dealers that buy, sell or trade our common stock, whether or not participating in this offering, may be required to deliver a Prospectus. This delivery requirement is in addition to the dealers’ obligation to deliver a Prospectus when acting as underwriters and with respect to unsold allotments or subscriptions.</w:t>
      </w:r>
    </w:p>
    <w:p>
      <w:pPr>
        <w:spacing w:after="0" w:line="176" w:lineRule="exact"/>
        <w:rPr>
          <w:sz w:val="20"/>
          <w:szCs w:val="20"/>
          <w:color w:val="auto"/>
        </w:rPr>
      </w:pPr>
    </w:p>
    <w:p>
      <w:pPr>
        <w:ind w:firstLine="486"/>
        <w:spacing w:after="0" w:line="274" w:lineRule="auto"/>
        <w:rPr>
          <w:sz w:val="20"/>
          <w:szCs w:val="20"/>
          <w:color w:val="auto"/>
        </w:rPr>
      </w:pPr>
      <w:r>
        <w:rPr>
          <w:rFonts w:ascii="Arial" w:cs="Arial" w:eastAsia="Arial" w:hAnsi="Arial"/>
          <w:sz w:val="17"/>
          <w:szCs w:val="17"/>
          <w:b w:val="1"/>
          <w:bCs w:val="1"/>
          <w:color w:val="auto"/>
        </w:rPr>
        <w:t>No dealer, salesperson or other individual has been authorized to give any information or to make any representations not contained in this Prospectus in connection with the offering covered by this Prospectus. If given or made, such information or representations must not be relied upon as having been authorized by us. This Prospectus does not constitute an offer to sell, or a solicitation of an offer to buy the offered securities in any jurisdiction where, or to any person to whom, it is unlawful to make any such offer or solicitation. Neither the delivery of this Prospectus nor any offer or sale made hereunder shall, under any circumstances, create an implication that there has not been any change in the facts set forth in this Prospectus or in our affairs since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6" w:right="279" w:bottom="1440" w:gutter="0" w:footer="0" w:header="0"/>
        </w:sectPr>
      </w:pPr>
    </w:p>
    <w:bookmarkStart w:id="32" w:name="page33"/>
    <w:bookmarkEnd w:id="32"/>
    <w:p>
      <w:pPr>
        <w:jc w:val="center"/>
        <w:ind w:left="5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22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table below itemizes the expenses payable by the registrant in connection with the registration and issuance of the securities being registered hereunder, other than underwriting discounts and commissions. All amounts except the Securities and Exchange Commission registration fee are estimated.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Securities and Exchange Commission Registration Fee</w:t>
            </w:r>
          </w:p>
        </w:tc>
        <w:tc>
          <w:tcPr>
            <w:tcW w:w="35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5,152</w:t>
            </w:r>
          </w:p>
        </w:tc>
      </w:tr>
      <w:tr>
        <w:trPr>
          <w:trHeight w:val="432"/>
        </w:trPr>
        <w:tc>
          <w:tcPr>
            <w:tcW w:w="66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5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664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35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6640" w:type="dxa"/>
            <w:vAlign w:val="bottom"/>
          </w:tcPr>
          <w:p>
            <w:pPr>
              <w:spacing w:after="0"/>
              <w:rPr>
                <w:sz w:val="20"/>
                <w:szCs w:val="20"/>
                <w:color w:val="auto"/>
              </w:rPr>
            </w:pPr>
            <w:r>
              <w:rPr>
                <w:rFonts w:ascii="Arial" w:cs="Arial" w:eastAsia="Arial" w:hAnsi="Arial"/>
                <w:sz w:val="18"/>
                <w:szCs w:val="18"/>
                <w:color w:val="auto"/>
              </w:rPr>
              <w:t>Transfer agent and registrar’s fees and expenses</w:t>
            </w:r>
          </w:p>
        </w:tc>
        <w:tc>
          <w:tcPr>
            <w:tcW w:w="35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6640" w:type="dxa"/>
            <w:vAlign w:val="bottom"/>
          </w:tcPr>
          <w:p>
            <w:pPr>
              <w:spacing w:after="0"/>
              <w:rPr>
                <w:sz w:val="20"/>
                <w:szCs w:val="20"/>
                <w:color w:val="auto"/>
              </w:rPr>
            </w:pPr>
            <w:r>
              <w:rPr>
                <w:rFonts w:ascii="Arial" w:cs="Arial" w:eastAsia="Arial" w:hAnsi="Arial"/>
                <w:sz w:val="18"/>
                <w:szCs w:val="18"/>
                <w:color w:val="auto"/>
              </w:rPr>
              <w:t>Printing and Duplicating Expenses</w:t>
            </w:r>
          </w:p>
        </w:tc>
        <w:tc>
          <w:tcPr>
            <w:tcW w:w="35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6640" w:type="dxa"/>
            <w:vAlign w:val="bottom"/>
          </w:tcPr>
          <w:p>
            <w:pPr>
              <w:spacing w:after="0"/>
              <w:rPr>
                <w:sz w:val="20"/>
                <w:szCs w:val="20"/>
                <w:color w:val="auto"/>
              </w:rPr>
            </w:pPr>
            <w:r>
              <w:rPr>
                <w:rFonts w:ascii="Arial" w:cs="Arial" w:eastAsia="Arial" w:hAnsi="Arial"/>
                <w:sz w:val="18"/>
                <w:szCs w:val="18"/>
                <w:color w:val="auto"/>
              </w:rPr>
              <w:t>Miscellaneous Expenses</w:t>
            </w:r>
          </w:p>
        </w:tc>
        <w:tc>
          <w:tcPr>
            <w:tcW w:w="35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6640" w:type="dxa"/>
            <w:vAlign w:val="bottom"/>
          </w:tcPr>
          <w:p>
            <w:pPr>
              <w:spacing w:after="0"/>
              <w:rPr>
                <w:sz w:val="20"/>
                <w:szCs w:val="20"/>
                <w:color w:val="auto"/>
              </w:rPr>
            </w:pPr>
            <w:r>
              <w:rPr>
                <w:rFonts w:ascii="Arial" w:cs="Arial" w:eastAsia="Arial" w:hAnsi="Arial"/>
                <w:sz w:val="18"/>
                <w:szCs w:val="18"/>
                <w:color w:val="auto"/>
              </w:rPr>
              <w:t>Total</w:t>
            </w:r>
          </w:p>
        </w:tc>
        <w:tc>
          <w:tcPr>
            <w:tcW w:w="358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500" w:hanging="370"/>
        <w:spacing w:after="0" w:line="259"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Estimated expenses are not presently known. The foregoing sets forth the general categories of expenses (other than underwriting discounts and commissions) that the Company anticipates it will incur in connection with the offering of securities under the registration statement. An estimate of the aggregate expenses in connection with the issuance and distribution of the securities being offered will be included in the applicable prospectus supplement.</w:t>
      </w:r>
    </w:p>
    <w:p>
      <w:pPr>
        <w:spacing w:after="0" w:line="183"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INDEMNIFICATION OF DIRECTORS AND OFFICERS.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officers and directors are indemnified under Nevada law. Our Amended and Restated Articles of Incorporation and our By-laws are silent as to director and officer indemnification.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Nevada Revised Statute. </w:t>
      </w:r>
      <w:r>
        <w:rPr>
          <w:rFonts w:ascii="Arial" w:cs="Arial" w:eastAsia="Arial" w:hAnsi="Arial"/>
          <w:sz w:val="18"/>
          <w:szCs w:val="18"/>
          <w:color w:val="auto"/>
        </w:rPr>
        <w:t>The registrant is a Nevada corporation.</w:t>
      </w:r>
    </w:p>
    <w:p>
      <w:pPr>
        <w:spacing w:after="0" w:line="22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Section 78.138 of the Nevada Revised Statutes provides that a director or officer will not be personally liable to the corporation and its stockholders unless it is proven that (i) the director's or officer's acts or omissions constituted a breach of his fiduciary duties, and (ii) such breach involved intentional misconduct, fraud or a knowing violation of the law. The provisions of the Nevada Revised Statutes with respect to limiting personal liability for directors and officers are self-executing and, to the extent the provisions of our Amended and Restated Articles of Incorporation and By-laws would be deemed to be inconsistent therewith, the provisions of the Nevada Revised Statutes will control.</w:t>
      </w:r>
    </w:p>
    <w:p>
      <w:pPr>
        <w:spacing w:after="0" w:line="188"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Section 78.7502 of the Nevada Revised Statutes permits a corporation to indemnify a present or former director, officer, employee or agent of the corporation, or of another entity or enterprise for which such person is or was serving in such capacity at the request of the corporation, who was or is a party or is threatened to be made a party to any threatened, pending or completed action, suit or proceeding, except an action by or in the right of the corporation, against expenses, including attorneys’ fees, judgments, fines and amounts paid in settlement actually and reasonably incurred in connection therewith, arising by reason of such person’s service in such capacity if such person (i) is not liable pursuant to Section 78.138 of the Nevada Revised Statutes, or (ii) acted in good faith and in a manner which he or she reasonably believed to be in or not opposed to the best interests of the corporation and, with respect to a criminal action or proceeding, had no reasonable cause to believe his or her conduct was unlawful. In the case of actions brought by or in the right of the corporation, however, no indemnification may be made for any claim, issue or matter as to which such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such person is fairly and reasonably entitled to indemnity for such expenses as the court deems proper.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3" w:name="page34"/>
    <w:bookmarkEnd w:id="33"/>
    <w:p>
      <w:pPr>
        <w:jc w:val="both"/>
        <w:ind w:firstLine="486"/>
        <w:spacing w:after="0" w:line="272" w:lineRule="auto"/>
        <w:rPr>
          <w:sz w:val="20"/>
          <w:szCs w:val="20"/>
          <w:color w:val="auto"/>
        </w:rPr>
      </w:pPr>
      <w:r>
        <w:rPr>
          <w:rFonts w:ascii="Arial" w:cs="Arial" w:eastAsia="Arial" w:hAnsi="Arial"/>
          <w:sz w:val="17"/>
          <w:szCs w:val="17"/>
          <w:color w:val="auto"/>
        </w:rPr>
        <w:t>Section 78.751 of the Nevada Revised Statutes permits any discretionary indemnification under Section 78.7502 of the Nevada Revised Statutes, unless ordered by a court or advanced to a director or officer by the corporation in accordance with the Nevada Revised Statutes, to be made by a corporation only as authorized in each specific case upon a determination that indemnification of the director, officer, employee or agent is proper in the circumstances. Such determination must be made (1) by the stockholders, (2) by the board of directors by majority vote of a quorum consisting of directors who were not parties to the action, suit or proceeding, (3) if a majority vote of a quorum consisting of directors who were not parties to the action, suit or proceeding so orders, by independent legal counsel in a written opinion, or (4) if a quorum consisting of directors who were not parties to the action, suit or proceeding cannot be obtained, by independent legal counsel in a written opinion.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120" w:type="dxa"/>
            <w:vAlign w:val="bottom"/>
          </w:tcPr>
          <w:p>
            <w:pPr>
              <w:spacing w:after="0"/>
              <w:rPr>
                <w:sz w:val="20"/>
                <w:szCs w:val="20"/>
                <w:color w:val="auto"/>
              </w:rPr>
            </w:pPr>
          </w:p>
        </w:tc>
        <w:tc>
          <w:tcPr>
            <w:tcW w:w="9720" w:type="dxa"/>
            <w:vAlign w:val="bottom"/>
          </w:tcPr>
          <w:p>
            <w:pPr>
              <w:ind w:left="52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24"/>
                <w:szCs w:val="24"/>
                <w:color w:val="auto"/>
              </w:rPr>
            </w:pPr>
          </w:p>
        </w:tc>
        <w:tc>
          <w:tcPr>
            <w:tcW w:w="9720" w:type="dxa"/>
            <w:vAlign w:val="bottom"/>
          </w:tcPr>
          <w:p>
            <w:pPr>
              <w:spacing w:after="0"/>
              <w:rPr>
                <w:sz w:val="24"/>
                <w:szCs w:val="24"/>
                <w:color w:val="auto"/>
              </w:rPr>
            </w:pPr>
          </w:p>
        </w:tc>
      </w:tr>
      <w:tr>
        <w:trPr>
          <w:trHeight w:val="241"/>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9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5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Underwriting Agreement*</w:t>
            </w:r>
          </w:p>
        </w:tc>
      </w:tr>
      <w:tr>
        <w:trPr>
          <w:trHeight w:val="432"/>
        </w:trPr>
        <w:tc>
          <w:tcPr>
            <w:tcW w:w="15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Common Stock Purchase Warrant</w:t>
            </w:r>
          </w:p>
        </w:tc>
      </w:tr>
      <w:tr>
        <w:trPr>
          <w:trHeight w:val="432"/>
        </w:trPr>
        <w:tc>
          <w:tcPr>
            <w:tcW w:w="158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Opinion of Sanders Ortoli Vaughn-Flam Rosenstadt LLP</w:t>
            </w:r>
          </w:p>
        </w:tc>
      </w:tr>
      <w:tr>
        <w:trPr>
          <w:trHeight w:val="432"/>
        </w:trPr>
        <w:tc>
          <w:tcPr>
            <w:tcW w:w="158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Dale Matheson Carr-Hilton LaBonte LLP</w:t>
            </w:r>
          </w:p>
        </w:tc>
      </w:tr>
      <w:tr>
        <w:trPr>
          <w:trHeight w:val="432"/>
        </w:trPr>
        <w:tc>
          <w:tcPr>
            <w:tcW w:w="1580" w:type="dxa"/>
            <w:vAlign w:val="bottom"/>
          </w:tcPr>
          <w:p>
            <w:pPr>
              <w:jc w:val="center"/>
              <w:spacing w:after="0"/>
              <w:rPr>
                <w:sz w:val="20"/>
                <w:szCs w:val="20"/>
                <w:color w:val="auto"/>
              </w:rPr>
            </w:pPr>
            <w:r>
              <w:rPr>
                <w:rFonts w:ascii="Arial" w:cs="Arial" w:eastAsia="Arial" w:hAnsi="Arial"/>
                <w:sz w:val="18"/>
                <w:szCs w:val="18"/>
                <w:color w:val="auto"/>
                <w:w w:val="85"/>
              </w:rPr>
              <w:t>23.2</w:t>
            </w:r>
          </w:p>
        </w:tc>
        <w:tc>
          <w:tcPr>
            <w:tcW w:w="1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Sanders Ortoli Vaughn-Flam Rosenstadt LLP (included in the opinion filed as Exhibit 5.1)</w:t>
            </w:r>
          </w:p>
        </w:tc>
      </w:tr>
      <w:tr>
        <w:trPr>
          <w:trHeight w:val="432"/>
        </w:trPr>
        <w:tc>
          <w:tcPr>
            <w:tcW w:w="1580" w:type="dxa"/>
            <w:vAlign w:val="bottom"/>
          </w:tcPr>
          <w:p>
            <w:pPr>
              <w:jc w:val="center"/>
              <w:spacing w:after="0"/>
              <w:rPr>
                <w:sz w:val="20"/>
                <w:szCs w:val="20"/>
                <w:color w:val="auto"/>
              </w:rPr>
            </w:pPr>
            <w:r>
              <w:rPr>
                <w:rFonts w:ascii="Arial" w:cs="Arial" w:eastAsia="Arial" w:hAnsi="Arial"/>
                <w:sz w:val="18"/>
                <w:szCs w:val="18"/>
                <w:color w:val="auto"/>
                <w:w w:val="85"/>
              </w:rPr>
              <w:t>24.1</w:t>
            </w:r>
          </w:p>
        </w:tc>
        <w:tc>
          <w:tcPr>
            <w:tcW w:w="1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Power of Attorney (included on the signature page to this Registration Statement)</w:t>
            </w:r>
          </w:p>
        </w:tc>
      </w:tr>
    </w:tbl>
    <w:p>
      <w:pPr>
        <w:spacing w:after="0" w:line="202" w:lineRule="exact"/>
        <w:rPr>
          <w:sz w:val="20"/>
          <w:szCs w:val="20"/>
          <w:color w:val="auto"/>
        </w:rPr>
      </w:pPr>
    </w:p>
    <w:p>
      <w:pPr>
        <w:ind w:left="1700" w:right="200" w:hanging="954"/>
        <w:spacing w:after="0" w:line="277"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be filed by amendment, if applicable, or as an exhibit to a document to be incorporated by reference herein in connection with an offering of the securities.</w:t>
      </w:r>
    </w:p>
    <w:p>
      <w:pPr>
        <w:sectPr>
          <w:pgSz w:w="11900" w:h="16838" w:orient="portrait"/>
          <w:cols w:equalWidth="0" w:num="1">
            <w:col w:w="11420"/>
          </w:cols>
          <w:pgMar w:left="240" w:top="97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UNDERTAKINGS.</w:t>
      </w:r>
    </w:p>
    <w:p>
      <w:pPr>
        <w:spacing w:after="0" w:line="200" w:lineRule="exact"/>
        <w:rPr>
          <w:sz w:val="20"/>
          <w:szCs w:val="20"/>
          <w:color w:val="auto"/>
        </w:rPr>
      </w:pPr>
    </w:p>
    <w:p>
      <w:pPr>
        <w:sectPr>
          <w:pgSz w:w="11900" w:h="16838" w:orient="portrait"/>
          <w:cols w:equalWidth="0" w:num="2">
            <w:col w:w="1500" w:space="720"/>
            <w:col w:w="9200"/>
          </w:cols>
          <w:pgMar w:left="240" w:top="976"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RULE 415 OFFERING</w:t>
      </w:r>
    </w:p>
    <w:p>
      <w:pPr>
        <w:spacing w:after="0" w:line="222" w:lineRule="exact"/>
        <w:rPr>
          <w:sz w:val="20"/>
          <w:szCs w:val="20"/>
          <w:color w:val="auto"/>
        </w:rPr>
      </w:pPr>
    </w:p>
    <w:p>
      <w:pPr>
        <w:sectPr>
          <w:pgSz w:w="11900" w:h="16838" w:orient="portrait"/>
          <w:cols w:equalWidth="0" w:num="2">
            <w:col w:w="860" w:space="720"/>
            <w:col w:w="9840"/>
          </w:cols>
          <w:pgMar w:left="240" w:top="976" w:right="239" w:bottom="1440" w:gutter="0" w:footer="0" w:header="0"/>
          <w:type w:val="continuous"/>
        </w:sectPr>
      </w:pPr>
    </w:p>
    <w:p>
      <w:pPr>
        <w:spacing w:after="0" w:line="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620" w:hanging="288"/>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760" w:hanging="266"/>
        <w:spacing w:after="0"/>
        <w:tabs>
          <w:tab w:leader="none" w:pos="7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225" w:lineRule="exact"/>
        <w:rPr>
          <w:rFonts w:ascii="Arial" w:cs="Arial" w:eastAsia="Arial" w:hAnsi="Arial"/>
          <w:sz w:val="18"/>
          <w:szCs w:val="18"/>
          <w:color w:val="auto"/>
        </w:rPr>
      </w:pPr>
    </w:p>
    <w:p>
      <w:pPr>
        <w:jc w:val="both"/>
        <w:ind w:firstLine="494"/>
        <w:spacing w:after="0" w:line="273" w:lineRule="auto"/>
        <w:tabs>
          <w:tab w:leader="none" w:pos="841" w:val="left"/>
        </w:tabs>
        <w:numPr>
          <w:ilvl w:val="1"/>
          <w:numId w:val="2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type w:val="continuous"/>
        </w:sectPr>
      </w:pPr>
    </w:p>
    <w:bookmarkStart w:id="34" w:name="page35"/>
    <w:bookmarkEnd w:id="34"/>
    <w:p>
      <w:pPr>
        <w:ind w:right="20" w:firstLine="494"/>
        <w:spacing w:after="0" w:line="277" w:lineRule="auto"/>
        <w:tabs>
          <w:tab w:leader="none" w:pos="8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225" w:lineRule="exact"/>
        <w:rPr>
          <w:sz w:val="20"/>
          <w:szCs w:val="20"/>
          <w:color w:val="auto"/>
        </w:rPr>
      </w:pPr>
    </w:p>
    <w:p>
      <w:pPr>
        <w:jc w:val="both"/>
        <w:ind w:firstLine="980"/>
        <w:spacing w:after="0" w:line="286" w:lineRule="auto"/>
        <w:tabs>
          <w:tab w:leader="none" w:pos="1269" w:val="left"/>
        </w:tabs>
        <w:numPr>
          <w:ilvl w:val="2"/>
          <w:numId w:val="25"/>
        </w:numPr>
        <w:rPr>
          <w:rFonts w:ascii="Arial" w:cs="Arial" w:eastAsia="Arial" w:hAnsi="Arial"/>
          <w:sz w:val="17"/>
          <w:szCs w:val="17"/>
          <w:color w:val="auto"/>
        </w:rPr>
      </w:pPr>
      <w:r>
        <w:rPr>
          <w:rFonts w:ascii="Arial" w:cs="Arial" w:eastAsia="Arial" w:hAnsi="Arial"/>
          <w:sz w:val="17"/>
          <w:szCs w:val="17"/>
          <w:color w:val="auto"/>
        </w:rPr>
        <w:t>Paragraphs (a)(1)(i) and (a)(1)(ii) of this section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and</w:t>
      </w:r>
    </w:p>
    <w:p>
      <w:pPr>
        <w:spacing w:after="0" w:line="165" w:lineRule="exact"/>
        <w:rPr>
          <w:rFonts w:ascii="Arial" w:cs="Arial" w:eastAsia="Arial" w:hAnsi="Arial"/>
          <w:sz w:val="17"/>
          <w:szCs w:val="17"/>
          <w:color w:val="auto"/>
        </w:rPr>
      </w:pPr>
    </w:p>
    <w:p>
      <w:pPr>
        <w:jc w:val="both"/>
        <w:ind w:firstLine="980"/>
        <w:spacing w:after="0" w:line="279" w:lineRule="auto"/>
        <w:tabs>
          <w:tab w:leader="none" w:pos="1270" w:val="left"/>
        </w:tabs>
        <w:numPr>
          <w:ilvl w:val="2"/>
          <w:numId w:val="25"/>
        </w:numPr>
        <w:rPr>
          <w:rFonts w:ascii="Arial" w:cs="Arial" w:eastAsia="Arial" w:hAnsi="Arial"/>
          <w:sz w:val="17"/>
          <w:szCs w:val="17"/>
          <w:color w:val="auto"/>
        </w:rPr>
      </w:pPr>
      <w:r>
        <w:rPr>
          <w:rFonts w:ascii="Arial" w:cs="Arial" w:eastAsia="Arial" w:hAnsi="Arial"/>
          <w:sz w:val="17"/>
          <w:szCs w:val="17"/>
          <w:color w:val="auto"/>
        </w:rPr>
        <w:t>Paragraphs (a)(1)(i), (a)(1)(ii), and (a)(1)(iii) of this section do not apply if the registration statement is on Form S-3 or Form F-3 and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71" w:lineRule="exact"/>
        <w:rPr>
          <w:rFonts w:ascii="Arial" w:cs="Arial" w:eastAsia="Arial" w:hAnsi="Arial"/>
          <w:sz w:val="17"/>
          <w:szCs w:val="17"/>
          <w:color w:val="auto"/>
        </w:rPr>
      </w:pPr>
    </w:p>
    <w:p>
      <w:pPr>
        <w:jc w:val="both"/>
        <w:ind w:right="20" w:firstLine="332"/>
        <w:spacing w:after="0" w:line="264" w:lineRule="auto"/>
        <w:tabs>
          <w:tab w:leader="none" w:pos="66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as amended, each such post- effective amendment shall be deemed to be a new registration statement relating to the securities offered therein, and the offering of such securities at that time shall be deemed to be initial bona fide offering thereof.</w:t>
      </w:r>
    </w:p>
    <w:p>
      <w:pPr>
        <w:spacing w:after="0" w:line="181" w:lineRule="exact"/>
        <w:rPr>
          <w:rFonts w:ascii="Arial" w:cs="Arial" w:eastAsia="Arial" w:hAnsi="Arial"/>
          <w:sz w:val="18"/>
          <w:szCs w:val="18"/>
          <w:color w:val="auto"/>
        </w:rPr>
      </w:pPr>
    </w:p>
    <w:p>
      <w:pPr>
        <w:ind w:firstLine="332"/>
        <w:spacing w:after="0" w:line="277"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225" w:lineRule="exact"/>
        <w:rPr>
          <w:rFonts w:ascii="Arial" w:cs="Arial" w:eastAsia="Arial" w:hAnsi="Arial"/>
          <w:sz w:val="18"/>
          <w:szCs w:val="18"/>
          <w:color w:val="auto"/>
        </w:rPr>
      </w:pPr>
    </w:p>
    <w:p>
      <w:pPr>
        <w:ind w:firstLine="980"/>
        <w:spacing w:after="0" w:line="277" w:lineRule="auto"/>
        <w:tabs>
          <w:tab w:leader="none" w:pos="1270" w:val="left"/>
        </w:tabs>
        <w:numPr>
          <w:ilvl w:val="2"/>
          <w:numId w:val="26"/>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jc w:val="both"/>
        <w:ind w:firstLine="980"/>
        <w:spacing w:after="0" w:line="269" w:lineRule="auto"/>
        <w:tabs>
          <w:tab w:leader="none" w:pos="1257" w:val="left"/>
        </w:tabs>
        <w:numPr>
          <w:ilvl w:val="2"/>
          <w:numId w:val="26"/>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the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9" w:lineRule="exact"/>
        <w:rPr>
          <w:rFonts w:ascii="Arial" w:cs="Arial" w:eastAsia="Arial" w:hAnsi="Arial"/>
          <w:sz w:val="17"/>
          <w:szCs w:val="17"/>
          <w:color w:val="auto"/>
        </w:rPr>
      </w:pPr>
    </w:p>
    <w:p>
      <w:pPr>
        <w:jc w:val="both"/>
        <w:ind w:firstLine="332"/>
        <w:spacing w:after="0" w:line="257" w:lineRule="auto"/>
        <w:tabs>
          <w:tab w:leader="none" w:pos="6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rFonts w:ascii="Arial" w:cs="Arial" w:eastAsia="Arial" w:hAnsi="Arial"/>
          <w:sz w:val="18"/>
          <w:szCs w:val="18"/>
          <w:color w:val="auto"/>
        </w:rPr>
      </w:pPr>
    </w:p>
    <w:p>
      <w:pPr>
        <w:ind w:left="880" w:hanging="224"/>
        <w:spacing w:after="0"/>
        <w:tabs>
          <w:tab w:leader="none" w:pos="8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firstLine="656"/>
        <w:spacing w:after="0" w:line="277" w:lineRule="auto"/>
        <w:tabs>
          <w:tab w:leader="none" w:pos="9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6" w:right="239" w:bottom="1440" w:gutter="0" w:footer="0" w:header="0"/>
        </w:sectPr>
      </w:pPr>
    </w:p>
    <w:bookmarkStart w:id="35" w:name="page36"/>
    <w:bookmarkEnd w:id="35"/>
    <w:p>
      <w:pPr>
        <w:ind w:right="20" w:firstLine="656"/>
        <w:spacing w:after="0" w:line="277" w:lineRule="auto"/>
        <w:tabs>
          <w:tab w:leader="none" w:pos="966"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portion of any other free writing prospectuses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firstLine="8"/>
        <w:spacing w:after="0" w:line="276" w:lineRule="auto"/>
        <w:tabs>
          <w:tab w:leader="none" w:pos="31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73" w:lineRule="exact"/>
        <w:rPr>
          <w:sz w:val="20"/>
          <w:szCs w:val="20"/>
          <w:color w:val="auto"/>
        </w:rPr>
      </w:pPr>
    </w:p>
    <w:p>
      <w:pPr>
        <w:jc w:val="both"/>
        <w:ind w:firstLine="8"/>
        <w:spacing w:after="0" w:line="254" w:lineRule="auto"/>
        <w:tabs>
          <w:tab w:leader="none" w:pos="336"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Seattle, State of Washington on July 21, 2014.</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TapImmune Inc.</w:t>
      </w:r>
    </w:p>
    <w:p>
      <w:pPr>
        <w:spacing w:after="0" w:line="208" w:lineRule="exact"/>
        <w:rPr>
          <w:sz w:val="20"/>
          <w:szCs w:val="20"/>
          <w:color w:val="auto"/>
        </w:rPr>
      </w:pPr>
    </w:p>
    <w:tbl>
      <w:tblPr>
        <w:tblLayout w:type="fixed"/>
        <w:tblInd w:w="486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gridSpan w:val="2"/>
          </w:tcPr>
          <w:p>
            <w:pPr>
              <w:spacing w:after="0"/>
              <w:rPr>
                <w:sz w:val="20"/>
                <w:szCs w:val="20"/>
                <w:color w:val="auto"/>
              </w:rPr>
            </w:pPr>
            <w:r>
              <w:rPr>
                <w:rFonts w:ascii="Arial" w:cs="Arial" w:eastAsia="Arial" w:hAnsi="Arial"/>
                <w:sz w:val="18"/>
                <w:szCs w:val="18"/>
                <w:color w:val="auto"/>
              </w:rPr>
              <w:t>/s/ Glynn Wilson</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1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Glynn Wilson</w:t>
            </w:r>
          </w:p>
        </w:tc>
        <w:tc>
          <w:tcPr>
            <w:tcW w:w="3740" w:type="dxa"/>
            <w:vAlign w:val="bottom"/>
          </w:tcPr>
          <w:p>
            <w:pPr>
              <w:spacing w:after="0"/>
              <w:rPr>
                <w:sz w:val="19"/>
                <w:szCs w:val="19"/>
                <w:color w:val="auto"/>
              </w:rPr>
            </w:pP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gridSpan w:val="2"/>
          </w:tcPr>
          <w:p>
            <w:pPr>
              <w:spacing w:after="0"/>
              <w:rPr>
                <w:sz w:val="20"/>
                <w:szCs w:val="20"/>
                <w:color w:val="auto"/>
              </w:rPr>
            </w:pPr>
            <w:r>
              <w:rPr>
                <w:rFonts w:ascii="Arial" w:cs="Arial" w:eastAsia="Arial" w:hAnsi="Arial"/>
                <w:sz w:val="18"/>
                <w:szCs w:val="18"/>
                <w:color w:val="auto"/>
              </w:rPr>
              <w:t>Chairman, Chief Executive Officer,</w:t>
            </w:r>
          </w:p>
        </w:tc>
      </w:tr>
      <w:tr>
        <w:trPr>
          <w:trHeight w:val="230"/>
        </w:trPr>
        <w:tc>
          <w:tcPr>
            <w:tcW w:w="64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w w:val="93"/>
              </w:rPr>
              <w:t>Principal Executive Officer and Acting Principal Accounting Officer</w:t>
            </w:r>
          </w:p>
        </w:tc>
      </w:tr>
    </w:tbl>
    <w:p>
      <w:pPr>
        <w:spacing w:after="0" w:line="20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 Each person in so signing also makes, constitutes and appoints Glynn Wilson, his or her true and lawful attorney-in-fact, with full power of substitution, in any and all capacities, to execute and cause to be filed with the Securities and Exchange Commission pursuant to the requirements of the Securities Act of 1933, as amended, any and all amendments and post-effective amendments to this Registration Statement, with exhibits to such registration statements and amendments and other documents in connection therewith, and hereby ratifies and confirms all that said attorney-in-fact or his or her substitute or substitutes may do or cause to be done by virtue hereof.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Signature</w:t>
            </w:r>
          </w:p>
        </w:tc>
        <w:tc>
          <w:tcPr>
            <w:tcW w:w="640" w:type="dxa"/>
            <w:vAlign w:val="bottom"/>
          </w:tcPr>
          <w:p>
            <w:pPr>
              <w:spacing w:after="0"/>
              <w:rPr>
                <w:sz w:val="20"/>
                <w:szCs w:val="20"/>
                <w:color w:val="auto"/>
              </w:rPr>
            </w:pPr>
          </w:p>
        </w:tc>
        <w:tc>
          <w:tcPr>
            <w:tcW w:w="420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Title</w:t>
            </w:r>
          </w:p>
        </w:tc>
        <w:tc>
          <w:tcPr>
            <w:tcW w:w="660" w:type="dxa"/>
            <w:vAlign w:val="bottom"/>
          </w:tcPr>
          <w:p>
            <w:pPr>
              <w:spacing w:after="0"/>
              <w:rPr>
                <w:sz w:val="20"/>
                <w:szCs w:val="20"/>
                <w:color w:val="auto"/>
              </w:rPr>
            </w:pPr>
          </w:p>
        </w:tc>
        <w:tc>
          <w:tcPr>
            <w:tcW w:w="264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Date</w:t>
            </w:r>
          </w:p>
        </w:tc>
      </w:tr>
      <w:tr>
        <w:trPr>
          <w:trHeight w:val="392"/>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Mark Reddish</w:t>
            </w:r>
          </w:p>
        </w:tc>
        <w:tc>
          <w:tcPr>
            <w:tcW w:w="202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July 21, 2014</w:t>
            </w:r>
          </w:p>
        </w:tc>
      </w:tr>
      <w:tr>
        <w:trPr>
          <w:trHeight w:val="237"/>
        </w:trPr>
        <w:tc>
          <w:tcPr>
            <w:tcW w:w="3280" w:type="dxa"/>
            <w:vAlign w:val="bottom"/>
            <w:gridSpan w:val="4"/>
          </w:tcPr>
          <w:p>
            <w:pPr>
              <w:spacing w:after="0"/>
              <w:rPr>
                <w:sz w:val="20"/>
                <w:szCs w:val="20"/>
                <w:color w:val="auto"/>
              </w:rPr>
            </w:pPr>
            <w:r>
              <w:rPr>
                <w:rFonts w:ascii="Arial" w:cs="Arial" w:eastAsia="Arial" w:hAnsi="Arial"/>
                <w:sz w:val="18"/>
                <w:szCs w:val="18"/>
                <w:color w:val="auto"/>
              </w:rPr>
              <w:t>Mark Reddish</w:t>
            </w:r>
          </w:p>
        </w:tc>
        <w:tc>
          <w:tcPr>
            <w:tcW w:w="6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392"/>
        </w:trPr>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/s/ Sherry Grisewood</w:t>
            </w:r>
          </w:p>
        </w:tc>
        <w:tc>
          <w:tcPr>
            <w:tcW w:w="1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July 21, 2014</w:t>
            </w:r>
          </w:p>
        </w:tc>
      </w:tr>
      <w:tr>
        <w:trPr>
          <w:trHeight w:val="237"/>
        </w:trPr>
        <w:tc>
          <w:tcPr>
            <w:tcW w:w="3280" w:type="dxa"/>
            <w:vAlign w:val="bottom"/>
            <w:gridSpan w:val="4"/>
          </w:tcPr>
          <w:p>
            <w:pPr>
              <w:spacing w:after="0"/>
              <w:rPr>
                <w:sz w:val="20"/>
                <w:szCs w:val="20"/>
                <w:color w:val="auto"/>
              </w:rPr>
            </w:pPr>
            <w:r>
              <w:rPr>
                <w:rFonts w:ascii="Arial" w:cs="Arial" w:eastAsia="Arial" w:hAnsi="Arial"/>
                <w:sz w:val="18"/>
                <w:szCs w:val="18"/>
                <w:color w:val="auto"/>
              </w:rPr>
              <w:t>Sherry Grisewood</w:t>
            </w:r>
          </w:p>
        </w:tc>
        <w:tc>
          <w:tcPr>
            <w:tcW w:w="6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392"/>
        </w:trPr>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Glynn Wilson</w:t>
            </w:r>
          </w:p>
        </w:tc>
        <w:tc>
          <w:tcPr>
            <w:tcW w:w="204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Director</w:t>
            </w:r>
          </w:p>
        </w:tc>
        <w:tc>
          <w:tcPr>
            <w:tcW w:w="66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July 21, 2014</w:t>
            </w:r>
          </w:p>
        </w:tc>
      </w:tr>
      <w:tr>
        <w:trPr>
          <w:trHeight w:val="237"/>
        </w:trPr>
        <w:tc>
          <w:tcPr>
            <w:tcW w:w="3280" w:type="dxa"/>
            <w:vAlign w:val="bottom"/>
            <w:gridSpan w:val="4"/>
          </w:tcPr>
          <w:p>
            <w:pPr>
              <w:spacing w:after="0"/>
              <w:rPr>
                <w:sz w:val="20"/>
                <w:szCs w:val="20"/>
                <w:color w:val="auto"/>
              </w:rPr>
            </w:pPr>
            <w:r>
              <w:rPr>
                <w:rFonts w:ascii="Arial" w:cs="Arial" w:eastAsia="Arial" w:hAnsi="Arial"/>
                <w:sz w:val="18"/>
                <w:szCs w:val="18"/>
                <w:color w:val="auto"/>
              </w:rPr>
              <w:t>Glynn Wilson</w:t>
            </w:r>
          </w:p>
        </w:tc>
        <w:tc>
          <w:tcPr>
            <w:tcW w:w="6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20" w:type="dxa"/>
            <w:vAlign w:val="bottom"/>
          </w:tcPr>
          <w:p>
            <w:pPr>
              <w:ind w:left="3320"/>
              <w:spacing w:after="0"/>
              <w:rPr>
                <w:sz w:val="20"/>
                <w:szCs w:val="20"/>
                <w:color w:val="auto"/>
              </w:rPr>
            </w:pPr>
            <w:r>
              <w:rPr>
                <w:rFonts w:ascii="Arial" w:cs="Arial" w:eastAsia="Arial" w:hAnsi="Arial"/>
                <w:sz w:val="18"/>
                <w:szCs w:val="18"/>
                <w:b w:val="1"/>
                <w:bCs w:val="1"/>
                <w:color w:val="auto"/>
              </w:rPr>
              <w:t>EXHIBIT INDEX</w:t>
            </w:r>
          </w:p>
        </w:tc>
      </w:tr>
      <w:tr>
        <w:trPr>
          <w:trHeight w:val="873"/>
        </w:trPr>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24"/>
                <w:szCs w:val="24"/>
                <w:color w:val="auto"/>
              </w:rPr>
            </w:pPr>
          </w:p>
        </w:tc>
        <w:tc>
          <w:tcPr>
            <w:tcW w:w="9720" w:type="dxa"/>
            <w:vAlign w:val="bottom"/>
          </w:tcPr>
          <w:p>
            <w:pPr>
              <w:spacing w:after="0"/>
              <w:rPr>
                <w:sz w:val="24"/>
                <w:szCs w:val="24"/>
                <w:color w:val="auto"/>
              </w:rPr>
            </w:pPr>
          </w:p>
        </w:tc>
      </w:tr>
      <w:tr>
        <w:trPr>
          <w:trHeight w:val="241"/>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9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15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Underwriting Agreement*</w:t>
            </w:r>
          </w:p>
        </w:tc>
      </w:tr>
      <w:tr>
        <w:trPr>
          <w:trHeight w:val="432"/>
        </w:trPr>
        <w:tc>
          <w:tcPr>
            <w:tcW w:w="15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Form of Common Stock Purchase Warrant*</w:t>
            </w:r>
          </w:p>
        </w:tc>
      </w:tr>
      <w:tr>
        <w:trPr>
          <w:trHeight w:val="432"/>
        </w:trPr>
        <w:tc>
          <w:tcPr>
            <w:tcW w:w="158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Opinion of Sanders Ortoli Vaughn-Flam Rosenstadt LLP</w:t>
            </w:r>
          </w:p>
        </w:tc>
      </w:tr>
      <w:tr>
        <w:trPr>
          <w:trHeight w:val="432"/>
        </w:trPr>
        <w:tc>
          <w:tcPr>
            <w:tcW w:w="158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1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Dale Matheson Carr-Hilton LaBonte LLP</w:t>
            </w:r>
          </w:p>
        </w:tc>
      </w:tr>
      <w:tr>
        <w:trPr>
          <w:trHeight w:val="432"/>
        </w:trPr>
        <w:tc>
          <w:tcPr>
            <w:tcW w:w="1580" w:type="dxa"/>
            <w:vAlign w:val="bottom"/>
          </w:tcPr>
          <w:p>
            <w:pPr>
              <w:jc w:val="center"/>
              <w:spacing w:after="0"/>
              <w:rPr>
                <w:sz w:val="20"/>
                <w:szCs w:val="20"/>
                <w:color w:val="auto"/>
              </w:rPr>
            </w:pPr>
            <w:r>
              <w:rPr>
                <w:rFonts w:ascii="Arial" w:cs="Arial" w:eastAsia="Arial" w:hAnsi="Arial"/>
                <w:sz w:val="18"/>
                <w:szCs w:val="18"/>
                <w:color w:val="auto"/>
                <w:w w:val="85"/>
              </w:rPr>
              <w:t>23.2</w:t>
            </w:r>
          </w:p>
        </w:tc>
        <w:tc>
          <w:tcPr>
            <w:tcW w:w="1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Consent of Sanders Ortoli Vaughn-Flam Rosenstadt LLP (included in the opinion filed as Exhibit 5.1)</w:t>
            </w:r>
          </w:p>
        </w:tc>
      </w:tr>
      <w:tr>
        <w:trPr>
          <w:trHeight w:val="432"/>
        </w:trPr>
        <w:tc>
          <w:tcPr>
            <w:tcW w:w="1580" w:type="dxa"/>
            <w:vAlign w:val="bottom"/>
          </w:tcPr>
          <w:p>
            <w:pPr>
              <w:jc w:val="center"/>
              <w:spacing w:after="0"/>
              <w:rPr>
                <w:sz w:val="20"/>
                <w:szCs w:val="20"/>
                <w:color w:val="auto"/>
              </w:rPr>
            </w:pPr>
            <w:r>
              <w:rPr>
                <w:rFonts w:ascii="Arial" w:cs="Arial" w:eastAsia="Arial" w:hAnsi="Arial"/>
                <w:sz w:val="18"/>
                <w:szCs w:val="18"/>
                <w:color w:val="auto"/>
                <w:w w:val="85"/>
              </w:rPr>
              <w:t>24.1</w:t>
            </w:r>
          </w:p>
        </w:tc>
        <w:tc>
          <w:tcPr>
            <w:tcW w:w="120" w:type="dxa"/>
            <w:vAlign w:val="bottom"/>
          </w:tcPr>
          <w:p>
            <w:pPr>
              <w:spacing w:after="0"/>
              <w:rPr>
                <w:sz w:val="24"/>
                <w:szCs w:val="24"/>
                <w:color w:val="auto"/>
              </w:rPr>
            </w:pPr>
          </w:p>
        </w:tc>
        <w:tc>
          <w:tcPr>
            <w:tcW w:w="9720" w:type="dxa"/>
            <w:vAlign w:val="bottom"/>
          </w:tcPr>
          <w:p>
            <w:pPr>
              <w:spacing w:after="0"/>
              <w:rPr>
                <w:sz w:val="20"/>
                <w:szCs w:val="20"/>
                <w:color w:val="auto"/>
              </w:rPr>
            </w:pPr>
            <w:r>
              <w:rPr>
                <w:rFonts w:ascii="Arial" w:cs="Arial" w:eastAsia="Arial" w:hAnsi="Arial"/>
                <w:sz w:val="18"/>
                <w:szCs w:val="18"/>
                <w:color w:val="auto"/>
              </w:rPr>
              <w:t>Power of Attorney (included on the signature page to this Registration Statement)</w:t>
            </w:r>
          </w:p>
        </w:tc>
      </w:tr>
    </w:tbl>
    <w:p>
      <w:pPr>
        <w:spacing w:after="0" w:line="202" w:lineRule="exact"/>
        <w:rPr>
          <w:sz w:val="20"/>
          <w:szCs w:val="20"/>
          <w:color w:val="auto"/>
        </w:rPr>
      </w:pPr>
    </w:p>
    <w:p>
      <w:pPr>
        <w:ind w:left="1700" w:right="200" w:hanging="954"/>
        <w:spacing w:after="0" w:line="277" w:lineRule="auto"/>
        <w:tabs>
          <w:tab w:leader="none" w:pos="1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be filed by amendment, if applicable, or as an exhibit to a document to be incorporated by reference herein in connection with an offering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450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352425</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5.1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July 17, 2014</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TapImmune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1551 Eastlake Avenue East,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Seattle, Washington</w:t>
      </w:r>
    </w:p>
    <w:p>
      <w:pPr>
        <w:spacing w:after="0" w:line="21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S-3/A Registration Statement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0" w:lineRule="exact"/>
        <w:rPr>
          <w:sz w:val="20"/>
          <w:szCs w:val="20"/>
          <w:color w:val="auto"/>
        </w:rPr>
      </w:pPr>
    </w:p>
    <w:p>
      <w:pPr>
        <w:spacing w:after="0" w:line="29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We have acted as counsel to TapImmune Inc., a Nevada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Amendment No. 1 to the Registration Statement on Form S-3 (Registration Statement No. 333-196115, the “</w:t>
      </w:r>
      <w:r>
        <w:rPr>
          <w:rFonts w:ascii="Arial" w:cs="Arial" w:eastAsia="Arial" w:hAnsi="Arial"/>
          <w:sz w:val="16"/>
          <w:szCs w:val="16"/>
          <w:b w:val="1"/>
          <w:bCs w:val="1"/>
          <w:i w:val="1"/>
          <w:iCs w:val="1"/>
          <w:color w:val="auto"/>
        </w:rPr>
        <w:t>Amended Registration Statement</w:t>
      </w:r>
      <w:r>
        <w:rPr>
          <w:rFonts w:ascii="Arial" w:cs="Arial" w:eastAsia="Arial" w:hAnsi="Arial"/>
          <w:sz w:val="16"/>
          <w:szCs w:val="16"/>
          <w:color w:val="auto"/>
        </w:rPr>
        <w:t>”) to be filed by the Company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with the Securities and Exchange Commission, including the base prospectus (the “</w:t>
      </w:r>
      <w:r>
        <w:rPr>
          <w:rFonts w:ascii="Arial" w:cs="Arial" w:eastAsia="Arial" w:hAnsi="Arial"/>
          <w:sz w:val="16"/>
          <w:szCs w:val="16"/>
          <w:b w:val="1"/>
          <w:bCs w:val="1"/>
          <w:i w:val="1"/>
          <w:iCs w:val="1"/>
          <w:color w:val="auto"/>
        </w:rPr>
        <w:t>Base Prospectus</w:t>
      </w:r>
      <w:r>
        <w:rPr>
          <w:rFonts w:ascii="Arial" w:cs="Arial" w:eastAsia="Arial" w:hAnsi="Arial"/>
          <w:sz w:val="16"/>
          <w:szCs w:val="16"/>
          <w:color w:val="auto"/>
        </w:rPr>
        <w:t>”) filed with the Amended Registration Statement. The Base Prospectus provides that it may be supplemented in the future by one or more prospectus supplements (each, a “</w:t>
      </w:r>
      <w:r>
        <w:rPr>
          <w:rFonts w:ascii="Arial" w:cs="Arial" w:eastAsia="Arial" w:hAnsi="Arial"/>
          <w:sz w:val="16"/>
          <w:szCs w:val="16"/>
          <w:b w:val="1"/>
          <w:bCs w:val="1"/>
          <w:i w:val="1"/>
          <w:iCs w:val="1"/>
          <w:color w:val="auto"/>
        </w:rPr>
        <w:t>Prospectus Supplement</w:t>
      </w:r>
      <w:r>
        <w:rPr>
          <w:rFonts w:ascii="Arial" w:cs="Arial" w:eastAsia="Arial" w:hAnsi="Arial"/>
          <w:sz w:val="16"/>
          <w:szCs w:val="16"/>
          <w:color w:val="auto"/>
        </w:rPr>
        <w:t>”) and any free-writing prospectus(es). The Amended Registration Statement, including the Base Prospectus as supplemented from time to time by one or more Prospectus Supplements and any free-writing prospectus(es), covers the registration of (i) shares of common stock, $0.001 par value per share, of the Company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(ii) warrants exercisable into shares of common stock, $0.001 par value per share, of the Company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and (iii) units of one or more of the Common Stock and the Warrants (the “</w:t>
      </w:r>
      <w:r>
        <w:rPr>
          <w:rFonts w:ascii="Arial" w:cs="Arial" w:eastAsia="Arial" w:hAnsi="Arial"/>
          <w:sz w:val="16"/>
          <w:szCs w:val="16"/>
          <w:b w:val="1"/>
          <w:bCs w:val="1"/>
          <w:i w:val="1"/>
          <w:iCs w:val="1"/>
          <w:color w:val="auto"/>
        </w:rPr>
        <w:t>Units</w:t>
      </w:r>
      <w:r>
        <w:rPr>
          <w:rFonts w:ascii="Arial" w:cs="Arial" w:eastAsia="Arial" w:hAnsi="Arial"/>
          <w:sz w:val="16"/>
          <w:szCs w:val="16"/>
          <w:color w:val="auto"/>
        </w:rPr>
        <w:t>”). The Common Stock, the Warrants and the Units are being registered for offering and sale from time to time pursuant to Rule 415 under the Securities Act.</w:t>
      </w:r>
    </w:p>
    <w:p>
      <w:pPr>
        <w:spacing w:after="0" w:line="200" w:lineRule="exact"/>
        <w:rPr>
          <w:sz w:val="20"/>
          <w:szCs w:val="20"/>
          <w:color w:val="auto"/>
        </w:rPr>
      </w:pP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this opinion, we have examined and relied upon the originals, or copies certified to our satisfaction, of such records, documents, certificates, opinions, memoranda and other instruments as in our judgment are necessary or appropriate to enable us to render the opinion expressed below. As to certain factual matters, we have relied upon certificates of the officers of the Company and have not independently sought to verify such matters.</w:t>
      </w:r>
    </w:p>
    <w:p>
      <w:pPr>
        <w:spacing w:after="0" w:line="17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rendering this opinion, we have assumed the genuineness and authenticity of all signatures on original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 We have assumed that, at the time of issuance and sale, a sufficient number of shares of Common Stock and shares of common stock underlying the Warrants is authorized and available for issuance and that the consideration for the issuance and sale of the Common Stock and the shares of common stock underlying the Warrants is in an amount that is not less than the par value of the Common Stock.</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opinion herein is expressed solely with respect to the federal laws of the United States and the Nevada Revised Statutes. Our opinion is based on these laws as in effect on the date hereof. We express no opinion as to whether the laws of any particular jurisdiction are applicable to the subject matter hereof. We are not rendering any opinion as to compliance with any federal or state law, rule or regulation relating to securities, or to the sale or issuance thereof.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in reliance thereon, and subject to the qualifications herein stated, we are of the opinion that, provided that:</w:t>
      </w:r>
    </w:p>
    <w:p>
      <w:pPr>
        <w:spacing w:after="0" w:line="252" w:lineRule="exact"/>
        <w:rPr>
          <w:sz w:val="20"/>
          <w:szCs w:val="20"/>
          <w:color w:val="auto"/>
        </w:rPr>
      </w:pPr>
    </w:p>
    <w:p>
      <w:pPr>
        <w:ind w:left="340" w:hanging="332"/>
        <w:spacing w:after="0" w:line="342" w:lineRule="auto"/>
        <w:tabs>
          <w:tab w:leader="none" w:pos="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Amended Registration Statement and any required post-effective amendment thereto have all become effective under the Securities Act and the Base Prospectus and any and all Prospectus Supplement(s) required by applicable laws have been delivered and filed as required by such laws;</w:t>
      </w:r>
    </w:p>
    <w:p>
      <w:pPr>
        <w:spacing w:after="0" w:line="150" w:lineRule="exact"/>
        <w:rPr>
          <w:rFonts w:ascii="Arial" w:cs="Arial" w:eastAsia="Arial" w:hAnsi="Arial"/>
          <w:sz w:val="16"/>
          <w:szCs w:val="16"/>
          <w:color w:val="auto"/>
        </w:rPr>
      </w:pPr>
    </w:p>
    <w:p>
      <w:pPr>
        <w:ind w:left="980" w:hanging="972"/>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issuance of the Common Stock, the Warrants and the Units has been duly authorized by all necessary corporate action on the part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9" w:name="page40"/>
    <w:bookmarkEnd w:id="39"/>
    <w:p>
      <w:pPr>
        <w:jc w:val="both"/>
        <w:ind w:left="980" w:hanging="972"/>
        <w:spacing w:after="0" w:line="259"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issuance and sale of the Common Stock, the Warrants or the Units do not violate any applicable law, are in conformity with the Company’s then operative certificate of incorporation, as amended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and bylaws, as amended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do not result in a default under or breach of any agreement or instrument binding upon the Company and comply with any applicable requirement or restriction imposed by any court or governmental body having jurisdiction over the Company;</w:t>
      </w:r>
    </w:p>
    <w:p>
      <w:pPr>
        <w:spacing w:after="0" w:line="213"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certificates for the Common Stock and the certificates representing the Warrants have been duly executed by the Company, countersigned by the transfer agent therefor and duly delivered to the purchasers thereof against payment therefor; and</w:t>
      </w:r>
    </w:p>
    <w:p>
      <w:pPr>
        <w:spacing w:after="0" w:line="197" w:lineRule="exact"/>
        <w:rPr>
          <w:sz w:val="20"/>
          <w:szCs w:val="20"/>
          <w:color w:val="auto"/>
        </w:rPr>
      </w:pPr>
    </w:p>
    <w:p>
      <w:pPr>
        <w:ind w:left="340" w:hanging="8"/>
        <w:spacing w:after="0" w:line="277" w:lineRule="auto"/>
        <w:tabs>
          <w:tab w:leader="none" w:pos="718"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certificates representing the Warrants have been duly executed by the Company and duly delivered to the purchasers thereof against payment therefor,</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then the Common Stock, the Warrants and the Units when issued and sold as contemplated in the Amended Registration Statement, the Base Prospectus and the related Prospectus Supplement(s) and in accordance with any applicable duly authorized, executed and delivered purchase, underwriting or similar agreement, will be duly authorized, validly issued and the Common Stock, the Warrants and the Units will be fully paid and nonassessable.</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With your consent, we have assumed (a) that each of the Warrants and Units and the warrant agreements and unit agreements governing such securities (collectively, the “</w:t>
      </w:r>
      <w:r>
        <w:rPr>
          <w:rFonts w:ascii="Arial" w:cs="Arial" w:eastAsia="Arial" w:hAnsi="Arial"/>
          <w:sz w:val="16"/>
          <w:szCs w:val="16"/>
          <w:b w:val="1"/>
          <w:bCs w:val="1"/>
          <w:i w:val="1"/>
          <w:iCs w:val="1"/>
          <w:color w:val="auto"/>
        </w:rPr>
        <w:t>Documents</w:t>
      </w:r>
      <w:r>
        <w:rPr>
          <w:rFonts w:ascii="Arial" w:cs="Arial" w:eastAsia="Arial" w:hAnsi="Arial"/>
          <w:sz w:val="16"/>
          <w:szCs w:val="16"/>
          <w:color w:val="auto"/>
        </w:rPr>
        <w:t>”)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 (i) breaches of, or defaults under, agreements or instruments,</w:t>
      </w:r>
    </w:p>
    <w:p>
      <w:pPr>
        <w:spacing w:after="0" w:line="2" w:lineRule="exact"/>
        <w:rPr>
          <w:sz w:val="20"/>
          <w:szCs w:val="20"/>
          <w:color w:val="auto"/>
        </w:rPr>
      </w:pPr>
    </w:p>
    <w:p>
      <w:pPr>
        <w:ind w:firstLine="8"/>
        <w:spacing w:after="0" w:line="261" w:lineRule="auto"/>
        <w:tabs>
          <w:tab w:leader="none" w:pos="273" w:val="left"/>
        </w:tabs>
        <w:numPr>
          <w:ilvl w:val="0"/>
          <w:numId w:val="34"/>
        </w:numPr>
        <w:rPr>
          <w:rFonts w:ascii="Arial" w:cs="Arial" w:eastAsia="Arial" w:hAnsi="Arial"/>
          <w:sz w:val="18"/>
          <w:szCs w:val="18"/>
          <w:color w:val="auto"/>
        </w:rPr>
      </w:pPr>
      <w:r>
        <w:rPr>
          <w:rFonts w:ascii="Arial" w:cs="Arial" w:eastAsia="Arial" w:hAnsi="Arial"/>
          <w:sz w:val="18"/>
          <w:szCs w:val="18"/>
          <w:color w:val="auto"/>
        </w:rPr>
        <w:t>violations of statutes, rules, regulations or court or governmental orders, or (iii) failures to obtain required consents, approvals or authorizations from, or to make required registrations, declarations or filings with, governmental authorities.</w:t>
      </w:r>
    </w:p>
    <w:p>
      <w:pPr>
        <w:spacing w:after="0" w:line="21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hereby consent to the filing of this opinion as an exhibit to the Amended Registration Statement and to the reference to our firm under the caption “Legal Matters” in the Base Prospectus that forms part of the Amended Registration Statement. This opinion is expressed as of the date hereof, and we disclaim any undertaking to advise you of any subsequent changes in the facts stated or assumed herein or of any subsequent changes in applicable law.</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Sanders Ortoli Vaughn-Flam Rosenstadt LLP</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10680" w:type="dxa"/>
            <w:vAlign w:val="bottom"/>
            <w:gridSpan w:val="3"/>
          </w:tcPr>
          <w:p>
            <w:pPr>
              <w:ind w:left="480"/>
              <w:spacing w:after="0"/>
              <w:rPr>
                <w:sz w:val="20"/>
                <w:szCs w:val="20"/>
                <w:color w:val="auto"/>
              </w:rPr>
            </w:pPr>
            <w:r>
              <w:rPr>
                <w:rFonts w:ascii="Arial" w:cs="Arial" w:eastAsia="Arial" w:hAnsi="Arial"/>
                <w:sz w:val="18"/>
                <w:szCs w:val="18"/>
                <w:color w:val="auto"/>
              </w:rPr>
              <w:t>/s/ William S. Rosenstadt</w:t>
            </w:r>
          </w:p>
        </w:tc>
      </w:tr>
      <w:tr>
        <w:trPr>
          <w:trHeight w:val="20"/>
        </w:trPr>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r>
      <w:tr>
        <w:trPr>
          <w:trHeight w:val="237"/>
        </w:trPr>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0" w:type="dxa"/>
            <w:vAlign w:val="bottom"/>
            <w:gridSpan w:val="2"/>
          </w:tcPr>
          <w:p>
            <w:pPr>
              <w:ind w:left="220"/>
              <w:spacing w:after="0"/>
              <w:rPr>
                <w:sz w:val="20"/>
                <w:szCs w:val="20"/>
                <w:color w:val="auto"/>
              </w:rPr>
            </w:pPr>
            <w:r>
              <w:rPr>
                <w:rFonts w:ascii="Arial" w:cs="Arial" w:eastAsia="Arial" w:hAnsi="Arial"/>
                <w:sz w:val="18"/>
                <w:szCs w:val="18"/>
                <w:color w:val="auto"/>
              </w:rPr>
              <w:t>William S. Rosenstadt</w:t>
            </w:r>
          </w:p>
        </w:tc>
      </w:tr>
      <w:tr>
        <w:trPr>
          <w:trHeight w:val="118"/>
        </w:trPr>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380" w:type="dxa"/>
            <w:vAlign w:val="bottom"/>
          </w:tcPr>
          <w:p>
            <w:pPr>
              <w:spacing w:after="0"/>
              <w:rPr>
                <w:sz w:val="10"/>
                <w:szCs w:val="10"/>
                <w:color w:val="auto"/>
              </w:rPr>
            </w:pPr>
          </w:p>
        </w:tc>
      </w:tr>
      <w:tr>
        <w:trPr>
          <w:trHeight w:val="71"/>
        </w:trPr>
        <w:tc>
          <w:tcPr>
            <w:tcW w:w="740" w:type="dxa"/>
            <w:vAlign w:val="bottom"/>
            <w:shd w:val="clear" w:color="auto" w:fill="808080"/>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1820" w:type="dxa"/>
            <w:vAlign w:val="bottom"/>
            <w:shd w:val="clear" w:color="auto" w:fill="808080"/>
          </w:tcPr>
          <w:p>
            <w:pPr>
              <w:spacing w:after="0"/>
              <w:rPr>
                <w:sz w:val="6"/>
                <w:szCs w:val="6"/>
                <w:color w:val="auto"/>
              </w:rPr>
            </w:pPr>
          </w:p>
        </w:tc>
        <w:tc>
          <w:tcPr>
            <w:tcW w:w="8380" w:type="dxa"/>
            <w:vAlign w:val="bottom"/>
            <w:shd w:val="clear" w:color="auto" w:fill="808080"/>
          </w:tcPr>
          <w:p>
            <w:pPr>
              <w:spacing w:after="0"/>
              <w:rPr>
                <w:sz w:val="6"/>
                <w:szCs w:val="6"/>
                <w:color w:val="auto"/>
              </w:rPr>
            </w:pPr>
          </w:p>
        </w:tc>
      </w:tr>
    </w:tbl>
    <w:p>
      <w:pPr>
        <w:sectPr>
          <w:pgSz w:w="11900" w:h="16838" w:orient="portrait"/>
          <w:cols w:equalWidth="0" w:num="1">
            <w:col w:w="11420"/>
          </w:cols>
          <w:pgMar w:left="240" w:top="760" w:right="239" w:bottom="1440" w:gutter="0" w:footer="0" w:header="0"/>
        </w:sectPr>
      </w:pPr>
    </w:p>
    <w:bookmarkStart w:id="40" w:name="page41"/>
    <w:bookmarkEnd w:id="40"/>
    <w:p>
      <w:pPr>
        <w:ind w:left="100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198120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6560185" cy="1543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60185"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use in this Registration Statement on Form S-3 of our report dated April 14, 2014 relating to the consolidated financial statements of TapImmune Inc., and to the reference to our firm under the caption "Experts" in the related Prospectus of TapImmune Inc., for the registration of shares of its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6334125</wp:posOffset>
            </wp:positionH>
            <wp:positionV relativeFrom="paragraph">
              <wp:posOffset>295910</wp:posOffset>
            </wp:positionV>
            <wp:extent cx="917575" cy="4286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175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DALE MATHESON CARR-HILTON LABONTE LLP</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Chartered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450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20"/>
      </w:cols>
      <w:pgMar w:left="240" w:top="4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lowerRoman"/>
      <w:start w:val="2"/>
    </w:lvl>
    <w:lvl w:ilvl="1">
      <w:lvlJc w:val="left"/>
      <w:lvlText w:val="·"/>
      <w:numFmt w:val="bullet"/>
      <w:start w:val="1"/>
    </w:lvl>
    <w:lvl w:ilvl="2">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lvl w:ilvl="1">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1"/>
    </w:lvl>
    <w:lvl w:ilvl="1">
      <w:lvlJc w:val="left"/>
      <w:lvlText w:val="(%2)"/>
      <w:numFmt w:val="lowerRoman"/>
      <w:start w:val="1"/>
    </w:lvl>
  </w:abstractNum>
  <w:abstractNum w:abstractNumId="23">
    <w:nsid w:val="2901D82"/>
    <w:multiLevelType w:val="hybridMultilevel"/>
    <w:lvl w:ilvl="0">
      <w:lvlJc w:val="left"/>
      <w:lvlText w:val="(%1)"/>
      <w:numFmt w:val="lowerRoman"/>
      <w:start w:val="3"/>
    </w:lvl>
  </w:abstractNum>
  <w:abstractNum w:abstractNumId="24">
    <w:nsid w:val="3A95F874"/>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25">
    <w:nsid w:val="8138641"/>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26">
    <w:nsid w:val="1E7FF521"/>
    <w:multiLevelType w:val="hybridMultilevel"/>
    <w:lvl w:ilvl="0">
      <w:lvlJc w:val="left"/>
      <w:lvlText w:val="%1"/>
      <w:numFmt w:val="lowerLetter"/>
      <w:start w:val="1"/>
    </w:lvl>
    <w:lvl w:ilvl="1">
      <w:lvlJc w:val="left"/>
      <w:lvlText w:val="(%2)"/>
      <w:numFmt w:val="lowerRoman"/>
      <w:start w:val="3"/>
    </w:lvl>
  </w:abstractNum>
  <w:abstractNum w:abstractNumId="27">
    <w:nsid w:val="7C3DBD3D"/>
    <w:multiLevelType w:val="hybridMultilevel"/>
    <w:lvl w:ilvl="0">
      <w:lvlJc w:val="left"/>
      <w:lvlText w:val="(%1)"/>
      <w:numFmt w:val="lowerLetter"/>
      <w:start w:val="5"/>
    </w:lvl>
    <w:lvl w:ilvl="1">
      <w:lvlJc w:val="left"/>
      <w:lvlText w:val="%2"/>
      <w:numFmt w:val="lowerRoman"/>
      <w:start w:val="1"/>
    </w:lvl>
  </w:abstractNum>
  <w:abstractNum w:abstractNumId="28">
    <w:nsid w:val="737B8DDC"/>
    <w:multiLevelType w:val="hybridMultilevel"/>
    <w:lvl w:ilvl="0">
      <w:lvlJc w:val="left"/>
      <w:lvlText w:val="(%1)"/>
      <w:numFmt w:val="lowerLetter"/>
      <w:start w:val="8"/>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lowerRoman"/>
      <w:start w:val="1"/>
    </w:lvl>
  </w:abstractNum>
  <w:abstractNum w:abstractNumId="31">
    <w:nsid w:val="4516DDE9"/>
    <w:multiLevelType w:val="hybridMultilevel"/>
    <w:lvl w:ilvl="0">
      <w:lvlJc w:val="left"/>
      <w:lvlText w:val="(%1)"/>
      <w:numFmt w:val="lowerRoman"/>
      <w:start w:val="3"/>
    </w:lvl>
  </w:abstractNum>
  <w:abstractNum w:abstractNumId="32">
    <w:nsid w:val="3006C83E"/>
    <w:multiLevelType w:val="hybridMultilevel"/>
    <w:lvl w:ilvl="0">
      <w:lvlJc w:val="left"/>
      <w:lvlText w:val="(%1)"/>
      <w:numFmt w:val="lowerRoman"/>
      <w:start w:val="6"/>
    </w:lvl>
  </w:abstractNum>
  <w:abstractNum w:abstractNumId="33">
    <w:nsid w:val="614FD4A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2020-01-28T00:28:16Z</dcterms:created>
  <dcterms:modified xsi:type="dcterms:W3CDTF">2020-01-28T00:28:16Z</dcterms:modified>
</cp:coreProperties>
</file>