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Knobil Katharine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3" w:lineRule="auto"/>
        <w:rPr>
          <w:sz w:val="20"/>
          <w:szCs w:val="20"/>
          <w:color w:val="auto"/>
        </w:rPr>
      </w:pPr>
      <w:r>
        <w:rPr>
          <w:rFonts w:ascii="Times New Roman" w:cs="Times New Roman" w:eastAsia="Times New Roman" w:hAnsi="Times New Roman"/>
          <w:sz w:val="16"/>
          <w:szCs w:val="16"/>
          <w:color w:val="0000FF"/>
        </w:rPr>
        <w:t>C/O MARKER THERAPEUTICS, INC. 2450 HOLCOMBE BLVD, SUITE BCM-A, MS: BCM251</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02/12/2025</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000" w:type="dxa"/>
            <w:vAlign w:val="bottom"/>
            <w:tcBorders>
              <w:bottom w:val="single" w:sz="8" w:color="2C2C2C"/>
            </w:tcBorders>
          </w:tcPr>
          <w:p>
            <w:pPr>
              <w:spacing w:after="0"/>
              <w:rPr>
                <w:sz w:val="23"/>
                <w:szCs w:val="23"/>
                <w:color w:val="auto"/>
              </w:rPr>
            </w:pPr>
          </w:p>
        </w:tc>
        <w:tc>
          <w:tcPr>
            <w:tcW w:w="1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680" w:space="1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02/12/2025</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30,000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02/12/2035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One third of the shares vest on the first anniversary of the grant date and the remainder of the shares subsequently vest in equal annual installments over the second and third anniversary of the grant date subject to the Reporting Person's continued service as a director. The option exercise price is the closing price on the date of the grant, February 12, 2025.</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Julio C. Esquivel,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Katharine</w:t>
      </w:r>
      <w:r>
        <w:rPr>
          <w:sz w:val="20"/>
          <w:szCs w:val="20"/>
          <w:color w:val="auto"/>
        </w:rPr>
        <w:tab/>
      </w:r>
      <w:r>
        <w:rPr>
          <w:rFonts w:ascii="Times New Roman" w:cs="Times New Roman" w:eastAsia="Times New Roman" w:hAnsi="Times New Roman"/>
          <w:sz w:val="16"/>
          <w:szCs w:val="16"/>
          <w:color w:val="0000FF"/>
        </w:rPr>
        <w:t>02/14/2025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Knobil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92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8011"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2025-02-14T16:43:28Z</dcterms:created>
  <dcterms:modified xsi:type="dcterms:W3CDTF">2025-02-14T16:43:28Z</dcterms:modified>
</cp:coreProperties>
</file>