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876033309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360" w:hanging="302"/>
        <w:spacing w:after="0"/>
        <w:tabs>
          <w:tab w:leader="none" w:pos="5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360" w:hanging="297"/>
        <w:spacing w:after="0"/>
        <w:tabs>
          <w:tab w:leader="none" w:pos="536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360" w:hanging="302"/>
        <w:spacing w:after="0"/>
        <w:tabs>
          <w:tab w:leader="none" w:pos="5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rFonts w:ascii="MS PGothic" w:cs="MS PGothic" w:eastAsia="MS PGothic" w:hAnsi="MS PGothic"/>
          <w:sz w:val="18"/>
          <w:szCs w:val="18"/>
          <w:color w:val="auto"/>
        </w:rPr>
      </w:pPr>
    </w:p>
    <w:p>
      <w:pPr>
        <w:ind w:left="340" w:hanging="324"/>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876033309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Names of Reporting Persons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Brio Capital Master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9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Cayman Islands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38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5.</w:t>
            </w:r>
          </w:p>
        </w:tc>
        <w:tc>
          <w:tcPr>
            <w:tcW w:w="956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81"/>
        </w:trPr>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237,496 shares of common stock</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87"/>
        </w:trPr>
        <w:tc>
          <w:tcPr>
            <w:tcW w:w="138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w w:val="79"/>
              </w:rPr>
              <w:t>6.</w:t>
            </w:r>
          </w:p>
        </w:tc>
        <w:tc>
          <w:tcPr>
            <w:tcW w:w="9560" w:type="dxa"/>
            <w:vAlign w:val="bottom"/>
          </w:tcPr>
          <w:p>
            <w:pPr>
              <w:ind w:left="3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3"/>
        </w:trPr>
        <w:tc>
          <w:tcPr>
            <w:tcW w:w="13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9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18"/>
                <w:szCs w:val="18"/>
                <w:color w:val="auto"/>
              </w:rPr>
            </w:pPr>
          </w:p>
        </w:tc>
        <w:tc>
          <w:tcPr>
            <w:tcW w:w="956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9"/>
                <w:szCs w:val="9"/>
                <w:color w:val="auto"/>
              </w:rPr>
            </w:pPr>
          </w:p>
        </w:tc>
        <w:tc>
          <w:tcPr>
            <w:tcW w:w="9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3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Owned</w:t>
            </w:r>
          </w:p>
        </w:tc>
        <w:tc>
          <w:tcPr>
            <w:tcW w:w="480" w:type="dxa"/>
            <w:vAlign w:val="bottom"/>
            <w:tcBorders>
              <w:bottom w:val="single" w:sz="8" w:color="auto"/>
            </w:tcBorders>
          </w:tcPr>
          <w:p>
            <w:pPr>
              <w:spacing w:after="0"/>
              <w:rPr>
                <w:sz w:val="10"/>
                <w:szCs w:val="10"/>
                <w:color w:val="auto"/>
              </w:rPr>
            </w:pPr>
          </w:p>
        </w:tc>
        <w:tc>
          <w:tcPr>
            <w:tcW w:w="9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80" w:type="dxa"/>
            <w:vAlign w:val="bottom"/>
            <w:vMerge w:val="continue"/>
          </w:tcPr>
          <w:p>
            <w:pPr>
              <w:spacing w:after="0"/>
              <w:rPr>
                <w:sz w:val="6"/>
                <w:szCs w:val="6"/>
                <w:color w:val="auto"/>
              </w:rPr>
            </w:pPr>
          </w:p>
        </w:tc>
        <w:tc>
          <w:tcPr>
            <w:tcW w:w="48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7.</w:t>
            </w:r>
          </w:p>
        </w:tc>
        <w:tc>
          <w:tcPr>
            <w:tcW w:w="9560" w:type="dxa"/>
            <w:vAlign w:val="bottom"/>
            <w:vMerge w:val="restart"/>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2"/>
              </w:rPr>
              <w:t>By Each</w:t>
            </w:r>
          </w:p>
        </w:tc>
        <w:tc>
          <w:tcPr>
            <w:tcW w:w="480" w:type="dxa"/>
            <w:vAlign w:val="bottom"/>
            <w:vMerge w:val="continue"/>
          </w:tcPr>
          <w:p>
            <w:pPr>
              <w:spacing w:after="0"/>
              <w:rPr>
                <w:sz w:val="13"/>
                <w:szCs w:val="13"/>
                <w:color w:val="auto"/>
              </w:rPr>
            </w:pPr>
          </w:p>
        </w:tc>
        <w:tc>
          <w:tcPr>
            <w:tcW w:w="9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tcPr>
          <w:p>
            <w:pPr>
              <w:spacing w:after="0"/>
              <w:rPr>
                <w:sz w:val="18"/>
                <w:szCs w:val="18"/>
                <w:color w:val="auto"/>
              </w:rPr>
            </w:pPr>
          </w:p>
        </w:tc>
        <w:tc>
          <w:tcPr>
            <w:tcW w:w="9560" w:type="dxa"/>
            <w:vAlign w:val="bottom"/>
            <w:vMerge w:val="restart"/>
          </w:tcPr>
          <w:p>
            <w:pPr>
              <w:ind w:left="320"/>
              <w:spacing w:after="0"/>
              <w:rPr>
                <w:sz w:val="20"/>
                <w:szCs w:val="20"/>
                <w:color w:val="auto"/>
              </w:rPr>
            </w:pPr>
            <w:r>
              <w:rPr>
                <w:rFonts w:ascii="Arial" w:cs="Arial" w:eastAsia="Arial" w:hAnsi="Arial"/>
                <w:sz w:val="18"/>
                <w:szCs w:val="18"/>
                <w:color w:val="auto"/>
              </w:rPr>
              <w:t>237,496 shares of common stock</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99"/>
        </w:trPr>
        <w:tc>
          <w:tcPr>
            <w:tcW w:w="1380" w:type="dxa"/>
            <w:vAlign w:val="bottom"/>
          </w:tcPr>
          <w:p>
            <w:pPr>
              <w:jc w:val="center"/>
              <w:spacing w:after="0"/>
              <w:rPr>
                <w:sz w:val="20"/>
                <w:szCs w:val="20"/>
                <w:color w:val="auto"/>
              </w:rPr>
            </w:pPr>
            <w:r>
              <w:rPr>
                <w:rFonts w:ascii="Arial" w:cs="Arial" w:eastAsia="Arial" w:hAnsi="Arial"/>
                <w:sz w:val="18"/>
                <w:szCs w:val="18"/>
                <w:color w:val="auto"/>
                <w:w w:val="91"/>
              </w:rPr>
              <w:t>Person With:</w:t>
            </w:r>
          </w:p>
        </w:tc>
        <w:tc>
          <w:tcPr>
            <w:tcW w:w="480" w:type="dxa"/>
            <w:vAlign w:val="bottom"/>
          </w:tcPr>
          <w:p>
            <w:pPr>
              <w:spacing w:after="0"/>
              <w:rPr>
                <w:sz w:val="24"/>
                <w:szCs w:val="24"/>
                <w:color w:val="auto"/>
              </w:rPr>
            </w:pPr>
          </w:p>
        </w:tc>
        <w:tc>
          <w:tcPr>
            <w:tcW w:w="9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59055</wp:posOffset>
            </wp:positionV>
            <wp:extent cx="6371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71590" cy="17145"/>
                    </a:xfrm>
                    <a:prstGeom prst="rect">
                      <a:avLst/>
                    </a:prstGeom>
                    <a:noFill/>
                  </pic:spPr>
                </pic:pic>
              </a:graphicData>
            </a:graphic>
          </wp:anchor>
        </w:drawing>
      </w:r>
    </w:p>
    <w:p>
      <w:pPr>
        <w:spacing w:after="0" w:line="86" w:lineRule="exact"/>
        <w:rPr>
          <w:sz w:val="20"/>
          <w:szCs w:val="20"/>
          <w:color w:val="auto"/>
        </w:rPr>
      </w:pPr>
    </w:p>
    <w:p>
      <w:pPr>
        <w:ind w:left="2180" w:right="7360" w:hanging="794"/>
        <w:spacing w:after="0" w:line="516" w:lineRule="auto"/>
        <w:tabs>
          <w:tab w:leader="none" w:pos="218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920" w:right="5680" w:hanging="912"/>
        <w:spacing w:after="0" w:line="385"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237,496 shares of common stock</w:t>
      </w:r>
      <w:r>
        <w:rPr>
          <w:rFonts w:ascii="Arial" w:cs="Arial" w:eastAsia="Arial" w:hAnsi="Arial"/>
          <w:sz w:val="30"/>
          <w:szCs w:val="30"/>
          <w:color w:val="auto"/>
          <w:vertAlign w:val="superscript"/>
        </w:rPr>
        <w:t>(1)</w:t>
      </w:r>
    </w:p>
    <w:p>
      <w:pPr>
        <w:ind w:left="920" w:right="5000" w:hanging="912"/>
        <w:spacing w:after="0" w:line="239" w:lineRule="exact"/>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See footnote (1) below.</w:t>
      </w:r>
    </w:p>
    <w:p>
      <w:pPr>
        <w:spacing w:after="0" w:line="230" w:lineRule="exact"/>
        <w:rPr>
          <w:rFonts w:ascii="Arial" w:cs="Arial" w:eastAsia="Arial" w:hAnsi="Arial"/>
          <w:sz w:val="18"/>
          <w:szCs w:val="18"/>
          <w:color w:val="auto"/>
        </w:rPr>
      </w:pPr>
    </w:p>
    <w:p>
      <w:pPr>
        <w:ind w:left="920" w:right="6700" w:hanging="912"/>
        <w:spacing w:after="0" w:line="516"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0.05%</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-1991360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-1407795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-979170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firstLine="8"/>
        <w:spacing w:after="0" w:line="286"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Brio Capital Management LLC, is the investment manager of Brio Capital Master Fund Ltd. and has the voting and investment discretion over securities held by the Brio Capital Fund Ltd. Shaye Hirsch, in his capacity as Managing Member of Brio Capital Management LLC, makes voting and investment decisions on behalf of Brio Capital Management LLC in its capacity as the investment manager of Brio Capital Master Fund Ltd.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Marker Therapeutics, Inc.</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the Issuer’s Principal Executive Offices</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5 West Forsyth Street, Suite 200, Jacksonville, FL 32202</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Names of Person Filing</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Brio Capital Master Fund Ltd.</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the Principal Business Office, or if none, Residence:</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 Brio Capital Management LLC, 100 Merrick Road, Suite 401 W. Rockville Center, NY 11570.</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Cayman Islands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Common Stock, $0.001 par value per share.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876033309</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 xml:space="preserve">If this statement is filed pursuant to Rules </w:t>
      </w:r>
      <w:r>
        <w:rPr>
          <w:rFonts w:ascii="Arial" w:cs="Arial" w:eastAsia="Arial" w:hAnsi="Arial"/>
          <w:sz w:val="16"/>
          <w:szCs w:val="16"/>
          <w:b w:val="1"/>
          <w:bCs w:val="1"/>
          <w:u w:val="single" w:color="auto"/>
          <w:color w:val="auto"/>
        </w:rPr>
        <w:t>13d-1(b),</w:t>
      </w:r>
      <w:r>
        <w:rPr>
          <w:rFonts w:ascii="Arial" w:cs="Arial" w:eastAsia="Arial" w:hAnsi="Arial"/>
          <w:sz w:val="16"/>
          <w:szCs w:val="16"/>
          <w:b w:val="1"/>
          <w:bCs w:val="1"/>
          <w:color w:val="auto"/>
        </w:rPr>
        <w:t xml:space="preserve"> or </w:t>
      </w:r>
      <w:r>
        <w:rPr>
          <w:rFonts w:ascii="Arial" w:cs="Arial" w:eastAsia="Arial" w:hAnsi="Arial"/>
          <w:sz w:val="16"/>
          <w:szCs w:val="16"/>
          <w:b w:val="1"/>
          <w:bCs w:val="1"/>
          <w:u w:val="single" w:color="auto"/>
          <w:color w:val="auto"/>
        </w:rPr>
        <w:t>13d-2(b)</w:t>
      </w:r>
      <w:r>
        <w:rPr>
          <w:rFonts w:ascii="Arial" w:cs="Arial" w:eastAsia="Arial" w:hAnsi="Arial"/>
          <w:sz w:val="16"/>
          <w:szCs w:val="16"/>
          <w:b w:val="1"/>
          <w:bCs w:val="1"/>
          <w:color w:val="auto"/>
        </w:rPr>
        <w:t xml:space="preserve"> or (c), check whether the person filing is a:</w:t>
      </w:r>
    </w:p>
    <w:p>
      <w:pPr>
        <w:spacing w:after="0" w:line="229" w:lineRule="exact"/>
        <w:rPr>
          <w:sz w:val="20"/>
          <w:szCs w:val="20"/>
          <w:color w:val="auto"/>
        </w:rPr>
      </w:pPr>
    </w:p>
    <w:p>
      <w:pPr>
        <w:ind w:left="1500" w:hanging="452"/>
        <w:spacing w:after="0"/>
        <w:tabs>
          <w:tab w:leader="none" w:pos="1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 Broker or Dealer registered under Section 15 of the Exchange Act.</w:t>
      </w:r>
    </w:p>
    <w:p>
      <w:pPr>
        <w:spacing w:after="0" w:line="225" w:lineRule="exact"/>
        <w:rPr>
          <w:rFonts w:ascii="MS PGothic" w:cs="MS PGothic" w:eastAsia="MS PGothic" w:hAnsi="MS PGothic"/>
          <w:sz w:val="18"/>
          <w:szCs w:val="18"/>
          <w:color w:val="auto"/>
        </w:rPr>
      </w:pPr>
    </w:p>
    <w:p>
      <w:pPr>
        <w:ind w:left="1500" w:hanging="452"/>
        <w:spacing w:after="0"/>
        <w:tabs>
          <w:tab w:leader="none" w:pos="1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(b) Bank as defined in Section 3(a)(b) or the Exchange Act.</w:t>
      </w:r>
    </w:p>
    <w:p>
      <w:pPr>
        <w:spacing w:after="0" w:line="225" w:lineRule="exact"/>
        <w:rPr>
          <w:rFonts w:ascii="MS PGothic" w:cs="MS PGothic" w:eastAsia="MS PGothic" w:hAnsi="MS PGothic"/>
          <w:sz w:val="18"/>
          <w:szCs w:val="18"/>
          <w:color w:val="auto"/>
        </w:rPr>
      </w:pPr>
    </w:p>
    <w:p>
      <w:pPr>
        <w:ind w:left="1500" w:hanging="452"/>
        <w:spacing w:after="0"/>
        <w:tabs>
          <w:tab w:leader="none" w:pos="1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 Insurance company as defined in Section 3(a)(19) of the Exchange Act.</w:t>
      </w:r>
    </w:p>
    <w:p>
      <w:pPr>
        <w:spacing w:after="0" w:line="225" w:lineRule="exact"/>
        <w:rPr>
          <w:rFonts w:ascii="MS PGothic" w:cs="MS PGothic" w:eastAsia="MS PGothic" w:hAnsi="MS PGothic"/>
          <w:sz w:val="18"/>
          <w:szCs w:val="18"/>
          <w:color w:val="auto"/>
        </w:rPr>
      </w:pPr>
    </w:p>
    <w:p>
      <w:pPr>
        <w:ind w:left="1500" w:hanging="452"/>
        <w:spacing w:after="0"/>
        <w:tabs>
          <w:tab w:leader="none" w:pos="1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(d) Investment company registered under Section 8 of the Investment Company Act.</w:t>
      </w:r>
    </w:p>
    <w:p>
      <w:pPr>
        <w:spacing w:after="0" w:line="225" w:lineRule="exact"/>
        <w:rPr>
          <w:rFonts w:ascii="MS PGothic" w:cs="MS PGothic" w:eastAsia="MS PGothic" w:hAnsi="MS PGothic"/>
          <w:sz w:val="18"/>
          <w:szCs w:val="18"/>
          <w:color w:val="auto"/>
        </w:rPr>
      </w:pPr>
    </w:p>
    <w:p>
      <w:pPr>
        <w:ind w:left="1500" w:hanging="452"/>
        <w:spacing w:after="0"/>
        <w:tabs>
          <w:tab w:leader="none" w:pos="1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(e) An Investment adviser in accordance with Rule 13d-1 (b)(1)(ii)(e).</w:t>
      </w:r>
    </w:p>
    <w:p>
      <w:pPr>
        <w:spacing w:after="0" w:line="225" w:lineRule="exact"/>
        <w:rPr>
          <w:rFonts w:ascii="MS PGothic" w:cs="MS PGothic" w:eastAsia="MS PGothic" w:hAnsi="MS PGothic"/>
          <w:sz w:val="18"/>
          <w:szCs w:val="18"/>
          <w:color w:val="auto"/>
        </w:rPr>
      </w:pPr>
    </w:p>
    <w:p>
      <w:pPr>
        <w:ind w:left="1500" w:hanging="452"/>
        <w:spacing w:after="0"/>
        <w:tabs>
          <w:tab w:leader="none" w:pos="1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 An employee benefit plan or endowment fund in accordance with Rule 13d 1(b)(1)(ii)(f).</w:t>
      </w:r>
    </w:p>
    <w:p>
      <w:pPr>
        <w:spacing w:after="0" w:line="225" w:lineRule="exact"/>
        <w:rPr>
          <w:rFonts w:ascii="MS PGothic" w:cs="MS PGothic" w:eastAsia="MS PGothic" w:hAnsi="MS PGothic"/>
          <w:sz w:val="18"/>
          <w:szCs w:val="18"/>
          <w:color w:val="auto"/>
        </w:rPr>
      </w:pPr>
    </w:p>
    <w:p>
      <w:pPr>
        <w:ind w:left="1500" w:hanging="452"/>
        <w:spacing w:after="0"/>
        <w:tabs>
          <w:tab w:leader="none" w:pos="1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 A Parent Holding Company or control person in accordance with Rule 13d 1(b)(1)(ii)(g).</w:t>
      </w:r>
    </w:p>
    <w:p>
      <w:pPr>
        <w:spacing w:after="0" w:line="225" w:lineRule="exact"/>
        <w:rPr>
          <w:rFonts w:ascii="MS PGothic" w:cs="MS PGothic" w:eastAsia="MS PGothic" w:hAnsi="MS PGothic"/>
          <w:sz w:val="18"/>
          <w:szCs w:val="18"/>
          <w:color w:val="auto"/>
        </w:rPr>
      </w:pPr>
    </w:p>
    <w:p>
      <w:pPr>
        <w:ind w:left="1500" w:hanging="452"/>
        <w:spacing w:after="0"/>
        <w:tabs>
          <w:tab w:leader="none" w:pos="1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(h) A Savings Association as defined in Section 3(b) of the Federal Deposit Insurance Act.</w:t>
      </w:r>
    </w:p>
    <w:p>
      <w:pPr>
        <w:spacing w:after="0" w:line="225" w:lineRule="exact"/>
        <w:rPr>
          <w:rFonts w:ascii="MS PGothic" w:cs="MS PGothic" w:eastAsia="MS PGothic" w:hAnsi="MS PGothic"/>
          <w:sz w:val="18"/>
          <w:szCs w:val="18"/>
          <w:color w:val="auto"/>
        </w:rPr>
      </w:pPr>
    </w:p>
    <w:p>
      <w:pPr>
        <w:ind w:left="1500" w:hanging="452"/>
        <w:spacing w:after="0"/>
        <w:tabs>
          <w:tab w:leader="none" w:pos="15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(i) A Church Plan that is excluded from the definition of an investment company under Section 3(c)(14) of the Investment Company Act.</w:t>
      </w:r>
    </w:p>
    <w:p>
      <w:pPr>
        <w:spacing w:after="0" w:line="248" w:lineRule="exact"/>
        <w:rPr>
          <w:rFonts w:ascii="MS PGothic" w:cs="MS PGothic" w:eastAsia="MS PGothic" w:hAnsi="MS PGothic"/>
          <w:sz w:val="16"/>
          <w:szCs w:val="16"/>
          <w:color w:val="auto"/>
        </w:rPr>
      </w:pPr>
    </w:p>
    <w:p>
      <w:pPr>
        <w:ind w:left="1500" w:right="6020" w:hanging="452"/>
        <w:spacing w:after="0" w:line="528" w:lineRule="auto"/>
        <w:tabs>
          <w:tab w:leader="none" w:pos="1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(j) Group, in accordance with Rule 13d-1 (b)(1)(ii)(j). Not applicable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580" w:type="dxa"/>
            <w:vAlign w:val="bottom"/>
          </w:tcPr>
          <w:p>
            <w:pPr>
              <w:ind w:left="200"/>
              <w:spacing w:after="0"/>
              <w:rPr>
                <w:sz w:val="20"/>
                <w:szCs w:val="20"/>
                <w:color w:val="auto"/>
              </w:rPr>
            </w:pPr>
            <w:r>
              <w:rPr>
                <w:rFonts w:ascii="Arial" w:cs="Arial" w:eastAsia="Arial" w:hAnsi="Arial"/>
                <w:sz w:val="18"/>
                <w:szCs w:val="18"/>
                <w:b w:val="1"/>
                <w:bCs w:val="1"/>
                <w:color w:val="auto"/>
              </w:rPr>
              <w:t>Ownership</w:t>
            </w:r>
          </w:p>
        </w:tc>
      </w:tr>
      <w:tr>
        <w:trPr>
          <w:trHeight w:val="432"/>
        </w:trPr>
        <w:tc>
          <w:tcPr>
            <w:tcW w:w="840" w:type="dxa"/>
            <w:vAlign w:val="bottom"/>
          </w:tcPr>
          <w:p>
            <w:pPr>
              <w:spacing w:after="0"/>
              <w:rPr>
                <w:sz w:val="24"/>
                <w:szCs w:val="24"/>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The information required by Items 4(a)-(c) is set forth in Rows 5-11 of the Cover Page and is incorporated herein by reference.</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580" w:type="dxa"/>
            <w:vAlign w:val="bottom"/>
          </w:tcPr>
          <w:p>
            <w:pPr>
              <w:ind w:left="20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432"/>
        </w:trPr>
        <w:tc>
          <w:tcPr>
            <w:tcW w:w="840" w:type="dxa"/>
            <w:vAlign w:val="bottom"/>
          </w:tcPr>
          <w:p>
            <w:pPr>
              <w:spacing w:after="0"/>
              <w:rPr>
                <w:sz w:val="24"/>
                <w:szCs w:val="24"/>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Reporting Person owns less than 5%.</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80" w:type="dxa"/>
            <w:vAlign w:val="bottom"/>
          </w:tcPr>
          <w:p>
            <w:pPr>
              <w:ind w:left="20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32"/>
        </w:trPr>
        <w:tc>
          <w:tcPr>
            <w:tcW w:w="840" w:type="dxa"/>
            <w:vAlign w:val="bottom"/>
          </w:tcPr>
          <w:p>
            <w:pPr>
              <w:spacing w:after="0"/>
              <w:rPr>
                <w:sz w:val="24"/>
                <w:szCs w:val="24"/>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Not Applicable</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80" w:type="dxa"/>
            <w:vAlign w:val="bottom"/>
          </w:tcPr>
          <w:p>
            <w:pPr>
              <w:ind w:left="200"/>
              <w:spacing w:after="0"/>
              <w:rPr>
                <w:sz w:val="20"/>
                <w:szCs w:val="20"/>
                <w:color w:val="auto"/>
              </w:rPr>
            </w:pPr>
            <w:r>
              <w:rPr>
                <w:rFonts w:ascii="Arial" w:cs="Arial" w:eastAsia="Arial" w:hAnsi="Arial"/>
                <w:sz w:val="18"/>
                <w:szCs w:val="18"/>
                <w:b w:val="1"/>
                <w:bCs w:val="1"/>
                <w:color w:val="auto"/>
                <w:w w:val="92"/>
              </w:rPr>
              <w:t>Identification and Classification of the Subsidiary Which Acquired the Security Being Reported On By the Parent Holding Company</w:t>
            </w:r>
          </w:p>
        </w:tc>
      </w:tr>
      <w:tr>
        <w:trPr>
          <w:trHeight w:val="432"/>
        </w:trPr>
        <w:tc>
          <w:tcPr>
            <w:tcW w:w="840" w:type="dxa"/>
            <w:vAlign w:val="bottom"/>
          </w:tcPr>
          <w:p>
            <w:pPr>
              <w:spacing w:after="0"/>
              <w:rPr>
                <w:sz w:val="24"/>
                <w:szCs w:val="24"/>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Not Applicable</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580" w:type="dxa"/>
            <w:vAlign w:val="bottom"/>
          </w:tcPr>
          <w:p>
            <w:pPr>
              <w:ind w:left="20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840" w:type="dxa"/>
            <w:vAlign w:val="bottom"/>
          </w:tcPr>
          <w:p>
            <w:pPr>
              <w:spacing w:after="0"/>
              <w:rPr>
                <w:sz w:val="24"/>
                <w:szCs w:val="24"/>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Not Applicable</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580" w:type="dxa"/>
            <w:vAlign w:val="bottom"/>
          </w:tcPr>
          <w:p>
            <w:pPr>
              <w:ind w:left="20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840" w:type="dxa"/>
            <w:vAlign w:val="bottom"/>
          </w:tcPr>
          <w:p>
            <w:pPr>
              <w:spacing w:after="0"/>
              <w:rPr>
                <w:sz w:val="24"/>
                <w:szCs w:val="24"/>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Not Applicable</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580" w:type="dxa"/>
            <w:vAlign w:val="bottom"/>
          </w:tcPr>
          <w:p>
            <w:pPr>
              <w:ind w:left="200"/>
              <w:spacing w:after="0"/>
              <w:rPr>
                <w:sz w:val="20"/>
                <w:szCs w:val="20"/>
                <w:color w:val="auto"/>
              </w:rPr>
            </w:pPr>
            <w:r>
              <w:rPr>
                <w:rFonts w:ascii="Arial" w:cs="Arial" w:eastAsia="Arial" w:hAnsi="Arial"/>
                <w:sz w:val="18"/>
                <w:szCs w:val="18"/>
                <w:b w:val="1"/>
                <w:bCs w:val="1"/>
                <w:color w:val="auto"/>
              </w:rPr>
              <w:t>Certification</w:t>
            </w:r>
          </w:p>
        </w:tc>
      </w:tr>
      <w:tr>
        <w:trPr>
          <w:trHeight w:val="418"/>
        </w:trPr>
        <w:tc>
          <w:tcPr>
            <w:tcW w:w="840" w:type="dxa"/>
            <w:vAlign w:val="bottom"/>
          </w:tcPr>
          <w:p>
            <w:pPr>
              <w:spacing w:after="0"/>
              <w:rPr>
                <w:sz w:val="24"/>
                <w:szCs w:val="24"/>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2"/>
              </w:rPr>
              <w:t>By signing below I certify that, to the best of my knowledge and belief, the securities referred to above were not acquired and are not held for</w:t>
            </w: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2"/>
              </w:rPr>
              <w:t>the purpose of or with the effect of changing or influencing the control of the issuer of the securities and were not acquired and are not held in</w:t>
            </w: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2"/>
              </w:rPr>
              <w:t>connection with or as a participant in any transaction having that purpose or effect, other than activities solely in connection with a nomination</w:t>
            </w:r>
          </w:p>
        </w:tc>
      </w:tr>
      <w:tr>
        <w:trPr>
          <w:trHeight w:val="230"/>
        </w:trPr>
        <w:tc>
          <w:tcPr>
            <w:tcW w:w="84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under § 240.14a-11.</w:t>
            </w:r>
          </w:p>
        </w:tc>
      </w:tr>
      <w:tr>
        <w:trPr>
          <w:trHeight w:val="871"/>
        </w:trPr>
        <w:tc>
          <w:tcPr>
            <w:tcW w:w="8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ind w:left="484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904" w:right="23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4, 2019</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Brio Capital Master Fund Ltd.,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Cayman Islands Exempted Company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Brio Capital Management LLC, its Investment Manager</w:t>
      </w:r>
    </w:p>
    <w:p>
      <w:pPr>
        <w:spacing w:after="0" w:line="248"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Shaye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Shaye Hirsch</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(See 18 U.S.C. 1001)</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220"/>
      </w:cols>
      <w:pgMar w:left="24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2AE8944A"/>
    <w:multiLevelType w:val="hybridMultilevel"/>
    <w:lvl w:ilvl="0">
      <w:lvlJc w:val="left"/>
      <w:lvlText w:val="%1"/>
      <w:numFmt w:val="decimal"/>
      <w:start w:val="1"/>
    </w:lvl>
    <w:lvl w:ilvl="1">
      <w:lvlJc w:val="left"/>
      <w:lvlText w:val="%2."/>
      <w:numFmt w:val="decimal"/>
      <w:start w:val="8"/>
    </w:lvl>
  </w:abstractNum>
  <w:abstractNum w:abstractNumId="2">
    <w:nsid w:val="625558EC"/>
    <w:multiLevelType w:val="hybridMultilevel"/>
    <w:lvl w:ilvl="0">
      <w:lvlJc w:val="left"/>
      <w:lvlText w:val="%1."/>
      <w:numFmt w:val="decimal"/>
      <w:start w:val="9"/>
    </w:lvl>
    <w:lvl w:ilvl="1">
      <w:lvlJc w:val="left"/>
      <w:lvlText w:val="%2"/>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2020-01-09T18:07:37Z</dcterms:created>
  <dcterms:modified xsi:type="dcterms:W3CDTF">2020-01-09T18:07:37Z</dcterms:modified>
</cp:coreProperties>
</file>