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February 10, 2016</w:t>
      </w:r>
    </w:p>
    <w:p>
      <w:pPr>
        <w:spacing w:after="0" w:line="1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Date of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ind w:left="3840"/>
        <w:spacing w:after="0"/>
        <w:rPr>
          <w:sz w:val="20"/>
          <w:szCs w:val="20"/>
          <w:color w:val="auto"/>
        </w:rPr>
      </w:pPr>
      <w:r>
        <w:rPr>
          <w:rFonts w:ascii="Arial" w:cs="Arial" w:eastAsia="Arial" w:hAnsi="Arial"/>
          <w:sz w:val="43"/>
          <w:szCs w:val="43"/>
          <w:b w:val="1"/>
          <w:bCs w:val="1"/>
          <w:color w:val="auto"/>
        </w:rPr>
        <w:t>TAPIMMUNE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4100" w:type="dxa"/>
            <w:vAlign w:val="bottom"/>
          </w:tcPr>
          <w:p>
            <w:pPr>
              <w:jc w:val="center"/>
              <w:ind w:right="2359"/>
              <w:spacing w:after="0"/>
              <w:rPr>
                <w:sz w:val="20"/>
                <w:szCs w:val="20"/>
                <w:color w:val="auto"/>
              </w:rPr>
            </w:pPr>
            <w:r>
              <w:rPr>
                <w:rFonts w:ascii="Arial" w:cs="Arial" w:eastAsia="Arial" w:hAnsi="Arial"/>
                <w:sz w:val="18"/>
                <w:szCs w:val="18"/>
                <w:b w:val="1"/>
                <w:bCs w:val="1"/>
                <w:color w:val="auto"/>
                <w:w w:val="90"/>
              </w:rPr>
              <w:t>Nevada</w:t>
            </w:r>
          </w:p>
        </w:tc>
        <w:tc>
          <w:tcPr>
            <w:tcW w:w="2420" w:type="dxa"/>
            <w:vAlign w:val="bottom"/>
          </w:tcPr>
          <w:p>
            <w:pPr>
              <w:ind w:left="240"/>
              <w:spacing w:after="0"/>
              <w:rPr>
                <w:sz w:val="20"/>
                <w:szCs w:val="20"/>
                <w:color w:val="auto"/>
              </w:rPr>
            </w:pPr>
            <w:r>
              <w:rPr>
                <w:rFonts w:ascii="Arial" w:cs="Arial" w:eastAsia="Arial" w:hAnsi="Arial"/>
                <w:sz w:val="18"/>
                <w:szCs w:val="18"/>
                <w:b w:val="1"/>
                <w:bCs w:val="1"/>
                <w:color w:val="auto"/>
              </w:rPr>
              <w:t>000-27239</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45-4497941</w:t>
            </w:r>
          </w:p>
        </w:tc>
      </w:tr>
      <w:tr>
        <w:trPr>
          <w:trHeight w:val="149"/>
        </w:trPr>
        <w:tc>
          <w:tcPr>
            <w:tcW w:w="4100" w:type="dxa"/>
            <w:vAlign w:val="bottom"/>
          </w:tcPr>
          <w:p>
            <w:pPr>
              <w:jc w:val="center"/>
              <w:ind w:right="23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00" w:type="dxa"/>
            <w:vAlign w:val="bottom"/>
          </w:tcPr>
          <w:p>
            <w:pPr>
              <w:jc w:val="center"/>
              <w:ind w:right="235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00" w:type="dxa"/>
            <w:vAlign w:val="bottom"/>
          </w:tcPr>
          <w:p>
            <w:pPr>
              <w:jc w:val="center"/>
              <w:ind w:left="1259"/>
              <w:spacing w:after="0"/>
              <w:rPr>
                <w:sz w:val="20"/>
                <w:szCs w:val="20"/>
                <w:color w:val="auto"/>
              </w:rPr>
            </w:pPr>
            <w:r>
              <w:rPr>
                <w:rFonts w:ascii="Arial" w:cs="Arial" w:eastAsia="Arial" w:hAnsi="Arial"/>
                <w:sz w:val="18"/>
                <w:szCs w:val="18"/>
                <w:b w:val="1"/>
                <w:bCs w:val="1"/>
                <w:color w:val="auto"/>
                <w:w w:val="92"/>
              </w:rPr>
              <w:t>50 N. Laura Street, Suite 2500</w:t>
            </w:r>
          </w:p>
        </w:tc>
        <w:tc>
          <w:tcPr>
            <w:tcW w:w="24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00" w:type="dxa"/>
            <w:vAlign w:val="bottom"/>
          </w:tcPr>
          <w:p>
            <w:pPr>
              <w:jc w:val="center"/>
              <w:ind w:left="1239"/>
              <w:spacing w:after="0"/>
              <w:rPr>
                <w:sz w:val="20"/>
                <w:szCs w:val="20"/>
                <w:color w:val="auto"/>
              </w:rPr>
            </w:pPr>
            <w:r>
              <w:rPr>
                <w:rFonts w:ascii="Arial" w:cs="Arial" w:eastAsia="Arial" w:hAnsi="Arial"/>
                <w:sz w:val="18"/>
                <w:szCs w:val="18"/>
                <w:b w:val="1"/>
                <w:bCs w:val="1"/>
                <w:color w:val="auto"/>
                <w:w w:val="90"/>
              </w:rPr>
              <w:t>Jacksonville, FL</w:t>
            </w:r>
          </w:p>
        </w:tc>
        <w:tc>
          <w:tcPr>
            <w:tcW w:w="242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32202</w:t>
            </w:r>
          </w:p>
        </w:tc>
      </w:tr>
      <w:tr>
        <w:trPr>
          <w:trHeight w:val="186"/>
        </w:trPr>
        <w:tc>
          <w:tcPr>
            <w:tcW w:w="4100" w:type="dxa"/>
            <w:vAlign w:val="bottom"/>
          </w:tcPr>
          <w:p>
            <w:pPr>
              <w:jc w:val="center"/>
              <w:ind w:left="1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(206) 504-7278</w:t>
      </w:r>
    </w:p>
    <w:p>
      <w:pPr>
        <w:spacing w:after="0" w:line="21" w:lineRule="exact"/>
        <w:rPr>
          <w:sz w:val="24"/>
          <w:szCs w:val="24"/>
          <w:color w:val="auto"/>
        </w:rPr>
      </w:pPr>
    </w:p>
    <w:p>
      <w:pPr>
        <w:jc w:val="center"/>
        <w:ind w:right="-5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February 10, 2016, TapImmune Inc. (the Company” or “TapImmune”) entered into a Second Amendment to the Consulting Agreement (the “Second Amendment” ) with Dr. John Bonfiglio, a director of the Company. The Second Amendment was approved by the Company’s Audit Committee. The Second Amendment extends the term of the Consulting Agreement from February 10, 2016 to August 10, 2016. All other terms of the Consulting Agreement remain in full force and effect.</w:t>
      </w:r>
    </w:p>
    <w:p>
      <w:pPr>
        <w:spacing w:after="0" w:line="3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60" w:type="dxa"/>
            <w:vAlign w:val="bottom"/>
          </w:tcPr>
          <w:p>
            <w:pPr>
              <w:ind w:left="20"/>
              <w:spacing w:after="0"/>
              <w:rPr>
                <w:sz w:val="20"/>
                <w:szCs w:val="20"/>
                <w:color w:val="auto"/>
              </w:rPr>
            </w:pPr>
            <w:r>
              <w:rPr>
                <w:rFonts w:ascii="Arial" w:cs="Arial" w:eastAsia="Arial" w:hAnsi="Arial"/>
                <w:sz w:val="14"/>
                <w:szCs w:val="14"/>
                <w:color w:val="auto"/>
              </w:rPr>
              <w:t>Exhibit No.</w:t>
            </w:r>
          </w:p>
        </w:tc>
        <w:tc>
          <w:tcPr>
            <w:tcW w:w="10060" w:type="dxa"/>
            <w:vAlign w:val="bottom"/>
          </w:tcPr>
          <w:p>
            <w:pPr>
              <w:ind w:left="400"/>
              <w:spacing w:after="0"/>
              <w:rPr>
                <w:sz w:val="20"/>
                <w:szCs w:val="20"/>
                <w:color w:val="auto"/>
              </w:rPr>
            </w:pPr>
            <w:r>
              <w:rPr>
                <w:rFonts w:ascii="Arial" w:cs="Arial" w:eastAsia="Arial" w:hAnsi="Arial"/>
                <w:sz w:val="14"/>
                <w:szCs w:val="14"/>
                <w:color w:val="auto"/>
              </w:rPr>
              <w:t>Description</w:t>
            </w:r>
          </w:p>
        </w:tc>
      </w:tr>
      <w:tr>
        <w:trPr>
          <w:trHeight w:val="309"/>
        </w:trPr>
        <w:tc>
          <w:tcPr>
            <w:tcW w:w="1060" w:type="dxa"/>
            <w:vAlign w:val="bottom"/>
          </w:tcPr>
          <w:p>
            <w:pPr>
              <w:spacing w:after="0"/>
              <w:rPr>
                <w:sz w:val="20"/>
                <w:szCs w:val="20"/>
                <w:color w:val="auto"/>
              </w:rPr>
            </w:pPr>
            <w:r>
              <w:rPr>
                <w:rFonts w:ascii="Arial" w:cs="Arial" w:eastAsia="Arial" w:hAnsi="Arial"/>
                <w:sz w:val="18"/>
                <w:szCs w:val="18"/>
                <w:color w:val="auto"/>
              </w:rPr>
              <w:t>10.1</w:t>
            </w:r>
          </w:p>
        </w:tc>
        <w:tc>
          <w:tcPr>
            <w:tcW w:w="10060" w:type="dxa"/>
            <w:vAlign w:val="bottom"/>
          </w:tcPr>
          <w:p>
            <w:pPr>
              <w:ind w:left="400"/>
              <w:spacing w:after="0"/>
              <w:rPr>
                <w:sz w:val="20"/>
                <w:szCs w:val="20"/>
                <w:color w:val="auto"/>
              </w:rPr>
            </w:pPr>
            <w:r>
              <w:rPr>
                <w:rFonts w:ascii="Arial" w:cs="Arial" w:eastAsia="Arial" w:hAnsi="Arial"/>
                <w:sz w:val="18"/>
                <w:szCs w:val="18"/>
                <w:color w:val="auto"/>
              </w:rPr>
              <w:t>Consulting Agreement between TapImmune Inc. and John Bonfiglio, dated as of February 10, 2015.*</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10.2</w:t>
            </w:r>
          </w:p>
        </w:tc>
        <w:tc>
          <w:tcPr>
            <w:tcW w:w="10060" w:type="dxa"/>
            <w:vAlign w:val="bottom"/>
          </w:tcPr>
          <w:p>
            <w:pPr>
              <w:ind w:left="400"/>
              <w:spacing w:after="0"/>
              <w:rPr>
                <w:sz w:val="20"/>
                <w:szCs w:val="20"/>
                <w:color w:val="auto"/>
              </w:rPr>
            </w:pPr>
            <w:r>
              <w:rPr>
                <w:rFonts w:ascii="Arial" w:cs="Arial" w:eastAsia="Arial" w:hAnsi="Arial"/>
                <w:sz w:val="18"/>
                <w:szCs w:val="18"/>
                <w:color w:val="auto"/>
              </w:rPr>
              <w:t>Amendment to Consulting Agreement between TapImmune Inc. and John Bonfiglio dated as of June 12, 2015.</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10.3</w:t>
            </w:r>
          </w:p>
        </w:tc>
        <w:tc>
          <w:tcPr>
            <w:tcW w:w="10060" w:type="dxa"/>
            <w:vAlign w:val="bottom"/>
          </w:tcPr>
          <w:p>
            <w:pPr>
              <w:ind w:left="400"/>
              <w:spacing w:after="0"/>
              <w:rPr>
                <w:sz w:val="20"/>
                <w:szCs w:val="20"/>
                <w:color w:val="auto"/>
              </w:rPr>
            </w:pPr>
            <w:r>
              <w:rPr>
                <w:rFonts w:ascii="Arial" w:cs="Arial" w:eastAsia="Arial" w:hAnsi="Arial"/>
                <w:sz w:val="18"/>
                <w:szCs w:val="18"/>
                <w:color w:val="auto"/>
                <w:w w:val="90"/>
              </w:rPr>
              <w:t>Second Amendment to the Consulting Agreement by and between TapImmune Inc. and John Bonfiglio dated as of February 10, 2016.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Incorporated by reference to Form 8-K filed on July 30, 2015</w:t>
      </w:r>
    </w:p>
    <w:p>
      <w:pPr>
        <w:sectPr>
          <w:pgSz w:w="11900" w:h="16838" w:orient="portrait"/>
          <w:cols w:equalWidth="0" w:num="1">
            <w:col w:w="11320"/>
          </w:cols>
          <w:pgMar w:left="240" w:top="27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Arial" w:cs="Arial" w:eastAsia="Arial" w:hAnsi="Arial"/>
                <w:sz w:val="18"/>
                <w:szCs w:val="18"/>
                <w:b w:val="1"/>
                <w:bCs w:val="1"/>
                <w:color w:val="auto"/>
              </w:rPr>
              <w:t>TAPIMMUNE INC.</w:t>
            </w:r>
          </w:p>
        </w:tc>
      </w:tr>
      <w:tr>
        <w:trPr>
          <w:trHeight w:val="432"/>
        </w:trPr>
        <w:tc>
          <w:tcPr>
            <w:tcW w:w="3840" w:type="dxa"/>
            <w:vAlign w:val="bottom"/>
          </w:tcPr>
          <w:p>
            <w:pPr>
              <w:spacing w:after="0"/>
              <w:rPr>
                <w:sz w:val="20"/>
                <w:szCs w:val="20"/>
                <w:color w:val="auto"/>
              </w:rPr>
            </w:pPr>
            <w:r>
              <w:rPr>
                <w:rFonts w:ascii="Arial" w:cs="Arial" w:eastAsia="Arial" w:hAnsi="Arial"/>
                <w:sz w:val="18"/>
                <w:szCs w:val="18"/>
                <w:b w:val="1"/>
                <w:bCs w:val="1"/>
                <w:color w:val="auto"/>
              </w:rPr>
              <w:t>Date: February 16, 2016</w:t>
            </w:r>
          </w:p>
        </w:tc>
        <w:tc>
          <w:tcPr>
            <w:tcW w:w="2560" w:type="dxa"/>
            <w:vAlign w:val="bottom"/>
          </w:tcPr>
          <w:p>
            <w:pPr>
              <w:ind w:left="19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Glynn Wilson</w:t>
            </w:r>
          </w:p>
        </w:tc>
      </w:tr>
      <w:tr>
        <w:trPr>
          <w:trHeight w:val="209"/>
        </w:trPr>
        <w:tc>
          <w:tcPr>
            <w:tcW w:w="3840" w:type="dxa"/>
            <w:vAlign w:val="bottom"/>
          </w:tcPr>
          <w:p>
            <w:pPr>
              <w:spacing w:after="0"/>
              <w:rPr>
                <w:sz w:val="18"/>
                <w:szCs w:val="18"/>
                <w:color w:val="auto"/>
              </w:rPr>
            </w:pPr>
          </w:p>
        </w:tc>
        <w:tc>
          <w:tcPr>
            <w:tcW w:w="2560" w:type="dxa"/>
            <w:vAlign w:val="bottom"/>
          </w:tcPr>
          <w:p>
            <w:pPr>
              <w:ind w:left="198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Glynn Wilson</w:t>
            </w:r>
          </w:p>
        </w:tc>
      </w:tr>
      <w:tr>
        <w:trPr>
          <w:trHeight w:val="230"/>
        </w:trPr>
        <w:tc>
          <w:tcPr>
            <w:tcW w:w="3840" w:type="dxa"/>
            <w:vAlign w:val="bottom"/>
          </w:tcPr>
          <w:p>
            <w:pPr>
              <w:spacing w:after="0"/>
              <w:rPr>
                <w:sz w:val="20"/>
                <w:szCs w:val="20"/>
                <w:color w:val="auto"/>
              </w:rPr>
            </w:pPr>
          </w:p>
        </w:tc>
        <w:tc>
          <w:tcPr>
            <w:tcW w:w="2560" w:type="dxa"/>
            <w:vAlign w:val="bottom"/>
          </w:tcPr>
          <w:p>
            <w:pPr>
              <w:ind w:left="198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Chairman and CEO</w:t>
            </w:r>
          </w:p>
        </w:tc>
      </w:tr>
    </w:tbl>
    <w:p>
      <w:pPr>
        <w:sectPr>
          <w:pgSz w:w="11900" w:h="16838" w:orient="portrait"/>
          <w:cols w:equalWidth="0" w:num="1">
            <w:col w:w="11420"/>
          </w:cols>
          <w:pgMar w:left="240" w:top="27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CONSULTING AGREEMENT</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THIS AMENDMENT TO CONSULTING AGREEMENT is made and entered into this 12</w:t>
      </w:r>
      <w:r>
        <w:rPr>
          <w:rFonts w:ascii="Arial" w:cs="Arial" w:eastAsia="Arial" w:hAnsi="Arial"/>
          <w:sz w:val="15"/>
          <w:szCs w:val="15"/>
          <w:color w:val="auto"/>
        </w:rPr>
        <w:t>th</w:t>
      </w:r>
      <w:r>
        <w:rPr>
          <w:rFonts w:ascii="Arial" w:cs="Arial" w:eastAsia="Arial" w:hAnsi="Arial"/>
          <w:sz w:val="18"/>
          <w:szCs w:val="18"/>
          <w:color w:val="auto"/>
        </w:rPr>
        <w:t xml:space="preserve"> day of June, 2015, by and between TapImmune Inc. (the “Company”) and Dr. John Bonfiglio (“Consultant”), and amends that certain Consulting Agreement between the Company and Consultant, dated February 10, 2015 (the “Consulting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WHEREAS, the Company desires a greater time commitment from Consultant to assist the Company, and the Consultant is willing to devote additional time thereto;</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NOW, THEREFORE, for and in consideration of the premises and the mutual covenants contained herein, the receipt and sufficiency of which are hereby acknowledged, the parties hereto agree as follows:</w:t>
      </w:r>
    </w:p>
    <w:p>
      <w:pPr>
        <w:spacing w:after="0" w:line="170" w:lineRule="exact"/>
        <w:rPr>
          <w:sz w:val="20"/>
          <w:szCs w:val="20"/>
          <w:color w:val="auto"/>
        </w:rPr>
      </w:pPr>
    </w:p>
    <w:p>
      <w:pPr>
        <w:ind w:right="40" w:firstLine="464"/>
        <w:spacing w:after="0" w:line="308" w:lineRule="auto"/>
        <w:tabs>
          <w:tab w:leader="none" w:pos="636" w:val="left"/>
        </w:tabs>
        <w:numPr>
          <w:ilvl w:val="0"/>
          <w:numId w:val="3"/>
        </w:numPr>
        <w:rPr>
          <w:rFonts w:ascii="Arial" w:cs="Arial" w:eastAsia="Arial" w:hAnsi="Arial"/>
          <w:sz w:val="17"/>
          <w:szCs w:val="17"/>
          <w:color w:val="auto"/>
        </w:rPr>
      </w:pPr>
      <w:r>
        <w:rPr>
          <w:rFonts w:ascii="Arial" w:cs="Arial" w:eastAsia="Arial" w:hAnsi="Arial"/>
          <w:sz w:val="17"/>
          <w:szCs w:val="17"/>
          <w:color w:val="auto"/>
        </w:rPr>
        <w:t>Paragraph 4 of the Consulting Agreement is hereby amended to increase the monthly cash fee from Ten Thousand Dollars ($10,000.00) per month to Fifteen Thousand Dollars ($15,000.00) per month for each month spent performing Consultant’s duties under the Consulting Agreement.</w:t>
      </w:r>
    </w:p>
    <w:p>
      <w:pPr>
        <w:spacing w:after="0" w:line="146" w:lineRule="exact"/>
        <w:rPr>
          <w:rFonts w:ascii="Arial" w:cs="Arial" w:eastAsia="Arial" w:hAnsi="Arial"/>
          <w:sz w:val="17"/>
          <w:szCs w:val="17"/>
          <w:color w:val="auto"/>
        </w:rPr>
      </w:pPr>
    </w:p>
    <w:p>
      <w:pPr>
        <w:ind w:right="200" w:firstLine="464"/>
        <w:spacing w:after="0" w:line="277" w:lineRule="auto"/>
        <w:tabs>
          <w:tab w:leader="none" w:pos="636"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 A attached to the Consulting Agreement is hereby amended to increase the number of hours that Consultant shall perform these services from “up to 80 hours per month” to “up to 120 hours per month.”</w:t>
      </w:r>
    </w:p>
    <w:p>
      <w:pPr>
        <w:spacing w:after="0" w:line="170" w:lineRule="exact"/>
        <w:rPr>
          <w:rFonts w:ascii="Arial" w:cs="Arial" w:eastAsia="Arial" w:hAnsi="Arial"/>
          <w:sz w:val="18"/>
          <w:szCs w:val="18"/>
          <w:color w:val="auto"/>
        </w:rPr>
      </w:pPr>
    </w:p>
    <w:p>
      <w:pPr>
        <w:ind w:right="100" w:firstLine="464"/>
        <w:spacing w:after="0" w:line="277" w:lineRule="auto"/>
        <w:tabs>
          <w:tab w:leader="none" w:pos="636"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Except as specifically modified by this Amendment, all other terms and conditions of the Consulting Agreement shall remain in full force and effect and the same are hereby ratified and confirmed.</w:t>
      </w:r>
    </w:p>
    <w:p>
      <w:pPr>
        <w:spacing w:after="0" w:line="170" w:lineRule="exact"/>
        <w:rPr>
          <w:rFonts w:ascii="Arial" w:cs="Arial" w:eastAsia="Arial" w:hAnsi="Arial"/>
          <w:sz w:val="18"/>
          <w:szCs w:val="18"/>
          <w:color w:val="auto"/>
        </w:rPr>
      </w:pPr>
    </w:p>
    <w:p>
      <w:pPr>
        <w:ind w:right="460" w:firstLine="464"/>
        <w:spacing w:after="0" w:line="277" w:lineRule="auto"/>
        <w:tabs>
          <w:tab w:leader="none" w:pos="63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Amendment may be executed in one or more counterparts (including by electronic means), each counterpart is deemed an original, and all counterparts collectively constitute one and the same document.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have executed this Agreement on day and year first above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CONSULTANT:</w:t>
            </w:r>
          </w:p>
        </w:tc>
        <w:tc>
          <w:tcPr>
            <w:tcW w:w="6840" w:type="dxa"/>
            <w:vAlign w:val="bottom"/>
            <w:gridSpan w:val="2"/>
          </w:tcPr>
          <w:p>
            <w:pPr>
              <w:ind w:left="1240"/>
              <w:spacing w:after="0"/>
              <w:rPr>
                <w:sz w:val="20"/>
                <w:szCs w:val="20"/>
                <w:color w:val="auto"/>
              </w:rPr>
            </w:pPr>
            <w:r>
              <w:rPr>
                <w:rFonts w:ascii="Arial" w:cs="Arial" w:eastAsia="Arial" w:hAnsi="Arial"/>
                <w:sz w:val="18"/>
                <w:szCs w:val="18"/>
                <w:color w:val="auto"/>
              </w:rPr>
              <w:t>COMPANY:</w:t>
            </w:r>
          </w:p>
        </w:tc>
      </w:tr>
      <w:tr>
        <w:trPr>
          <w:trHeight w:val="432"/>
        </w:trPr>
        <w:tc>
          <w:tcPr>
            <w:tcW w:w="4580" w:type="dxa"/>
            <w:vAlign w:val="bottom"/>
          </w:tcPr>
          <w:p>
            <w:pPr>
              <w:spacing w:after="0"/>
              <w:rPr>
                <w:sz w:val="24"/>
                <w:szCs w:val="24"/>
                <w:color w:val="auto"/>
              </w:rPr>
            </w:pPr>
          </w:p>
        </w:tc>
        <w:tc>
          <w:tcPr>
            <w:tcW w:w="6840" w:type="dxa"/>
            <w:vAlign w:val="bottom"/>
            <w:gridSpan w:val="2"/>
          </w:tcPr>
          <w:p>
            <w:pPr>
              <w:ind w:left="1780"/>
              <w:spacing w:after="0"/>
              <w:rPr>
                <w:sz w:val="20"/>
                <w:szCs w:val="20"/>
                <w:color w:val="auto"/>
              </w:rPr>
            </w:pPr>
            <w:r>
              <w:rPr>
                <w:rFonts w:ascii="Arial" w:cs="Arial" w:eastAsia="Arial" w:hAnsi="Arial"/>
                <w:sz w:val="18"/>
                <w:szCs w:val="18"/>
                <w:color w:val="auto"/>
              </w:rPr>
              <w:t>TapImmune Inc.</w:t>
            </w:r>
          </w:p>
        </w:tc>
      </w:tr>
      <w:tr>
        <w:trPr>
          <w:trHeight w:val="432"/>
        </w:trPr>
        <w:tc>
          <w:tcPr>
            <w:tcW w:w="4580" w:type="dxa"/>
            <w:vAlign w:val="bottom"/>
          </w:tcPr>
          <w:p>
            <w:pPr>
              <w:spacing w:after="0"/>
              <w:rPr>
                <w:sz w:val="20"/>
                <w:szCs w:val="20"/>
                <w:color w:val="auto"/>
              </w:rPr>
            </w:pPr>
            <w:r>
              <w:rPr>
                <w:rFonts w:ascii="Arial" w:cs="Arial" w:eastAsia="Arial" w:hAnsi="Arial"/>
                <w:sz w:val="18"/>
                <w:szCs w:val="18"/>
                <w:color w:val="auto"/>
              </w:rPr>
              <w:t>/s/ John Bonfiglio</w:t>
            </w:r>
          </w:p>
        </w:tc>
        <w:tc>
          <w:tcPr>
            <w:tcW w:w="6840" w:type="dxa"/>
            <w:vAlign w:val="bottom"/>
            <w:gridSpan w:val="2"/>
          </w:tcPr>
          <w:p>
            <w:pPr>
              <w:ind w:left="1780"/>
              <w:spacing w:after="0"/>
              <w:rPr>
                <w:sz w:val="20"/>
                <w:szCs w:val="20"/>
                <w:color w:val="auto"/>
              </w:rPr>
            </w:pPr>
            <w:r>
              <w:rPr>
                <w:rFonts w:ascii="Arial" w:cs="Arial" w:eastAsia="Arial" w:hAnsi="Arial"/>
                <w:sz w:val="18"/>
                <w:szCs w:val="18"/>
                <w:color w:val="auto"/>
              </w:rPr>
              <w:t>By:  /s/ Glynn Wilson</w:t>
            </w:r>
          </w:p>
        </w:tc>
      </w:tr>
      <w:tr>
        <w:trPr>
          <w:trHeight w:val="224"/>
        </w:trPr>
        <w:tc>
          <w:tcPr>
            <w:tcW w:w="4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Dr. John Bonfiglio</w:t>
            </w:r>
          </w:p>
        </w:tc>
        <w:tc>
          <w:tcPr>
            <w:tcW w:w="2160" w:type="dxa"/>
            <w:vAlign w:val="bottom"/>
          </w:tcPr>
          <w:p>
            <w:pPr>
              <w:ind w:left="1780"/>
              <w:spacing w:after="0"/>
              <w:rPr>
                <w:sz w:val="20"/>
                <w:szCs w:val="20"/>
                <w:color w:val="auto"/>
              </w:rPr>
            </w:pPr>
            <w:r>
              <w:rPr>
                <w:rFonts w:ascii="Arial" w:cs="Arial" w:eastAsia="Arial" w:hAnsi="Arial"/>
                <w:sz w:val="18"/>
                <w:szCs w:val="18"/>
                <w:color w:val="auto"/>
              </w:rPr>
              <w:t>Dr.</w:t>
            </w:r>
          </w:p>
        </w:tc>
        <w:tc>
          <w:tcPr>
            <w:tcW w:w="4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Glynn Wilson, Chief Executive Officer</w:t>
            </w:r>
          </w:p>
        </w:tc>
      </w:tr>
    </w:tbl>
    <w:p>
      <w:pPr>
        <w:sectPr>
          <w:pgSz w:w="11900" w:h="16838" w:orient="portrait"/>
          <w:cols w:equalWidth="0" w:num="1">
            <w:col w:w="11420"/>
          </w:cols>
          <w:pgMar w:left="240" w:top="12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CONSULTING AGREEMENT</w:t>
      </w:r>
    </w:p>
    <w:p>
      <w:pPr>
        <w:spacing w:after="0" w:line="229" w:lineRule="exact"/>
        <w:rPr>
          <w:sz w:val="20"/>
          <w:szCs w:val="20"/>
          <w:color w:val="auto"/>
        </w:rPr>
      </w:pPr>
    </w:p>
    <w:p>
      <w:pPr>
        <w:ind w:right="640" w:firstLine="456"/>
        <w:spacing w:after="0" w:line="259" w:lineRule="auto"/>
        <w:rPr>
          <w:sz w:val="20"/>
          <w:szCs w:val="20"/>
          <w:color w:val="auto"/>
        </w:rPr>
      </w:pPr>
      <w:r>
        <w:rPr>
          <w:rFonts w:ascii="Arial" w:cs="Arial" w:eastAsia="Arial" w:hAnsi="Arial"/>
          <w:sz w:val="18"/>
          <w:szCs w:val="18"/>
          <w:color w:val="auto"/>
        </w:rPr>
        <w:t>THIS SECOND AMENDMENT TO CONSULTING AGREEMENT is made and entered into this 10th day of February, 2016, by and between TapImmune Inc. (the “Company”) and Dr. John Bonfiglio (“Consultant”), and amends that certain Consulting Agreement between the Company and Consultant, dated February 10, 2015, as amended by the Amendment to the Consulting Agreement dated June 12, 2015 (together the “Consulting Agreement”).</w:t>
      </w:r>
    </w:p>
    <w:p>
      <w:pPr>
        <w:spacing w:after="0" w:line="183"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Consultant desire to extend the term of the Consulting Agreement which currently expires on February 10, 2016 by for</w:t>
      </w:r>
      <w:r>
        <w:rPr>
          <w:rFonts w:ascii="Arial" w:cs="Arial" w:eastAsia="Arial" w:hAnsi="Arial"/>
          <w:sz w:val="18"/>
          <w:szCs w:val="18"/>
          <w:b w:val="1"/>
          <w:bCs w:val="1"/>
          <w:color w:val="auto"/>
        </w:rPr>
        <w:t xml:space="preserve"> </w:t>
      </w:r>
      <w:r>
        <w:rPr>
          <w:rFonts w:ascii="Arial" w:cs="Arial" w:eastAsia="Arial" w:hAnsi="Arial"/>
          <w:sz w:val="18"/>
          <w:szCs w:val="18"/>
          <w:color w:val="auto"/>
        </w:rPr>
        <w:t>an additional one hundred and eighty (180) days in order to continue to receive the services of Consultant;</w:t>
      </w:r>
    </w:p>
    <w:p>
      <w:pPr>
        <w:spacing w:after="0" w:line="162"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and in consideration of the premises and the mutual covenants contained herein, the receipt and sufficiency of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acknowledged, the parties hereto agree as follows:</w:t>
      </w:r>
    </w:p>
    <w:p>
      <w:pPr>
        <w:spacing w:after="0" w:line="166" w:lineRule="exact"/>
        <w:rPr>
          <w:sz w:val="20"/>
          <w:szCs w:val="20"/>
          <w:color w:val="auto"/>
        </w:rPr>
      </w:pPr>
    </w:p>
    <w:p>
      <w:pPr>
        <w:ind w:left="640" w:hanging="176"/>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Paragraph 3 of the Consulting Agreement is hereby amended to delete the reference to “February 10, 2016” and replace it with “August 10, 2016”.</w:t>
      </w:r>
    </w:p>
    <w:p>
      <w:pPr>
        <w:spacing w:after="0" w:line="248" w:lineRule="exact"/>
        <w:rPr>
          <w:rFonts w:ascii="Arial" w:cs="Arial" w:eastAsia="Arial" w:hAnsi="Arial"/>
          <w:sz w:val="16"/>
          <w:szCs w:val="16"/>
          <w:color w:val="auto"/>
        </w:rPr>
      </w:pPr>
    </w:p>
    <w:p>
      <w:pPr>
        <w:ind w:right="100" w:firstLine="464"/>
        <w:spacing w:after="0" w:line="277" w:lineRule="auto"/>
        <w:tabs>
          <w:tab w:leader="none" w:pos="636"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Except as specifically modified by this Amendment, all other terms and conditions of the Consulting Agreement shall remain in full force and effect and the same are hereby ratified and confirmed.</w:t>
      </w:r>
    </w:p>
    <w:p>
      <w:pPr>
        <w:spacing w:after="0" w:line="170" w:lineRule="exact"/>
        <w:rPr>
          <w:rFonts w:ascii="Arial" w:cs="Arial" w:eastAsia="Arial" w:hAnsi="Arial"/>
          <w:sz w:val="18"/>
          <w:szCs w:val="18"/>
          <w:color w:val="auto"/>
        </w:rPr>
      </w:pPr>
    </w:p>
    <w:p>
      <w:pPr>
        <w:ind w:right="460" w:firstLine="464"/>
        <w:spacing w:after="0" w:line="277" w:lineRule="auto"/>
        <w:tabs>
          <w:tab w:leader="none" w:pos="63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Amendment may be executed in one or more counterparts (including by electronic means), each counterpart is deemed an original, and all counterparts collectively constitute one and the same document.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on the day and year first above written.</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CONSULTANT:</w:t>
            </w:r>
          </w:p>
        </w:tc>
        <w:tc>
          <w:tcPr>
            <w:tcW w:w="6840" w:type="dxa"/>
            <w:vAlign w:val="bottom"/>
            <w:gridSpan w:val="2"/>
          </w:tcPr>
          <w:p>
            <w:pPr>
              <w:ind w:left="1780"/>
              <w:spacing w:after="0"/>
              <w:rPr>
                <w:sz w:val="20"/>
                <w:szCs w:val="20"/>
                <w:color w:val="auto"/>
              </w:rPr>
            </w:pPr>
            <w:r>
              <w:rPr>
                <w:rFonts w:ascii="Arial" w:cs="Arial" w:eastAsia="Arial" w:hAnsi="Arial"/>
                <w:sz w:val="18"/>
                <w:szCs w:val="18"/>
                <w:color w:val="auto"/>
              </w:rPr>
              <w:t>COMPANY:</w:t>
            </w:r>
          </w:p>
        </w:tc>
      </w:tr>
      <w:tr>
        <w:trPr>
          <w:trHeight w:val="418"/>
        </w:trPr>
        <w:tc>
          <w:tcPr>
            <w:tcW w:w="4580" w:type="dxa"/>
            <w:vAlign w:val="bottom"/>
          </w:tcPr>
          <w:p>
            <w:pPr>
              <w:spacing w:after="0"/>
              <w:rPr>
                <w:sz w:val="24"/>
                <w:szCs w:val="24"/>
                <w:color w:val="auto"/>
              </w:rPr>
            </w:pPr>
          </w:p>
        </w:tc>
        <w:tc>
          <w:tcPr>
            <w:tcW w:w="6840" w:type="dxa"/>
            <w:vAlign w:val="bottom"/>
            <w:gridSpan w:val="2"/>
          </w:tcPr>
          <w:p>
            <w:pPr>
              <w:ind w:left="1780"/>
              <w:spacing w:after="0"/>
              <w:rPr>
                <w:sz w:val="20"/>
                <w:szCs w:val="20"/>
                <w:color w:val="auto"/>
              </w:rPr>
            </w:pPr>
            <w:r>
              <w:rPr>
                <w:rFonts w:ascii="Arial" w:cs="Arial" w:eastAsia="Arial" w:hAnsi="Arial"/>
                <w:sz w:val="18"/>
                <w:szCs w:val="18"/>
                <w:color w:val="auto"/>
              </w:rPr>
              <w:t>TapImmune, Inc.</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/s/ John Bonfiglio</w:t>
            </w:r>
          </w:p>
        </w:tc>
        <w:tc>
          <w:tcPr>
            <w:tcW w:w="6840" w:type="dxa"/>
            <w:vAlign w:val="bottom"/>
            <w:gridSpan w:val="2"/>
          </w:tcPr>
          <w:p>
            <w:pPr>
              <w:ind w:left="1780"/>
              <w:spacing w:after="0"/>
              <w:rPr>
                <w:sz w:val="20"/>
                <w:szCs w:val="20"/>
                <w:color w:val="auto"/>
              </w:rPr>
            </w:pPr>
            <w:r>
              <w:rPr>
                <w:rFonts w:ascii="Arial" w:cs="Arial" w:eastAsia="Arial" w:hAnsi="Arial"/>
                <w:sz w:val="18"/>
                <w:szCs w:val="18"/>
                <w:color w:val="auto"/>
              </w:rPr>
              <w:t>By:  /s/ Glynn Wilson</w:t>
            </w:r>
          </w:p>
        </w:tc>
      </w:tr>
      <w:tr>
        <w:trPr>
          <w:trHeight w:val="224"/>
        </w:trPr>
        <w:tc>
          <w:tcPr>
            <w:tcW w:w="4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Dr. John Bonfiglio</w:t>
            </w:r>
          </w:p>
        </w:tc>
        <w:tc>
          <w:tcPr>
            <w:tcW w:w="2160" w:type="dxa"/>
            <w:vAlign w:val="bottom"/>
          </w:tcPr>
          <w:p>
            <w:pPr>
              <w:ind w:left="1780"/>
              <w:spacing w:after="0"/>
              <w:rPr>
                <w:sz w:val="20"/>
                <w:szCs w:val="20"/>
                <w:color w:val="auto"/>
              </w:rPr>
            </w:pPr>
            <w:r>
              <w:rPr>
                <w:rFonts w:ascii="Arial" w:cs="Arial" w:eastAsia="Arial" w:hAnsi="Arial"/>
                <w:sz w:val="18"/>
                <w:szCs w:val="18"/>
                <w:color w:val="auto"/>
              </w:rPr>
              <w:t>Dr.</w:t>
            </w:r>
          </w:p>
        </w:tc>
        <w:tc>
          <w:tcPr>
            <w:tcW w:w="4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Glynn Wilson, Chief Executive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2020-01-19T14:10:10Z</dcterms:created>
  <dcterms:modified xsi:type="dcterms:W3CDTF">2020-01-19T14:10:10Z</dcterms:modified>
</cp:coreProperties>
</file>