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mrkr-20251231x10k.htm"/>
        <w:bookmarkStart w:id="1" w:name="ksmrkr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c02812c5_654a_4ae3_bdd7_6d1b3a889694"/>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I0Cxink0ck2ax6uIARvABw_8_1"/>
      <w:bookmarkStart w:id="4" w:name="Tc_xNMjn9zGiUqlpkLFZahopA_6_1"/>
      <w:bookmarkStart w:id="5" w:name="Tc_tKuzt3PfAEWN6YeQcQMnnw_4_0"/>
      <w:bookmarkStart w:id="6" w:name="Tc_JgoUEAf2IUyps95ybvKhrQ_2_0"/>
      <w:bookmarkStart w:id="7" w:name="Tc_Zl1QIP4Gv0aY2X5dPiM2ww_0_1"/>
      <w:bookmarkStart w:id="8" w:name="_ac7c0859_eda2_4f03_8547_effe1ab84986"/>
      <w:bookmarkStart w:id="9" w:name="Tc_I0Cxink0ck2ax6uIARvABw_8_1"/>
      <w:bookmarkStart w:id="10" w:name="Tc_xNMjn9zGiUqlpkLFZahopA_6_1"/>
      <w:bookmarkStart w:id="11" w:name="Tc_tKuzt3PfAEWN6YeQcQMnnw_4_0"/>
      <w:bookmarkStart w:id="12" w:name="Tc_JgoUEAf2IUyps95ybvKhrQ_2_0"/>
      <w:bookmarkStart w:id="13" w:name="Tc_Zl1QIP4Gv0aY2X5dPiM2ww_0_1"/>
      <w:bookmarkStart w:id="14" w:name="_ac7c0859_eda2_4f03_8547_effe1ab84986"/>
      <w:bookmarkEnd w:id="9"/>
      <w:bookmarkEnd w:id="10"/>
      <w:bookmarkEnd w:id="11"/>
      <w:bookmarkEnd w:id="12"/>
      <w:bookmarkEnd w:id="13"/>
      <w:bookmarkEnd w:id="14"/>
    </w:p>
    <w:tbl>
      <w:tblPr>
        <w:tblW w:w="6737" w:type="dxa"/>
        <w:jc w:val="left"/>
        <w:tblInd w:w="0" w:type="dxa"/>
        <w:tblLayout w:type="fixed"/>
        <w:tblCellMar>
          <w:top w:w="0" w:type="dxa"/>
          <w:left w:w="0" w:type="dxa"/>
          <w:bottom w:w="0" w:type="dxa"/>
          <w:right w:w="0" w:type="dxa"/>
        </w:tblCellMar>
      </w:tblPr>
      <w:tblGrid>
        <w:gridCol w:w="331"/>
        <w:gridCol w:w="6406"/>
      </w:tblGrid>
      <w:tr>
        <w:trPr/>
        <w:tc>
          <w:tcPr>
            <w:tcW w:w="33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ANNUAL REPORT PURSUANT TO SECTION 13 OR 15(d) OF THE SECURITIES EXCHANGE ACT OF 1934</w:t>
            </w:r>
          </w:p>
        </w:tc>
      </w:tr>
      <w:tr>
        <w:trPr/>
        <w:tc>
          <w:tcPr>
            <w:tcW w:w="6737" w:type="dxa"/>
            <w:gridSpan w:val="2"/>
            <w:tcBorders/>
            <w:vAlign w:val="center"/>
          </w:tcPr>
          <w:p>
            <w:pPr>
              <w:pStyle w:val="TableContents"/>
              <w:bidi w:val="0"/>
              <w:spacing w:before="0" w:after="240"/>
              <w:ind w:left="0" w:right="0" w:hanging="0"/>
              <w:jc w:val="center"/>
              <w:rPr/>
            </w:pPr>
            <w:r>
              <w:rPr/>
              <w:t>​</w:t>
            </w:r>
          </w:p>
        </w:tc>
      </w:tr>
      <w:tr>
        <w:trPr/>
        <w:tc>
          <w:tcPr>
            <w:tcW w:w="673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December 31, 2025</w:t>
            </w:r>
          </w:p>
        </w:tc>
      </w:tr>
      <w:tr>
        <w:trPr/>
        <w:tc>
          <w:tcPr>
            <w:tcW w:w="6737" w:type="dxa"/>
            <w:gridSpan w:val="2"/>
            <w:tcBorders/>
            <w:vAlign w:val="center"/>
          </w:tcPr>
          <w:p>
            <w:pPr>
              <w:pStyle w:val="TableContents"/>
              <w:bidi w:val="0"/>
              <w:spacing w:before="0" w:after="240"/>
              <w:ind w:left="0" w:right="0" w:hanging="0"/>
              <w:jc w:val="center"/>
              <w:rPr/>
            </w:pPr>
            <w:r>
              <w:rPr/>
              <w:t>​</w:t>
            </w:r>
          </w:p>
        </w:tc>
      </w:tr>
      <w:tr>
        <w:trPr/>
        <w:tc>
          <w:tcPr>
            <w:tcW w:w="673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OR</w:t>
            </w:r>
          </w:p>
        </w:tc>
      </w:tr>
      <w:tr>
        <w:trPr/>
        <w:tc>
          <w:tcPr>
            <w:tcW w:w="331" w:type="dxa"/>
            <w:tcBorders/>
            <w:vAlign w:val="center"/>
          </w:tcPr>
          <w:p>
            <w:pPr>
              <w:pStyle w:val="TableContents"/>
              <w:bidi w:val="0"/>
              <w:spacing w:before="0" w:after="240"/>
              <w:ind w:left="0" w:right="0" w:hanging="0"/>
              <w:jc w:val="left"/>
              <w:rPr/>
            </w:pPr>
            <w:r>
              <w:rPr/>
              <w:t>​</w:t>
            </w:r>
          </w:p>
        </w:tc>
        <w:tc>
          <w:tcPr>
            <w:tcW w:w="6406" w:type="dxa"/>
            <w:tcBorders/>
            <w:vAlign w:val="center"/>
          </w:tcPr>
          <w:p>
            <w:pPr>
              <w:pStyle w:val="TableContents"/>
              <w:bidi w:val="0"/>
              <w:spacing w:before="0" w:after="240"/>
              <w:ind w:left="0" w:right="0" w:hanging="0"/>
              <w:jc w:val="center"/>
              <w:rPr/>
            </w:pPr>
            <w:r>
              <w:rPr/>
              <w:t>​</w:t>
            </w:r>
          </w:p>
        </w:tc>
      </w:tr>
      <w:tr>
        <w:trPr/>
        <w:tc>
          <w:tcPr>
            <w:tcW w:w="331" w:type="dxa"/>
            <w:tcBorders/>
            <w:vAlign w:val="center"/>
          </w:tcPr>
          <w:p>
            <w:pPr>
              <w:pStyle w:val="TableContents"/>
              <w:bidi w:val="0"/>
              <w:spacing w:before="0" w:after="0"/>
              <w:ind w:left="0" w:right="0" w:hanging="0"/>
              <w:jc w:val="left"/>
              <w:rPr/>
            </w:pPr>
            <w:r>
              <w:rPr/>
              <w:t>☐</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TRANSITION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6406"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640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 the transition period from _______________ to ______________.</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Commission File Number: 001-37939</w:t>
      </w:r>
    </w:p>
    <w:p>
      <w:pPr>
        <w:pStyle w:val="TextBody"/>
        <w:bidi w:val="0"/>
        <w:spacing w:before="0" w:after="0"/>
        <w:ind w:left="0" w:right="0" w:hanging="0"/>
        <w:jc w:val="left"/>
        <w:rPr/>
      </w:pPr>
      <w:r>
        <w:rPr/>
        <w:t>​</w:t>
      </w:r>
    </w:p>
    <w:p>
      <w:pPr>
        <w:pStyle w:val="TextBody"/>
        <w:bidi w:val="0"/>
        <w:spacing w:before="0" w:after="100"/>
        <w:ind w:left="0" w:right="0" w:hanging="0"/>
        <w:jc w:val="center"/>
        <w:rPr/>
      </w:pPr>
      <w:r>
        <w:rPr/>
        <w:drawing>
          <wp:inline distT="0" distB="0" distL="0" distR="0">
            <wp:extent cx="2256790" cy="5975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6790" cy="59753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MARKER THERAPEUTICS, INC.</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 w:name="Tc_ZRgdnPrbEk-phOH4wBnLUA_4_2"/>
      <w:bookmarkStart w:id="16" w:name="Tc_NcnbtNQuqEe12dkdCtQjRw_4_0"/>
      <w:bookmarkStart w:id="17" w:name="Tc_b9kX9kDXXECjJ1UtQNdeRA_3_0"/>
      <w:bookmarkStart w:id="18" w:name="Tc_H_R8RKByvUKc_s2cYjfwPw_1_2"/>
      <w:bookmarkStart w:id="19" w:name="Tc_mhJbGt9UwE-dZjC3c84E9w_1_0"/>
      <w:bookmarkStart w:id="20" w:name="_11ec842d_d288_4c27_b8c1_6be4f6168352"/>
      <w:bookmarkStart w:id="21" w:name="Tc_ZRgdnPrbEk-phOH4wBnLUA_4_2"/>
      <w:bookmarkStart w:id="22" w:name="Tc_NcnbtNQuqEe12dkdCtQjRw_4_0"/>
      <w:bookmarkStart w:id="23" w:name="Tc_b9kX9kDXXECjJ1UtQNdeRA_3_0"/>
      <w:bookmarkStart w:id="24" w:name="Tc_H_R8RKByvUKc_s2cYjfwPw_1_2"/>
      <w:bookmarkStart w:id="25" w:name="Tc_mhJbGt9UwE-dZjC3c84E9w_1_0"/>
      <w:bookmarkStart w:id="26" w:name="_11ec842d_d288_4c27_b8c1_6be4f6168352"/>
      <w:bookmarkEnd w:id="21"/>
      <w:bookmarkEnd w:id="22"/>
      <w:bookmarkEnd w:id="23"/>
      <w:bookmarkEnd w:id="24"/>
      <w:bookmarkEnd w:id="25"/>
      <w:bookmarkEnd w:id="26"/>
    </w:p>
    <w:tbl>
      <w:tblPr>
        <w:tblW w:w="5493" w:type="dxa"/>
        <w:jc w:val="left"/>
        <w:tblInd w:w="0" w:type="dxa"/>
        <w:tblLayout w:type="fixed"/>
        <w:tblCellMar>
          <w:top w:w="0" w:type="dxa"/>
          <w:left w:w="0" w:type="dxa"/>
          <w:bottom w:w="0" w:type="dxa"/>
          <w:right w:w="0" w:type="dxa"/>
        </w:tblCellMar>
      </w:tblPr>
      <w:tblGrid>
        <w:gridCol w:w="3061"/>
        <w:gridCol w:w="346"/>
        <w:gridCol w:w="2086"/>
      </w:tblGrid>
      <w:tr>
        <w:trPr/>
        <w:tc>
          <w:tcPr>
            <w:tcW w:w="30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346" w:type="dxa"/>
            <w:tcBorders/>
            <w:vAlign w:val="center"/>
          </w:tcPr>
          <w:p>
            <w:pPr>
              <w:pStyle w:val="TableContents"/>
              <w:bidi w:val="0"/>
              <w:spacing w:before="0" w:after="0"/>
              <w:ind w:left="0" w:right="0" w:hanging="0"/>
              <w:jc w:val="left"/>
              <w:rPr/>
            </w:pPr>
            <w:r>
              <w:rPr/>
              <w:t>  ​ ​ ​</w:t>
            </w:r>
          </w:p>
        </w:tc>
        <w:tc>
          <w:tcPr>
            <w:tcW w:w="208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45-4497941</w:t>
            </w:r>
          </w:p>
        </w:tc>
      </w:tr>
      <w:tr>
        <w:trPr/>
        <w:tc>
          <w:tcPr>
            <w:tcW w:w="306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w:t>
              <w:br/>
              <w:t>incorporation)</w:t>
            </w:r>
          </w:p>
        </w:tc>
        <w:tc>
          <w:tcPr>
            <w:tcW w:w="34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(IRS Employer Identification No.)</w:t>
            </w:r>
          </w:p>
        </w:tc>
      </w:tr>
      <w:tr>
        <w:trPr/>
        <w:tc>
          <w:tcPr>
            <w:tcW w:w="3061"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240"/>
              <w:ind w:left="0" w:right="0" w:hanging="0"/>
              <w:jc w:val="center"/>
              <w:rPr/>
            </w:pPr>
            <w:r>
              <w:rPr/>
              <w:t>​</w:t>
            </w:r>
          </w:p>
        </w:tc>
      </w:tr>
      <w:tr>
        <w:trPr/>
        <w:tc>
          <w:tcPr>
            <w:tcW w:w="30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2450 Holcombe Blvd, TMC Partners Office 1.311</w:t>
            </w:r>
            <w:r>
              <w:rPr>
                <w:rFonts w:ascii="Times New Roman;Times;serif" w:hAnsi="Times New Roman;Times;serif"/>
                <w:sz w:val="20"/>
              </w:rPr>
              <w:t xml:space="preserve"> </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Houston, Texas</w:t>
            </w:r>
          </w:p>
        </w:tc>
        <w:tc>
          <w:tcPr>
            <w:tcW w:w="34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77021</w:t>
            </w:r>
          </w:p>
        </w:tc>
      </w:tr>
      <w:tr>
        <w:trPr/>
        <w:tc>
          <w:tcPr>
            <w:tcW w:w="306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tc>
        <w:tc>
          <w:tcPr>
            <w:tcW w:w="34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(Zip code)</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(713) 400-6400</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(Telephone Number)</w:t>
      </w:r>
    </w:p>
    <w:p>
      <w:pPr>
        <w:pStyle w:val="TextBody"/>
        <w:bidi w:val="0"/>
        <w:spacing w:before="0" w:after="240"/>
        <w:ind w:left="0" w:right="0" w:hanging="0"/>
        <w:jc w:val="left"/>
        <w:rPr/>
      </w:pPr>
      <w:r>
        <w:rPr/>
        <w:t>​</w:t>
      </w:r>
    </w:p>
    <w:tbl>
      <w:tblPr>
        <w:tblW w:w="4756" w:type="dxa"/>
        <w:jc w:val="left"/>
        <w:tblInd w:w="0" w:type="dxa"/>
        <w:tblLayout w:type="fixed"/>
        <w:tblCellMar>
          <w:top w:w="28" w:type="dxa"/>
          <w:left w:w="0" w:type="dxa"/>
          <w:bottom w:w="0" w:type="dxa"/>
          <w:right w:w="0" w:type="dxa"/>
        </w:tblCellMar>
      </w:tblPr>
      <w:tblGrid>
        <w:gridCol w:w="4756"/>
      </w:tblGrid>
      <w:tr>
        <w:trPr/>
        <w:tc>
          <w:tcPr>
            <w:tcW w:w="4756" w:type="dxa"/>
            <w:tcBorders>
              <w:top w:val="single" w:sz="2" w:space="0" w:color="000000"/>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(Former name, former address and former fiscal year, if changed since last report)</w:t>
            </w:r>
          </w:p>
        </w:tc>
      </w:tr>
    </w:tbl>
    <w:p>
      <w:pPr>
        <w:pStyle w:val="TextBody"/>
        <w:bidi w:val="0"/>
        <w:spacing w:before="0" w:after="240"/>
        <w:ind w:left="0" w:right="0" w:hanging="0"/>
        <w:jc w:val="center"/>
        <w:rPr>
          <w:caps/>
        </w:rPr>
      </w:pPr>
      <w:r>
        <w:rPr>
          <w:caps/>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7" w:name="Tc_VaKV_0wV_0C9P3LKTIrorQ_1_4"/>
      <w:bookmarkStart w:id="28" w:name="Tc_iSB2VGRh2U6Hz5PvlpKW1A_0_4"/>
      <w:bookmarkStart w:id="29" w:name="Tc_jr2Yn8SXX0WeYr-kq0obHg_0_2"/>
      <w:bookmarkStart w:id="30" w:name="Tc_p7-2rA4hREyLstKA13Y6Xg_0_0"/>
      <w:bookmarkStart w:id="31" w:name="_30fd9b93_e51f_4292_9f56_eefebf830d65"/>
      <w:bookmarkStart w:id="32" w:name="Tc_VaKV_0wV_0C9P3LKTIrorQ_1_4"/>
      <w:bookmarkStart w:id="33" w:name="Tc_iSB2VGRh2U6Hz5PvlpKW1A_0_4"/>
      <w:bookmarkStart w:id="34" w:name="Tc_jr2Yn8SXX0WeYr-kq0obHg_0_2"/>
      <w:bookmarkStart w:id="35" w:name="Tc_p7-2rA4hREyLstKA13Y6Xg_0_0"/>
      <w:bookmarkStart w:id="36" w:name="_30fd9b93_e51f_4292_9f56_eefebf830d65"/>
      <w:bookmarkEnd w:id="32"/>
      <w:bookmarkEnd w:id="33"/>
      <w:bookmarkEnd w:id="34"/>
      <w:bookmarkEnd w:id="35"/>
      <w:bookmarkEnd w:id="36"/>
    </w:p>
    <w:tbl>
      <w:tblPr>
        <w:tblW w:w="6830" w:type="dxa"/>
        <w:jc w:val="left"/>
        <w:tblInd w:w="0" w:type="dxa"/>
        <w:tblLayout w:type="fixed"/>
        <w:tblCellMar>
          <w:top w:w="28" w:type="dxa"/>
          <w:left w:w="28" w:type="dxa"/>
          <w:bottom w:w="28" w:type="dxa"/>
          <w:right w:w="28" w:type="dxa"/>
        </w:tblCellMar>
      </w:tblPr>
      <w:tblGrid>
        <w:gridCol w:w="2566"/>
        <w:gridCol w:w="226"/>
        <w:gridCol w:w="1186"/>
        <w:gridCol w:w="226"/>
        <w:gridCol w:w="2626"/>
      </w:tblGrid>
      <w:tr>
        <w:trPr/>
        <w:tc>
          <w:tcPr>
            <w:tcW w:w="25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Title of each class</w:t>
            </w:r>
          </w:p>
        </w:tc>
        <w:tc>
          <w:tcPr>
            <w:tcW w:w="226" w:type="dxa"/>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0"/>
              <w:ind w:left="0" w:right="0" w:hanging="0"/>
              <w:jc w:val="left"/>
              <w:rPr/>
            </w:pPr>
            <w:r>
              <w:rPr/>
              <w:t>  ​</w:t>
            </w:r>
          </w:p>
        </w:tc>
        <w:tc>
          <w:tcPr>
            <w:tcW w:w="118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Trading Symbol(s)</w:t>
            </w:r>
          </w:p>
        </w:tc>
        <w:tc>
          <w:tcPr>
            <w:tcW w:w="226" w:type="dxa"/>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0"/>
              <w:ind w:left="0" w:right="0" w:hanging="0"/>
              <w:jc w:val="center"/>
              <w:rPr/>
            </w:pPr>
            <w:r>
              <w:rPr/>
              <w:t>  ​</w:t>
            </w:r>
          </w:p>
        </w:tc>
        <w:tc>
          <w:tcPr>
            <w:tcW w:w="262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Name of each exchange on which registered</w:t>
            </w:r>
          </w:p>
        </w:tc>
      </w:tr>
      <w:tr>
        <w:trPr/>
        <w:tc>
          <w:tcPr>
            <w:tcW w:w="25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par value $0.001 per share</w:t>
            </w:r>
          </w:p>
        </w:tc>
        <w:tc>
          <w:tcPr>
            <w:tcW w:w="226" w:type="dxa"/>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40"/>
              <w:ind w:left="0" w:right="0" w:hanging="0"/>
              <w:jc w:val="left"/>
              <w:rPr/>
            </w:pPr>
            <w:r>
              <w:rPr/>
              <w:t>​</w:t>
            </w:r>
          </w:p>
        </w:tc>
        <w:tc>
          <w:tcPr>
            <w:tcW w:w="118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MRKR</w:t>
            </w:r>
          </w:p>
        </w:tc>
        <w:tc>
          <w:tcPr>
            <w:tcW w:w="226" w:type="dxa"/>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40"/>
              <w:ind w:left="0" w:right="0" w:hanging="0"/>
              <w:jc w:val="center"/>
              <w:rPr/>
            </w:pPr>
            <w:r>
              <w:rPr/>
              <w:t>​</w:t>
            </w:r>
          </w:p>
        </w:tc>
        <w:tc>
          <w:tcPr>
            <w:tcW w:w="262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Stock Market LLC</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Securities registered pursuant to Section 12(g) of the Act: </w:t>
      </w:r>
      <w:r>
        <w:rPr>
          <w:rFonts w:ascii="Times New Roman;Times;serif" w:hAnsi="Times New Roman;Times;serif"/>
          <w:b/>
          <w:sz w:val="14"/>
        </w:rPr>
        <w:t>None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of Section 15(d) of the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xml:space="preserve"> ☒</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Indicate by checkmark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7" w:name="Tc_l9ybKVrUFEebxVCIZeTmgA_3_2"/>
      <w:bookmarkStart w:id="38" w:name="Tc_DYijTt2TC0K7mggZr6AyTw_2_2"/>
      <w:bookmarkStart w:id="39" w:name="Tc_0cbKdcpf_EqhOy_C1m6r3g_2_1"/>
      <w:bookmarkStart w:id="40" w:name="Tc_ROxSnMFFtEGF9hJTh5aEqw_1_3"/>
      <w:bookmarkStart w:id="41" w:name="Tc_Q5-8UCV-6kyTObPFOxIUvg_1_2"/>
      <w:bookmarkStart w:id="42" w:name="Tc_J5NYU54Y2EyfnXic2tx5Wg_1_1"/>
      <w:bookmarkStart w:id="43" w:name="Tc_a_eRCQgdJUqiXok99fMM-Q_1_0"/>
      <w:bookmarkStart w:id="44" w:name="_8328f2dc_9b0a_4e2e_92e1_9eeb50d1cfd8"/>
      <w:bookmarkStart w:id="45" w:name="Tc_l9ybKVrUFEebxVCIZeTmgA_3_2"/>
      <w:bookmarkStart w:id="46" w:name="Tc_DYijTt2TC0K7mggZr6AyTw_2_2"/>
      <w:bookmarkStart w:id="47" w:name="Tc_0cbKdcpf_EqhOy_C1m6r3g_2_1"/>
      <w:bookmarkStart w:id="48" w:name="Tc_ROxSnMFFtEGF9hJTh5aEqw_1_3"/>
      <w:bookmarkStart w:id="49" w:name="Tc_Q5-8UCV-6kyTObPFOxIUvg_1_2"/>
      <w:bookmarkStart w:id="50" w:name="Tc_J5NYU54Y2EyfnXic2tx5Wg_1_1"/>
      <w:bookmarkStart w:id="51" w:name="Tc_a_eRCQgdJUqiXok99fMM-Q_1_0"/>
      <w:bookmarkStart w:id="52" w:name="_8328f2dc_9b0a_4e2e_92e1_9eeb50d1cfd8"/>
      <w:bookmarkEnd w:id="45"/>
      <w:bookmarkEnd w:id="46"/>
      <w:bookmarkEnd w:id="47"/>
      <w:bookmarkEnd w:id="48"/>
      <w:bookmarkEnd w:id="49"/>
      <w:bookmarkEnd w:id="50"/>
      <w:bookmarkEnd w:id="51"/>
      <w:bookmarkEnd w:id="52"/>
    </w:p>
    <w:tbl>
      <w:tblPr>
        <w:tblW w:w="3709" w:type="dxa"/>
        <w:jc w:val="left"/>
        <w:tblInd w:w="0" w:type="dxa"/>
        <w:tblLayout w:type="fixed"/>
        <w:tblCellMar>
          <w:top w:w="0" w:type="dxa"/>
          <w:left w:w="0" w:type="dxa"/>
          <w:bottom w:w="0" w:type="dxa"/>
          <w:right w:w="0" w:type="dxa"/>
        </w:tblCellMar>
      </w:tblPr>
      <w:tblGrid>
        <w:gridCol w:w="1366"/>
        <w:gridCol w:w="316"/>
        <w:gridCol w:w="1666"/>
        <w:gridCol w:w="361"/>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Non-accelerated filer </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24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 xml:space="preserve">Indicate by checkmark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The aggregate market value of the voting and non-voting common equity held by non-affiliates of the registrant as of June 30, 2025 (the last day of the registrant’s most recently completed second fiscal quarter) based on the closing sale price of $1.53 as reported on the Nasdaq Capital Market as of that date was approximately $17,312,000.</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The registrant had 16,673,127 shares of common stock outstanding as of March 16, 2026.</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240"/>
        <w:ind w:left="0" w:right="0" w:hanging="0"/>
        <w:jc w:val="center"/>
        <w:rPr/>
      </w:pPr>
      <w:r>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Portions of the registrant’s proxy statement relating to registrant’s 2025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3" w:name="TOC"/>
      <w:bookmarkStart w:id="54" w:name="_f5eb9221_261f_495a_a6e5_a1635223cbbd"/>
      <w:bookmarkEnd w:id="53"/>
      <w:bookmarkEnd w:id="54"/>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99"/>
        <w:gridCol w:w="346"/>
        <w:gridCol w:w="8352"/>
        <w:gridCol w:w="346"/>
        <w:gridCol w:w="362"/>
      </w:tblGrid>
      <w:tr>
        <w:trPr/>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7365" cy="29210"/>
                      <wp:effectExtent l="0" t="0" r="0" b="0"/>
                      <wp:wrapNone/>
                      <wp:docPr id="2" name="Frame1"/>
                      <a:graphic xmlns:a="http://schemas.openxmlformats.org/drawingml/2006/main">
                        <a:graphicData uri="http://schemas.microsoft.com/office/word/2010/wordprocessingShape">
                          <wps:wsp>
                            <wps:cNvSpPr txBox="1"/>
                            <wps:spPr>
                              <a:xfrm>
                                <a:off x="0" y="0"/>
                                <a:ext cx="5073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29210"/>
                      <wp:effectExtent l="0" t="0" r="0" b="0"/>
                      <wp:wrapNone/>
                      <wp:docPr id="3"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303520" cy="29210"/>
                      <wp:effectExtent l="0" t="0" r="0" b="0"/>
                      <wp:wrapNone/>
                      <wp:docPr id="4" name="Frame3"/>
                      <a:graphic xmlns:a="http://schemas.openxmlformats.org/drawingml/2006/main">
                        <a:graphicData uri="http://schemas.microsoft.com/office/word/2010/wordprocessingShape">
                          <wps:wsp>
                            <wps:cNvSpPr txBox="1"/>
                            <wps:spPr>
                              <a:xfrm>
                                <a:off x="0" y="0"/>
                                <a:ext cx="53035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29870" cy="29210"/>
                      <wp:effectExtent l="0" t="0" r="0" b="0"/>
                      <wp:wrapNone/>
                      <wp:docPr id="5" name="Frame4"/>
                      <a:graphic xmlns:a="http://schemas.openxmlformats.org/drawingml/2006/main">
                        <a:graphicData uri="http://schemas.microsoft.com/office/word/2010/wordprocessingShape">
                          <wps:wsp>
                            <wps:cNvSpPr txBox="1"/>
                            <wps:spPr>
                              <a:xfrm>
                                <a:off x="0" y="0"/>
                                <a:ext cx="2298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9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8352" w:type="dxa"/>
            <w:tcBorders/>
            <w:vAlign w:val="center"/>
          </w:tcPr>
          <w:p>
            <w:pPr>
              <w:pStyle w:val="TableContents"/>
              <w:bidi w:val="0"/>
              <w:spacing w:before="0" w:after="0"/>
              <w:ind w:left="0" w:right="0" w:hanging="0"/>
              <w:jc w:val="left"/>
              <w:rPr/>
            </w:pPr>
            <w:hyperlink w:anchor="FORWARDLOOKINGSTATEMENTS_197689">
              <w:r>
                <w:rPr>
                  <w:rStyle w:val="InternetLink"/>
                  <w:rFonts w:ascii="Times New Roman;Times;serif" w:hAnsi="Times New Roman;Times;serif"/>
                  <w:b w:val="false"/>
                  <w:i w:val="false"/>
                  <w:caps w:val="false"/>
                  <w:smallCaps w:val="false"/>
                  <w:sz w:val="20"/>
                </w:rPr>
                <w:t>FORWARD LOOKING STATEMENTS</w:t>
              </w:r>
            </w:hyperlink>
          </w:p>
        </w:tc>
        <w:tc>
          <w:tcPr>
            <w:tcW w:w="346" w:type="dxa"/>
            <w:tcBorders/>
            <w:vAlign w:val="center"/>
          </w:tcPr>
          <w:p>
            <w:pPr>
              <w:pStyle w:val="TableContents"/>
              <w:bidi w:val="0"/>
              <w:spacing w:before="0" w:after="0"/>
              <w:ind w:left="0" w:right="0" w:hanging="0"/>
              <w:jc w:val="right"/>
              <w:rPr/>
            </w:pPr>
            <w:r>
              <w:rPr/>
              <w:t>  ​ ​ ​</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ii</w:t>
            </w:r>
          </w:p>
        </w:tc>
      </w:tr>
      <w:tr>
        <w:trPr/>
        <w:tc>
          <w:tcPr>
            <w:tcW w:w="799" w:type="dxa"/>
            <w:tcBorders/>
            <w:vAlign w:val="center"/>
          </w:tcPr>
          <w:p>
            <w:pPr>
              <w:pStyle w:val="TableContents"/>
              <w:pBdr/>
              <w:bidi w:val="0"/>
              <w:spacing w:before="0" w:after="0"/>
              <w:ind w:left="0" w:right="0" w:hanging="0"/>
              <w:jc w:val="left"/>
              <w:rPr/>
            </w:pPr>
            <w:hyperlink w:anchor="PARTI_513007">
              <w:r>
                <w:rPr>
                  <w:rStyle w:val="InternetLink"/>
                  <w:rFonts w:ascii="Times New Roman;Times;serif" w:hAnsi="Times New Roman;Times;serif"/>
                  <w:b/>
                  <w:i w:val="false"/>
                  <w:caps w:val="false"/>
                  <w:smallCaps w:val="false"/>
                  <w:sz w:val="20"/>
                </w:rPr>
                <w:t>Part I</w:t>
              </w:r>
            </w:hyperlink>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pPr>
            <w:r>
              <w:rPr/>
              <w:t> </w:t>
            </w:r>
          </w:p>
        </w:tc>
      </w:tr>
      <w:tr>
        <w:trPr/>
        <w:tc>
          <w:tcPr>
            <w:tcW w:w="799" w:type="dxa"/>
            <w:tcBorders/>
            <w:vAlign w:val="center"/>
          </w:tcPr>
          <w:p>
            <w:pPr>
              <w:pStyle w:val="TableContents"/>
              <w:pBdr/>
              <w:bidi w:val="0"/>
              <w:spacing w:before="0" w:after="0"/>
              <w:ind w:left="0" w:right="0" w:hanging="0"/>
              <w:jc w:val="left"/>
              <w:rPr/>
            </w:pPr>
            <w:hyperlink w:anchor="ITEM1BUSINESS_525596">
              <w:r>
                <w:rPr>
                  <w:rStyle w:val="InternetLink"/>
                  <w:rFonts w:ascii="Times New Roman;Times;serif" w:hAnsi="Times New Roman;Times;serif"/>
                  <w:b w:val="false"/>
                  <w:i w:val="false"/>
                  <w:caps w:val="false"/>
                  <w:smallCaps w:val="false"/>
                  <w:sz w:val="20"/>
                </w:rPr>
                <w:t>Item 1.</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1BUSINESS_525596">
              <w:r>
                <w:rPr>
                  <w:rStyle w:val="InternetLink"/>
                  <w:rFonts w:ascii="Times New Roman;Times;serif" w:hAnsi="Times New Roman;Times;serif"/>
                  <w:b w:val="false"/>
                  <w:i w:val="false"/>
                  <w:caps w:val="false"/>
                  <w:smallCaps w:val="false"/>
                  <w:sz w:val="20"/>
                </w:rPr>
                <w:t>Business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99" w:type="dxa"/>
            <w:tcBorders/>
            <w:vAlign w:val="center"/>
          </w:tcPr>
          <w:p>
            <w:pPr>
              <w:pStyle w:val="TableContents"/>
              <w:pBdr/>
              <w:bidi w:val="0"/>
              <w:spacing w:before="0" w:after="0"/>
              <w:ind w:left="0" w:right="0" w:hanging="0"/>
              <w:jc w:val="left"/>
              <w:rPr/>
            </w:pPr>
            <w:hyperlink w:anchor="ITEM1ARISKFACTORS_686864">
              <w:r>
                <w:rPr>
                  <w:rStyle w:val="InternetLink"/>
                  <w:rFonts w:ascii="Times New Roman;Times;serif" w:hAnsi="Times New Roman;Times;serif"/>
                  <w:b w:val="false"/>
                  <w:i w:val="false"/>
                  <w:caps w:val="false"/>
                  <w:smallCaps w:val="false"/>
                  <w:sz w:val="20"/>
                </w:rPr>
                <w:t>Item 1A.</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1ARISKFACTORS_686864">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99" w:type="dxa"/>
            <w:tcBorders/>
            <w:vAlign w:val="center"/>
          </w:tcPr>
          <w:p>
            <w:pPr>
              <w:pStyle w:val="TableContents"/>
              <w:pBdr/>
              <w:bidi w:val="0"/>
              <w:spacing w:before="0" w:after="0"/>
              <w:ind w:left="0" w:right="0" w:hanging="0"/>
              <w:jc w:val="left"/>
              <w:rPr/>
            </w:pPr>
            <w:hyperlink w:anchor="ITEM1BUNRESOLVEDSTAFFCOMMENTS_521175">
              <w:r>
                <w:rPr>
                  <w:rStyle w:val="InternetLink"/>
                  <w:rFonts w:ascii="Times New Roman;Times;serif" w:hAnsi="Times New Roman;Times;serif"/>
                  <w:b w:val="false"/>
                  <w:i w:val="false"/>
                  <w:caps w:val="false"/>
                  <w:smallCaps w:val="false"/>
                  <w:sz w:val="20"/>
                </w:rPr>
                <w:t>Item 1B.</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1BUNRESOLVEDSTAFFCOMMENTS_521175">
              <w:r>
                <w:rPr>
                  <w:rStyle w:val="InternetLink"/>
                  <w:rFonts w:ascii="Times New Roman;Times;serif" w:hAnsi="Times New Roman;Times;serif"/>
                  <w:b w:val="false"/>
                  <w:i w:val="false"/>
                  <w:caps w:val="false"/>
                  <w:smallCaps w:val="false"/>
                  <w:sz w:val="20"/>
                </w:rPr>
                <w:t>Unresolved Staff Comments</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99" w:type="dxa"/>
            <w:tcBorders/>
            <w:vAlign w:val="center"/>
          </w:tcPr>
          <w:p>
            <w:pPr>
              <w:pStyle w:val="TableContents"/>
              <w:pBdr/>
              <w:bidi w:val="0"/>
              <w:spacing w:before="0" w:after="0"/>
              <w:ind w:left="0" w:right="0" w:hanging="0"/>
              <w:jc w:val="left"/>
              <w:rPr/>
            </w:pPr>
            <w:hyperlink w:anchor="ITEM1CCYBERSECURITY_814205">
              <w:r>
                <w:rPr>
                  <w:rStyle w:val="InternetLink"/>
                  <w:rFonts w:ascii="Times New Roman;Times;serif" w:hAnsi="Times New Roman;Times;serif"/>
                  <w:b w:val="false"/>
                  <w:i w:val="false"/>
                  <w:caps w:val="false"/>
                  <w:smallCaps w:val="false"/>
                  <w:sz w:val="20"/>
                </w:rPr>
                <w:t>Item 1C.</w:t>
              </w:r>
            </w:hyperlink>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1CCYBERSECURITY_814205">
              <w:r>
                <w:rPr>
                  <w:rStyle w:val="InternetLink"/>
                  <w:rFonts w:ascii="Times New Roman;Times;serif" w:hAnsi="Times New Roman;Times;serif"/>
                  <w:b w:val="false"/>
                  <w:i w:val="false"/>
                  <w:caps w:val="false"/>
                  <w:smallCaps w:val="false"/>
                  <w:sz w:val="20"/>
                </w:rPr>
                <w:t>Cybersecurity</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99" w:type="dxa"/>
            <w:tcBorders/>
            <w:vAlign w:val="center"/>
          </w:tcPr>
          <w:p>
            <w:pPr>
              <w:pStyle w:val="TableContents"/>
              <w:pBdr/>
              <w:bidi w:val="0"/>
              <w:spacing w:before="0" w:after="0"/>
              <w:ind w:left="0" w:right="0" w:hanging="0"/>
              <w:jc w:val="left"/>
              <w:rPr/>
            </w:pPr>
            <w:hyperlink w:anchor="ITEM2PROPERTIES_338462">
              <w:r>
                <w:rPr>
                  <w:rStyle w:val="InternetLink"/>
                  <w:rFonts w:ascii="Times New Roman;Times;serif" w:hAnsi="Times New Roman;Times;serif"/>
                  <w:b w:val="false"/>
                  <w:i w:val="false"/>
                  <w:caps w:val="false"/>
                  <w:smallCaps w:val="false"/>
                  <w:sz w:val="20"/>
                </w:rPr>
                <w:t>Item 2.</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2PROPERTIES_338462">
              <w:r>
                <w:rPr>
                  <w:rStyle w:val="InternetLink"/>
                  <w:rFonts w:ascii="Times New Roman;Times;serif" w:hAnsi="Times New Roman;Times;serif"/>
                  <w:b w:val="false"/>
                  <w:i w:val="false"/>
                  <w:caps w:val="false"/>
                  <w:smallCaps w:val="false"/>
                  <w:sz w:val="20"/>
                </w:rPr>
                <w:t>Properties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799" w:type="dxa"/>
            <w:tcBorders/>
            <w:vAlign w:val="center"/>
          </w:tcPr>
          <w:p>
            <w:pPr>
              <w:pStyle w:val="TableContents"/>
              <w:pBdr/>
              <w:bidi w:val="0"/>
              <w:spacing w:before="0" w:after="0"/>
              <w:ind w:left="0" w:right="0" w:hanging="0"/>
              <w:jc w:val="left"/>
              <w:rPr/>
            </w:pPr>
            <w:hyperlink w:anchor="ITEM3LEGALPROCEEDINGS_282506">
              <w:r>
                <w:rPr>
                  <w:rStyle w:val="InternetLink"/>
                  <w:rFonts w:ascii="Times New Roman;Times;serif" w:hAnsi="Times New Roman;Times;serif"/>
                  <w:b w:val="false"/>
                  <w:i w:val="false"/>
                  <w:caps w:val="false"/>
                  <w:smallCaps w:val="false"/>
                  <w:sz w:val="20"/>
                </w:rPr>
                <w:t>Item 3.</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3LEGALPROCEEDINGS_282506">
              <w:r>
                <w:rPr>
                  <w:rStyle w:val="InternetLink"/>
                  <w:rFonts w:ascii="Times New Roman;Times;serif" w:hAnsi="Times New Roman;Times;serif"/>
                  <w:b w:val="false"/>
                  <w:i w:val="false"/>
                  <w:caps w:val="false"/>
                  <w:smallCaps w:val="false"/>
                  <w:sz w:val="20"/>
                </w:rPr>
                <w:t>Legal Proceedings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799" w:type="dxa"/>
            <w:tcBorders/>
            <w:vAlign w:val="center"/>
          </w:tcPr>
          <w:p>
            <w:pPr>
              <w:pStyle w:val="TableContents"/>
              <w:pBdr/>
              <w:bidi w:val="0"/>
              <w:spacing w:before="0" w:after="0"/>
              <w:ind w:left="0" w:right="0" w:hanging="0"/>
              <w:jc w:val="left"/>
              <w:rPr/>
            </w:pPr>
            <w:hyperlink w:anchor="ITEM4MINESAFETYDISCLOSURE_456568">
              <w:r>
                <w:rPr>
                  <w:rStyle w:val="InternetLink"/>
                  <w:rFonts w:ascii="Times New Roman;Times;serif" w:hAnsi="Times New Roman;Times;serif"/>
                  <w:b w:val="false"/>
                  <w:i w:val="false"/>
                  <w:caps w:val="false"/>
                  <w:smallCaps w:val="false"/>
                  <w:sz w:val="20"/>
                </w:rPr>
                <w:t>Item 4.</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4MINESAFETYDISCLOSURE_456568">
              <w:r>
                <w:rPr>
                  <w:rStyle w:val="InternetLink"/>
                  <w:rFonts w:ascii="Times New Roman;Times;serif" w:hAnsi="Times New Roman;Times;serif"/>
                  <w:b w:val="false"/>
                  <w:i w:val="false"/>
                  <w:caps w:val="false"/>
                  <w:smallCaps w:val="false"/>
                  <w:sz w:val="20"/>
                </w:rPr>
                <w:t>Mine Safety Disclosure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799" w:type="dxa"/>
            <w:tcBorders/>
            <w:vAlign w:val="center"/>
          </w:tcPr>
          <w:p>
            <w:pPr>
              <w:pStyle w:val="TableContents"/>
              <w:pBdr/>
              <w:bidi w:val="0"/>
              <w:spacing w:before="0" w:after="0"/>
              <w:ind w:left="0" w:right="0" w:hanging="0"/>
              <w:jc w:val="left"/>
              <w:rPr/>
            </w:pPr>
            <w:hyperlink w:anchor="PARTII_862782">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pPr>
            <w:r>
              <w:rPr/>
              <w:t> </w:t>
            </w:r>
          </w:p>
        </w:tc>
      </w:tr>
      <w:tr>
        <w:trPr/>
        <w:tc>
          <w:tcPr>
            <w:tcW w:w="799" w:type="dxa"/>
            <w:tcBorders/>
            <w:vAlign w:val="center"/>
          </w:tcPr>
          <w:p>
            <w:pPr>
              <w:pStyle w:val="TableContents"/>
              <w:pBdr/>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both"/>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799" w:type="dxa"/>
            <w:tcBorders/>
            <w:vAlign w:val="center"/>
          </w:tcPr>
          <w:p>
            <w:pPr>
              <w:pStyle w:val="TableContents"/>
              <w:pBdr/>
              <w:bidi w:val="0"/>
              <w:spacing w:before="0" w:after="0"/>
              <w:ind w:left="0" w:right="0" w:hanging="0"/>
              <w:jc w:val="left"/>
              <w:rPr/>
            </w:pPr>
            <w:hyperlink w:anchor="ITEM6RESERVED">
              <w:r>
                <w:rPr>
                  <w:rStyle w:val="InternetLink"/>
                  <w:rFonts w:ascii="Times New Roman;Times;serif" w:hAnsi="Times New Roman;Times;serif"/>
                  <w:b w:val="false"/>
                  <w:i w:val="false"/>
                  <w:caps w:val="false"/>
                  <w:smallCaps w:val="false"/>
                  <w:sz w:val="20"/>
                </w:rPr>
                <w:t>Item 6.</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6RESERVED">
              <w:r>
                <w:rPr>
                  <w:rStyle w:val="InternetLink"/>
                  <w:rFonts w:ascii="Times New Roman;Times;serif" w:hAnsi="Times New Roman;Times;serif"/>
                  <w:b w:val="false"/>
                  <w:i w:val="false"/>
                  <w:caps w:val="false"/>
                  <w:smallCaps w:val="false"/>
                  <w:sz w:val="20"/>
                </w:rPr>
                <w:t>[Reserved]</w:t>
              </w:r>
            </w:hyperlink>
            <w:r>
              <w:rPr>
                <w:rFonts w:ascii="Times New Roman;Times;serif" w:hAnsi="Times New Roman;Times;serif"/>
                <w:sz w:val="20"/>
              </w:rPr>
              <w:t> </w:t>
            </w:r>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799" w:type="dxa"/>
            <w:tcBorders/>
            <w:vAlign w:val="center"/>
          </w:tcPr>
          <w:p>
            <w:pPr>
              <w:pStyle w:val="TableContents"/>
              <w:pBdr/>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799" w:type="dxa"/>
            <w:tcBorders/>
            <w:vAlign w:val="center"/>
          </w:tcPr>
          <w:p>
            <w:pPr>
              <w:pStyle w:val="TableContents"/>
              <w:pBdr/>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799" w:type="dxa"/>
            <w:tcBorders/>
            <w:vAlign w:val="center"/>
          </w:tcPr>
          <w:p>
            <w:pPr>
              <w:pStyle w:val="TableContents"/>
              <w:pBdr/>
              <w:bidi w:val="0"/>
              <w:spacing w:before="0" w:after="0"/>
              <w:ind w:left="0" w:right="0" w:hanging="0"/>
              <w:jc w:val="left"/>
              <w:rPr/>
            </w:pPr>
            <w:hyperlink w:anchor="ITEM8FINANCIALSTATEMENTS_684464">
              <w:r>
                <w:rPr>
                  <w:rStyle w:val="InternetLink"/>
                  <w:rFonts w:ascii="Times New Roman;Times;serif" w:hAnsi="Times New Roman;Times;serif"/>
                  <w:b w:val="false"/>
                  <w:i w:val="false"/>
                  <w:caps w:val="false"/>
                  <w:smallCaps w:val="false"/>
                  <w:sz w:val="20"/>
                </w:rPr>
                <w:t>Item 8.</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8FINANCIALSTATEMENTS_684464">
              <w:r>
                <w:rPr>
                  <w:rStyle w:val="InternetLink"/>
                  <w:rFonts w:ascii="Times New Roman;Times;serif" w:hAnsi="Times New Roman;Times;serif"/>
                  <w:b w:val="false"/>
                  <w:i w:val="false"/>
                  <w:caps w:val="false"/>
                  <w:smallCaps w:val="false"/>
                  <w:sz w:val="20"/>
                </w:rPr>
                <w:t>Financial Statements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799" w:type="dxa"/>
            <w:tcBorders/>
            <w:vAlign w:val="center"/>
          </w:tcPr>
          <w:p>
            <w:pPr>
              <w:pStyle w:val="TableContents"/>
              <w:pBdr/>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799" w:type="dxa"/>
            <w:tcBorders/>
            <w:vAlign w:val="center"/>
          </w:tcPr>
          <w:p>
            <w:pPr>
              <w:pStyle w:val="TableContents"/>
              <w:pBdr/>
              <w:bidi w:val="0"/>
              <w:spacing w:before="0" w:after="0"/>
              <w:ind w:left="0" w:right="0" w:hanging="0"/>
              <w:jc w:val="left"/>
              <w:rPr/>
            </w:pPr>
            <w:hyperlink w:anchor="ITEM9ACONTROLSANDPROCEDURES_136839">
              <w:r>
                <w:rPr>
                  <w:rStyle w:val="InternetLink"/>
                  <w:rFonts w:ascii="Times New Roman;Times;serif" w:hAnsi="Times New Roman;Times;serif"/>
                  <w:b w:val="false"/>
                  <w:i w:val="false"/>
                  <w:caps w:val="false"/>
                  <w:smallCaps w:val="false"/>
                  <w:sz w:val="20"/>
                </w:rPr>
                <w:t>Item 9A.</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9ACONTROLSANDPROCEDURES_136839">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799" w:type="dxa"/>
            <w:tcBorders/>
            <w:vAlign w:val="center"/>
          </w:tcPr>
          <w:p>
            <w:pPr>
              <w:pStyle w:val="TableContents"/>
              <w:pBdr/>
              <w:bidi w:val="0"/>
              <w:spacing w:before="0" w:after="0"/>
              <w:ind w:left="0" w:right="0" w:hanging="0"/>
              <w:jc w:val="left"/>
              <w:rPr/>
            </w:pPr>
            <w:hyperlink w:anchor="ITEM9BOTHERINFORMATION_833436">
              <w:r>
                <w:rPr>
                  <w:rStyle w:val="InternetLink"/>
                  <w:rFonts w:ascii="Times New Roman;Times;serif" w:hAnsi="Times New Roman;Times;serif"/>
                  <w:b w:val="false"/>
                  <w:i w:val="false"/>
                  <w:caps w:val="false"/>
                  <w:smallCaps w:val="false"/>
                  <w:sz w:val="20"/>
                </w:rPr>
                <w:t>Item 9B.</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9BOTHERINFORMATION_833436">
              <w:r>
                <w:rPr>
                  <w:rStyle w:val="InternetLink"/>
                  <w:rFonts w:ascii="Times New Roman;Times;serif" w:hAnsi="Times New Roman;Times;serif"/>
                  <w:b w:val="false"/>
                  <w:i w:val="false"/>
                  <w:caps w:val="false"/>
                  <w:smallCaps w:val="false"/>
                  <w:sz w:val="20"/>
                </w:rPr>
                <w:t>Other Information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799" w:type="dxa"/>
            <w:tcBorders/>
            <w:vAlign w:val="center"/>
          </w:tcPr>
          <w:p>
            <w:pPr>
              <w:pStyle w:val="TableContents"/>
              <w:bidi w:val="0"/>
              <w:spacing w:before="0" w:after="0"/>
              <w:ind w:left="0" w:right="0" w:hanging="0"/>
              <w:jc w:val="left"/>
              <w:rPr/>
            </w:pPr>
            <w:hyperlink w:anchor="ITEM9CDISCLOSUREREGARDINGFOREIGNJURISD_4">
              <w:r>
                <w:rPr>
                  <w:rStyle w:val="InternetLink"/>
                  <w:rFonts w:ascii="Times New Roman;Times;serif" w:hAnsi="Times New Roman;Times;serif"/>
                  <w:b w:val="false"/>
                  <w:i w:val="false"/>
                  <w:caps w:val="false"/>
                  <w:smallCaps w:val="false"/>
                  <w:sz w:val="20"/>
                </w:rPr>
                <w:t>Item 9C.</w:t>
              </w:r>
            </w:hyperlink>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9CDISCLOSUREREGARDINGFOREIGNJURISD_4">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799" w:type="dxa"/>
            <w:tcBorders/>
            <w:vAlign w:val="center"/>
          </w:tcPr>
          <w:p>
            <w:pPr>
              <w:pStyle w:val="TableContents"/>
              <w:pBdr/>
              <w:bidi w:val="0"/>
              <w:spacing w:before="0" w:after="0"/>
              <w:ind w:left="0" w:right="0" w:hanging="0"/>
              <w:jc w:val="left"/>
              <w:rPr/>
            </w:pPr>
            <w:hyperlink w:anchor="PARTIII_534190">
              <w:r>
                <w:rPr>
                  <w:rStyle w:val="InternetLink"/>
                  <w:rFonts w:ascii="Times New Roman;Times;serif" w:hAnsi="Times New Roman;Times;serif"/>
                  <w:b/>
                  <w:i w:val="false"/>
                  <w:caps w:val="false"/>
                  <w:smallCaps w:val="false"/>
                  <w:sz w:val="20"/>
                </w:rPr>
                <w:t>Part III</w:t>
              </w:r>
            </w:hyperlink>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p>
        </w:tc>
      </w:tr>
      <w:tr>
        <w:trPr/>
        <w:tc>
          <w:tcPr>
            <w:tcW w:w="799" w:type="dxa"/>
            <w:tcBorders/>
            <w:vAlign w:val="center"/>
          </w:tcPr>
          <w:p>
            <w:pPr>
              <w:pStyle w:val="TableContents"/>
              <w:pBdr/>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799" w:type="dxa"/>
            <w:tcBorders/>
            <w:vAlign w:val="center"/>
          </w:tcPr>
          <w:p>
            <w:pPr>
              <w:pStyle w:val="TableContents"/>
              <w:pBdr/>
              <w:bidi w:val="0"/>
              <w:spacing w:before="0" w:after="0"/>
              <w:ind w:left="0" w:right="0" w:hanging="0"/>
              <w:jc w:val="left"/>
              <w:rPr/>
            </w:pPr>
            <w:hyperlink w:anchor="ITEM11EXECUTIVECOMPENSATION_899018">
              <w:r>
                <w:rPr>
                  <w:rStyle w:val="InternetLink"/>
                  <w:rFonts w:ascii="Times New Roman;Times;serif" w:hAnsi="Times New Roman;Times;serif"/>
                  <w:b w:val="false"/>
                  <w:i w:val="false"/>
                  <w:caps w:val="false"/>
                  <w:smallCaps w:val="false"/>
                  <w:sz w:val="20"/>
                </w:rPr>
                <w:t>Item 11.</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11EXECUTIVECOMPENSATION_899018">
              <w:r>
                <w:rPr>
                  <w:rStyle w:val="InternetLink"/>
                  <w:rFonts w:ascii="Times New Roman;Times;serif" w:hAnsi="Times New Roman;Times;serif"/>
                  <w:b w:val="false"/>
                  <w:i w:val="false"/>
                  <w:caps w:val="false"/>
                  <w:smallCaps w:val="false"/>
                  <w:sz w:val="20"/>
                </w:rPr>
                <w:t>Executive Compensation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799" w:type="dxa"/>
            <w:tcBorders/>
            <w:vAlign w:val="center"/>
          </w:tcPr>
          <w:p>
            <w:pPr>
              <w:pStyle w:val="TableContents"/>
              <w:pBdr/>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799" w:type="dxa"/>
            <w:tcBorders/>
            <w:vAlign w:val="center"/>
          </w:tcPr>
          <w:p>
            <w:pPr>
              <w:pStyle w:val="TableContents"/>
              <w:pBdr/>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799" w:type="dxa"/>
            <w:tcBorders/>
            <w:vAlign w:val="center"/>
          </w:tcPr>
          <w:p>
            <w:pPr>
              <w:pStyle w:val="TableContents"/>
              <w:pBdr/>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Item 14.</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Principal Accounting Fees And Services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799" w:type="dxa"/>
            <w:tcBorders/>
            <w:vAlign w:val="center"/>
          </w:tcPr>
          <w:p>
            <w:pPr>
              <w:pStyle w:val="TableContents"/>
              <w:pBdr/>
              <w:bidi w:val="0"/>
              <w:spacing w:before="0" w:after="0"/>
              <w:ind w:left="0" w:right="0" w:hanging="0"/>
              <w:jc w:val="left"/>
              <w:rPr/>
            </w:pPr>
            <w:hyperlink w:anchor="PARTIV_855523">
              <w:r>
                <w:rPr>
                  <w:rStyle w:val="InternetLink"/>
                  <w:rFonts w:ascii="Times New Roman;Times;serif" w:hAnsi="Times New Roman;Times;serif"/>
                  <w:b/>
                  <w:i w:val="false"/>
                  <w:caps w:val="false"/>
                  <w:smallCaps w:val="false"/>
                  <w:sz w:val="20"/>
                </w:rPr>
                <w:t>Part IV</w:t>
              </w:r>
            </w:hyperlink>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p>
        </w:tc>
      </w:tr>
      <w:tr>
        <w:trPr/>
        <w:tc>
          <w:tcPr>
            <w:tcW w:w="799" w:type="dxa"/>
            <w:tcBorders/>
            <w:vAlign w:val="center"/>
          </w:tcPr>
          <w:p>
            <w:pPr>
              <w:pStyle w:val="TableContents"/>
              <w:pBdr/>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Exhibits, Financial Statement Schedules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799" w:type="dxa"/>
            <w:tcBorders/>
            <w:vAlign w:val="center"/>
          </w:tcPr>
          <w:p>
            <w:pPr>
              <w:pStyle w:val="TableContents"/>
              <w:pBdr/>
              <w:bidi w:val="0"/>
              <w:spacing w:before="0" w:after="0"/>
              <w:ind w:left="0" w:right="0" w:hanging="0"/>
              <w:jc w:val="left"/>
              <w:rPr/>
            </w:pPr>
            <w:hyperlink w:anchor="ITEM16FORM10KSUMMARY_680075">
              <w:r>
                <w:rPr>
                  <w:rStyle w:val="InternetLink"/>
                  <w:rFonts w:ascii="Times New Roman;Times;serif" w:hAnsi="Times New Roman;Times;serif"/>
                  <w:b w:val="false"/>
                  <w:i w:val="false"/>
                  <w:caps w:val="false"/>
                  <w:smallCaps w:val="false"/>
                  <w:sz w:val="20"/>
                </w:rPr>
                <w:t>Item 16.</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ITEM16FORM10KSUMMARY_680075">
              <w:r>
                <w:rPr>
                  <w:rStyle w:val="InternetLink"/>
                  <w:rFonts w:ascii="Times New Roman;Times;serif" w:hAnsi="Times New Roman;Times;serif"/>
                  <w:b w:val="false"/>
                  <w:i w:val="false"/>
                  <w:caps w:val="false"/>
                  <w:smallCaps w:val="false"/>
                  <w:sz w:val="20"/>
                </w:rPr>
                <w:t>Form 10-K Summary </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799"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352" w:type="dxa"/>
            <w:tcBorders/>
            <w:vAlign w:val="center"/>
          </w:tcPr>
          <w:p>
            <w:pPr>
              <w:pStyle w:val="TableContents"/>
              <w:bidi w:val="0"/>
              <w:spacing w:before="0" w:after="0"/>
              <w:ind w:left="0" w:right="0" w:hanging="0"/>
              <w:jc w:val="left"/>
              <w:rPr/>
            </w:pPr>
            <w:hyperlink w:anchor="SIGNATURES_412578">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5" w:name="FORWARDLOOKINGSTATEMENTS_197689"/>
      <w:bookmarkStart w:id="56" w:name="_f9bd6a35_a042_4ae4_aaa0_03cdd21fc0bd"/>
      <w:bookmarkEnd w:id="55"/>
      <w:bookmarkEnd w:id="56"/>
      <w:r>
        <w:rPr>
          <w:rFonts w:ascii="Times New Roman;Times;serif" w:hAnsi="Times New Roman;Times;serif"/>
          <w:b/>
          <w:sz w:val="20"/>
        </w:rPr>
        <w:t>CAUTIONARY NOTE REGARDING FORWARD 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annual report contains forward-looking statements within the meaning of the Private Securities Litigation Reform Act of 1995 that involve substantial risks and uncertainties. The forward-looking statements are contained principally in Part I, Item 1: “Business,” Part I, Item 1A: “Risk Factors,” and Part 2, Item 7: “Management’s Discussion and Analysis of Financial Condition and Results of Operations,” but are also contained elsewhere in this annual report.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These statements speak only as of the date of this Annual Report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 this annual report include statements as to:</w:t>
      </w:r>
    </w:p>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and results of clinical trials of multi antigen recognizing (“MAR”)-T cell therapies (formerly known as multi-tumor associated antigen-specific T cells, or multiTAA) and our other product candidates, including statements regarding the timing of initiation and completion of preclinical studies or clinical trials or related preparatory work, the period during which the results of the trials will become available and our research and development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any submission of filings for regulatory approval of product candidates and our ability to obtain and maintain regulatory approvals for product candidates for any indication;</w:t>
            </w:r>
          </w:p>
        </w:tc>
      </w:tr>
    </w:tbl>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commercialize product candidates;</w:t>
            </w:r>
          </w:p>
        </w:tc>
      </w:tr>
    </w:tbl>
    <w:tbl>
      <w:tblPr>
        <w:tblW w:w="9381" w:type="dxa"/>
        <w:jc w:val="left"/>
        <w:tblInd w:w="0" w:type="dxa"/>
        <w:tblLayout w:type="fixed"/>
        <w:tblCellMar>
          <w:top w:w="28" w:type="dxa"/>
          <w:left w:w="28" w:type="dxa"/>
          <w:bottom w:w="28" w:type="dxa"/>
          <w:right w:w="28" w:type="dxa"/>
        </w:tblCellMar>
      </w:tblPr>
      <w:tblGrid>
        <w:gridCol w:w="124"/>
        <w:gridCol w:w="256"/>
        <w:gridCol w:w="9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potential benefits, activity, effectiveness and safety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size of the patient populations, market acceptance and opportunity for and clinical utility of product candidates, if approved for commercial 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capabilities and strategy, including the ease, scalability and commercial viability of our manufacturing methods and processes;</w:t>
            </w:r>
          </w:p>
        </w:tc>
      </w:tr>
    </w:tbl>
    <w:tbl>
      <w:tblPr>
        <w:tblW w:w="7761" w:type="dxa"/>
        <w:jc w:val="left"/>
        <w:tblInd w:w="0" w:type="dxa"/>
        <w:tblLayout w:type="fixed"/>
        <w:tblCellMar>
          <w:top w:w="28" w:type="dxa"/>
          <w:left w:w="28" w:type="dxa"/>
          <w:bottom w:w="28" w:type="dxa"/>
          <w:right w:w="28" w:type="dxa"/>
        </w:tblCellMar>
      </w:tblPr>
      <w:tblGrid>
        <w:gridCol w:w="124"/>
        <w:gridCol w:w="256"/>
        <w:gridCol w:w="7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scope of any approved indications for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benefits of and our ability to maintain our relationships and collaborations with the Baylor College of Medicine (“BCM”) and other collaboration or strategic relationships;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manufacture our product candidates;</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the MAR-T cell platform to develop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our expenses, ongoing losses, future revenue, capital requirements and our needs for or ability to obtain additional funding;</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recruit and retain key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and enforce our intellectual property position for our product candidates, and the scope of such protection;</w:t>
            </w:r>
          </w:p>
        </w:tc>
      </w:tr>
    </w:tbl>
    <w:tbl>
      <w:tblPr>
        <w:tblW w:w="2676" w:type="dxa"/>
        <w:jc w:val="left"/>
        <w:tblInd w:w="0" w:type="dxa"/>
        <w:tblLayout w:type="fixed"/>
        <w:tblCellMar>
          <w:top w:w="28" w:type="dxa"/>
          <w:left w:w="28" w:type="dxa"/>
          <w:bottom w:w="28" w:type="dxa"/>
          <w:right w:w="28" w:type="dxa"/>
        </w:tblCellMar>
      </w:tblPr>
      <w:tblGrid>
        <w:gridCol w:w="124"/>
        <w:gridCol w:w="256"/>
        <w:gridCol w:w="2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competitive position and the development of and projections relating to our competitors or our industry; and</w:t>
            </w:r>
          </w:p>
        </w:tc>
      </w:tr>
    </w:tbl>
    <w:tbl>
      <w:tblPr>
        <w:tblW w:w="3351" w:type="dxa"/>
        <w:jc w:val="left"/>
        <w:tblInd w:w="0" w:type="dxa"/>
        <w:tblLayout w:type="fixed"/>
        <w:tblCellMar>
          <w:top w:w="28" w:type="dxa"/>
          <w:left w:w="28" w:type="dxa"/>
          <w:bottom w:w="28" w:type="dxa"/>
          <w:right w:w="28" w:type="dxa"/>
        </w:tblCellMar>
      </w:tblPr>
      <w:tblGrid>
        <w:gridCol w:w="124"/>
        <w:gridCol w:w="256"/>
        <w:gridCol w:w="2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laws and regulations.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should read this annual report and the documents that we reference in this annual report and have filed as exhibits to this annual report completely and with the understanding that our actual future results may be materially different from what we expect. We qualify all of our forward-looking statements by these cautionary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this report all references to (i) “Marker” “we,” “us,” “our” or the “Company” mean Marker Therapeutics, Inc. and its wholly-owned subsidiaries, Marker Cell Therapy, Inc. and GeneMax Pharmaceuticals, Inc., which wholly owns GeneMax Pharmaceuticals Canada Inc., unless the context otherwise requires; (ii) “SEC” refers to the Securities and Exchange Commission; (iii) “Securities Act” refers to the United States </w:t>
      </w:r>
      <w:r>
        <w:rPr>
          <w:rFonts w:ascii="Times New Roman;Times;serif" w:hAnsi="Times New Roman;Times;serif"/>
          <w:i/>
          <w:sz w:val="20"/>
        </w:rPr>
        <w:t>Securities Act of 1933</w:t>
      </w:r>
      <w:r>
        <w:rPr>
          <w:rFonts w:ascii="Times New Roman;Times;serif" w:hAnsi="Times New Roman;Times;serif"/>
          <w:sz w:val="20"/>
        </w:rPr>
        <w:t xml:space="preserve">, as amended; (iv) “Exchange Act” refers to the United States </w:t>
      </w:r>
      <w:r>
        <w:rPr>
          <w:rFonts w:ascii="Times New Roman;Times;serif" w:hAnsi="Times New Roman;Times;serif"/>
          <w:i/>
          <w:sz w:val="20"/>
        </w:rPr>
        <w:t>Securities Exchange Act of 1934</w:t>
      </w:r>
      <w:r>
        <w:rPr>
          <w:rFonts w:ascii="Times New Roman;Times;serif" w:hAnsi="Times New Roman;Times;serif"/>
          <w:sz w:val="20"/>
        </w:rPr>
        <w:t>, as amended; and (v) all dollar amounts refer to United States dollars unless otherwise indicated.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7" w:name="PARTI_513007"/>
      <w:bookmarkStart w:id="58" w:name="_25c49343_e8da_41c3_8f46_98e863928194"/>
      <w:bookmarkEnd w:id="57"/>
      <w:bookmarkEnd w:id="58"/>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59" w:name="ITEM1BUSINESS_525596"/>
      <w:bookmarkEnd w:id="59"/>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clinical-stage immuno-oncology company specializing in the development of novel T cell-based immunotherapies for the treatment of hematological malignancies and solid tumor indications. Harnessing millions of years of immunologic evolution, Marker’s Multi Antigen Recognizing (“MAR”)-T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MAR-T cells are designed to kill cancer cells expressing the TAA.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anticipate to continue to advance two product candidates for 3 clinical indications as part of our MAR-T cell program for:</w:t>
      </w:r>
    </w:p>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Autologous MAR-T cell product for the treatment of lymphoma and pancreatic cancer (MT-601)</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Off-the-Shelf (“OTS”) product in various indications (e.g., MT-401-OTS in AML or MDS)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genetically engineer our MAR-T cell therapies and we believe that our product candidates are superior to T cells engineered with chimeric antigen receptors, or CAR-T, for several reasons including:</w:t>
      </w:r>
    </w:p>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targets → enhanced tumoricidal effect→ minimized tumor immune escape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safety → no treatment-related side effects, including immune effector cell-associated neurotoxicity syndrome (ICANS) or other severe adverse effects (SAEs), were attributed to the use of MAR-T cell therapies to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Non-genetically engineered T cell products → selective expansion of tumor-specific T cells from a patient’s or donor’s blood capable of recognizing a broad range of tumor antigens → no risk of mutagenesis and reduced manufacturing complexity → lower cost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495415" cy="15811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495415" cy="1581150"/>
                    </a:xfrm>
                    <a:prstGeom prst="rect">
                      <a:avLst/>
                    </a:prstGeom>
                  </pic:spPr>
                </pic:pic>
              </a:graphicData>
            </a:graphic>
          </wp:inline>
        </w:drawing>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these reasons, we believe our endogenous T cell receptor-based therapies may provide meaningful clinical benefit and safety to patients with both hematological and solid tumors.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simplicity of our manufacturing process allows additional modifications to expand MAR-T cell recognition of cancer targets. For example, we are assessing the potential of combining MAR-T cell products with other products.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Company-Sponsored Clinical Development of MAR-T Cell Therapies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MT-601 for the Treatment of Lymphoma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developed MT-601, a MAR-T cell product capable of recognizing multiple target antigens expressed by the tumor, thereby limiting tumor adaptation by negative antigen selection or downregulation.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evaluating the safety and efficacy of MT-601 in a Phase 1, multicenter, open-label study (APOLLO) in participants with relapsed lymphoma who either failed or are ineligible for anti-CD19 CAR-T cell therapy. MT-601 is a MAR-T cell product that specifically targets six different tumor antigens upregulated in lymphoma cells (Survivin, PRAME, WT1, NY-ESO-1, SSX-2, MAGEA-4). Although CD19-targeting CAR-T cell therapies have gained acceptance as treatment for patients with lymphoma, 40-60% of patients relapse within the first year of treatment (Chong et al, N Engl J Med, 2021; Neelapu et al, Blood, 2023.). These post-CD19 CAR-T relapsed patients currently have no approved standard of care, illustrating a high unmet medical need and urgency for new therapies. In addition, CAR-T cells are associated with severe side effects such as CRS or ICANS and may increase the risk for secondary malignancies (U.S. Food and Drug Administration, November 28, 2023). Data from clinical trials to date have demonstrated that MAR-T cells are well tolerated with no evidence of ICANS. In addition, Marker’s non-engineered MAR-T cell approach selectively expands natural tumor-specific T cells from a patient’s blood that can recognize a broad range of tumor antigens, minimizing the risk of mutagenesis.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2022, the FDA cleared our IND application for MT-601 for the treatment of patients with relapsed non-Hodgkin lymphoma who have failed or are ineligible to receive anti-CD19 CAR-T cell treatment. The Phase 1 APOLLO trial was initiated in January 2023. In June 2023, we reported first enrollment in the dose escalation stage of the Phase 1 study. In August 2025, the Company provided an update on the progress and clinical observations from the Phase 1 study, with a data cutoff date of June, 2025. In this update, clinical data was available for a total of 24 B cell lymphoma patients from 7 clinical sites across the United States, including 15 patients with Non-Hodgkin Lymphoma (“NHL) and 9 patients with Hodgkin Lymphoma (“HL”). At the time of the data cutoff, 12 NHL and 9 HL patients have been assessed. Study participants showed objective responses and a favorable safety profile with and without lymphodepletion.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Key findings from the APOLLO study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i w:val="false"/>
                <w:caps w:val="false"/>
                <w:smallCaps w:val="false"/>
                <w:sz w:val="20"/>
              </w:rPr>
              <w:t>Safety</w:t>
            </w:r>
            <w:r>
              <w:rPr>
                <w:caps w:val="false"/>
                <w:smallCaps w:val="false"/>
              </w:rPr>
              <w:t xml:space="preserve"> – </w:t>
            </w:r>
            <w:r>
              <w:rPr>
                <w:rFonts w:ascii="Times New Roman;Times;serif" w:hAnsi="Times New Roman;Times;serif"/>
                <w:b w:val="false"/>
                <w:i w:val="false"/>
                <w:caps w:val="false"/>
                <w:smallCaps w:val="false"/>
                <w:sz w:val="20"/>
              </w:rPr>
              <w:t>The dose escalation portion of the study tested doses ranging from 100x10</w:t>
            </w:r>
            <w:r>
              <w:rPr>
                <w:rFonts w:ascii="Times New Roman;Times;serif" w:hAnsi="Times New Roman;Times;serif"/>
                <w:b w:val="false"/>
                <w:i w:val="false"/>
                <w:caps w:val="false"/>
                <w:smallCaps w:val="false"/>
                <w:sz w:val="15"/>
              </w:rPr>
              <w:t>6</w:t>
            </w:r>
            <w:r>
              <w:rPr>
                <w:rFonts w:ascii="Times New Roman;Times;serif" w:hAnsi="Times New Roman;Times;serif"/>
                <w:b w:val="false"/>
                <w:i w:val="false"/>
                <w:caps w:val="false"/>
                <w:smallCaps w:val="false"/>
                <w:sz w:val="20"/>
              </w:rPr>
              <w:t>-400x10</w:t>
            </w:r>
            <w:r>
              <w:rPr>
                <w:rFonts w:ascii="Times New Roman;Times;serif" w:hAnsi="Times New Roman;Times;serif"/>
                <w:b w:val="false"/>
                <w:i w:val="false"/>
                <w:caps w:val="false"/>
                <w:smallCaps w:val="false"/>
                <w:sz w:val="15"/>
              </w:rPr>
              <w:t>6</w:t>
            </w:r>
            <w:r>
              <w:rPr>
                <w:caps w:val="false"/>
                <w:smallCaps w:val="false"/>
              </w:rPr>
              <w:t xml:space="preserve"> </w:t>
            </w:r>
            <w:r>
              <w:rPr>
                <w:rFonts w:ascii="Times New Roman;Times;serif" w:hAnsi="Times New Roman;Times;serif"/>
                <w:b w:val="false"/>
                <w:i w:val="false"/>
                <w:caps w:val="false"/>
                <w:smallCaps w:val="false"/>
                <w:sz w:val="20"/>
              </w:rPr>
              <w:t>cells. Infusion of MT-601 was well tolerated in all study participants, with no observation of immune-effector cell associated neurotoxicity syndrome (ICANS) and two reported Grade 1 cytokine release syndrome (“CRS”) events (fever; no treatment was required). No dose limiting toxicities (“DLTs”) or immune effector cell-associated neurotoxicity syndrome (“ICANS”) have been reported to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Efficacy and Duration of Response</w:t>
            </w:r>
            <w:r>
              <w:rPr>
                <w:caps w:val="false"/>
                <w:smallCaps w:val="false"/>
              </w:rPr>
              <w:t xml:space="preserve"> – </w:t>
            </w:r>
            <w:r>
              <w:rPr>
                <w:rFonts w:ascii="Times New Roman;Times;serif" w:hAnsi="Times New Roman;Times;serif"/>
                <w:b w:val="false"/>
                <w:i w:val="false"/>
                <w:caps w:val="false"/>
                <w:smallCaps w:val="false"/>
                <w:sz w:val="20"/>
              </w:rPr>
              <w:t>Eight out of 12 NHL patients achieved objective responses (66%), with 6 patients demonstrating complete response (“CR”) as best response (50%). Durable responses were observed (range 3-24 months) with 5 NHL patients showing continued response over 6 months, including 3 patients with over 12 months durability. Seven out of 9 HL patients had objective responses (78%), with 1 patient demonstrating CR (11%) highlighting the versatility of MT-601 across multiple histologies.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these favorable safety and efficacy outcomes, the study has advanced to the dose expansion phase, evaluating MT-601 at the highest dose level in patients with Diffuse Large B Cell Lymphoma (“DLBCL”) who have relapsed after anti-CD19 CAR-T therapy or are ineligible for CAR-T treatment.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MT-601 for the Treatment of Pancreatic Cancer</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We reported data for a Phase 1/2 clinical trial (TACTOPS) conducted at Baylor College of Medicine demonstrating encouraging objective clinical responses and a disease control rate of 84.6% when combining MAR-T cells (targeting five TAAs) with frontline chemotherapy in patients with pancreatic cancer. To date, no cytokine release syndrome or neurotoxicity have been observed in this trial (Musher BL, Vasileiou S, Smaglo BG et al, Nat Med, 2026).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In January 2022, the FDA granted orphan drug designation to MT-601 for the treatment of patients with pancreatic cancer. The FDA cleared our IND application for MT-601 in November 2022 to initiate the PANACEA study, a Phase 1 multicenter clinical trial in locally advanced, unresectable or metastatic pancreatic cancer to assess the safety and efficacy of MT-601 in combination with front-line chemotherapy. The PANACEA trial will include a dose escalation portion followed by a dose expansion portion. In 2024, the Company was awarded a $9.5 million grant from the Cancer Prevention &amp; Research Institute of Texas (“CPRIT”) and a $2 million grant from the National Institutes of Health (“NIH”) Small Business Innovation Research (“SBIR”) program to support the clinical investigation of MT-601 in patients with metastatic pancreatic cancer. With the support of these grants, we will be able to advance MT-601 in pancreatic cancer without affecting our operations in the ongoing study of MT-601 in patients with lymphoma.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MT-401-OTS Program</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Since January 2024, Marker has been advancing MT-401 in an OTS program in patients with AML or MDS in the Phase 1 RAPID study. MT-401-OTS has the potential to provide a fast treatment option for patients with rapidly progressing diseases. The Company believes that using commercially available leukapheresis material from heathy donors can facilitate large-scale manufacturing and expedite treatment as fast as 72 hours, while also enabling broader scalability and accessibility of cell therapies at a lower per-dose cost. We have established a cellular inventory manufactured from heathy donors, and anticipate that a single donor could provide treatment for approximately 40 patients. </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In October 2025, the Company announced that the first patient has been treated in the OTS program, with encouraging preliminary safety data. This observation is consistent with the favorable safety profile and tolerability previously reported for MAR-T cells. The OTS product will be initially investigated in patients with AML or MDS, with the potential to be expanded to other indications. </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With the grant support from the FDA Orphan Products Grant program, NIH Small Business Innovation Research (“SBIR”) program and the Cancer Prevention and Research Institute of Texas (“CPRIT”), the Company will be able to advance the OTS program without affecting the investigation of its lead asset, MT-601, in patients with relapsed lymphoma.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Pipeline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clinical-stage pipeline is set forth below:</w:t>
      </w:r>
    </w:p>
    <w:p>
      <w:pPr>
        <w:pStyle w:val="TextBody"/>
        <w:bidi w:val="0"/>
        <w:spacing w:before="0" w:after="0"/>
        <w:ind w:left="0" w:right="0" w:hanging="0"/>
        <w:jc w:val="both"/>
        <w:rPr/>
      </w:pPr>
      <w:r>
        <w:rPr/>
        <w:t>​</w:t>
      </w:r>
    </w:p>
    <w:p>
      <w:pPr>
        <w:pStyle w:val="TextBody"/>
        <w:bidi w:val="0"/>
        <w:spacing w:before="0" w:after="0"/>
        <w:ind w:left="0" w:right="0" w:hanging="0"/>
        <w:jc w:val="center"/>
        <w:rPr/>
      </w:pPr>
      <w:r>
        <w:rPr/>
        <w:drawing>
          <wp:inline distT="0" distB="0" distL="0" distR="0">
            <wp:extent cx="5380990" cy="269367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5380990" cy="269367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0" w:name="_cp_text_1_109"/>
      <w:bookmarkStart w:id="61" w:name="_cp_text_2_108"/>
      <w:bookmarkStart w:id="62" w:name="_cp_text_1_99"/>
      <w:bookmarkEnd w:id="60"/>
      <w:bookmarkEnd w:id="61"/>
      <w:bookmarkEnd w:id="62"/>
      <w:r>
        <w:rPr>
          <w:rFonts w:ascii="Times New Roman;Times;serif" w:hAnsi="Times New Roman;Times;serif"/>
          <w:b/>
          <w:sz w:val="20"/>
        </w:rPr>
        <w:t>Our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MAR-T cells are designed to enhance the capacity of non-engineered T cells to identify and kill cancer by increasing the diversity and quantity of naturally occurring cancer killing T cells within the patient.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goal is to become a leader in the development and commercialization of transformative immunotherapies for the treatment of hematological malignancies and solid tumors. We are developing a portfolio of highly differentiated T cell therapies utilizing the MAR-T cell platform that we believe has the potential to significantly disrupt the current cell therapy landscape, while substantially improving survival and quality of life for patients with cancers.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key elements of our strategy include:</w:t>
      </w:r>
    </w:p>
    <w:tbl>
      <w:tblPr>
        <w:tblW w:w="9317" w:type="dxa"/>
        <w:jc w:val="left"/>
        <w:tblInd w:w="0" w:type="dxa"/>
        <w:tblLayout w:type="fixed"/>
        <w:tblCellMar>
          <w:top w:w="0" w:type="dxa"/>
          <w:left w:w="0" w:type="dxa"/>
          <w:bottom w:w="0" w:type="dxa"/>
          <w:right w:w="0" w:type="dxa"/>
        </w:tblCellMar>
      </w:tblPr>
      <w:tblGrid>
        <w:gridCol w:w="271"/>
        <w:gridCol w:w="9046"/>
      </w:tblGrid>
      <w:tr>
        <w:trPr/>
        <w:tc>
          <w:tcPr>
            <w:tcW w:w="271" w:type="dxa"/>
            <w:tcBorders/>
            <w:vAlign w:val="center"/>
          </w:tcPr>
          <w:p>
            <w:pPr>
              <w:pStyle w:val="TableContents"/>
              <w:bidi w:val="0"/>
              <w:spacing w:before="0" w:after="283"/>
              <w:jc w:val="left"/>
              <w:rPr/>
            </w:pPr>
            <w:r>
              <w:rPr/>
              <w:t>●</w:t>
            </w:r>
          </w:p>
        </w:tc>
        <w:tc>
          <w:tcPr>
            <w:tcW w:w="904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Expedite clinical development, regulatory approval, and commercialization of our lead product candidates.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encouraging clinical data from the Phase 1 APOLLO study, we are prioritizing the advancement of MT-601 in patients with relapsed lymphoma and plan to advance the OTS program initially in patients with AML or MDS, with the potential to be expanded to other indications.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intend to initiate future additional clinical trials in other tumor types based on emerging data.</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Continue to collaborate with our partners and increase our clinical activities to improve and develop adoptive cell therapy technologies.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intend to continue to contract and collaborate with third-parties to perform a wide variety of services to ensure the continuation of our research and development efforts, with the goal of optimizing our manufacturing process, product quality and commercial scalability. Marker previously optimized the MAR-T cell manufacturing process by decreasing the number of manipulations, semi-closing the system and reducing the total manufacturing time from the original 36 days (BCM studies) to nine days. We believe the improved manufacturing process enables products with increased antigen specificity and diversity, both of which have a strong linear correlation to anti-tumor activity and has resulted in a four-fold increase in potency in vitro.</w:t>
      </w:r>
    </w:p>
    <w:tbl>
      <w:tblPr>
        <w:tblW w:w="6902" w:type="dxa"/>
        <w:jc w:val="left"/>
        <w:tblInd w:w="0" w:type="dxa"/>
        <w:tblLayout w:type="fixed"/>
        <w:tblCellMar>
          <w:top w:w="0" w:type="dxa"/>
          <w:left w:w="0" w:type="dxa"/>
          <w:bottom w:w="0" w:type="dxa"/>
          <w:right w:w="0" w:type="dxa"/>
        </w:tblCellMar>
      </w:tblPr>
      <w:tblGrid>
        <w:gridCol w:w="271"/>
        <w:gridCol w:w="6631"/>
      </w:tblGrid>
      <w:tr>
        <w:trPr/>
        <w:tc>
          <w:tcPr>
            <w:tcW w:w="271" w:type="dxa"/>
            <w:tcBorders/>
            <w:vAlign w:val="center"/>
          </w:tcPr>
          <w:p>
            <w:pPr>
              <w:pStyle w:val="TableContents"/>
              <w:bidi w:val="0"/>
              <w:spacing w:before="0" w:after="283"/>
              <w:jc w:val="left"/>
              <w:rPr/>
            </w:pPr>
            <w:r>
              <w:rPr/>
              <w:t>●</w:t>
            </w:r>
          </w:p>
        </w:tc>
        <w:tc>
          <w:tcPr>
            <w:tcW w:w="6631"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Invest in our platform to maximize the beneficial outcomes for cancer patients.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plan to explore new product opportunities by increasing and/or customizing the antigens we target to expand the indications in which the MAR-T cell products will be efficacious, including hematologic malignancies or solid tumors. Additionally, our research and development efforts may include the exploration of different doses and/or frequency of dosing and the relationship of these factors with potential therapeutic benefit.</w:t>
      </w:r>
    </w:p>
    <w:tbl>
      <w:tblPr>
        <w:tblW w:w="9167" w:type="dxa"/>
        <w:jc w:val="left"/>
        <w:tblInd w:w="0" w:type="dxa"/>
        <w:tblLayout w:type="fixed"/>
        <w:tblCellMar>
          <w:top w:w="0" w:type="dxa"/>
          <w:left w:w="0" w:type="dxa"/>
          <w:bottom w:w="0" w:type="dxa"/>
          <w:right w:w="0" w:type="dxa"/>
        </w:tblCellMar>
      </w:tblPr>
      <w:tblGrid>
        <w:gridCol w:w="271"/>
        <w:gridCol w:w="8896"/>
      </w:tblGrid>
      <w:tr>
        <w:trPr/>
        <w:tc>
          <w:tcPr>
            <w:tcW w:w="271" w:type="dxa"/>
            <w:tcBorders/>
            <w:vAlign w:val="center"/>
          </w:tcPr>
          <w:p>
            <w:pPr>
              <w:pStyle w:val="TableContents"/>
              <w:bidi w:val="0"/>
              <w:spacing w:before="0" w:after="283"/>
              <w:jc w:val="left"/>
              <w:rPr/>
            </w:pPr>
            <w:r>
              <w:rPr/>
              <w:t>●</w:t>
            </w:r>
          </w:p>
        </w:tc>
        <w:tc>
          <w:tcPr>
            <w:tcW w:w="8896"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Leverage our relationships with our founding institutions, scientific founders and other scientific advisors.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world-renowned scientific founders and scientific advisors have made seminal contributions to major discoveries in the field of immuno-oncology, and have significant experience in oncology, immunology and cell therapy. We intend to significantly leverage the knowledge, experience and advice of our scientific founders and advisors, as well as the institutional expertise of BCM and our other major institutional partners, to advance our therapies through the clinic and into commercialization.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Background and History of Cancer Immunotherapies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Despite advances in options for treatment, cancer continues to be one of the main causes of death in developed countries. Historically, cancer therapy has been constrained to surgery, radiation, and chemotherapy. More recently, advances in the understanding of the immune system’s role in cancer surveillance have led to immunotherapy becoming an important treatment approach. Cancer immunotherapy began with treatments that nonspecifically activated the immune system and had limited efficacy and/or significant toxicity. In contrast, newer immunotherapy treatments activate specific, potent immune cells, leading to improved safety and efficacy. Within the immunotherapy category, treatments have included vaccines, cytokine therapies, antibody therapies, and adoptive cell therapies.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1996, Dr. Dana Leach, Dr. Matthew Krummel and Dr. James Allison reported that monoclonal antibodies, or mAbs, blocking CTLA-4 could treat tumors in animal models. Subsequently, mAbs that targeted CTLA-4 and PD-1 became known as immune checkpoint inhibitors, or ICIs. Immune checkpoints are a means by which cancer cells inhibit or turn down the body’s immune response to cancer. By interfering with these cloaking mechanisms, ICIs have shown an ability to activate T cells, shrink tumors, and improve patient survival. Recent clinical data from checkpoint inhibitors such as ipilimumab, nivolumab and pembrolizumab have confirmed both the validity of this approach and the importance of T cells as promising tools for the treatment of cancer.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Despite these many advances, there persists a significant unmet need in cancer therapeutics. We believe that the use of human cells as a therapeutic modality to re-engage the immune system will be the next significant advancement in the treatment of cancer. These cellular therapies may avoid the long-term side effects associated with current treatments and have the potential to be effective regardless of the type of previous treatments patients have experienced.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 Cell Therapy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field of adoptive cell transfer is currently comprised primarily of chimeric antigen receptor (“CAR”) and T cell receptor (“TCR”) engineered T cells and has emerged from principles of basic immunology to become a paradigm-shifting clinical immunotherapy. T cell therapy, which we believe has evolved as one of the most promising branches of immunotherapy. T cell immunotherapy involves the infusion of T cells into a patient. Immune cells used for immunotherapy treatments can either be collected from the patient (autologous) or harvested from a donor (allogeneic). The cells are retrieved and either genetically modified to express tumor-specific CARs or TCRs or stimulated with specific antigens. The cells are then cultured to proliferate, and the proliferated cells are infused into the patient. Upon infusion, the cells can target and eliminate cancerous cells. Unlike chemotherapy, which is unable to distinguish between healthy and malignant cells, T cells produced for immunotherapy can selectively attack cancer cells that express the target antigen(s). This leads to a more effective treatment platform with fewer side effects. Some of these infused T cells may remain in the body for long periods, providing immunological memory, thus leading to longer and more durable responses.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TCRs and CARs have distinct signaling properties and antigen sensitivities. TCRs recognize peptide fragments from proteins expressed either inside the cell or on the cell surface, which are presented to T cells via major histocompatibility complex (“MHC”) molecules. CARs are programmed to recognize a specific cell surface protein. Because CARs are specific for a single antigen, or more precisely a single epitope within the single antigen, they are very narrowly focused and have limitations. When a CAR-T cell product is applied to a specific antigen of a heterogeneous disease, CAR-T cells may leave behind tumor cells that do not express the target antigen, which can lead to tumor relapse due to immune escape.</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Our approach is to avoid genetic engineering by relying upon the native T cell receptor, which has evolved over millions of years to provide T cells with an exquisite capacity to recognize and kill cancer cells. Use of the native T cell receptor is the bedrock of our versatile immunotherapy, which is intended to provide a cost-effective and non-toxic strategy to target multiple tumor antigens and lead to durable responses. The process entails expanding tumor-specific T cells from patients (autologous), or a patient’s hematopoietic stem cell donor (allogeneic). This is achieved by </w:t>
      </w:r>
      <w:r>
        <w:rPr>
          <w:rFonts w:ascii="Times New Roman;Times;serif" w:hAnsi="Times New Roman;Times;serif"/>
          <w:i/>
          <w:sz w:val="20"/>
        </w:rPr>
        <w:t>in vitro</w:t>
      </w:r>
      <w:r>
        <w:rPr>
          <w:rFonts w:ascii="Times New Roman;Times;serif" w:hAnsi="Times New Roman;Times;serif"/>
          <w:sz w:val="20"/>
        </w:rPr>
        <w:t> manipulation consisting of co-culturing a patient’s or donor’s antigen presenting cells with patient (or donor) peripheral blood mononuclear cells, or PBMCs, respectively. As a source of antigen, we use overlapping peptide libraries spanning each of several immunogenic target antigens that are typically associated with certain types of cancer. These peptides are at least 15 amino acids in length, overlapping by approximately 11 amino acids and span the entire length of each of the target antigens. This typical footprint of peptides allows us to induce both CD4</w:t>
      </w:r>
      <w:r>
        <w:rPr>
          <w:rFonts w:ascii="Times New Roman;Times;serif" w:hAnsi="Times New Roman;Times;serif"/>
          <w:sz w:val="15"/>
        </w:rPr>
        <w:t>+</w:t>
      </w:r>
      <w:r>
        <w:rPr>
          <w:rFonts w:ascii="Times New Roman;Times;serif" w:hAnsi="Times New Roman;Times;serif"/>
          <w:sz w:val="20"/>
        </w:rPr>
        <w:t> (helper) and CD8</w:t>
      </w:r>
      <w:r>
        <w:rPr>
          <w:rFonts w:ascii="Times New Roman;Times;serif" w:hAnsi="Times New Roman;Times;serif"/>
          <w:sz w:val="15"/>
        </w:rPr>
        <w:t>+</w:t>
      </w:r>
      <w:r>
        <w:rPr>
          <w:rFonts w:ascii="Times New Roman;Times;serif" w:hAnsi="Times New Roman;Times;serif"/>
          <w:sz w:val="20"/>
        </w:rPr>
        <w:t> (cytotoxic) T cells. Following manufacture, these cells are frozen and stored for later infusion. Once infused, the natural characteristics of T cells take over and the T cells multiply in quantity, forming an army of T cells that kill the targeted cancer cells.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MAR-T Cell 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advancing two MAR-T cell therapies through clinical development:</w:t>
      </w:r>
    </w:p>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 xml:space="preserve">Autologous MAR-T cell therapies – </w:t>
            </w:r>
            <w:r>
              <w:rPr>
                <w:rFonts w:ascii="Times New Roman;Times;serif" w:hAnsi="Times New Roman;Times;serif"/>
                <w:sz w:val="20"/>
              </w:rPr>
              <w:t>The autologous product targets the NY-ESO-1, PRAME, MAGE - A4, Survivin, WT1 and SSX2 antigens (MT-601). We recently reported updated clinical data from our Phase 1 clinical trial investigating MT-601 for the treatment of patients with lymphoma who have relapsed after CAR-T therapy. In addition, we received an Investigational New Drug (IND) cleared by the U.S. FDA to investigate MT-601 in a Phase 1 trial in patients with pancreatic cancer in combination with frontline chemotherapy.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99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 xml:space="preserve">Off-the-Shelf (“OTS”) MAR-T cell therapies – </w:t>
            </w:r>
            <w:r>
              <w:rPr>
                <w:rFonts w:ascii="Times New Roman;Times;serif" w:hAnsi="Times New Roman;Times;serif"/>
                <w:sz w:val="20"/>
              </w:rPr>
              <w:t xml:space="preserve">The OTS product targets WT1, NY-ESO-1, PRAME, and Surviving antigens (MT-401-OTS). Enrolled patients are matched to the pre-manufactured inventory of MT-401-OTS products based on their human leukocyte antigen (“HLA”). Because the MT-401-OTS product inventory is pre-manufactured, the T cell product is delivered to the patient in a significantly shorter amount of time than a patient-specific T cell product.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the blood source and the antigens for stimulation differ between our autologous and OTS products, the manufacturing process for each product is identical.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Cancers are heterogeneous in their expression of antigens. Tumors generally consist of individual cancer cells expressing different antigens, and each of those antigens can be present at a different level that can change over time. Therapies targeting only a single antigen are vulnerable to evolutionary escape mechanisms.</w:t>
      </w:r>
    </w:p>
    <w:p>
      <w:pPr>
        <w:pStyle w:val="TextBody"/>
        <w:bidi w:val="0"/>
        <w:spacing w:before="0" w:after="240"/>
        <w:ind w:left="0" w:right="0" w:hanging="0"/>
        <w:jc w:val="both"/>
        <w:rPr/>
      </w:pPr>
      <w:r>
        <w:rPr/>
        <w:t>​</w:t>
      </w:r>
    </w:p>
    <w:p>
      <w:pPr>
        <w:pStyle w:val="TextBody"/>
        <w:bidi w:val="0"/>
        <w:spacing w:before="0" w:after="0"/>
        <w:ind w:left="0" w:right="0" w:hanging="0"/>
        <w:jc w:val="center"/>
        <w:rPr/>
      </w:pPr>
      <w:r>
        <w:rPr/>
        <w:drawing>
          <wp:inline distT="0" distB="0" distL="0" distR="0">
            <wp:extent cx="4218940" cy="217678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4218940" cy="2176780"/>
                    </a:xfrm>
                    <a:prstGeom prst="rect">
                      <a:avLst/>
                    </a:prstGeom>
                  </pic:spPr>
                </pic:pic>
              </a:graphicData>
            </a:graphic>
          </wp:inline>
        </w:drawing>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single-antigen specific therapies can eliminate all the tumor cells expressing the targeted antigen, the residual tumor cells that do not express that antigen may survive and expand. In addition, tumor cells may also downregulate or mutate the targeted antigen, thus becoming invisible to the T cell therapy. Both phenomena create a transformed tumor that is impervious to that therapy. This process is referred to as antigen-negative tumor escape.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solution to the problem of tumor heterogeneity is the development of T cell products that are intended to simultaneously attack multiple tumor-expressed antigens and thereby enable more complete initial tumor targeting, thus minimizing the subsequent opportunity for the cancer to engage escape mechanisms. We believe that by targeting up to six tumor-specific antigens, our MAR-T cell approach facilitates robust killing of targeted cancer cells and minimizes tumor escape.</w:t>
      </w:r>
    </w:p>
    <w:p>
      <w:pPr>
        <w:pStyle w:val="TextBody"/>
        <w:bidi w:val="0"/>
        <w:spacing w:before="0" w:after="240"/>
        <w:ind w:left="0" w:right="0" w:hanging="0"/>
        <w:jc w:val="both"/>
        <w:rPr/>
      </w:pPr>
      <w:r>
        <w:rPr/>
        <w:t>​</w:t>
      </w:r>
    </w:p>
    <w:p>
      <w:pPr>
        <w:pStyle w:val="TextBody"/>
        <w:bidi w:val="0"/>
        <w:spacing w:before="0" w:after="0"/>
        <w:ind w:left="0" w:right="0" w:hanging="0"/>
        <w:jc w:val="center"/>
        <w:rPr/>
      </w:pPr>
      <w:r>
        <w:rPr/>
        <w:drawing>
          <wp:inline distT="0" distB="0" distL="0" distR="0">
            <wp:extent cx="4171315" cy="19304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4171315" cy="1930400"/>
                    </a:xfrm>
                    <a:prstGeom prst="rect">
                      <a:avLst/>
                    </a:prstGeom>
                  </pic:spPr>
                </pic:pic>
              </a:graphicData>
            </a:graphic>
          </wp:inline>
        </w:drawing>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our proprietary MAR-T cell platform may have meaningful advantages over current CAR and TCR-engineered cell therapy approaches. Compared to current gene-modified T cell therapies, the MAR-T cell product candidates are characterized by the following: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562" w:type="dxa"/>
        <w:jc w:val="left"/>
        <w:tblInd w:w="0" w:type="dxa"/>
        <w:tblLayout w:type="fixed"/>
        <w:tblCellMar>
          <w:top w:w="0" w:type="dxa"/>
          <w:left w:w="0" w:type="dxa"/>
          <w:bottom w:w="0" w:type="dxa"/>
          <w:right w:w="0" w:type="dxa"/>
        </w:tblCellMar>
      </w:tblPr>
      <w:tblGrid>
        <w:gridCol w:w="271"/>
        <w:gridCol w:w="7291"/>
      </w:tblGrid>
      <w:tr>
        <w:trPr/>
        <w:tc>
          <w:tcPr>
            <w:tcW w:w="271" w:type="dxa"/>
            <w:tcBorders/>
            <w:vAlign w:val="center"/>
          </w:tcPr>
          <w:p>
            <w:pPr>
              <w:pStyle w:val="TableContents"/>
              <w:bidi w:val="0"/>
              <w:spacing w:before="0" w:after="283"/>
              <w:jc w:val="left"/>
              <w:rPr/>
            </w:pPr>
            <w:r>
              <w:rPr/>
              <w:t>●</w:t>
            </w:r>
          </w:p>
        </w:tc>
        <w:tc>
          <w:tcPr>
            <w:tcW w:w="729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Clinical benefits observed in early-stage clinical trials in multiple cancer indications.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our observations in clinical trials in AML, pancreatic cancer, lymphoma, ALL and MM, we believe that the MAR-T cell therapies have the potential to mediate a meaningful anti-tumor effect, as well as significant in vivo expansion of T cells. For example, in BCM’s Phase 1 clinical trial in lymphoma (TACTAL), there were complete responses, or CRs, in six of the fifteen evaluable patients with both Hodgkin lymphoma and non-Hodgkin lymphoma with active disease. Significantly, no patient with a CR has subsequently relapsed with disease, whereas typically 30% or more of patients with CR in reported CAR-T studies relapse within one year (Vasileiou et al., J Clin Oncol, 2021). In patient results to date in this trial, observed therapeutic responses appear to be highly durable, with some patients being relapse-free beyond five years. In 2023, Marker treated the first patient in the Phase 1 APOLLO trial investigating the safety and efficacy of MT-601 in patients with lymphoma. Marker recently provided an update on the progress and clinical observations from the study highlighting durable objective responses and a favorable safety profile in relapsed lymphoma.</w:t>
      </w:r>
    </w:p>
    <w:tbl>
      <w:tblPr>
        <w:tblW w:w="3197" w:type="dxa"/>
        <w:jc w:val="left"/>
        <w:tblInd w:w="0" w:type="dxa"/>
        <w:tblLayout w:type="fixed"/>
        <w:tblCellMar>
          <w:top w:w="0" w:type="dxa"/>
          <w:left w:w="0" w:type="dxa"/>
          <w:bottom w:w="0" w:type="dxa"/>
          <w:right w:w="0" w:type="dxa"/>
        </w:tblCellMar>
      </w:tblPr>
      <w:tblGrid>
        <w:gridCol w:w="271"/>
        <w:gridCol w:w="2926"/>
      </w:tblGrid>
      <w:tr>
        <w:trPr/>
        <w:tc>
          <w:tcPr>
            <w:tcW w:w="271" w:type="dxa"/>
            <w:tcBorders/>
            <w:vAlign w:val="center"/>
          </w:tcPr>
          <w:p>
            <w:pPr>
              <w:pStyle w:val="TableContents"/>
              <w:bidi w:val="0"/>
              <w:spacing w:before="0" w:after="283"/>
              <w:jc w:val="left"/>
              <w:rPr/>
            </w:pPr>
            <w:r>
              <w:rPr/>
              <w:t>●</w:t>
            </w:r>
          </w:p>
        </w:tc>
        <w:tc>
          <w:tcPr>
            <w:tcW w:w="292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Non-genetically modified T cells.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Unlike CAR and TCR-based approaches, the MAR-T cell therapy does not require genetic modification of T cells, a costly and complex process that significantly complicates the manufacturing of a patient product. We believe our MAR-T cell therapy represents a safe alternative to CAR-T cells and can be manufactured at a fraction of the cost of a gene-modified T cell product, with substantially reduced complexity of manufacturing.</w:t>
      </w:r>
    </w:p>
    <w:tbl>
      <w:tblPr>
        <w:tblW w:w="3557" w:type="dxa"/>
        <w:jc w:val="left"/>
        <w:tblInd w:w="0" w:type="dxa"/>
        <w:tblLayout w:type="fixed"/>
        <w:tblCellMar>
          <w:top w:w="0" w:type="dxa"/>
          <w:left w:w="0" w:type="dxa"/>
          <w:bottom w:w="0" w:type="dxa"/>
          <w:right w:w="0" w:type="dxa"/>
        </w:tblCellMar>
      </w:tblPr>
      <w:tblGrid>
        <w:gridCol w:w="271"/>
        <w:gridCol w:w="3286"/>
      </w:tblGrid>
      <w:tr>
        <w:trPr/>
        <w:tc>
          <w:tcPr>
            <w:tcW w:w="271" w:type="dxa"/>
            <w:tcBorders/>
            <w:vAlign w:val="center"/>
          </w:tcPr>
          <w:p>
            <w:pPr>
              <w:pStyle w:val="TableContents"/>
              <w:bidi w:val="0"/>
              <w:spacing w:before="0" w:after="283"/>
              <w:jc w:val="left"/>
              <w:rPr/>
            </w:pPr>
            <w:r>
              <w:rPr/>
              <w:t>●</w:t>
            </w:r>
          </w:p>
        </w:tc>
        <w:tc>
          <w:tcPr>
            <w:tcW w:w="328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 incidence rate of adverse events.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February 2026, the infusion of MAR-T cells was generally well tolerated by the patients across clinical trials in hematological and solid tumor indications, and no dose limiting toxicities or neurotoxicity were attributed to the use of MAR-T cells to date. This appears to compare favorably with published CD19 CAR-T studies that have been associated with substantial tolerability and safety concerns, and investigations by the FDA regarding the risk of CAR-T cell therapies to potentially induce secondary cancers.</w:t>
      </w:r>
    </w:p>
    <w:tbl>
      <w:tblPr>
        <w:tblW w:w="5207" w:type="dxa"/>
        <w:jc w:val="left"/>
        <w:tblInd w:w="0" w:type="dxa"/>
        <w:tblLayout w:type="fixed"/>
        <w:tblCellMar>
          <w:top w:w="0" w:type="dxa"/>
          <w:left w:w="0" w:type="dxa"/>
          <w:bottom w:w="0" w:type="dxa"/>
          <w:right w:w="0" w:type="dxa"/>
        </w:tblCellMar>
      </w:tblPr>
      <w:tblGrid>
        <w:gridCol w:w="271"/>
        <w:gridCol w:w="4936"/>
      </w:tblGrid>
      <w:tr>
        <w:trPr/>
        <w:tc>
          <w:tcPr>
            <w:tcW w:w="271" w:type="dxa"/>
            <w:tcBorders/>
            <w:vAlign w:val="center"/>
          </w:tcPr>
          <w:p>
            <w:pPr>
              <w:pStyle w:val="TableContents"/>
              <w:bidi w:val="0"/>
              <w:spacing w:before="0" w:after="283"/>
              <w:jc w:val="left"/>
              <w:rPr/>
            </w:pPr>
            <w:r>
              <w:rPr/>
              <w:t>●</w:t>
            </w:r>
          </w:p>
        </w:tc>
        <w:tc>
          <w:tcPr>
            <w:tcW w:w="493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Capable of addressing a broad repertoire of cancer cells.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CAR-T and TCR therapies generally target a single epitope, our manufacturing process selects for T cells that are specific for multiple peptides derived from several targeted antigens. Deep gene sequencing of our products shows that a typical patient dose usually consists of approximately 4,000 unique T cell clonotypes, some of which target up to six different tumor-associated antigens. The six antigen targets can be recognized by a very wide range of T cells, and we believe that this multi antigen approach facilitates robust killing of targeted cancer cells and minimizes tumor escape.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Clinical Development of Our MAR-T Cell Therapies by BCM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clinical trials were conducted by BCM pursuant to our strategic alliance. In each trial, correlative studies showed significant expansion of MAR-T cells in vivo.</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Lymphoma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BCM evaluated MAR-T cells (5 TAA product) in a Phase 1 clinical trial for the treatment of patients with lymphoma. A total of 32 patients received two protocol-specified infusions of MAR-T cells, 14 with Hodgkin lymphoma, or HL, and 18 with aggressive non-Hodgkin lymphoma, or NHL.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reported in a publication by Vasileiou et al., BCM had treated 15 patients with active disease (active lymphoma group), all of whom had completed a follow-up period beyond three months post-infusion. These patients were heavily pre-treated and had failed a median of five prior lines of therapy (range four to eight) for the HL patients and a median of three prior lines of therapy (range three to four) for the NHL patients. As illustrated below, in the active lymphoma group, six patients achieved CR and nine patients had experienced stable disease. None of the patients in CR had relapsed, and the range for the duration of CR in these patients was between two and over five years after being infused with MAR-T cells with the exception of one patient who died of an unrelated pneumonia while in a CR. Responses in all six patients who entered CR were associated with an expansion of infused T cells, as well as induction of broad-based antigen spreading across many tumor-associated antigens.</w:t>
      </w:r>
    </w:p>
    <w:p>
      <w:pPr>
        <w:pStyle w:val="TextBody"/>
        <w:bidi w:val="0"/>
        <w:spacing w:before="0" w:after="240"/>
        <w:ind w:left="0" w:right="0" w:hanging="0"/>
        <w:jc w:val="center"/>
        <w:rPr/>
      </w:pPr>
      <w:r>
        <w:rPr/>
        <w:drawing>
          <wp:inline distT="0" distB="0" distL="0" distR="0">
            <wp:extent cx="6400165" cy="355981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6400165" cy="355981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BCM also treated 17 patients, including one patient who was treated a second time after a relapse, in remission (adjuvant lymphoma group). Like the active lymphoma group, these patients were heavily pre-treated with seven patients with HL treated with a median of 4 prior lines of therapy (range: three to five) and 10 patients with NHL with a median of three prior lines of therapy (range: one to five). As illustrated below, in the adjuvant lymphoma group, all 17 patients had entered CR, with 14 patients in continued complete remission, or CCR, without relapsing. The duration of responses ranged from approximately nine months to over five years.</w:t>
      </w:r>
    </w:p>
    <w:p>
      <w:pPr>
        <w:pStyle w:val="TextBody"/>
        <w:bidi w:val="0"/>
        <w:spacing w:before="0" w:after="240"/>
        <w:ind w:left="0" w:right="0" w:hanging="0"/>
        <w:jc w:val="center"/>
        <w:rPr/>
      </w:pPr>
      <w:r>
        <w:rPr/>
        <w:drawing>
          <wp:inline distT="0" distB="0" distL="0" distR="0">
            <wp:extent cx="6442075" cy="356616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6442075" cy="3566160"/>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both treatment groups, the MAR-T cells were well tolerated, with no drug-related serious adverse events.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Pancreatic Cancer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2020, we reported interim data from an ongoing Phase 1/2 clinical trial investigating MAR-T cells for the treatment of pancreatic adenocarcinoma being conducted by BCM. In 2020, we reported that in this trial, BCM administered MAR-T cells to a total of 31 patients with advanced or borderline resectable pancreatic adenocarcinoma in three arms: 13 patients in Arm A, which included patients with unresectable/metastatic disease who were responding to standard first-line chemotherapy; 12 patients in Arm B, which included patients with progressive disease or therapy intolerance; and eight patients in Arm C, which includes patients with surgically resectable disease.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Overall, we have observed a clinical benefit correlated with the detection of tumor-reactive T cells in patient peripheral blood (Arms A, B and C) and within tumor biopsy samples (Arm C) post-infusion. No cytokine release syndrome or neurotoxicity has been observed in any arm of the trial to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Arm A was designed to evaluate the safety and potential efficacy of using MAR-T cell therapy as part of first-line treatment for patients with pancreatic cancer. These patients in the chemo-responsive arm have completed at least three months of standard-of-care chemotherapy (gemcitabine/nab-paclitaxel or FOLFIRINOX), which is the period during which a response to chemotherapy would typically occur, before receiving up to six administrations of MAR-T cell therapy in conjunction with chemotherapy. </w:t>
      </w:r>
    </w:p>
    <w:p>
      <w:pPr>
        <w:pStyle w:val="TextBody"/>
        <w:bidi w:val="0"/>
        <w:spacing w:before="0" w:after="0"/>
        <w:ind w:left="360" w:right="0" w:hanging="0"/>
        <w:jc w:val="both"/>
        <w:rPr/>
      </w:pPr>
      <w:r>
        <w:rPr/>
        <w:t>●</w:t>
      </w:r>
      <w:r>
        <w:rPr>
          <w:rFonts w:ascii="Times New Roman;Times;serif" w:hAnsi="Times New Roman;Times;serif"/>
          <w:sz w:val="20"/>
        </w:rPr>
        <w:t>Out of the 13 evaluable patients (best overall response):</w:t>
      </w:r>
    </w:p>
    <w:tbl>
      <w:tblPr>
        <w:tblW w:w="7191" w:type="dxa"/>
        <w:jc w:val="left"/>
        <w:tblInd w:w="0" w:type="dxa"/>
        <w:tblLayout w:type="fixed"/>
        <w:tblCellMar>
          <w:top w:w="28" w:type="dxa"/>
          <w:left w:w="28" w:type="dxa"/>
          <w:bottom w:w="28" w:type="dxa"/>
          <w:right w:w="28" w:type="dxa"/>
        </w:tblCellMar>
      </w:tblPr>
      <w:tblGrid>
        <w:gridCol w:w="124"/>
        <w:gridCol w:w="22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 patients experienced objective responses after administration of MAR-T cells;</w:t>
            </w:r>
          </w:p>
        </w:tc>
      </w:tr>
    </w:tbl>
    <w:tbl>
      <w:tblPr>
        <w:tblW w:w="9531" w:type="dxa"/>
        <w:jc w:val="left"/>
        <w:tblInd w:w="0" w:type="dxa"/>
        <w:tblLayout w:type="fixed"/>
        <w:tblCellMar>
          <w:top w:w="28" w:type="dxa"/>
          <w:left w:w="28" w:type="dxa"/>
          <w:bottom w:w="28" w:type="dxa"/>
          <w:right w:w="28" w:type="dxa"/>
        </w:tblCellMar>
      </w:tblPr>
      <w:tblGrid>
        <w:gridCol w:w="124"/>
        <w:gridCol w:w="22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patient experienced a radiographic complete response occurring at month nine after starting chemotherapy;</w:t>
            </w:r>
          </w:p>
        </w:tc>
      </w:tr>
    </w:tbl>
    <w:tbl>
      <w:tblPr>
        <w:tblW w:w="9741" w:type="dxa"/>
        <w:jc w:val="left"/>
        <w:tblInd w:w="0" w:type="dxa"/>
        <w:tblLayout w:type="fixed"/>
        <w:tblCellMar>
          <w:top w:w="28" w:type="dxa"/>
          <w:left w:w="28" w:type="dxa"/>
          <w:bottom w:w="28" w:type="dxa"/>
          <w:right w:w="28" w:type="dxa"/>
        </w:tblCellMar>
      </w:tblPr>
      <w:tblGrid>
        <w:gridCol w:w="124"/>
        <w:gridCol w:w="22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patients experienced partial responses per RECIST occurring at six-nine months after starting chemotherapy;</w:t>
            </w:r>
          </w:p>
        </w:tc>
      </w:tr>
    </w:tbl>
    <w:tbl>
      <w:tblPr>
        <w:tblW w:w="3681" w:type="dxa"/>
        <w:jc w:val="left"/>
        <w:tblInd w:w="0" w:type="dxa"/>
        <w:tblLayout w:type="fixed"/>
        <w:tblCellMar>
          <w:top w:w="28" w:type="dxa"/>
          <w:left w:w="28" w:type="dxa"/>
          <w:bottom w:w="28" w:type="dxa"/>
          <w:right w:w="28" w:type="dxa"/>
        </w:tblCellMar>
      </w:tblPr>
      <w:tblGrid>
        <w:gridCol w:w="124"/>
        <w:gridCol w:w="22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 patients experienced stable disease;</w:t>
            </w:r>
          </w:p>
        </w:tc>
      </w:tr>
    </w:tbl>
    <w:tbl>
      <w:tblPr>
        <w:tblW w:w="3936" w:type="dxa"/>
        <w:jc w:val="left"/>
        <w:tblInd w:w="0" w:type="dxa"/>
        <w:tblLayout w:type="fixed"/>
        <w:tblCellMar>
          <w:top w:w="28" w:type="dxa"/>
          <w:left w:w="28" w:type="dxa"/>
          <w:bottom w:w="28" w:type="dxa"/>
          <w:right w:w="28" w:type="dxa"/>
        </w:tblCellMar>
      </w:tblPr>
      <w:tblGrid>
        <w:gridCol w:w="124"/>
        <w:gridCol w:w="22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patient experienced a mixed response.</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had durable cancer control with nine of the 13 patients exceeding historical control of overall survival;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patients enrolled in the study were not administered MAR-T cells, either because of disease progression (four patients) which made them ineligible for treatment, or because insufficient starting material from the patient was available for manufacturing (one patient);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epitope-spreading was observed in all responders, suggesting that the MAR-T cell therapy triggered the recruitment of a broader endogenous immune system response for improved anti-tumor activity;</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infusion-related reactions, cytokine release syndrome or neurotoxicity was observed;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patients responding to therapy, significant expansion of the infused MAR-T cell therapy was observed.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Acute Myeloid Leukemia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 date, available treatments for post-transplant AML patients are limited and include donor lymphocyte infusion, which has an approximately 15% overall response rate but a 30% to 50% risk of severe and debilitating graft-versus-host disease. The five-year mortality rate for patients who receive an allogeneic HSCT exceeds 50%, and patients who relapse after a transplant have a survival expectation of approximately 4.5 months.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BCM conducted a Phase 1 AML/MDS clinical trial investigating MAR-T cells for the treatment of patients with post-transplant AML. In this trial, patients in remission with high risk for relapse, as well as patients with active disease post-transplant were treated. As reported in a 2021 publication by Lulla et al., 11 of the 17 patients in the adjuvant disease setting dosed with the MAR-T cell therapy after receiving an allogeneic HSCT did not relapse during the follow-up period of the study, with 11 of 15 patients (two patients were each treated during two different remissions) remaining alive (estimated two-year overall survival of 77%) at a median follow-up of 1.9 years post-infusion which compares favorably with HSCT outcomes for risk-matched AML/MDS patients post-HSCT.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eight patients were treated for active disease that was resistant to salvage therapy post-HSCT with a median of five prior lines of therapy (range: four to ten). One of the eight patients crossed over from the adjuvant group while two patients enrolled twice, but all three patients had active AML that failed another line of salvage therapy after their first MAR-T cell infusion. Two of the eight patients achieved objective responses with one complete response and one partial response, with six patients continuing with stable disease.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this trial, the infusion of MAR-T cells was well tolerated, with no drug-related serious adverse events and no instances of greater than Grade 2 acute graft-versus-host disease or moderate-severe chronic GVHD. The maximum grade treatment-related adverse event was seen in one patient in the adjuvant disease group who had a possibly drug-related Grade 3 elevation of liver enzymes but was treated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prednisone with complete resolution. After discontinuing treatment and receiving decitabine, the patient relapsed and later re-enrolled in the trial in the active disease group and entered CR for 13 months and survived for 2.5 years.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Process Development and Manufacturing of the MAR-T Cell Therapies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manufacturing process, blood is drawn from either the individual patient (in the case of the autologous T cells) or from healthy donors/commercially available leukapheresis material (in the case of the OTS program). Although the T cells that are selected and expanded by our process exist in a patient’s circulating blood, these T cells are often present at very low frequencies. Researchers at BCM believe that these T cells are adversely affected by the suppressive tumor microenvironment. It is a well-accepted concept that cancers not only evade immune detection but often actively suppress the function of the human immune system. Our manufacturing and culturing process is intended to (1) identify the T cells specific for the antigens that we intend to target, (2) restore these T cells to functionality with respect to their anti-tumor capability and (3) expand the population of those T cells specific for our targets to achieve the required patient dose.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blood is drawn, PBMCs are isolated and used to manufacture a patient-specific product. These cells are placed inside a cell culture device and combined with an experimentally optimized mix of GMP-grade cytokines that is used to restore and enhance the functional capability of the cultured T cells. In addition, libraries of overlapping peptides, which we refer to as peptide pools, are added to the cell culture. Each peptide within a peptide pool represents a small segment of a target antigen, which a T cell might recognize. Each library represents the entire protein sequence of a target antigen, with each peptide overlapping significantly with the peptides adjacent to it within the antigen’s protein sequence. This overlapping structure allows us to isolate, activate and expand any T cell that is specific for any segment of the antigens that we target in the unique genetic background of every patient.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Inside the cell culture device, PBMCs, including T cells and antigen-presenting cells, are exposed to the stimulating peptide pools. This results in the selective expansion of T cells that specifically recognize the target antigens. At the end of the manufacturing process, the resulting product is a mix of helper (CD4+) and cytotoxic (CD8+) T cells that recognize the targeted antigens.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Once cell manufacturing is complete, the product is tested for identity, sterility, phenotype and functionality before it is released for infusion into a patient. Sampling of product indicates that, on average, approximately 4,000 different T cell clonotypes are present in a typical 5-antigen-specific patient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release of the final patient product, the cells are frozen and transported to the site where the cells will be administered.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manufacturing process was originally developed at Baylor College of Medicine, where we initially conducted our clinical trials. We continue to contract and collaborate with BCM and others to perform a wide variety of services to ensure the continuation of our research and development efforts, with the goal of optimizing our manufacturing process, product quality and commercial scalability.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22, 2024, we entered into a Master Services Agreement for Product Supply (the “MSA”) with Cell Ready for the provision of various products and services by Cell Ready. Cell Ready, which is owned by one of our former directors, Mr. John Wilson, is a contract development and manufacturing organization (CDMO). On March 27, 2025, we mutually agreed with Cell Ready to terminate the MSA. In connection therewith, we entered into a settlement and release agreement with Cell Ready pursuant to which we paid Cell Ready approximately $453,000 and we provided one another with mutual releases of all claims associated with any and all agreements between Marker and Cell Ready.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While BCM continues to supply us with products as we continue our clinical trials, in anticipation of the commencement of our larger pivotal trial for lymphoma in 2026, as well as the eventual need for commercial scale production, on June 16, 2025, the Company entered into a Statement of Work (the “SOW”) with Cellipont Bioservices (“Cellipont”), a leading cell therapy Contract Development and Manufacturing Organization (“CDMO”), for the manufacturing of MT-601, the Company’s lead MAR-T cell product. Pursuant to the SOW, Cellipont will provide technology transfer and cGMP manufacturing services to support the scale-up and production of MT-601 for Marker’s APOLLO study.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However, there is no guarantee that we will or have properly estimated our required manufacturing capacities or that the third parties on which we rely to manufacture our products will be able or willing to perform on our proposed timelines or to meet our manufacturing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demands, if at all. If any of our third-party vendors experience disruptions, or otherwise cease or substantially reduce the amount of products they are willing to supply us, our business and operations could be adversely affected. See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years ended December 31, 2025 and 2024, we incurred $0.8 million and $5.8 million, respectively, in expenses related to Cell Ready services and manufacturing costs, as well as $0.5 million during the year ended December 31, 2025 in connection with the termination of the MSA as noted above. During the years ended December 31, 2025 and 2024, we paid $2.6 million and $5.5 million, respectively related to Cell Ready invoices received. During the years ended December 31, 2025 and 2024, we incurred $3.2 million and approximately $7,000, respectively, in expenses related to BCM services and manufacturing costs. During the years ended December 31, 2025 and 2024, we paid approximately $3.0 million and $0.1 million related to BCM invoices received, respectively. During the years ended December 31, 2025 and 2024, we incurred $0.7 million and nil, respectively, in expenses related to Cellipont services and manufacturing costs. During the years ended December 31, 2025 and 2024, we paid $0.6 million and nil related to Cellipont invoices received,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face competition from numerous pharmaceutical and biotechnology companies, as well as from academic institutions, private and public research institutions, and government agencies. Treatment of relapsed patients with lymphoma remains a challenge with relatively low overall survival rates. To date, there are four CD19-directed CAR-T cell therapies (Yescarta, Kymriah, Tecartus, and Bryanzi) approved for patients with relapsed lymphoma. However, up to 60% of CD19 CAR-T cell treated patients will relapse, particularly in the third line setting (Chong EA et al, N Engl J Med, 2021). This highlights a significant unmet medical need for alternative and more effective treatments. Our MAR-T cell drug candidates may compete with product candidates from a number of companies, which are developing various types of immunotherapies to treat cancer, including non-CD19 targeting CAR-T cells that target different antigens beyond CD19, multi-targeted CAR-T cells as well as NK-CAR therapies. In addition, bispecific antibodies represent promising therapies for patients with lymphoma and provide competition in the oncology space. To date, MT-601 is the only natural T cell product that targets multiple tumor antigens being explored for CAR relapse patients with lymphoma. Therefore, MT-601 fills a void in the market by providing much needed treatment option to the lymphoma patient population.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our non-engineered T cell therapy approaches will be synergistic and may improve therapies being developed by potential competitors. Many companies and institutions, either alone or together with their collaborative partners, have substantially greater financial, technical and human resources, and significantly greater experience than we do in the following:</w:t>
      </w:r>
    </w:p>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 discovery;</w:t>
            </w:r>
          </w:p>
        </w:tc>
      </w:tr>
    </w:tbl>
    <w:tbl>
      <w:tblPr>
        <w:tblW w:w="2271" w:type="dxa"/>
        <w:jc w:val="left"/>
        <w:tblInd w:w="0" w:type="dxa"/>
        <w:tblLayout w:type="fixed"/>
        <w:tblCellMar>
          <w:top w:w="28" w:type="dxa"/>
          <w:left w:w="28" w:type="dxa"/>
          <w:bottom w:w="28" w:type="dxa"/>
          <w:right w:w="28" w:type="dxa"/>
        </w:tblCellMar>
      </w:tblPr>
      <w:tblGrid>
        <w:gridCol w:w="124"/>
        <w:gridCol w:w="256"/>
        <w:gridCol w:w="1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products;</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undertaking preclinical testing and clinical trials;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FDA and other regulatory approvals of products; and</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marketing, distributing and selling products.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Accordingly, our competitors may succeed in obtaining patent protection, receiving FDA and other regulatory approval or commercializing products that compete with our drug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any drug candidate that we successfully develop may compete with existing therapies that have long histories of safe and effective use. Competition may also arise from:</w:t>
      </w:r>
    </w:p>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drug development technologies and methods of preventing or reducing the incidence of disease;</w:t>
            </w:r>
          </w:p>
        </w:tc>
      </w:tr>
    </w:tbl>
    <w:tbl>
      <w:tblPr>
        <w:tblW w:w="2886" w:type="dxa"/>
        <w:jc w:val="left"/>
        <w:tblInd w:w="0" w:type="dxa"/>
        <w:tblLayout w:type="fixed"/>
        <w:tblCellMar>
          <w:top w:w="28" w:type="dxa"/>
          <w:left w:w="28" w:type="dxa"/>
          <w:bottom w:w="28" w:type="dxa"/>
          <w:right w:w="28" w:type="dxa"/>
        </w:tblCellMar>
      </w:tblPr>
      <w:tblGrid>
        <w:gridCol w:w="124"/>
        <w:gridCol w:w="256"/>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small molecules; and/ or</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classes of therapeutic agents.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face, and will continue to face,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compete successfully will depend, in part, on our ability to:</w:t>
      </w:r>
    </w:p>
    <w:tbl>
      <w:tblPr>
        <w:tblW w:w="2946" w:type="dxa"/>
        <w:jc w:val="left"/>
        <w:tblInd w:w="0" w:type="dxa"/>
        <w:tblLayout w:type="fixed"/>
        <w:tblCellMar>
          <w:top w:w="28" w:type="dxa"/>
          <w:left w:w="28" w:type="dxa"/>
          <w:bottom w:w="28" w:type="dxa"/>
          <w:right w:w="28" w:type="dxa"/>
        </w:tblCellMar>
      </w:tblPr>
      <w:tblGrid>
        <w:gridCol w:w="124"/>
        <w:gridCol w:w="256"/>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proprietary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maintain products that reach the market first, are technologically superior to and/or are of lower cost than other products in the market;</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and retain scientific, product development and sales and marketing personnel;</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patent or other proprietary protection for our products and technologies;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required regulatory approvals; and</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market, distribute and sell any products that we develop.</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these situations, our results of operations could be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BCM Exclusive License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16, 2018, we entered into an exclusive license agreement, or the BCM License Agreement, with BCM, under which we received a worldwide, exclusive license to BCM’s rights in and to certain intellectual property rights, including European patent EP 2470644 (estimated expiration date August 24, 2030), to develop and commercialize MAR-T cell product candidates.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Exclusive License to BCM’s Subject Technology: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“Generation of CTL Lines with Specificity Against Multiple Tumor Antigens or Multiple Viruses”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 “Pepmixes to Generate Multiviral CTLs with Broad Specificity”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3. “Immunogenic Antigen Identification from a Pathogen and Correlation to Clinical Efficacy”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4. “T cell performance assay as a prognostic factor for clinical outcome”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partial consideration for the exclusive rights granted under the BCM License Agreement, Marker Cell Therapy, Inc., an entity that is now our wholly owned subsidiary, issued shares of its common stock to BCM valued at approximately $5.0 million at the time of issuance. Such initial equity issuance was exchanged into merger consideration of 149,081 shares of our common stock and warrants to acquire 54,064 shares of our common stock in connection with the merger we completed in October 2018, each as adjusted to reflect the reverse stock split that we effected in January 2023. Additional consideration includes a royalty paid on net sales by us to BCM according to the royalty schedule in the BCM License Agreement. The royalty fee schedule is based on aggregate net sales in four different ranges: (1) less than $500 million, (2) $500 million to $1.0 billion, (3) $1.0 billion and over, and (4) $2.0 billion and over.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corresponding royalty percentages range from 0.65% to 5.0% - increasing in proportion to the aggregate net sales. The royalty fee may be reduced in the event that we must pay additional royalties with respect to third-party owned patent rights or technology necessary for the use, manufacture or sale of a licensed product. We also agreed to pay BCM up to an aggregate of $64.85 million in milestone payments upon the occurrence of nine particular milestones relating to completion of the first dosing in the first Phase 3 clinical trial for a first and second distinct product, receipt of approval from the FDA and the achievement of certain net sales goals. We are also responsible for sublicensing fees. In addition, under the BCM License Agreement, we are responsible for reimbursing BCM for patent-related expenses. BCM is responsible for filing, prosecuting and maintaining all patent applications and patents included in the licensed patent rights, and we have agreed to reimburse BCM for all such related legal costs incurred after the date of the BCM License Agreement, except such legal costs shall be reduced on a pro-rata basis on a patent or patent application basis should BCM license such patent or patent application in additional fields of use to any third 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upon a liquidity event (as defined in the BCM License Agreement) of the Company, BCM will receive a liquidity incentive payment of 0.5% of the liquidity event proceeds (as defined in the BCM License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agreed to indemnify BCM and certain persons affiliated with BCM against claims and liabilities directly or indirectly related to or arising out of the design, process, manufacture or use by any third party of the licensed products, even though such claims and liabilities result in whole or in part from the negligence of the BCM indemnified parties or are based upon doctrines of strict liability or product liability, but not claims or liabilities arising from the gross negligence or intentional misconduct of any such BCM indemnified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Unless terminated sooner, the license will expire on a licensed product-by-product basis and country-by-country basis, on the later of (1) the date of expiration of the last valid claim of patent rights to expire that covers the sale of such licensed product in such country, or (2) the first date following the tenth anniversary of the first commercial sale of first licensed product by us in such country. After such expiration, but not termination, the licenses granted to us shall survive and become a perpetual, paid-in-full license in such country with respect to such licensed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the right in our sole discretion to terminate the BCM License Agreement upon 60 days’ written notice to BCM. BCM has the right to terminate the agreement upon material default or failure of us of our overall obligation to perform any of the terms, covenants or provisions of the license agreement, including failure to make timely payment, taken as a whole, and which default or failure remains uncured thirty days after written notice from BCM of such material default or failure to correct such default or failure. Notwithstanding the foregoing, if a material default or failure is not susceptible to cure within the 30-day cure period, BCM’s right to terminate shall be suspended if, and for so long as, (1) we have provided BCM with a written plan that is reasonably calculated to effect a cure, (2) such plan is reasonably acceptable to BCM, in its sole but reasonable discretion, and (3) we commit to and do carry out such plan; provided, however, that, unless mutually agreed to by the parties in such plan, such suspension of BCM’s right to terminate shall not extend beyond 60 days after the original cure period. In addition, either party’s right to terminate the license agreement shall be tolled for so long as dispute resolution procedures are being pursued by the allegedly breaching party in good faith, and if it is finally and conclusively determined that the allegedly breaching party is in material breach, then the breaching party shall have the right to cure within 30 days after such determination. BCM also has the right to terminate the agreement if we shall (1) become involved in insolvency, dissolution, bankruptcy or receivership proceedings affecting the operation of our business, (2) make an assignment of all or substantially all of our assets for the benefit of creditors, or (3) if a receiver or trustee is appointed for us and we, after the expiration of 30 days following any of the enumerated events, are unable to secure a dismissal, stay or other suspension of such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termination of the BCM License Agreement, but not expiration, all rights to the subject technology and patent rights thereunder shall revert to BCM, except to the extent necessary to exercise any surviving right or license thereunder. We may sell any licensed products actually in our possession at the effective date of termination, provided that we continue to pay to BCM royalties on all such sales in accordance with the license agreement, otherwise comply with the terms of the license agreement and sell all such licensed products within six months after the effective date of the termination.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furtherance of the BCM License Agreement and as contemplated by the terms thereof, we entered into a Sponsored Research Agreement, or the SRA, with BCM, which provides for the conduct of research for us by credentialed personnel at BCM’s Center for Cell and Gene Therapy.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entered into additional agreements with BCM with respect to a strategic alliance to advance pre-clinical research, early-stage clinical trials, and Phase 2 clinical trials with respect to our product candidates, as well as continued access to our clinical data, and product manufacturing and support, including personnel and space at the institution for the foreseeable future.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Cancer Prevention and Research Institute of Texas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CPRIT to support our clinical investigation of MT-401 (the “CPRIT AML Grant”). In December 2024, we received notice of an additional $9.5 million grant from CPRIT to support the clinical investigation of MT-601 in patients with pancreatic cancer (the “CPRIT Pancreatic Grant”). Both CPRIT grants contain identical terms surrounding intellectual property and revenue sharing.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 the CPRIT grant agreements, we will retain ownership over any intellectual property developed under the contracts (the “Project Results”). With respect to non-commercial use of any Project Results, we agreed to grant to CPRIT a nonexclusive, irrevocable, royalty-free, perpetual, worldwide license with the right to sublicense any necessary additional intellectual property rights to exploit all Project Results by CPRIT, other governmental entities and agencies of the State of Texas, and private or independent institutions of higher education located in Texas, solely for academic, research, and other non-commercial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our products become commercially saleable, we are obligated to make payments to CPRIT, with respect to net sales of any product covered in the contract, equal to a percentage of revenue ranging from the low-to-mid single digits. These payments will continue up to and until CPRIT receives an aggregate amount of 400% of the sum of all monies paid to us by CPRIT under the grant agreements. If we are required to obtain a license from a third party to sell any such product, the revenue sharing percentages may be reduced. In addition, once we have paid CPRIT 400% of the monies received under the grant agreements, we will continue to pay CPRIT a revenue-sharing percentage of 0.5% for the remainder of the Revenue Term as specified in the grant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commercial success will depend in part on our ability to obtain and maintain patent and other proprietary protection for our technology, inventions, improvements, and know-how related to the business; to defend and enforce proprietary rights, including any patents that we may own in the future; to preserve the confidentiality of our trade secrets and other intellectual property; to obtain and maintain licenses to use intellectual property owned by third parties; and to operate without infringing valid and enforceable patents and other proprietary rights of third parties. Our ability to stop third parties from making, using, selling, offering to sell, or importing our products may depend on the extent to which we have rights under valid and enforceable patents or trade secrets that cover these activities — for example, the rights obtained under exclusive license arrangements such as those pursuant to our BCM License Agreement. With respect to both licensed and company-owned intellectual property, we cannot be sure that patents will be granted with respect to any of our pending patent applications or with respect to any patent applications filed in the future, nor can we be sure that any of our existing patents or any patents that may be granted in the future will be commercially useful in protecting our commercial products and methods of manufacturing the same.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achieve this objective, a strategic focus for us has been identifying and licensing key patents and patent applications that serve to enhance our intellectual property and technology position. Currently, all of our MAR-T cell intellectual property rights are licensed from BCM. Our intellectual property portfolio currently includes patent applications having: (1) claims directed to methods of generating multi-antigen specific T cell products; and (2) claims directed to therapeutic uses of such multi-antigen specific T cell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our patent portfolio, together with our efforts to develop and patent next-generation technologies, provides us with a substantial intellectual property position. However, the area of patent and other intellectual property rights in biotechnology is an evolving one with many risks and uncertainties.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Patents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We reassess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value of each patent at the time maintenance fees are due, and in cases where maintaining the patent is judged to be of no significant strategic value, we decline to pay the maintenance fee.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There can be no assurance that our patents, and any patents that may be issued, assigned, or licensed to us in the future, will afford protection against competitors with similar technology. In addition, no assurances can be given that any patents issued, assigned, or licensed to us will not be infringed upon or designed around by others or that others will not obtain patents that we would need to license or design around. If existing or future patents held by third parties and containing broad claims over technology used by us were upheld by a court or other authority of competent jurisdiction, the holders of such patents could require us to obtain licenses to use such technology.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Patent coverage may also vary from country to country based on the scope of available patent protection. Moreover, in the United States, patent term may be adjusted to account for delays by the United States Patent and Trademark Office, or USPTO, during prosecution. There are also opportunities to obtain an extension of term for patents covering a product in certain jurisdictions, which adds further complexity to the determination of patent life.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effect of the issued United States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for example: (1) later- expiring patents on processes and intermediates related to improved methods of manufacture of the active ingredient of such product; (2) patents relating to the use of such product; (3) patents relating to novel compositions and formulations; and (4) in the United States and certain other countries, other types of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patent applications we own, will acquire, license, or will license will issue as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discoveries/inventions in the scientific or patent literature often lags behind actual discovery/invention, we cannot be certain of the priority of inventions covered by pending patent applications and whether potentially relevant earlier patent filings exist. Moreover, we may have to participate in opposition proceedings in a foreign patent office, or for United States patent applications filed before March 16, 2013, in interference proceedings declared by the USPTO, to determine priority of invention, or in United States inter partes review or post-grant review procedures, any of which could result in substantial cost to us, even if the eventual outcome is favorable to us. There can be no assurance that the patents, if issued, would be held valid by a court or other authority of competent jurisdiction. An adverse outcome could subject us to significant liabilities to third parties, require disputed rights to be licensed from third parties, or require us to cease using such technology.</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patents and patent applications in other countries, as well as in the European Patent Office, that we believe provide equivalent or comparable protection for our product candidates in jurisdictions internationally that we consider to be key markets. Because of differences in patent laws and laws concerning proprietary rights, the extent of protection provided by U.S. patents or proprietary rights owned by us may differ from that of their foreign counterparts.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Trade Secrets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rely on trade secrets and know-how relating to our proprietary technology and product candidates, continuing innovation, and in-licensing opportunities to develop, strengthen and maintain our proprietary position in the field of immuno-oncology. However, trade secrets can be difficult to protect. We also plan to rely on regulatory protection afforded through orphan drug designations, data exclusivity, market exclusivity and patent term extensions when available, as well as contractual agreements with our academic and commercial partners.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by an employee shall be our exclusive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Trademarks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2024, the USPTO has accepted the Statement of Use filed for the trademark application “Marker Therapeutics.” We also have rights to use other names essential to our business. Federally registered trademarks have a perpetual life if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our patents, the protection of discoveries in connection with our development activities, our proprietary products, technologies, processes and know-how and all our intellectual property are important to our business. There can be no assurance that any of our patents, licenses or other intellectual property rights will afford us any protection from competition.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Government Regulation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process required by the FDA before biologic product candidates may be marketed in the United States generally involves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laboratory tests and animal studies performed in accordance with the FDA’s current Good Laboratory Practices, or GLP, regulation;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IND, which must become effective before clinical trials may begin and must be updated annually or when significant changes are made;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by an independent Institutional Review Board, or IRB, or ethics committee at each clinical site before the trial may commence;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human clinical trials to establish the safety, purity and potency of the proposed biologic product candidate for its intended purpose;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and submission to the FDA of a biologics license application, or BLA, after completion of all pivotal clinical trials;</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by the FDA within 60 days of its receipt of a BLA to file the application for review;</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Advisory Committee review, if applicable;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or GCP;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of the BLA to permit commercial marketing of the product for particular indications for use in the United States.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Preclinical and Clinical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purposes of BLA approval, human clinical trials are typically conducted in three sequential phases that may overlap.</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BLA Submission and Review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Expedited Development and Review Programs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 offers a number of expedited development and review programs for qualifying product candidates. The fast-track program is intended to expedite or facilitate the process for reviewing new products that meet certain criteria. Specifically, new products are eligible for fast-track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fast-track product has opportunities for frequent interactions with the review team during product development and, once a BLA is submitted, the product may be eligible for priority review. A fast-track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fast-track program features, as well as more intensive FDA interaction and guidance beginning as early as Phase 1 and an organizational commitment to expedite the development and review of the product, including involvement of senior managers.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marketing application for a biologic submitted to the FDA for approval, including a product with a fast-track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regenerative medicine advanced therapy, or 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Fast track designation, breakthrough therapy designation, priority review, accelerated approval, and RMAT designation do not change the standards for approval but may expedite the development or approval process.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Orphan Drug Designation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Post-Approval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a product, complete withdrawal of the product from the market or product recalls;</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or holds on post-approval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of the FDA to approve pending applications or supplements to approved applications, or suspension or revocation of existing product approvals;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of the FDA to permit the import or export of products; or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Biosimilars and Reference Product Exclusivity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Patient Protection and Affordable Care Act, as amended by the Health Care and Education Reconciliation Act, or collectively, the ACA, signed into law in 2010, includes a subtitle called the Biologics Price Competition and Innovation Act of 2009, or BPCIA, which created an abbreviated approval pathway for biological products that are biosimilar to or interchangeable with an FDA-approved reference biological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BPCIA is complex and continues to be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Healthcare Laws and Compliance Requirements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which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federal civil and criminal false claims laws and civil monetary penalty laws, which prohibit, among other things, individuals or entities from knowingly presenting, or causing to be presented, claims for payment to the federal government, including federal healthcare programs, that are false or fraudulent; the Health Insurance Portability and Accountability Act, or HIPAA, which created additional federal criminal statutes which prohibit, among other things, executing a scheme to defraud any healthcare benefit program and making false statements relating to healthcare matters, and which, as amended by Health Information Technology for Economic and Clinical Health Act, or HITECH, also imposes certain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requirements on HIPAA covered entities and their business associates and covered subcontractors relating to the privacy, security and transmission of individually identifiable health information; the U.S. federal Physician Payments Sunshine Act, which requires certain manufacturers of drugs, devices, biologics and medical supplies for which payment is available under Medicare, Medicaid or the Children’s Health Insurance Program, with specific exceptions, to annually report to the federal government, information related to payments or other transfers of value made to physicians (as defined by the Physician Payments Sunshine Act), other covered physicians and teaching hospitals, as well as ownership and investment interests held by health care professionals and their immediate family members; and U.S. state and foreign law equivalents of each of the above federal laws, which, in some cases, differ from each other in significant ways, and may not have the same effect, thus complicating compliance efforts. In addition, certain states require pharmaceutical companies to comply with the pharmaceutical industry’s voluntary compliance guidelines and the relevant compliance guidance promulgated by the federal government and certain states and local jurisdictions require the registration of pharmaceutical sales representatives. If their operations are found to be in violation of any of such laws or any other governmental regulations that apply, they may be subject to penalties, including, without limitation, significant civil, criminal and administrative penalties, damages, fines, disgorgement, imprisonment,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Coverage and Reimbursement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Further, coverage policies and third-party reimbursement rates may change at any time. Even if favorable coverage and reimbursement status is attained for one or more products for which the company receives regulatory approval, less favorable coverage policies and reimbursement rates may be implemented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Healthcare Reform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United States and some foreign jurisdictions are considering or have enacted a number of reform proposals to change the healthcare system. There is significant interest in promoting changes in healthcare systems with the stated goals of containing healthcare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2010, the ACA was signed into law, which substantially changed the way healthcare is financed by both governmental and private insurers in the United States, and significantly affected the pharmaceutical industry. The ACA contained a number of provisions of particular importance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There have been executive, judicial and Congressional challenges to certain aspects of the ACA. For example, the Tax Cuts and Jobs Act was enacted, which, among other things, removed penalties for not complying with ACA’s individual mandate to carry health insurance. In addition, the 2020 federal spending package permanently eliminated, effective January 1, 2020, the ACA-mandated “Cadillac” tax on high-cost employer-sponsored health coverage and medical device tax and, effective January 1, 2021, also eliminated the health insurer tax. On June 17, 2021, the U.S. Supreme Court dismissed a challenge on procedural grounds that argued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also unclear how such challenges, other such litigation, and the healthcare reform measures of the Biden administration will impact the ACA and our business.</w:t>
      </w:r>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Other legislative changes have been proposed and adopted since the ACA was enacted, including aggregate reductions of Medicare payments to providers of 2%, which due to subsequent legislative amendments, including the Infrastructure Investment and Jobs Act, will stay in effect per fiscal year through 2031, except for a temporary suspension from May 1, 2020 through March 32, 2021 due to COVID-19 relief legislation, unless additional Congressional action is taken, and reduced payments to several types of Medicare providers. Under current legislation the actual reduction in Medicare payments will vary from 1% in 2022 to up to 3% in the final fiscal year of this sequester.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also considering additional health reform measures as part of other reform initiatives.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However, it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unclear whether these or similar policy initiatives will be implemented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 Liability and Insurance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face an inherent risk of product liability as a result of the clinical testing of our product candidates and will face an even greater risk if we commercialize any products. We have not experienced any product liability claims to date. We currently carry products and clinical trial liability insurance policies. There can be no assurance that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Human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we had 5 full-time employees: 1 clinical and 4 in administrative support. None of our employees is subject to a collective bargaining agreement. We consider our relationship with our employees to be good.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Consultants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consulting agreements with a number of leading academic scientists, clinicians and regulatory experts. They serve as important contacts for us throughout the broader scientific and clinical communities. They are distinguished individuals with expertise in numerous fields, including cellular biology, molecular biology, oncology, clinical, manufacturing and regulatory.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separate award agreements. Our consultants may be employed by other entities and therefore may have commitments to their employer or may have other consulting or advisory agreements that may limit their availability to us.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Human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equity-based compensation awards. We strive to create a diverse environment, and our commitment to diversity, equity and inclusion begins with our leadership team of diverse backgrounds and experiences. 100% of our executive officers are women or self-identify as a member of an underrepresented minority group.</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Corporate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were incorporated under the laws of the State of Nevada in 1991 under the name “TapImmune, Inc.” and reincorporated in Delaware in October 2018 under the name “Marker Therapeutics, Inc.” Our principal executive offices are located at 2450 Holcombe Blvd, TMC Partners Office 1.311, Houston, Texas, and our telephone number is (713) 400-6400. Our common stock is listed for trading on the Nasdaq Capital Market under the symbol “MRKR”.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website is located at </w:t>
      </w:r>
      <w:r>
        <w:rPr>
          <w:rFonts w:ascii="Times New Roman;Times;serif" w:hAnsi="Times New Roman;Times;serif"/>
          <w:i/>
          <w:sz w:val="20"/>
        </w:rPr>
        <w:t>www.markertherapeutics.com</w:t>
      </w:r>
      <w:r>
        <w:rPr>
          <w:rFonts w:ascii="Times New Roman;Times;serif" w:hAnsi="Times New Roman;Times;serif"/>
          <w:sz w:val="20"/>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3" w:name="ITEM1ARISKFACTORS_686864"/>
      <w:bookmarkStart w:id="64" w:name="_71abb148_aa2f_497d_8788_d9761b70e92e"/>
      <w:bookmarkEnd w:id="63"/>
      <w:bookmarkEnd w:id="64"/>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Associated with Our Business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that you should be aware of before making an investment decision. These risks are described more fully in this “Risk Factors” section and include,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 stage company with a history of operating losses, and we expect losses to continue for the indefinite future. These factors raise substantial doubt regarding our ability to continue as a going concern.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regulatory approval process is lengthy and time-consuming, and we may experience significant delays in the clinical development and regulatory approval of our product candidates.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earlier preclinical and clinical trials may not be predictive of future clinical trial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third-party vendors to maintain and support our manufacturing and cell processing. If any of our third-party vendors experience disruptions, or otherwise cease or substantially reduce their operations, our business and operations could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relationship with BCM is dependent, in part, upon our ongoing relationship with key medical and scientific personnel and advisors.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upon attaining significant market acceptance of our product candidates, if approved, among physicians, patients, healthcare payors and the medical community.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and immunotherapy industries are characterized by rapid technological developments and a high degree of competition. We may be unable to compete with more substantial enterprises.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protect our proprietary rights, we may not be able to compete effectively or operate profitably.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regulations,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stock may be volatile.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Financial Position and Capital Needs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clinical stage company with a history of operating losses, and we expect losses to continue for the indefinite future. These factors raise substantial doubt regarding our ability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 candidates. We anticipate that our ongoing operational costs will increase significantly, and our deficit will continue to grow, as we continue conducting our clinical development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no approved products or product candidates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We have no sources of significant revenue to provide incoming cash flows to sustain our future operations. Our ability to pursue our planned business activities depends upon our successful efforts to raise additional financing, which may be adversely impacted by potential worsening global economic conditions, including decades-high inflation and concerns of a recession in the United States or other major markets, and the recent disruptions to and volatility in the credit and financial markets in the United States and worldwide. Weaknesses and volatility in the capital markets and the economy in general could also increase our costs of borrowing. Such additional financing may not be available on favorable terms, or at all.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sustained losses from operations in each fiscal year since our inception, and we expect losses to continue for the indefinite future due to the substantial investment in research and development. Based on our lack of recurring revenues, anticipated uses of cash and historical recurring cash losses from operating activity, and cash and cash equivalents as of December 31, 2025, we anticipate that we will be able to fund our operating expenses and capital expenditure requirements through the fourth quarter of 2026, assuming no additional grant funds are received. These factors raise substantial doubt regarding our ability to continue as a going concern.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currently plan to raise additional capital through the issuance of common shares and receipt of additional grant funds, which could enable us to fund our operating expenses and capital expenditure requirements beyond the fourth quarter of 2026, although no assurance can be given that such capital or existing awarded grants will be earned or future grants will be awarded. Our future cash requirements are based on our clinical and research and development plans, timing expectations related to the progress of our programs, and are subject to our ability to effectively manage our costs, raise additional capital, and receive additional grants. We expect to spend substantial additional sums on the continued administration and research and development of licensed and proprietary product candidates and technologies with no certainty that our approach and associated technologies will become commercially viable or profitable as a result of these expenditures. If we fail to raise a significant amount of capital, we may need to significantly curtail operations, allocate limited financial resources among our product candidates, or cease operations in the near future. If any of our product candidates fail in clinical trials or do not gain regulatory approval, we may never generate revenue. Even if we generate revenue in the future, we may not be able to become profitable or sustain profitability in subsequent periods.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substantial doubt regarding our ability to continue as a going concern may create negative reactions to the price of our common stock. If we are unable to continue as a going concern, we may have to liquidate our assets and may receive less than the value at which those assets are carried on our financial statements, and it is likely that investors will lose all or a part of their investment. Further, the perception that we may be unable to continue as a going concern may impede our ability to pursue strategic opportunities or operate our business due to concerns regarding our ability to discharge our contractual obligations. In addition, if there remains substantial doubt about our ability to continue as a going concern, investors or other financing sources may be unwilling to provide additional funding to us on commercially reasonable terms, or at all.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the Development of 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All of our product candidates are in clinical development. If we are unable to successfully develop, receive regulatory approval for and commercialize our product candidates, or successfully develop any other product candidates, or experience significant delays in doing so, our business will be harmed.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early in our development efforts and all of our product candidates are still in clinical development. Each of our programs and product candidates will require additional preclinical and/or clinical development, regulatory approval, obtaining manufacturing supply,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generate revenue from our product candidates, which we do not expect will occur for several years, if ever, will depend heavily on the successful development, regulatory approval and eventual commercialization of our product candidates. The success of our MAR-T cell product candidates or any other product candidates that we develop or otherwise may acquire will depend on several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and successful completion of preclinical studies, including toxicology studies, biodistribution studies and minimally efficacious dose studies in animals, where applicable,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investigational new drug applications, or INDs, from the FDA or comparable foreign applications that allow commencement of our planned clinical trials or future clinical trials for our product candidates;</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sufficiency of our financial and other resources to complete the necessary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enrollment and completion of clinical trials, including under the FDA’s current Good Clinical Practices, or GCPs, and current Good Laboratory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development of, or making arrangements with third-party manufacturers for, our commercial manufacturing processes for any of our product candidates that receive regulatory approval;</w:t>
            </w:r>
          </w:p>
        </w:tc>
      </w:tr>
    </w:tbl>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timely marketing approvals from applicable regulatory authorities;</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commercial sales of products, if approved, whether alone or in collaboration with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the benefits and use of our products, including method of administration, if approved, by patients, the medical community and third-party payors, for their approved indications;</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adverse events experienced by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perceived advantages, cost, safety and efficacy of alternative therapies for any product candidate, and any indications for such product candidate, that we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produce and manufacture our product candidates, which is dependent on third-party vendors and their willingness to support our manufacturing and cell processing;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trademark and trade secret protection and regulatory exclusivity for our product candidates and otherwise protecting our rights in our intellectual property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compliance with regulatory requirements, including the FDA’s current Good Manufacturing Practices, or cGMPs, and complying effectively with other procedures;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third-party coverage and adequate reimbursement and patients’ willingness to pay out-of-pocket in the absence of such coverage and adequate reimbursement; and</w:t>
            </w:r>
          </w:p>
        </w:tc>
      </w:tr>
    </w:tbl>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continued acceptable safety, tolerability and efficacy profile of the products following approval.</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we have limited financial and management resources, we must focus on development programs and product candidates that we identify for specific indications.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FDA regulatory approval process is lengthy and time-consuming, and we may experience significant delays in the clinical development and regulatory approval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immunotherapies that we may develop are not likely to be commercially available for at least three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previously submitted a biologics license application, or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 and the FDA or non-U.S. regulatory authorities may disagree with the design or implementation of our clinical trials or study endpoints.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also experience delays in completing planned clinical trials for a variety of reasons, including delays related to:</w:t>
      </w:r>
    </w:p>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financial resources to commence and complete the planned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reaching agreement on acceptable terms with prospective clinical research organizations, or CROs, and clinical trial sites, the terms of which can be subject to extensive negotiation and may vary significantly among different CROs and trial sites;</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approval by an independent institutional review board, or IRB, at each clinical trial site;</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suitable patients to participate in a trial;</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patients complete a trial or return for post-treatment follow-up;</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sites deviating from trial protocol or dropping out of a trial;</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new clinical trial sites;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sufficient quantities of qualified materials under cGMPs and applying them on a subject by subject basis for use in clinical trials.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Further, the performance of our CROs may also be interrupted by health epidemics or other disruptions, including due to travel or quarantine policies or prioritization of resources toward such health epidemic or disruption. We could also encounter delays if physicians face unresolved ethical issues associated with enrolling patients in clinical trials of our product candidates in lieu of prescribing existing treatments that have established safety and efficacy profiles. Further, a clinical trial may be suspended or terminated by us, the IRB for the institutions in which such trials are being conducted, the Data and Safety Monitoring Board or Committee for such trial, or by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FDA or other regulatory authorities due to a number of factors. Those factors could include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Preclinical studies and clinical trials are expensive, time-consuming, difficult to design and implement and involve an uncertain outcome. Further, we may encounter substantial delays in completing the development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of our product candidates are in 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Clinical trials are expensive and difficult to design and implement, in part because they are subject to rigorous regulatory requirements. Because our product candidates are based on new technologies and manufactured on a patient-by-patient basis for our MAR-T cell product candidates we expect that they will have substantial manufacturing costs. In addition, the initial estimates of the clinical cost of development may prove to be inadequate, particularly if clinical trial timing or outcome is different than predicted or regulatory agencies require further testing before approval. For example, we previously experienced temporary delays in enrollment due to the COVID-19 pandemic and in satisfying certain FDA requirements for our clinical study of MT-401 for the treatment of post-transplant AML, and any further delay to our planned timelines for our trial may impact our cost estimates for this trial.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may be significantly higher per patient than those of more conventional therapeutic technologies or drug products. In addition, our proposed personalized product candidates involve several complex manufacturing and processing steps, the costs of which will be borne by us. Depending on the number of patients we ultimately enroll in our trials, and the number of trials we may need to conduct, our overall clinical trial costs may be higher than for more conventional treatments. Further, delays and interruptions to ongoing trials related to global pandemics, as experienced with COVID-19, can increase the duration and costs of such trials. 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our clinical trials.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or our regulators, may suspend or terminate our clinical trials for a variety of reasons. For example, in the fourth quarter of 2019 the FDA placed a clinical hold on our IND of MT-401 for the treatment of patients with post-transplant AML and requested certain information regarding quality and technical specifications for two reagents supplied by third-party vendors that are used in our manufacturing process but not present in the final product infused to patients. In January 2021, the FDA lifted the clinical hold, permitting us to initiate a Phase 2 clinical trial for the treatment of post-transplant AML, with a safety lead-in portion. We completed the safety lead-in portion of the trial in June 2021, and we initiated the remainder of the Phase 2 trial in July 2021. We may voluntarily suspend or terminate our clinical trials at any time if we believe they present an unacceptable risk to the patients enrolled in our clinical trials or do not demonstrate clinical benefit. For example, in November 2019 we elected to suspend our Phase 2 clinical trial of TPIV200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treatment of platinum-sensitive advanced ovarian cancer based on an unblinded review of interim results conducted by an independent Data and Safety Monitoring Board, or DSMB. Although the DSMB did not express any safety concerns with respect to TPIV200, we elected to suspend the trial because it did not meet the threshold for probability of clinical benefit based upon our pre-specified criteria.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 The lengthy approval process, as well as the unpredictability of future clinical trial results, may result in us failing to obtain regulatory approval for our product candidates, which would materially harm our business,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results of earlier preclinical and clinical trials may not be predictive of future clinical trial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Failure can occur at any time during the clinical trial process. The results of preclinical testing and early clinical trials of our product candidates may not be predictive of the results of larger, later-stage controlled clinical trials. Product candidates that have shown promising results in early-stage clinical trials may still suffer significant setbacks in subsequent clinical trials. Our clinical trials to date have been conducted on a small number of patients in a single academic clinical site for a limited number of indications. We will have to conduct larger, well-controlled trials in our proposed indications at multiple sites to verify the results obtained to date and to support any regulatory submissions for further clinical development of our product candidates. Our assumptions related to our product candidates, such as with respect to lack of toxicity and manufacturing cost estimates, are based on early limited clinical trials and current manufacturing processes and may prove to be incorrect. Several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any Phase 2, Phase 3, or other clinical trials we may conduct will demonstrate consistent or adequate efficacy and safety with respect to the proposed indication for use sufficient to receive regulatory approval or market 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achieve our projected development goals in the timeframes we announce and expect, the commercialization of our products may be delayed.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including with respect to challenges related to enrollment, manufacturing and our reliance on third parties to conduct, supervise or monitor some or all aspects of our clinical trials. We may experience numerous unforeseen events during, or as a result of, any future clinical trials that we conduct that could delay or prevent our ability to receive marketing approval or commercialize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our clinical trials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side effects caused by the product candidate, the administration process or related procedures also can cause adverse side effects. If any such adverse events occur, our clinical trials could be suspended or terminated. If we cannot demonstrate that any adverse events were not caused by the drug or administration process or related procedures, the FDA, EMA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In addition, these side effects may not be appropriately recognized or managed by the treating medical staff, as toxicities resulting from personalized cell therapy, as with our MAR-T cell therapy products, are not normally encountered in the general patient population and by medical personnel. Any of these occurrences may harm our ability to develop other product candidates, and may harm our business, financial condition and prospects significantly.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or an IRB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if one or more of our product candidates receives marketing approval, and we or others identify undesirable side effects caused by such products, a number of potentially significant negative consequences could result, including:</w:t>
      </w:r>
    </w:p>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approvals of such product;</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 or other requirements subject to a REMS;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achieve or maintain third-party payor coverage and adequate reimbursement; and</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and physician or patient acceptance of our products may suffer.</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obtain or maintain the benefits associated with orphan drug designation, including market exclusivity.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Regulatory authorities in some jurisdictions, including the United States and the European Union, may designate drugs for relatively small patient populations as orphan drugs. 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Generally, a product that has orphan drug designation and subsequently receives the first FDA approval for the disease for which it has such designation is entitled to orphan drug exclusive approval (or exclusivity), which means that the FDA may not approve any other applications to market the same drug or biologic for the same indication for seven years, except in limited circumstances, such as a showing of clinical superiority to the product with orphan drug exclusivity. A designated orphan drug may not receive orphan drug exclusivity if it is approved for a use that is broader than the indication for which it received orphan designation.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 has granted orphan drug designation for MT-401 for the treatment of AML after receiving an allogeneic stem cell transplant and for MT-601 for the treatment of patients with pancreatic cancer. In 2023, MT-401 was also granted orphan drug designation by the Committee for Orphan Medicinal Products of the European Medicines Agency (EMA) for the treatment of patients with AML. We may seek orphan drug designation for other indications or product candidates.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or European Commission (on the basis of the opinion of the European Medicines Agency, or the EMA),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Manufacturing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third-party vendors and contract manufacturing organizations to maintain and support our manufacturing and cell processing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operate our own cGMP manufacturing facility and instead rely on third parties for the clinical and, once approved, commercial manufacture of our product candidates. Our manufacturing process was originally developed at Baylor College of Medicine and we continue to contract with BCM to perform a wide variety of services to ensure the continuation of our research and development efforts, with the goal of optimizing our manufacturing process, product quality and commercial scalability. We continue to order products from BCM and BCM continues to supply us with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22, 2024, we entered into a Master Services Agreement for Product Supply (the “MSA”) with Cell Ready for the provision of various products and services by Cell Ready pursuant to work orders that may be entered into from time to time. Cell Ready, which is owned by one of our former directors and current shareholders, Mr. John Wilson, is a contract development and manufacturing organization (CDMO). Under the MSA, Cell Ready previously performed various services for us, including research and development, and manufacturing in support of our clinical trials. However, on March 27, 2025, we mutually agreed with Cell Ready to terminate the MSA. In connection therewith, we entered into a settlement and release agreement with Cell Ready pursuant to which we paid Cell Ready approximately $453,000 and we provided each other with mutual releases of all claims associated with any and all agreements between the Marker and Cell Ready.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BCM continues to supply us with products, as we continue our clinical trials, in anticipation of the commencement of our larger pivotal trial for lymphoma in 2026, as well as the eventual need for commercial scale production, on June 16, 2025, the Company entered into a Statement of Work (the “SOW”) with Cellipont Bioservices (“Cellipont”), a leading cell therapy Contract Development and Manufacturing Organization (“CDMO”), for the manufacturing of MT-601, the Company’s lead MAR-T cell product.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Furthermore, we intend to evaluate additional potential third-party manufacturing capabilities to provide potential multiple sources of clinical and commercial supply. However, even if we can secure multiple sources of clinical and commercial supply, third-party manufacturers may not be willing or able to meet our needs concerning timing, quantity, or quality and/or may cease or substantially reduce their business. If we are unable to contract for a sufficient supply of needed materials on acceptable terms, or if we should encounter delays, difficulties or disputes with regard to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third-party breaches or terminates its agreement with us or fails to conduct its activities in a timely manner, the commercialization of our product candidates could be slowed down or blocked completely. It is possible that third-parties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Also, if we enter into additional third-party agreements in the future, we may not be able to negotiate such agreements successfully and, even if established, these relationships may not be scientifically or commercially successful. In the event our relationship with a third-party manufacturer is terminated or substantially reduced for any reason, it is possible we will not be able to identify an alternative third-party manufacturer within a reasonable period of time, if ever, which would have an adverse effect our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our manufacturing capabilities could be affected by cost-overruns, unexpected delays, equipment failures, labor shortages, natural disasters, power failures, competition with other clients, transportation difficulties and numerous other factors that could prevent us from fully realizing the intended benefits of our manufacturing strategy and have a material adverse effect on our clinical development, commercialization plans and/or general operations. In addition, the manufacturing process for any product candidates that we may develop is subject to the FDA and foreign regulatory authority approval process, and we may need to contract with manufacturers who can meet all applicable FDA and foreign regulatory authority requirements on an ongoing basis. If our contract manufacturing organizations, or CMOs, are unable to reliably produce products to specifications acceptable to the FDA or other regulatory authorities, we may not obtain or maintain the approvals we need to commercialize any approved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Further, we may be required to establish multiple manufacturing facilities to expand our commercial footprint for any approved products, which may lead to regulatory delays or prove costly.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clinical development and/or commercialization plans.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manufacturing process is reliant upon specialized equipment, and other specialty materials, which may not be available to us on acceptable terms or at all. We, our vendors, and contract manufacturing organizations rely or may rely on sole-source vendors or a limited number of vendors, which could impair the manufacture and supply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depend on a limited number of vendors for supply of certain materials and equipment used in the manufacture of our MAR-T cell therapy-based product candidates. For example, in the past, we purchased equipment and reagents critical for the manufacture of our product candidates from Wilson Wolf (a company controlled by our former director, John Wilson), Almac and other suppliers. As previously disclosed, Mr. Wilson resigned as one of our directors on January 24, 2025. Some of our direct or indirect suppliers may not have the willingness or capacity to support commercial products manufactured under cGMP by biopharmaceutical firms or may otherwise be ill-equipped to support our needs. We also may not have supply contracts with many of these suppliers and may not be able to obtain supply contracts with them on acceptable terms or at all. Accordingly, we may not be able to obtain key materials and equipment to support clinical or commercial manufacturing. Further, the FDA may determine that our manufacturing process, or the materials required for the manufacture of our product candidates, are not acceptable, which would require us to find alternative suppliers or processes, which may not be available on favorable terms, if at 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some of this equipment and materials, we may rely, and may now and/or in the future rely, on sole-source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operating results or our ability to conduct clinical trials, either of which could significantly harm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manufacture of our product candidates is complex and we may encounter difficulties in production, particularly with respect to process development. If any of our third-party suppliers encounter such difficulties, the supply of our product candidates for clinical trials, or our product candidates for patients, if approved, could be delayed or stopped, or we may be unable to maintain a commercially viable cost structure.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product candidates are biologics, and the process of manufacturing our product candidates is complex, highly regulated and subject to multiple risks. For example, the manufacture of our MAR-T cell therapy-based product candidates involves complex processes, including drawing blood from patients/donors, manufacturing the clinical product, and ultimately infusing the product into a patient. As a result of the complexities, the cost to manufacture biologics is generally higher than traditional small molecule chemical compounds, and the manufacturing process is less reliable and is more difficult to reproduce. Our manufacturing processes will be susceptible to product loss or failure due to any of the following: logistical issues associated with the collection of blood cells, or starting material, from the patient or a donor, shipping such material to the manufacturing site, shipping the final product back to the patient, and infusing the patient with the product; manufacturing issues associated with the variability in patients’ or donor’s starting cells; interruptions in the manufacturing process; contamination; equipment failure; improper installation or operation of equipment, vendor or operator error; inconsistency in cell growth; and variability in product characteristics. Additionally, transferring manufacturing responsibilities from one manufacturer to another also involves various risks, which could result in delays and additional costs. Even minor deviations from normal manufacturing processes could result in reduced production yields, product defects, and other supply disruptions. If for any reason we lose a patient’s or a donor’s cells, or later-developed product at any point in the process, the manufacturing process for that patient will need to be restarted and the resulting delay may adversely affect that patient’s outcome and/or the results of clinical trials.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our autologous MAR-T cell therapy-based product candidates, MT-601, is manufactured for each particular patient, we will be required to maintain a chain of identity with respect to the patient’s blood cells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 candidates from the market. Further, as product candidates are developed through preclinical to late-stage clinical trials towards approval and commercialization, it is common that various aspects of the development program, such as manufacturing methods, are altered along the way in order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working to develop commercially viable processes for manufacturing our products. Doing so is a difficult and uncertain task, and there are risks associated with scaling to the level required for advanced clinical trials or commercialization, including, among others, cost overruns, potential problems with process scale up,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 assurance can be given that we will be able to develop a new, FDA-compliant, more efficient, lower cost manufacturing process upon which our business plan to commercialize MAR-T cell-based product candidates is dependent.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cooperation with our current contract manufacturers and suppliers, we developed and have implemented a new nine-day MAR-T cell manufacturing process for our current as well as future clinical trials using a patient-specific manufacturing approach or using products manufactured from healthy donors (“Off-the-Shelf”). The new manufacturing process marks additional manufacturing improvements compared to the processes used in the BCM Phase 1 and 2 trials (36-day manufacturing time) and our previous AML trial (20-day manufacturing time). The new nine-day manufacturing process enables increased antigen specificity and diversity, which has exhibited a strong linear correlation to anti-tumor activity in vitro. The new process produces a patient product that is four times more potent, with the potential to greatly improve tumor killing. This new, scaled-up, pharmaceutical manufacturing process is new and subject to uncertainties. We cannot guarantee that we will be able to more efficiently and cost effectively, and in a more automated manner produce, measure and control the physical and/or chemical attributes of our product candidates in a cGMP facility. We also have never manufactured our adoptive T cell therapy product candidate on a commercial scale. As a result, we cannot give any assurance that we will be able to establish a manufacturing process that can produce our product candidates at a cost or in quantities necessary to make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them commercially viable. Moreover, we and our third-party manufacturers will have to continually adhere to current cGMP regulations enforced by the FDA through its facilities inspection program. If these facilities cannot pass a pre-approval plant inspection, the FDA premarket approval of our product candidates will not be granted. In complying with cGMP and foreign regulatory requirements, we and any of our third-party manufacturers will be obligated to expend time, money and effort in production, record-keeping and quality control to assure that our product candidates meet applicable specifications and other requirements. If we or any of our third-party manufacturers fail to comply with these requirements, we may be subject to regulatory action. No assurance can be given that we or our partners will be able to establish and operate such a production facility.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Cellular products are not considered to be well characterized products because there are hundreds of markers present on T cells, and even small changes in manufacturing processes could alter the cell subtypes. It is unclear at this time which of those markers are critical for success of T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 In addition to developing a multi-antigen T cell-based therapy on existing adoptive T cell therapy technology, we are currently evaluating the desirability of conducting clinical trials of our product candidates in combination with other existing drugs. These combination therapies will require additional testing, and clinical trials will require additional FDA regulatory approval and will increase our future cost of development.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Reliance on Third Parties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third parties for the clinical and, if approved, commercial manufacture of our product candidates. The third-party manufacturing facilities on which we rely may have limited capacity or fail to meet the applicable stringent regulatory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cGMP manufacturing facilities. Following the termination of our MSA with Cell Ready, we rely on BCM for the cGMP manufacture of our product candidates for clinical development. While BCM continues to supply us with products, as we continue our clinical trials, in anticipation of the commencement of our larger pivotal trial for lymphoma in 2026, as well as the eventual need for commercial scale production, on June 16, 2025, the Company entered into a Statement of Work (the “SOW”) with Cellipont Bioservices (“Cellipont”), a leading cell therapy Contract Development and Manufacturing Organization (“CDMO”), for the manufacturing of MT-601, the Company’s lead MAR-T cell product. However, there is no guarantee that we will or have properly estimated our required manufacturing capacities or that the third parties on which we rely to manufacture our products will be able or willing to perform on our proposed timelines or to meet our manufacturing demands, if at all. Also, if we must increase production capacity for any reason, we may need to make considerable investments that could lead to significant financing needs or require us to enter into subcontracting agreements in order to outsource part of the production.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third-party contract manufacturing organizations on which we currently or in the future rely ceases or reduces its business or the products it supplies to us or experiences capacity constraints, other disruptions, or delays in manufacturing our MAR-T cell therapy-based product candidates, our planned clinical trials and necessary manufacturing capabilities will be disrupted or delayed. Third-party manufacturers may not be able to meet our needs concerning timing, quantity, or quality. Additionally, our third-party manufacturing partners may engage, be engaged by, or otherwise enter into arrangements with our competitors. If we are unable to contract for a sufficient supply of needed materials on acceptable terms, or if we should encounter delays or difficulties in our relationships with manufacturers, our clinical trials may be delayed, thereby delaying the submission of product candidates for regulatory approval or the market introduction and subsequent sales of any approved products. Any such delay may lower our revenues and potential profitability. If any third-party breaches or terminates its agreement with us or fails to conduct its activities in a timely manner, the commercialization of our product candidates could be slowed down or blocked completely. It is possible that third parties relied upon by us will change their strategic focus, pursue alternative technologies, or develop alternative product candidates, either on their own or in collaboration with others, as a means for developing treatments for the diseases targeted by our collaborative programs, or for other reasons. The effectiveness of these third parties in marketing their own products may also affect our revenues and earnings. We intend to continue to enter into additional third-party agreements in the future. However, we may not be able to negotiate any additional agreements successfully. Even if established, these relationships may not be scientifically or commercially successful.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facilities used by our contract manufacturers to manufacture our product candidates must be inspected by the FDA. We do not have control over a supplier’s or manufacturer’s compliance with laws, regulations and applicable cGMP standards or similar regulatory requirements and other laws and regulations, such as those related to environmental health and safety matters. If our contract manufacturers cannot successfully manufacture material that conforms to our specifications and the strict regulatory requirements of the FDA or other regulatory authorities, we may be unable to obtain regulatory approval of our marketing applications. In addition, we have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strategic relationship with BCM is dependent, in part, upon our ongoing relationship with key medical and scientific personnel and advisors.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MAR-T cell therapy has been developed through our collaboration with the Center for Cell and Gene Therapy at BCM, founded by Malcolm K. Brenner, M.D., Ph.D., a recognized pioneer in immuno-oncology. Our strategic relationship with BCM is dependent, in part, on our relationship with certain key employees and advisors, some of whom serve on our Scientific Advisory board, and in particular Dr. Vera, our founder, President and Chief Executive Officer and Principal Financial and Accounting Officer. If Dr. Vera discontinues his employment with us, our relationship with BCM may deteriorate, and our business could be harmed. We may also be dependent on BCM facilities and personnel to conduct research and development and manufacturing activities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have an exclusive license agreement with BCM under which we received a worldwide, exclusive license to BCM’s rights in and to three patent families to develop and commercialize the MAR-T cell product candidates, we will need to enter into additional agreements with BCM with respect to (i) a strategic alliance to advance preclinical research, early stage clinical trials, and clinical trials with respect to our product candidates, as well as continued access to our clinical data, and (ii) support, including personnel and space at the institution for the foreseeable future. Any delays in entering into new strategic agreements with BCM related to our product candidates could delay the development, manufacture, and clinical trials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important element of our intellectual property portfolio is to license additional rights and technologies from BCM. Our inability to license the rights and technologies that we have identified, or newly developed MAR-T cell technology that we may in the future identify, could have a material adverse impact on our ability to complete the development of our product candidates or to develop additional product candidates. No assurance can be given that we will be successful in licensing any additional rights or technologies from BCM and others. Failure to obtain additional rights and licenses may detrimentally affect our planned development of additional product candidates and could increase the cost, and extend the timelines associated with our development of such other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establish or maintain the third-party relationships, including strategic collaborations, that are necessary to develop, commercialize and/or market some or all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it has generated, and the perceived risks specific to developing our product candidates. If we are unable to obtain or maintain these agreements, we may not be able to clinically develop, formulate, manufacture, obtain regulatory approvals for or commercialize our product candidates. Management of any third-party relationships will require significant time and effort from our management team, coordination of our research and development programs with the research and development priorities of our collaborators and effective allocation of our resources to multiple projects.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their research and development programs or the commercialization, marketing or distribution of their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milestones or royalty payments to our collaborators or to observe other obligations in our agreements with them, our collaborators may have the right to terminate those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strategy includes eventual substantial reliance upon strategic collaborations for marketing and commercialization of our product candidates, and we may rely even more on strategic collaborations for research, development, marketing and commercialization of our other immunotherapies. If we are unsuccessful in securing such strategic collaborations, we may be unable to commercialize any approved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Efforts to ensure that our business arrangements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in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develop our business. In addition, the approval and commercialization of any of our product candidates outside the United States will also likely subject us to foreign equivalents of the healthcare laws mentioned above, among other foreign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the Commercialization of 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commercial success depends upon attaining significant market acceptance of our product candidates, if approved, among physicians, patients, healthcare payors and the medical community.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efficacy and safety of our product candidates as demonstrated in clinical trials and post-marketing experience;</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indications for which our product candidates may be approved;</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by physicians and patients of our product candidates as safe and effective;</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and perceived advantages of our product candidates over alternative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of our product candidates seen in a broader patient group, including our use outside the approved indications should physicians choose to prescribe for such uses;</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prevalence and severity of any side effects;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labeling, or product insert requirements of the FDA or other regulatory authorities;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of market introduction of our product candidates as well as competitive products;</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in relation to alternative treatments;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the availability of coverage and adequate reimbursement by third-party payors and government authorities;</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relative convenience and ease of administration; and</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effectiveness of any sales and marketing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our product candidates are approved but fail to achieve market acceptance among physicians, patients, healthcare payors and the medical community, we may not be able to generate significant revenues, which would compromise our ability to become profitable.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any of our products if approved, market acceptance and commercial success would be reduced.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MAR-T cell therapy may be provided to patients in combination with other agents provided by third parties. The cost of such combination therapy may increase the overall cost of MAR-T cell therapy and may result in issues regarding the allocation of reimbursements between our therapy and the other agents, all of which may adversely affect our ability to obtain reimbursement coverage for the combination therapy from third-party medical insurers.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product candidates we develop may become subject to unfavorable third-party coverage and reimbursement practices, as well as pricing regulations.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uncertainty exists as to the coverage and reimbursement status of any pharmaceutical or biological product for which we obtain regulatory approval. 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for example, principal decisions about reimbursement for new products are typically made by the Centers for Medicare &amp; Medicaid Services, or CMS.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will be available for any product that we commercialize and, if reimbursement is available, what the level of reimbursement will be.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future success is highly dependent upon our key personnel, and our ability to attract, retain, and motivate additional qualified personnel. We will also be required to establish sales and marketing capabilities or enter into agreements with third parties to market and sell any approved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and consultants, including in particular Juan Vera, M.D., who plays multiple roles as our President, Chief Executive Officer, and Principal Financial and Accounting Officer, as well as others. The loss of the services of our executive officer, other key employees, and other scientific and medical advisors, and our inability to find suitable replacements could result in delays in product development and harm to our business. We have a priority to quickly train additional qualified scientific and medical personnel to ensure the ability to maintain business continuity. Any delays in training such personnel could delay the development, manufacture, and clinical trials of our product candidates.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ability to attract and retain highly skilled personnel is critical to our operations and expansion. We face competition for these types of personnel from other biotechnology companies and more established organizations, many of which have significantly larger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operations and greater financial, technical, human and other resources than us.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development of our product candidates, and unable to adequately address our management needs.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currently have an organization for the sale, marketing and distribution of any approved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 party to perform sales and marketing functions, we may be unable to compete successfully against these more established companies.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biotechnology and immunotherapy industries are characterized by rapid technological developments and a high degree of competition. We may be unable to compete with more substantial enterprises.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Potential competitors in the market for treating hematological malignancies include numerous pharmaceutical and biotechnology companies, as well as academic institutions, private and public research institutions, and government agencies. Treatment of relapsed patients with lymphoma remains a challenge with relatively low overall survival rates. To date, there are four CD19-directed CAR-T cell therapies (Yescarta, Kymriah, Tecartus, and Bryanzi) approved for patients with relapsed lymphoma. However, up to 60% of CD19 CAR-T cell treated patients will relapse, particularly in the third line setting (Chong EA et al, N Engl J Med, 2021). This highlights a significant unmet medical need for alternative and more effective treatments. Our MAR-T cell drug candidates may compete with product candidates from a number of companies, which are developing various types of immunotherapies to treat cancer, including non-CD19 targeting CAR-T cells that target different antigens beyond CD19, multi-targeted CAR-T cells as well as NK-CAR therapies. In addition, bispecific antibodies represent promising therapies for patients with lymphoma and provide competition in the oncology space. To date, MT-601 is the only natural T cell product that targets multiple tumor antigens being explored for CAR relapse patients with lymphoma. Therefore, MT-601 fills a void in the market by providing much needed treatment to patient population. Current and potential competitors may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 candidates.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Even if we obtain regulatory approval for our lead product candidate, the availability and price of competitors’ products could limit the demand and the price we will be able to charge for our therapy. 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 We are aware of certain investigational new drugs under development or approved products by competitors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competition comes from both biotechnology firms and from major pharmaceutical companies. Many of these companies have substantially greater financial, marketing, and human resources than us. We also experience competition in the development of our immunotherapies from universities, other research institutions and others in acquiring technology from such universities and institutions.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certain of our immunotherapies may be subject to competition from investigational new drugs and/or products developed using other technologies, some of which have completed numerous clinical trials.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opportunities for our product candidates may be limited to those patients who are ineligible for or have failed prior treatments and may be small.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 often approves new oncology therapies initially only for use in patients with relapsed or refractory metastatic disease. We expect to initially seek approval of our product candidates in this setting. Subsequently, for those product candidates that prove to be sufficiently beneficial, if any, we would expect to seek approval in earlier lines of treatment and potentially as a first line therapy. There is no guarantee, however, that our product candidates, even if approved, would be approved for earlier lines of therapy, and, prior to any such approvals, we may have to conduct additional clinical trials.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projections of both the number of people who have the cancers we are targeting, as well as the subset of people with these cancers in a position to receive second or third-line therapy, and who have the potential to benefit from treatment with our product candidates, are based on our research and estimates. These estimates have been derived from a variety of sources, including scientific literature, surveys of clinics, patient foundations, or market research by third parties, and may prove to be incorrect.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Further, new studies may change the estimated incidence or prevalence of these cancers. The number of treatable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to initially target patients with lymphoma who have relapsed after anti-CD19 CAR-T cell therapy or who are ineligible to receive anti-CD19 CAR-T cell treatment. Even if we obtain significant market share for our product candidates, because the potential target populations might be small, we may not achieve profitability without obtaining regulatory approval for additional indications, and we may spend large amounts of money trying to obtain approval for product candidates that have an uncertain commercial market.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regulatory pathways for biosimilar competition could reduce the duration of market exclusivity for our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Patient Protection and Affordable Care Act, as amended by the Health Care and Education Reconciliation Act, or collectively, the ACA, there is an abbreviated path in the United States for regulatory approval of products that are demonstrated to be “biosimilar” or “interchangeable” with an FDA-approved biological product. The 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A number of jurisdictions outside of the United States have also established abbreviated pathways for regulatory approval of biological products that are biosimilar to earlier versions of biological products. For example, the European Union has had an established regulatory pathway for biosimilars since 2005.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increased likelihood of biosimilar competition has increased the risk of loss of innovators’ market exclusivity. Due to this risk, and uncertainties regarding patent protection, if one of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product liability lawsuits are brought against us, we may incur substantial liabilities and may be required to limit commercialization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to the product, negligence, strict liability or a breach of warranties. Claims could also be asserted under state consumer protection laws.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 candidates;</w:t>
            </w:r>
          </w:p>
        </w:tc>
      </w:tr>
    </w:tbl>
    <w:tbl>
      <w:tblPr>
        <w:tblW w:w="2496" w:type="dxa"/>
        <w:jc w:val="left"/>
        <w:tblInd w:w="0" w:type="dxa"/>
        <w:tblLayout w:type="fixed"/>
        <w:tblCellMar>
          <w:top w:w="28" w:type="dxa"/>
          <w:left w:w="28" w:type="dxa"/>
          <w:bottom w:w="28" w:type="dxa"/>
          <w:right w:w="28" w:type="dxa"/>
        </w:tblCellMar>
      </w:tblPr>
      <w:tblGrid>
        <w:gridCol w:w="124"/>
        <w:gridCol w:w="25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of investigations by regulators;</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defend the related litigation;</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diversion of management’s time and our resources;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labeling, marketing or promotional restrictions;</w:t>
            </w:r>
          </w:p>
        </w:tc>
      </w:tr>
    </w:tbl>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exhaustion of any available insurance and our capital resources; and</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any product candidate.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inability to obtain sufficient product liability insurance at an acceptable cost to protect against potential product liability claims could inhibit or prevent the commercialization of products we develop, alone or with collaborators. Our insurance policies may also have various exclusions, and we may be subject to a product liability claim for which we have no insurance coverage. While we obtained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our proprietary rights, we may not be able to compete effectively or operate profitably.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commercial success is dependent in part on our ability to obtain, maintain, and enforce the patents and other proprietary rights that we have licensed and may develop, and on our ability to avoid infringing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are directed to the technology. There can be no assurance that our patent applications or those of our licensor will result in additional patents being issued or that issued patents will afford sufficient protection against competitors with similar technology, nor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seek to protect our proprietary technology and processes, in part, by entering into confidentiality agreements with relevant employees, consultants, scientific advisors, and contractors. We also seek to preserve the integrity and confidentiality of our data and trade secrets by maintaining physical security of the premises and physical and electronic security of the information technology systems. While we have confidence in these individuals, organizations, and systems, agreements or security measures may be breached, and we may not have adequate remedies for any breach. In addition, trade secrets may otherwise become known or be independently discovered by competitors. To the extent that the consultants, contractors or collaborators use intellectual property owned by others in their work for us, disputes may arise as to the rights in related or resulting know-how and inventions.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have patents and patent applications in other countries, we cannot be certain that the claims in other pending U.S. or European patent applications, international patent applications, and patent applications in certain other foreign territories directed to methods of generating MAR-T cell product candidates, or our other product candidates, will be considered patentable by the USPTO, courts in the United States or by the patent offices and courts in foreign countries, nor can we be certain that the claims in our issued licensed European patent will not be found invalid or unenforceable if challenged.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Most of our intellectual property rights are currently licensed from BCM, so that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 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tc>
      </w:tr>
    </w:tbl>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applications may not result in any patents being issued;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that may be issued or in-licensed may be challenged, invalidated, modified, revoked, circumvented, found to be unenforceable or otherwise may not provide any competitive advantage;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many of whom have substantially greater resources than us, and many of whom have made significant investments in competing technologies, may seek or may have already obtained patents that will limit, interfere with or eliminate our ability to make, use and sell our potential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countries other than the United States may have patent laws less favorable to patentees than those upheld by U.S. courts, allowing foreign competitors a better opportunity to create, develop and market competing product candidates.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patent prosecution process is also expensive and time-consuming,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late to obtain patent protection. Moreover, in some circumstances, we may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identification of third-party patent rights that may be relevant to our technology is difficult because patent searching is imperfect due to differences in terminology among patents, incomplete databases and the difficulty in assessing the meaning of patent claims. The issuance of a patent is not conclusive as to its inventorship, scope, validity or enforceability and it is uncertain how much protection, if any, will be given to the patents we have licensed from a licensor if either the licensor or we attempt to enforce the patents and/or if they are challenged in court or in other proceedings, such as oppositions, invalidations, or like proceedings, which may be brought in foreign jurisdictions to challenge the validity of a patent. A third - party may challenge our patents, if issued, or the patent rights that we license from others in the courts or patent offices in the United States and abroad. It is possible that a competitor may successfully challenge our patents or that a challenge will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Moreover, the cost of litigation to defend the validity of patents and to prevent or remedy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violation of our patent rights, we may need to file a lawsuit. These lawsuits are expensive and would consume time and other resources, even if we were successful in stopping or remedying the violation of our patent rights. In addition, there is a risk that a court would decide that our patents are not valid and that we do not have the right to stop the other party from using the inventions. There is also the risk that, even if the validity of our patents was upheld, a court would refuse to stop the other party on the ground that its activities are not covered by, that is, do not infringe, our patents.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on any terms.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we, our licensing partners, or any potential future collaborator initiates legal proceedings against a third - party to enforce a patent directed to one of our product candidates, the defendant could counterclaim that the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non-obviousness or 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are no longer directed to our product candidates. The outcome following legal assertions of invalidity and unenforceability is unpredictable, and prior art could render our patents or those of our licensor invalid or could prevent a patent from issuing from one or more of our pending patent applications. There is no assurance that all potentially relevant prior art relating to our patents and patent applications has been found.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If a defendant were to prevail on a legal assertion of invalidity and/or unenforceability, we would lose at least part,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perhaps all, of the patent protection on our product candidates. In addition, if the breadth or strength of protection provided by our patents and patent applications is threatened, it could dissuade companies from collaborating with us to license, develop or commercialize current or future product candidates. Such a loss of patent protection could have a material adverse impact on our business development.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use of our technologies could potentially conflict with the rights of others.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potential competitors or other entities may have or acquire patent or proprietary rights that they could enforce against our licensor. There is a substantial amount of litigation, both within and outside the United States, involving patent and other intellectual property rights in the biotechnology and pharmaceutical industries, including patent infringement lawsuits, interferences, oppositions, reexaminations, </w:t>
      </w:r>
      <w:r>
        <w:rPr>
          <w:rFonts w:ascii="Times New Roman;Times;serif" w:hAnsi="Times New Roman;Times;serif"/>
          <w:i/>
          <w:sz w:val="20"/>
        </w:rPr>
        <w:t>inter partes </w:t>
      </w:r>
      <w:r>
        <w:rPr>
          <w:rFonts w:ascii="Times New Roman;Times;serif" w:hAnsi="Times New Roman;Times;serif"/>
          <w:sz w:val="20"/>
        </w:rPr>
        <w:t>review proceedings and post-grant review, or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Such potential third-party patents or patent applications could limit our ability to make, use, sell, offer for sale or import our product candidates and products that may be approved in the future, or impair our competitive position by requiring us to alter our product candidates, pay licensing fees or cease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later issue as patents that our product candidates may infringe. If our product candidates conflict with patent rights of others, third parties could bring legal actions against us or our collaborators, licensees, suppliers or customers, claiming damages and seeking to enjoin manufacturing and marketing of the affected product candidates. If these legal actions are successful, in addition to any potential liability for damages, we could be required to obtain a license in order to continue to manufacture or market the affected product candidates. We may not prevail in any legal action and a required license under the patent may not be available on acceptable terms or at all.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U.S. patent law could diminish the value of patents in general, thereby impairing our ability to protect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is the case with other biopharmaceutical companies, our success is dependent on intellectual property, particularly patents. Obtaining and enforcing patents in the biopharmaceutical industry involves both technological and legal complexity, and is therefore costly, time-consuming and inherently uncertain. Changes in either the patent laws or in the interpretations of patent laws in the United States and other countries may diminish the value of our intellectual property. We cannot predict the breadth of claims that may be allowed or enforced in our patents or in third-party patents. For example, on September 16, 2011, the Leahy-Smith America Invents Act, or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may become involved in post-grant proceedings including post grant review, derivation, reexamination, </w:t>
      </w:r>
      <w:r>
        <w:rPr>
          <w:rFonts w:ascii="Times New Roman;Times;serif" w:hAnsi="Times New Roman;Times;serif"/>
          <w:i/>
          <w:sz w:val="20"/>
        </w:rPr>
        <w:t>inter-partes </w:t>
      </w:r>
      <w:r>
        <w:rPr>
          <w:rFonts w:ascii="Times New Roman;Times;serif" w:hAnsi="Times New Roman;Times;serif"/>
          <w:sz w:val="20"/>
        </w:rPr>
        <w:t>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In addition, recent U.S. Supreme Court rulings on several patent cases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these decisions, we cannot predict how future decisions by the courts, the U.S. Congress or the USPTO may impact the value of our patents.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limited foreign intellectual property rights and may not be able to protect our intellectual property rights throughout the world.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Filing, prosecuting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its inventions in all countries outside the United States, or from selling or importing products made using its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patents or other intellectual property rights may not be effective or sufficient to prevent them from competing.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example, the complexity and uncertainty of European patent laws have also increased in recent years. In Europe, a new unitary patent system was introduced by the end of 2023, which significantly impacts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or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claims that our employees, consultants or independent contractors have wrongfully used or disclosed confidential information of third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is common in the biotechnology and pharmaceutical industries, in addition to our employees, we engage the services of consultants to assist us in the development of our product candidates. We have received confidential and proprietary information from third parties. We employ individuals or engage consultants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comply with any obligations under our existing license agreements or any future license agreements, or disputes arise with respect to those agreements, it could have a negative impact on our business and our intellectual property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party to license agreements with BCM that impose, and we may enter into additional licensing arrangements with third parties that may impose, diligence, development and commercialization timelines, milestone payment, royalty, insurance and other obligations on us. Our rights to use the licensed intellectual property are subject to the continuation of and our compliance with the terms of these agreements. Disputes may arise regarding our rights to intellectual property licensed to us from a third - party, including but not limited to:</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on intellectual property of the licensor that is not subject to the licensing agreement;</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sublicensing of patent and other rights;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diligence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of inventions and know-how resulting from the creation or use of intellectual property by us, alone or with our licensors and collaborators;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duration of our payment obligations;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rights upon termination of such agreement; and</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duration of exclusivity obligations of each party to the agreement.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our license agreement with BCM for our MAR-T cell therapy technologies, we are currently required to pay both substantial milestone payments and royalties to BCM based on our revenues from sales of any approved products utilizing the licensed technologies, and these payments could adversely affect the overall profitability for us of any products that we may seek to commercialize. In order to maintain our license rights under the BCM license agreement, we will need to meet certain specified milestones, subject to certain cure provisions, in the development of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upon a liquidity event (as defined in our BCM license agreement with BCM) of the licensee under the BCM license agreement (which, the licensee shall be the Company), BCM will receive a liquidity incentive payment of 0.5% of the liquidity event proceeds (as defined in the BCM license agreement) received by such licensee or its stockholders in the liquidity event, thereby diluting the amount of proceeds available to the licensee or its stockholders in a liquidity event.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claims challenging the inventorship or ownership of our patents and other intellectual property.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Patent terms may be inadequate to protect our competitive position on our product candidates for an adequate amount of time.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subject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sufficient rights to exclude others from commercializing products similar or identical to our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Certain of our technologies are in-licensed from third parties, and the protection of those technologies is not entirely within our control.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 world-wide exclusive license from BCM of the rights in and to three patent families to develop and commercialize MAR-T cell product candidates in the field of oncology. As a result of these in-licenses, we could lose the right to develop each of the technologies if: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 (s) of the patent rights underlying the technologies that we license do not properly maintain or enforce the patents and intellectual property underlying those properties,</w:t>
            </w:r>
          </w:p>
        </w:tc>
      </w:tr>
    </w:tbl>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BCM seeks to terminate our license in contravention of the license agreements;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make all payments due and owing under any of the licenses;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fail to obtain on commercially reasonable terms, if at all, in-licenses from BCM or others for other rights that are necessary to develop the technology that we have already in-licensed.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any of the above occurs, we could lose the right to use the in-licensed intellectual property, which would adversely affect our ability to commercialize our technologies, products or services. The loss of any current or future licenses from BCM, or the exclusivity rights provided by such license agreements, could materially harm our financial condition and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upon patents and licensed technologies to protect our technology. We may be unable to protect our intellectual property rights, and we may be liable for infringing the intellectual property rights of others.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ability to compete effectively depends on our ability to maintain the proprietary nature of our technologies and the proprietary technology of others with whom we have entered into collaboration and licensing agreements. 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and/or unenforceable, or that the patent claims should be limited or narrowly construed. Patents also will not protect our product candidates if competitors devise ways of making or using these product candidates without infringing our patents. 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involved in lawsuits to protect or enforce our patents or the patents of our licensor, which could be expensive, time-consuming and unsuccessful.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Competitors may infringe our intellectual property rights or those of our licensor. To counter infringement or unauthorized use, we may be required to file infringement claims, which can be expensive and time-consuming. In addition, in a patent infringement proceeding, a court may decide that one or more of the patents which we own or in-license is not valid or is unenforceable, and/or is not infringed.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addition, litigation may be necessary to enforce our issued patents, to protect our trade secrets and know-how, or to determine the enforceability, scope, and validity of the proprietary rights of others. We may not prevail in any lawsuits that we initiate, and the damages or other remedies awarded, if any, may not be commercially meaningful.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Periodic maintenance fees, renewal fees, annuity fees and various other governmental fees on any issued patent and/or pending patent applications will be due to the USPTO and foreign patent agencies in several stages over the lifetime of our patents and/or applications. The USPTO and various foreign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development.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Interference or derivation proceedings provoked by third parties or brought by us or declared by the USPTO may be necessary to determine the priority of inventions with respect to our patents or patent applications or those of our licensor. Should third parties file patent applications or be issued patents claiming technology also used or claimed by us, we may be required to participate in interference or derivation proceedings in the USPTO to determine priority of invention. We may be required to participate in interference or derivation proceedings involving our issued patents and pending applications. An unfavorable outcome could require us to cease using the related technology or to attempt to license rights from the prevailing party. Our business could be harmed if the prevailing party does not offer us a license on commercially acceptable terms.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lawsuit for infringement or contractual breaches, even if frivolous, we will require considerable time commitments on the part of management, our attorneys and consultants. Defending these types of proceedings or legal actions involve considerable expense and could negatively affect our financial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unable to adequately prevent disclosure of trade secrets and other proprietary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are unable to maintain and/or obtain licenses needed for the development of our product candidates in the future, we may have to develop alternatives to avoid infringing on the patents of others, potentially causing increased costs and delays in product development and introduction or precluding the development, manufacture, or sale of planned product candidates.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the patents underlying the licenses might not be valid and enforceable. To the extent any product candidates developed by us are based on licensed technology, royalty payments on the licenses will reduce our gross profit from such product sales and may render the sales of such product candidates uneconomical. In addition, the loss of any current or future licenses or the exclusivity rights provided therein could materially harm our business financial condition and our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Government Regulation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extensive regulation, which can be costly, time consuming and can subject us to unanticipated delays. Even if we receive regulatory approval of our product candidates, we will be subject to ongoing quality and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All of our current and future product candidates,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 candidates, which may lengthen the regulatory review process, increase our development costs and delay or prevent their commercialization.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adoptive T cell therapy using MAR-T cells has been approved for marketing in the U.S.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T cell therapy product. We will not be able to commercialize any of our potential product candidates until we obtain FDA approval, and so any delay in obtaining, or inability to obtain, FDA approval would harm our proposed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violate regulatory requirements at any stage, whether before or after marketing approval is obtained, we may be fined, forced to remove a product from the market and experience other adverse consequences including delay, which could materially harm our business development. Additionally, we may not be able to obtain the labeling claims necessary or desirable for the promotion of our products. We may also be required to undertake post-marketing trials. Prescription drugs may be promoted only for the approved indications in accordance with the approved label. The FDA and other agencies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 but the FDA does restrict manufacturer’s communications on the subject of off-label use of their products. In addition, if we or others identify side effects after any of our adoptive T cell therapy products are on the market, or if manufacturing problems occur, regulatory approval may be withdrawn, and reformulation of our products may be required.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or manufacturing of our product candidates, withdrawal of the product from the market, or voluntary or mandatory product recalls;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warning letters or holds on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by the FDA to approve pending applications or supplements to approved applications filed by us or suspension or revocation of license approvals;</w:t>
            </w:r>
          </w:p>
        </w:tc>
      </w:tr>
    </w:tbl>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to permit the import or export of our product candidates; and</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any approved product candidates will be harmed.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relationships with healthcare professionals, principal investigators, consultants, customers (actual and potential) and third-party payors in connection with our current and future business activities are and will continue to be subject, directly or indirectly, to federal and state healthcare laws. If we are unable to comply, or have not fully complied, with such laws, we could face penalties, contractual damages, reputational harm, diminished profits and future earnings and curtailment or restructuring of our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operations and activities may be directly, or indirectly, subject to various federal and state healthcare laws, including without limitation, fraud and abuse laws, false claims laws, data privacy and security laws, as well as transparency laws regarding payments or other items of value provided to healthcare providers. These laws may restrict or prohibit a wide range of business activities, including, but not limited to, research, manufacturing, distribution, pricing, discounting, marketing and promotion, sales commission, customer incentive programs and other business arrangements. These laws may impact, among other things, our current activities with principal investigators and research subjects, as well as current and future sales, marketing, patient co-payment assistance and education programs.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Such laws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and criminal false claims laws, including the federal civil False Claims Act, and civil monetary penalties laws, which impose criminal and civil penalties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or HIPAA, which imposes criminal and civil liability for, among other things, executing a scheme to defraud any healthcare benefit program or making false statements relating to healthcare matters;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Health Information Technology for Economic and Clinical Health Act, or HITECH, and its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federal Physician Payments Sunshine Act, which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other health care professionals)(such as physician assistants and nurse practitioners) and teaching hospitals, as well as information regarding ownership and investment interests held by physicians and their immediate family members;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analogous state, local, and foreign laws and regulations, such as state anti-kickback and false claims laws, which may apply to sales or marketing arrangements and claims involving healthcare items or services reimbursed by non-governmental third - party payors, including private insurers; state laws that require pharmaceutical companies to comply with the pharmaceutical industry’s voluntary compliance guidelines and the relevant compliance guidance promulgated by the federal government; state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that require drug manufacturers to report information related to payments and other transfers of value to physicians and other healthcare providers or marketing expenditures or drug pricing; state and local laws that require the registration of pharmaceutical sales representatives; state and local “drug takeback” laws and regulations; and state and foreign laws governing the privacy and security of health information in some circumstances, many of which differ from each other in significant ways and often are not preempted by HIPAA, thus complicating compliance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Efforts to ensure that our business arrangements will comply with applicable healthcare laws may involve substantial costs. While our interactions with healthcare professionals have been structured to comply with these laws and related guidance, it is possible that governmental and enforcement authorities will conclude that our business practices may not comply with current or future statutes, regulations or case law interpreting applicable fraud and abuse or other healthcare laws. If our operations or activities are found to be in violation of any of the laws described above or any other governmental regulations that apply to us, we may be subject to, without limitation, significant civil, criminal and administrative penalties, damages, monetary fines, disgorgement,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any sales of our product once commercialized outside the U.S. will also likely subject us to foreign equivalents of the healthcare laws mentioned above, among other foreign laws.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enacted and future legislation in the United States and other countries may affect the prices we may obtain for our product candidates and increase the difficulty and cost to commercialize our product candidates.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United States and many other countries, rising healthcare costs have been a concern for governments, patients and the health insurance sector, which has resulted in a number of changes to laws and regulations, and may result in further legislative and regulatory action regarding the healthcare and health insurance systems that could affect our ability to profitably sell any product candidates for which we have obtained marketing approval.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example, the ACA was enacted in the United States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 There have been judicial, Congressional and executive branch challenges to certain aspects of the ACA. For example, Congress considered legislation that would repeal or repeal and replace all or part of the ACA. While Congress has not passed repeal legislation, several bills affecting the implementation of certain taxes under the ACA have been signed into law. The Tax Cuts and Jobs Act of 2017 includes a provision that repealed,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 coverage and medical device tax and, effective January 1, 2021, also eliminates the health insurer tax. On June 17, 2021, the U.S. Supreme Court dismissed a challenge on procedural grounds that argued the ACA is unconstitutional in its entirety because the “individual mandate” was repealed by Congress.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such challenges and the healthcare reform measures of the Biden administration will impact the ACA and our business.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other federal health reform measures have been proposed and adopted in the United States. For example, as a result of the Budget Control Act of 2011 and subsequent legislative amendments thereto, including the Infrastructure Investment and Jobs Act, providers are subject to Medicare payment reductions of 2% per fiscal year until 2031, unless additional Congressional action is taken. Under current legislation the actual reduction in Medicare Payments will vary from 1% in 2022 to up to 3% in the fiscal year of this sequester. Further, the American Taxpayer Relief Act of 2012 reduced Medicare payments to several providers and increased the statute of limitations period for the government to recover overpayments to providers from three to five years. The Medicare Access and CHIP Reauthorization Act of 2015 ended the use of the statutory formula, also referred to as the Sustainable Growth Rate, for clinician payment and also introduced a quality payment program, or the Quality Payment Program, under which certain individual Medicare providers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will be subject to certain incentives or penalties based on new program quality standards. This Quality Payment Program provides clinicians with two ways to participate, including through the Advanced Alternative Payment Models, or APMs, and the Merit-based Incentive Payment System, or MIPS. In November 2019, CMS issued a final rule finalizing the changes to the Quality Payment Program. It is still unclear how the introduction of the Quality Payment Program will impact overall physician reimbursement under the Medicare program. Any reduction in reimbursement from Medicare or other government programs may result in a similar reduction in payments from private payors.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Also, there has been heightened governmental scrutiny recently over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for example, in July 2021, the Biden administration released an executive order, “Promoting Competition in the American Economy,” with multiple provisions aimed at prescription drugs. In response to Biden’s executive order, on September 9, 2021, the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it is likely to have a significant impact on the pharmaceutical industry.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One Big Beautiful Bill Act (“OBBBA”), which was signed into law on July 4, 2025, includes provisions that will impact the United States healthcare system in various ways. For example, the OBBBA is expected to significantly reshape the Medicaid program, including by introducing new work and eligibility requirements and changes to Medicaid payment and financing. Although the full impact of the OBBBA on the healthcare system and our business is uncertain, we may face increased costs and complexity in completing clinical development of and commercializing any product candidates for which we may receive regulatory approval, which could adversely affect our business and prospects.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combination of healthcare cost containment measures, increased health insurance costs, reduction of the number of people with health insurance coverage, as well as future legislation and regulations focused on reducing healthcare costs by reducing the cost of, or reimbursement and access to, pharmaceutical products, may limit or delay our ability to commercialize our products, generate revenue or attain profitability.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described above, the 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that additional state and federal healthcare reform measures will continue to be adopted in the future.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stringent and changing laws, regulations, rules, contractual obligations, policies and other obligations related to data privacy and security. Our actual or perceived failure to comply with such obligations could lead to regulatory investigations or regulatory investigations or actions; litigation; fines and penalties; disruptions of our business operations; reputational harm; loss of revenue or profits; loss of customers or sales; and other adverse business consequences.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ordinary course of our business, we may collect, receive, store, process, generate, use, transmit, disclose, make accessible, protect, secure, dispose of, share (collectively, processing) personal data and other sensitive data, including proprietary and confidential business data, intellectual property, trade secrets, data regarding clinical trial subjects, and sensitive third-party data. We may rely on third parties (such as service providers) for our data processing-related activities.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United States, federal, state, and local governments have enacted numerous data privacy and security laws, including data breach notification laws, personal data privacy laws, and consumer protection laws. For example, HIPAA, as amended by HITECH, imposes specific requirements relating to the privacy, security, and transmission of individually identifiable health information. Additionally, the California Consumer Privacy Act of 2018, or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California Privacy Rights Act of 2020, or CPRA, expands the CCPA’s requirements, including by adding a new right for individuals to correct their personal data and establishing a new regulatory agency to implement and enforce the law. Other states, such as Virginia and Colorado, have also passed comprehensive privacy laws, and similar laws are being considered in several other states, as well as at the federal and local levels. While these states, like the CCPA, also exempt some data processed in the context of clinical trials, these developments further complicate compliance efforts and increase legal risk and compliance costs for us and the third parties upon whom we rely. Outside the United States, an increasing number of laws, regulations, and industry standards apply to data privacy and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data. For example,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Securities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price of our stock may be volatile.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listing of our common stock on Nasdaq does not assure that a meaningful, consistent and liquid trading market currently exists or will exist in the future. 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company or our operating performance. These fluctuations could cause you to lose part or all of your investment in our common stock. Those factors that could cause fluctuations include, but are not limited to, the following:</w:t>
      </w:r>
    </w:p>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volume of fluctuations in the overall stock market from time to time;</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stock market prices and trading volumes of similar companies;</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thinly traded nature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our net loss or fluctuations in our operating results or in the expectations of securities analysts;</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our preclinical studies and clinical trials or delays in anticipated timing;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new equity securities pursuant to a future offering, including issuances of preferred stock, or sales of large blocks of our stock and sales by insiders and our institutional investors;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collaboration agreements with strategic partners or developments by our existing collaboration partners;</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acquisitions, mergers or business combinations;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developments, including announcements by competitors of new products or services or significant contracts, acquisitions, strategic partnerships, joint ventures or capital commitments;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and trends, including changes in interest rates, and other national and global conditions, including pandemics and related global economic uncertainty;</w:t>
            </w:r>
          </w:p>
        </w:tc>
      </w:tr>
    </w:tbl>
    <w:tbl>
      <w:tblPr>
        <w:tblW w:w="2661" w:type="dxa"/>
        <w:jc w:val="left"/>
        <w:tblInd w:w="0" w:type="dxa"/>
        <w:tblLayout w:type="fixed"/>
        <w:tblCellMar>
          <w:top w:w="28" w:type="dxa"/>
          <w:left w:w="28" w:type="dxa"/>
          <w:bottom w:w="28" w:type="dxa"/>
          <w:right w:w="28" w:type="dxa"/>
        </w:tblCellMar>
      </w:tblPr>
      <w:tblGrid>
        <w:gridCol w:w="124"/>
        <w:gridCol w:w="256"/>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catastrophic events;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departures of key personnel;</w:t>
            </w:r>
          </w:p>
        </w:tc>
      </w:tr>
    </w:tbl>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affecting BCM, our CDMO or any future collaborators;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product candidates or technologies, commercial relationships or other events, including the results of clinical trials, or variations in our quarterly operating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other countries, including changes in the structure of healthcare payment systems, or other positive and negative events relating to healthcare and the overall pharmaceutical and biotechnology sectors;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our common stock to maintain listing requirements on Nasdaq;</w:t>
            </w:r>
          </w:p>
        </w:tc>
      </w:tr>
    </w:tbl>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litigation to which we are a party;</w:t>
            </w:r>
          </w:p>
        </w:tc>
      </w:tr>
    </w:tbl>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 of our company or our stock price by the financial and scientific press and in online investor communities.</w:t>
            </w:r>
          </w:p>
        </w:tc>
      </w:tr>
    </w:tbl>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 in general, and the Nasdaq Capital Market, or Nasdaq, and biotechnology companies in particular, have experienced extreme price and volume fluctuations that have often been unrelated or disproportionate to the operating performance of these companies. Broad market and industry factors, including potentially worsening economic conditions, may negatively affect the market price of our common stock, regardless of our actual operating performance. 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Sales of additional equity securities may adversely affect the market price of our common stock and your rights may be reduced. Our stockholders may experience dilution in the future and it may adversely affect the market price of our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to continue to incur drug development and sale, general and administrative costs. Until such time, if ever, as we can generate substantial product revenue, we expect to fund our cash requirements through a combination of equity offerings, debt financings and potential collaboration, license and development agreements. We do not currently have a committed external source of funds, but have entered into the ATM agreement under which we may sell shares. To the extent that we sell equity securities or convertible debt securities, including under the ATM agreement, your ownership interest will be diluted, and the terms of these securities may include liquidation or other preferences that adversely affect your rights as a common stockholder. The sale or the proposed sale of substantial amounts of our common stock or other equity securities in the public markets may adversely affect the market price of our common stock.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we had 16.7 million shares of our common stock issued and outstanding. Those outstanding shares represent a minority of our authorized shares, meaning that the ownership position of the current stockholders could be diluted significantly were we to issue a large number of additional shares. In addition, as of December 31, 2025, there were outstanding options for an aggregate of approximately 1.8 million shares of common stock at a weighted average exercise price of $7.77 per share. Further, as of December 31, 2025, there were outstanding warrants for an aggregate of approximately 7.7 million shares of common stock at a weighted average exercise price of $2.62 per share. We have registered the resale of the shares issuable upon exercise of our outstanding warrants, and as a result the shares issued upon exercise will be tradable by the exercising party. Upon such registration, the holders may sell these shares in the public markets from time to time, without limitations on the timing, amount, or method of sale. If our stock price rises, the holders may exercise their warrants and options and sell a large number of shares. This could cause the market price of our common stock to decline and cause existing stockholders to experience significant further dilution.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intend to pay cash dividends.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From time to time, we may become involved in legal proceedings.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not currently a party to any material legal proceedings that we believe could have an adverse effect on our business, operating results or financial condition. However, from time to time, we may become involved in legal proceedings, including those arising in the ordinary course of doing business. For example, we may be subject to claims from our employees, consultants, vendors and other third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parties with whom we have a contractual relationship. Litigation may be necessary to defend against these claims. Even if we are successful in defending against these claims, litigation could result in substantial cost and be a distraction to our management and employees.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information technology systems or data, or those of third parties upon which we rely, are or were compromised, or are perceived to have been compromised,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ordinary course of our business, we and the third parties upon which we rely, may collect, receive, store, use, transmit, disclose, transfer, disclose, make accessible, protect, secure, dispose of, transmit, share, or otherwise process proprietary, confidential, and sensitive data, including personal data (such as health-related data regarding clinical trial subjects), intellectual property, and trade secrets.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threats, including, but not limited to, malicious code (such as viruses and worms), social engineering attacks (including through phishing attacks), malware (including as a result of advanced persistent threat intrusions), denial of service attacks (such as credential stuffing), credential harvesting, software bugs, server malfunctions, software or hardware failures, unauthorized access, natural disasters, fire, terrorism, successful breaches, personnel misconduct or error, or human or technological error, war and telecommunication and electrical failures.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particular, severe ransomware attacks are becoming increasingly prevalent and severe, and can lead to significant interruptions in our operations, loss of sensitive data, reputational harm, and diversion of funds. Extortion payments may alleviate some of the negative impact of a ransomware attack, but we may be unwilling or unable to make such payments due to, for example, applicable laws or regulations prohibiting such payments. Additionally, future pandemics could pose increased risks to our information technology systems and data if our employees are required to work from home, utilizing network connections outside our premises.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rely on third parties (such as service providers and technologies) to process sensitive information in a variety of contexts, including without limitation third-party providers of cloud-based infrastructure, encryption and authentication technology, employee email, and other functions. Our ability to monitor these third parties’ cybersecurity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Any of the previously identified or similar threats could cause a security incident or other incident during which our information technology systems or data could be compromised, which could result in unauthorized, unlawful, or accidental acquisition, modification, destruction, loss, alteration, encryption, disclosure of, or access to our data; it could also disrupt our ability (and that of third parties upon which we rely) to operate our business, including conducting our clinical trials. For example, if a compromise were to occur and cause interruptions in our operations, it could result in a material disruption of our drug development programs. Similarly,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disclosure of confidential or proprietary information, we could incur liability and the further development of our product candidates could be delayed.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expend significant resources or modify our business activities (including our clinical trial activities) in an effort to protect against the compromise of our information technology systems and data. Further, certain data privacy and security obligations may require us to implement and maintain specific security measures, industry-standard or reasonable security measures to protect our information technology systems and data. While we have implemented security measures designed to prevent our information technology systems and data from being compromised, there can be no assurance that these measures will be effective. We may be unable to detect vulnerabilities in our information technology systems because the threats against these systems change frequently, are often sophisticated, and may not be detected until after a compromise has occurred. Despite our efforts to identify and remediate vulnerabilities, if any, in our information technology systems, our efforts may not be successful. Further, we may experience delays in developing and deploying remedial measures designed to address any identified vulnerabilities.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(or a third - party upon whom we rely) experience a security incident or are perceived to have experienced a security incident, we may experience adverse consequences, including: government enforcement actions (for example, investigations, fines, penalties, audits, and inspections); additional reporting requirements and/or oversight; restrictions on processing data (including personal data); litigation (including class actions); indemnification obligations; negative publicity; reputational harm; monetary fund diversions; interruptions in our operations (including availability of data); financial loss; and other similar harms. Additionally, applicable data privacy and security obligations may require us to notify relevant stakeholders; such disclosures are costly, and the disclosures or the failure to comply with such requirements could lead to adverse consequences. Our contracts may not contain limitations of liability, and even where they do, there can be no assurance that limitations of liability in our contracts are sufficient to protect us from claims related to our data privacy and security obligations. We have cybersecurity insurance for a breach event covering expenses for notification, credit monitoring, investigation, crisis management, public relations and legal advice. We also maintain property and casualty insurance that may cover restoration of data, certain physical damage or third-party injuries caused by potential cybersecurity incidents. However, damage and claims arising from such incidents may not be covered or may exceed the amount of any insurance available. Additionally, we cannot be sure that such coverage will continue to be available on commercially reasonable terms or at all, or that such coverage will pay future claims.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required, pursuant to Section 404 of the Sarbanes-Oxley Act, or Section 404, to furnish a report by management on, among other things, the effectiveness of our internal control over financial reporting. We are also required to disclose significant changes made in our internal control procedures on a quarterly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comply with Section 404, we have engaged in the costly and challenging process of compiling the system and processing documentation necessary to perform the evaluation needed to comply with Section 404. Our compliance with Section 404 requires that we incur substantial professional fees and expend significant management efforts,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use net operating losses and certain other tax attributes to offset future taxable income may be subject to limitation.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net operating loss, or NOL, carryforwards could expire unused and be unavailable to offset future income tax liabilities because of their limited duration or because of restrictions under U.S. tax law. Our federal NOLs generated in tax years beginning before January 1, 2018, are permitted to be carried forward for only 20 years under applicable U.S. tax law. Our federal NOLs generated in tax years beginning after December 31, 2017, may be carried forward indefinitely, but the deductibility of such federal NOLs is limited to 80% of taxable income. It is uncertain if and to what extent various states will conform to federal tax law.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under Section 382 and Section 383 of the Internal Revenue Code of 1986, as amended, or, the Code, if a corporation undergoes an “ownership change,” its ability to use its pre-change NOL carryforwards and other pre-change tax attributes (such as research tax credits) to offset its post-change income may be limited. A Section 382 “ownership change” generally occurs if one or more stockholders or groups of stockholders who own at least 5% of our stock increase their ownership by more than 50 percentage points (by value) over their lowest ownership percentage over a rolling three-year period. We may have experienced ownership changes in the past and may experience ownership changes in the future as a result of shifts in our stock ownership (some of which are outside our control). As a result, if we earn net taxable income, our ability to use our pre-change NOLs to offset such taxable income may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Consequently, even if we achieve profitability, we may not be able to utilize a material portion of our net operating loss carryforwards and certain other tax attributes, which could have a material adverse effect on cash flow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Catastrophic events may disrupt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a major hurricane or other serious weather event or catastrophic event such as fire, power loss, cyberattack, war, terrorist attack or epidemic or pandemic that impacts the facilities of any third parties on which we may rely, we may be unable to continue our operations and may experience delays in our manufacturing process and shipment of clinical supply to trial sites or interruptions in our clinical trials and research activities, all of which could delay our development plans and materially harm our business,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Our business and operations could be adversely affected by the effects of health epidemics, including pandemics.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business and operations could be adversely affected by the effects of health epidemics, as was recently experienced in connection with the COVID-19 virus, which was declared by the World Health Organization as a global pandemic.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Remote work policies, quarantines, shelter-in-place and similar government orders, shutdowns or other restrictions on the conduct of business operations related to the pandemics or other health epidemics may negatively impact productivity. For instance, the COVID-19 pandemic disrupted our ongoing research and development activities and delayed certain of our clinical programs and timelines. In addition, although our employees are accustomed to working remotely, changes in internal controls due to remote work arrangements may result in control deficiencies in the preparation of our financial reports, which could be material. Such orders may also impact personnel at third-party manufacturing facilities in the United States and other countries, or the availability or cost of materials, which would disrupt our supply chain and could affect our ability to conduct ongoing and planned clinical trials and preparatory activities.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Health epidemics may also affect the conduct of our clinical trials. We previously experienced temporary delays in enrollment due to the COVID-19 pandemic and in satisfying certain FDA requirements to move forward with the trial, which together resulted in a delay in our overall timelines for this trial. Our ongoing and future clinical trials may also be affected by future pandemics. Patient enrollment and clinical site initiation, while ongoing, may be delayed due to prioritization of hospital resources toward pandemics or other health emergencies, if they arise. Some patients may not be able to comply with clinical trial protocols if quarantines impede patient movement or interrupt healthcare services. Similarly, we may be unable to recruit and retain patients and principal investigators and site staff who, as healthcare providers, may have heightened exposure to health epidemics, which would adversely impact clinical trial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extent to which future pandemics impact our business and operations, including our clinical development and regulatory efforts, will depend on future developments that are highly uncertain and cannot be predicted with confidence, such as the continued geographic spread of the disease, the duration and effect of any future business disruptions in the United States and other countries to contain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treat patients with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 and may also have the effect of heightening many of the other risks and uncertainties described in this “Risk Factors” section.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Unfavorable global political or economic conditions could adversely affect our business, financial condition or results of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results of operations could be adversely affected by general conditions in the global economy and in the global financial markets. For example, in recent years the COVID-19 pandemic, decades-high inflation and concerns about an economic recession in the United States or other major markets resulted in widespread unemployment, economic slowdown and extreme volatility in the capital markets. The Federal Reserve recently raised interest rates multiple times in response to concerns about inflation and is expected to continue to raise rates. Higher interest rates, coupled with reduced government spending and volatility in financial markets, including with respect to foreign exchange, may increase economic uncertainty. A severe or prolonged economic downturn, such as the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 addition, military conflicts such as between Russia and Ukraine could disrupt or otherwise adversely impact our operations and those of third parties upon which we rely, although we have not experienced any such disruption to date. Related sanctions, export controls or other actions have been or may in the future be initiated by nations including the United States, the European Union or Russia (e.g., potential cyberattacks, disruption of energy flows, etc.), which could adversely affect our business and/or our supply chain, our CROs, CMOs and other third parties with whom we conduct business. Any of the foregoing could harm our business and we cannot anticipate all of the ways in which the current economic climate and financial market conditions could adversely impact our business.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tax laws or regulations could materially adversely affect our company.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tax laws or regulations could be enacted at any time, and existing tax laws or regulations could be interpreted, modified or applied in a manner that is adverse to us, which could adversely affect our business and financial condition. For instance,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65" w:name="ITEM1BUNRESOLVEDSTAFFCOMMENTS_521175"/>
      <w:bookmarkStart w:id="66" w:name="_37f3314d_c20c_4a48_b8fa_963a22af997f"/>
      <w:bookmarkEnd w:id="65"/>
      <w:bookmarkEnd w:id="66"/>
      <w:r>
        <w:rPr>
          <w:rFonts w:ascii="Times New Roman;Times;serif" w:hAnsi="Times New Roman;Times;serif"/>
          <w:b/>
          <w:sz w:val="20"/>
        </w:rPr>
        <w:t>ITEM 1B. UNRESOLVED STAFF COMMENTS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bookmarkStart w:id="67" w:name="ITEM1CCYBERSECURITY_814205"/>
      <w:bookmarkStart w:id="68" w:name="_b259895d_c971_4e90_9912_2b46d6f62e95"/>
      <w:bookmarkEnd w:id="67"/>
      <w:bookmarkEnd w:id="68"/>
      <w:r>
        <w:rPr>
          <w:rFonts w:ascii="Times New Roman;Times;serif" w:hAnsi="Times New Roman;Times;serif"/>
          <w:b/>
          <w:sz w:val="20"/>
        </w:rPr>
        <w:t>ITEM 1C. CYBERSECURITY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operate in the biotechnology sector, which is subject to various cybersecurity risks that could adversely affect our business, financial condition, and results of operations, including intellectual property theft; fraud; extortion; harm to employees or customers; violation of privacy laws and other litigation and legal risk; and reputational risk. We have implemented a risk-based approach to identify and assess the cybersecurity threats that could affect our business and information systems. Our cybersecurity program is aligned with industry standards and best practices, such as the National Institute of Standards and Technology (“NIST”) Cybersecurity Framework. We expect the third-party vendors that provide our IT services to use various tools and methodologies to manage cybersecurity risk and to monitor and evaluate our cybersecurity posture and performance on an ongoing basis through regular vulnerability scans, penetration tests and threat intelligence feeds. We expect to require third-party service providers with access to personal, confidential or proprietary information to implement and maintain cybersecurity practices consistent with applicable legal standards and industry best practices.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depends on the availability, reliability, and security of our information systems, networks, data, and intellectual property. Any disruption, compromise, or breach of our systems or data due to a cybersecurity threat or incident could adversely affect our operations, customer service, product development, and competitive position. They may also result in a breach of our contractual obligations or legal duties to protect the privacy and confidentiality of our stakeholders. Such a breach could expose us to business interruption, lost revenue, ransom payments, remediation costs, liabilities to affected parties, cybersecurity protection costs, lost assets, litigation, regulatory scrutiny and actions, reputational harm, customer dissatisfaction, harm to our vendor relationships, or loss of market share.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Cybersecurity Governance and Oversight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addresses our cybersecurity risk management as part of its general oversight function.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cybersecurity risk assessment and management processes are implemented and maintained by various members of our management team, third party service providers and other employees, who we believe have a combination of relevant expertise, experience, education and training.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members of our management team are responsible for hiring appropriate personnel and third-party IT service providers, helping to integrate cybersecurity risk considerations into our overall risk management strategy, communicating key priorities to relevant personnel, approving budgets, helping prepare for cybersecurity incidents, approving cybersecurity processes, and reviewing security assessments and other security-related reports.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cybersecurity incident response processes are designed to escalate certain cybersecurity incidents to members of management depending on the circumstances, including in some cases to our executive team. Our cybersecurity incident management team, and other individuals as needed, work to help us mitigate and remediate cybersecurity incidents of which we are notified. In addition, our incident response processes include a procedure for reporting certain cybersecurity incidents to the board of directors.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board of directors receives regular reports from management concerning our cybersecurity risk management program. The board also receives various summaries and/or presentations related to cybersecurity threats, risks and mitigation.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9" w:name="ITEM2PROPERTIES_338462"/>
      <w:bookmarkStart w:id="70" w:name="_4005a772_941c_49f6_92cc_faf53a1007fd"/>
      <w:bookmarkEnd w:id="69"/>
      <w:bookmarkEnd w:id="70"/>
      <w:r>
        <w:rPr>
          <w:rFonts w:ascii="Times New Roman;Times;serif" w:hAnsi="Times New Roman;Times;serif"/>
          <w:b/>
          <w:sz w:val="20"/>
        </w:rPr>
        <w:t>ITEM 2. PROPERTIES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do not own any real estate or other properties. We utilize office space at 2450 Holcombe Blvd, TMC Partners Office 1.311, Houston, TX 77021, which is also our principal business office.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1" w:name="ITEM3LEGALPROCEEDINGS_282506"/>
      <w:bookmarkStart w:id="72" w:name="_0c6973d6_d034_40c1_a24a_2020f83bc0c5"/>
      <w:bookmarkEnd w:id="71"/>
      <w:bookmarkEnd w:id="72"/>
      <w:r>
        <w:rPr>
          <w:rFonts w:ascii="Times New Roman;Times;serif" w:hAnsi="Times New Roman;Times;serif"/>
          <w:b/>
          <w:sz w:val="20"/>
        </w:rPr>
        <w:t>ITEM 3.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including those arising in the ordinary course of our business. We are not currently a party to any material legal proceedings that we believe could have an adverse effect on our business, operating results or financial condition.</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3" w:name="ITEM4MINESAFETYDISCLOSURE_456568"/>
      <w:bookmarkStart w:id="74" w:name="_6886ed40_8bc6_48f0_99f2_fc0b647e57b7"/>
      <w:bookmarkEnd w:id="73"/>
      <w:bookmarkEnd w:id="74"/>
      <w:r>
        <w:rPr>
          <w:rFonts w:ascii="Times New Roman;Times;serif" w:hAnsi="Times New Roman;Times;serif"/>
          <w:b/>
          <w:sz w:val="20"/>
        </w:rPr>
        <w:t>ITEM 4. MINE SAFETY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5" w:name="PARTII_862782"/>
      <w:bookmarkStart w:id="76" w:name="_08b73108_2358_4ce2_8c7b_b0e14dd7916f"/>
      <w:bookmarkEnd w:id="75"/>
      <w:bookmarkEnd w:id="76"/>
      <w:r>
        <w:rPr>
          <w:rFonts w:ascii="Times New Roman;Times;serif" w:hAnsi="Times New Roman;Times;serif"/>
          <w:b/>
          <w:sz w:val="20"/>
        </w:rPr>
        <w:t>PART II</w:t>
      </w:r>
    </w:p>
    <w:p>
      <w:pPr>
        <w:pStyle w:val="TextBody"/>
        <w:bidi w:val="0"/>
        <w:spacing w:before="0" w:after="240"/>
        <w:ind w:left="0" w:right="0" w:hanging="0"/>
        <w:jc w:val="both"/>
        <w:rPr>
          <w:rFonts w:ascii="Times New Roman;Times;serif" w:hAnsi="Times New Roman;Times;serif"/>
          <w:b/>
          <w:sz w:val="20"/>
        </w:rPr>
      </w:pPr>
      <w:bookmarkStart w:id="77" w:name="ITEM5MARKETFORREGISTRANTSCOMMONEQUITYREL"/>
      <w:bookmarkEnd w:id="77"/>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common stock is listed for trading on the Nasdaq Capital Market under the symbol “MRKR”. As of March 16, 2026, we had 39 stockholders of record, whom are holding shares. The price of our common stock on March 16, 2026 was $1.41 per share.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dividends have been declared or paid on our common stock. We have incurred recurring losses and do not currently intend to pay any cash dividends in the foreseeable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Issuer Repurchase Of Equity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did not repurchase any equity securities.</w:t>
      </w:r>
    </w:p>
    <w:p>
      <w:pPr>
        <w:pStyle w:val="TextBody"/>
        <w:bidi w:val="0"/>
        <w:spacing w:before="0" w:after="0"/>
        <w:ind w:left="0" w:right="0" w:hanging="0"/>
        <w:jc w:val="left"/>
        <w:rPr>
          <w:rFonts w:ascii="Times New Roman;Times;serif" w:hAnsi="Times New Roman;Times;serif"/>
          <w:sz w:val="20"/>
        </w:rPr>
      </w:pPr>
      <w:bookmarkStart w:id="78" w:name="ITEM6RESERVED"/>
      <w:bookmarkStart w:id="79" w:name="_6c23898e_3bb1_42ef_b852_3c243ec032ca"/>
      <w:bookmarkEnd w:id="78"/>
      <w:bookmarkEnd w:id="79"/>
      <w:r>
        <w:rPr>
          <w:rFonts w:ascii="Times New Roman;Times;serif" w:hAnsi="Times New Roman;Times;serif"/>
          <w:b/>
          <w:sz w:val="20"/>
        </w:rPr>
        <w:t>ITEM 6. [RESERVED]</w:t>
      </w:r>
      <w:r>
        <w:rPr>
          <w:rFonts w:ascii="Times New Roman;Times;serif" w:hAnsi="Times New Roman;Times;serif"/>
          <w:sz w:val="20"/>
        </w:rPr>
        <w:t>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80" w:name="ITEM7MANAGEMENTSDISCUSSIONANDANALYSISOFF"/>
      <w:bookmarkStart w:id="81" w:name="_3c42d5ac_fd53_48cb_a0ed_407d86a8be84"/>
      <w:bookmarkEnd w:id="80"/>
      <w:bookmarkEnd w:id="81"/>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discussion of our financial condition, changes in financial condition, plan of operations and results of operations should be read in conjunction with (i) our audited consolidated financial statements as of December 31, 2025 and December 31, 2024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clinical-stage immuno-oncology company specializing in the development and commercialization of novel T cell-based immunotherapies for the treatment of hematological malignancies and solid tumor indications. Harnessing millions of years of immunologic evolution, Marker’s multi antigen recognizing (“MAR”)-T cell technology is designed to recognize and kill highly heterogeneous tumors without the need for genetic modifications. This approach selectively expands natural tumor-specific T cells from a patient’s/donor’s blood that are capable of recognizing a broad range of tumor associated antigens, or TAAs. Unlike other T cell therapies, MAR-T cells are able to recognize hundreds of different epitopes within up to six tumor-specific antigens to produce broad spectrum anti-tumor activity. Targeting multiple antigens simultaneously exploits the natural capacity of T cells to recognize and kill tumor targets via native T cell receptors (“TCR”), while limiting tumor adaptation/escape by antigen-negative selection or antigen down-regulation. When infused into a patient with cancer, the MAR-T cells are designed to kill cancer cells expressing the TAA and potentially recruit the patient’s immune system to participate in the cancer killing process.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licensed the underlying technology for MAR-T cell therapy from Baylor College of Medicine, or BCM, in March 2018. BCM had utilized the therapy in seven exploratory clinical trials. In these studies, BCM treated over 150 patients suffering from a variety of cancers including lymphoma, multiple myeloma, acute myeloid leukemia, or AML, acute lymphoblastic leukemia, or ALL, pancreatic cancer, breast cancer and various sarcomas. In those studies, BCM saw evidence of clinical benefit, expansion of infused cells, and decreased toxicity compared to other cellular therapies.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anticipate to continue to advance two product candidates for 3 clinical indications as part of our MAR-T cell program for:</w:t>
      </w:r>
    </w:p>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Autologous MAR-T cell product for the treatment of lymphoma and pancreatic cancer (MT-601)</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Off-the-Shelf (“OTS”) product in various indications (e.g., MT-401-OTS in AML or MDS)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genetically engineer our MAR-T cell therapies and we believe that our product candidates are superior to T cells engineered with chimeric antigen receptors, or CAR-T, for several reasons including:</w:t>
      </w:r>
    </w:p>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Multiple targets → enhanced tumoricidal effect→ minimized tumor immune escape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safety → no treatment-related side effects, including immune effector cell-associated neurotoxicity syndrome (ICANS) or other severe adverse effects (SAEs), were attributed to the use of MAR-T cell therapies to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Non-genetically engineered T cell products → selective expansion of tumor-specific T cells from a patient’s or donor’s blood capable of recognizing a broad range of tumor antigens→ no risk of mutagenesis and reduced manufacturing complexity → lower cost</w:t>
            </w:r>
          </w:p>
        </w:tc>
      </w:tr>
    </w:tbl>
    <w:p>
      <w:pPr>
        <w:pStyle w:val="TextBody"/>
        <w:bidi w:val="0"/>
        <w:spacing w:before="0" w:after="240"/>
        <w:ind w:left="0" w:right="0" w:hanging="0"/>
        <w:jc w:val="center"/>
        <w:rPr/>
      </w:pPr>
      <w:r>
        <w:rPr/>
        <w:drawing>
          <wp:inline distT="0" distB="0" distL="0" distR="0">
            <wp:extent cx="6285230" cy="15335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6285230" cy="1533525"/>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these reasons, we believe our endogenous T cell receptor-based therapies may provide meaningful clinical benefit and safety to patients with both hematological and solid tumors.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simplicity of our manufacturing process allows additional modifications to expand MAR-T cell recognition of cancer targets. For example, we are assessing the potential of combining MAR-T cell products with other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2025, we issued a press release providing an update on the progress and clinical observations from the Phase 1 APOLLO study, with a data cutoff date of June 2025. Our Phase 1 APOLLO study is investigating MT-601, a MAR-T cell product, in patients with lymphoma who have relapsed after anti-CD19 chimeric antigen receptor (CAR) T cell therapy or for whom anti-CD19 CAR-T cells are not an option. In this update, clinical data was available for a total of 24 B-cell lymphoma patients from 7 clinical sites across the United States, including 15 patients with Non-Hodgkin Lymphoma (“NHL”) and 9 patients with Hodgkin Lymphoma (“HL”). At the time of the data cutoff, 12 NHL and 9 HL patients have been assessed. Study participants showed objective responses and a favorable safety profile with and without lymphodepletion.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Pipeline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clinical-stage pipeline is set forth below:</w:t>
      </w:r>
    </w:p>
    <w:p>
      <w:pPr>
        <w:pStyle w:val="TextBody"/>
        <w:bidi w:val="0"/>
        <w:spacing w:before="0" w:after="240"/>
        <w:ind w:left="0" w:right="0" w:hanging="0"/>
        <w:jc w:val="center"/>
        <w:rPr/>
      </w:pPr>
      <w:r>
        <w:rPr/>
        <w:drawing>
          <wp:inline distT="0" distB="0" distL="0" distR="0">
            <wp:extent cx="6038215" cy="299783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6038215" cy="2997835"/>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manufacturing process was originally developed at Baylor College of Medicine, where we initially conducted our clinical trials. We continue to contract and collaborate with BCM and others to perform a wide variety of services to ensure the continuation of our research and development efforts, with the goal of optimizing our manufacturing process, product quality and commercial scalability.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22, 2024, we entered into a Master Services Agreement for Product Supply (the “MSA”) with Cell Ready for the provision of various products and services by Cell Ready pursuant to work orders that may be entered into from time to time. Cell Ready, which is owned by one of our former directors, Mr. John Wilson, is a contract development and manufacturing organization (CDMO). The MSA contains customary representations, warranties and indemnification provision. The initial term of the MSA is three years and may be extended upon the mutual written agreement of the parties. On March 27, 2025, we mutually agreed with Cell Ready to terminate the MSA. In connection therewith, we and Cell Ready entered into a settlement and release agreement pursuant to which we paid Cell Ready approximately $453,000 and we and Cell Ready provided one another mutual releases of all claims associated with any and all agreements between Marker and Cell Ready.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Additionally, BCM continues to supply us with products, as we continue our clinical trials. Furthermore, in anticipation of the commencement of our larger pivotal trial for Lymphoma in 2026, as well as the eventual need for commercial scale production, we intend to evaluate and qualify additional potential third-party manufacturing partners to provide potential multiple sources of clinical and commercial supply. We currently are in discussions with a number of CDMO candidates and anticipate that we will select a partner organization and commence the qualification and technology transfer process later this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However, there is no guarantee that we will or have properly estimated our required manufacturing capacities or that the third parties on which we rely to manufacture our products will be able or willing to perform on our proposed timelines or to meet our manufacturing demands, if at all. If any of our third-party vendors experience disruptions, or otherwise cease or substantially reduce the amount of products they are willing to supply us, our business and operations could be adversely affected. See “Risk Factors”.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16, 2025, Company entered into a Statement of Work (the “SOW”) with Cellipont Bioservices, a leading cell therapy Contract Development and Manufacturing Organization (“CDMO”), for the manufacturing of MT-601, the Company’s lead MAR-T cell product candidate. Pursuant to the SOW, Cellipont will provide technology transfer and cGMP manufacturing services to support the scale-up and production of MT-601 for the Company’s APOLLO study.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Between July 17 and 21, 2025, the Company sold 1,624,075 shares of common stock pursuant to our ATM Agreement, with H.C. Wainwright &amp; Co. LLC, for net proceeds of $4.5 million, after deducting agent commissions, at an average price per share of $2.87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26, 2025, the Company sold 3,734,217 shares of common stock pursuant to the ATM Agreement with H.C. Wainwright &amp; Co., LLC for net proceeds of $5.4 million, after deducting agent commissions, at an average price of $1.48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October 6, 2025, the Company announced that the first patient has been treated in the Off-the-Shelf (“OTS”) program, with encouraging preliminary safety data. The OTS program has the potential to provide a fast treatment option for patients with rapidly progressing diseases. The OTS product will be initially investigated in patients with acute myeloid leukemia (“AML”) or myelodysplastic syndromes (“MDS”), with the potential to be expanded to other indications.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November 1, 2025, Kathryn Penkus Corzo joined the Company’s Board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research and development expenses are primarily costs associated with our clinical trials, including compensation, share-based compensation expense and benefits for employees and selected consultants, manufacturing expenses and fees paid to third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Clinical costs are expensed as incurred. Costs and timing of clinical trials and development of our product candidates will depend on a variety of factors that include, but are not limited to, the following:</w:t>
      </w:r>
    </w:p>
    <w:tbl>
      <w:tblPr>
        <w:tblW w:w="2946" w:type="dxa"/>
        <w:jc w:val="left"/>
        <w:tblInd w:w="0" w:type="dxa"/>
        <w:tblLayout w:type="fixed"/>
        <w:tblCellMar>
          <w:top w:w="28" w:type="dxa"/>
          <w:left w:w="28" w:type="dxa"/>
          <w:bottom w:w="28" w:type="dxa"/>
          <w:right w:w="28" w:type="dxa"/>
        </w:tblCellMar>
      </w:tblPr>
      <w:tblGrid>
        <w:gridCol w:w="124"/>
        <w:gridCol w:w="256"/>
        <w:gridCol w:w="2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patient clinical trial costs;</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participate in the clinical trials;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sites included in the clinical trials;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eligible patients;</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that patients receive;</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drop-out or discontinuation rates of patients;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additional safety monitoring or other studies requested by regulatory agencies;</w:t>
            </w:r>
          </w:p>
        </w:tc>
      </w:tr>
    </w:tbl>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product candidates; and</w:t>
            </w:r>
          </w:p>
        </w:tc>
      </w:tr>
    </w:tbl>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successfully manufacture patient doses.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the potential for success of each product candidate will depend on numerous factors, including clinical trial outcomes, acceptance by regulatory authorities, competition, manufacturing capability and commercial viability. We determine which programs to pursue and how much to fund each program in response to ongoing scientific assessments, competitive developments, clinical trial results, as well as an assessment of each product candidate’s commercial potential. We anticipate our clinical trial costs will continue to increase over the next several years due to increased spending on the clinical development and manufacturing of our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consist primarily of personnel costs, including share-based compensation, legal fees relating to patent and corporate matters, insurance costs, consulting and professional fees, audit and investor relations.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recognized ($15,156) and $49,953 in state tax (benefit) expense for the years ended December 31, 2025 and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(expense), net consists of interest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for the Years Ended December 31, 2025 and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continuing operations (rounded to the thousands except for per share amounts) for the years ended December 31, 2025 and 2024, together with the changes to those items:</w:t>
      </w:r>
    </w:p>
    <w:p>
      <w:pPr>
        <w:pStyle w:val="TextBody"/>
        <w:bidi w:val="0"/>
        <w:spacing w:before="0" w:after="0"/>
        <w:ind w:left="0" w:right="0" w:hanging="0"/>
        <w:jc w:val="left"/>
        <w:rPr/>
      </w:pPr>
      <w:r>
        <w:rPr/>
        <w:t>​</w:t>
      </w:r>
    </w:p>
    <w:tbl>
      <w:tblPr>
        <w:tblW w:w="10063" w:type="dxa"/>
        <w:jc w:val="left"/>
        <w:tblInd w:w="0" w:type="dxa"/>
        <w:tblLayout w:type="fixed"/>
        <w:tblCellMar>
          <w:top w:w="0" w:type="dxa"/>
          <w:left w:w="0" w:type="dxa"/>
          <w:bottom w:w="0" w:type="dxa"/>
          <w:right w:w="0" w:type="dxa"/>
        </w:tblCellMar>
      </w:tblPr>
      <w:tblGrid>
        <w:gridCol w:w="3901"/>
        <w:gridCol w:w="346"/>
        <w:gridCol w:w="211"/>
        <w:gridCol w:w="1156"/>
        <w:gridCol w:w="346"/>
        <w:gridCol w:w="211"/>
        <w:gridCol w:w="1156"/>
        <w:gridCol w:w="346"/>
        <w:gridCol w:w="211"/>
        <w:gridCol w:w="1051"/>
        <w:gridCol w:w="346"/>
        <w:gridCol w:w="436"/>
        <w:gridCol w:w="34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477135" cy="175260"/>
                      <wp:effectExtent l="0" t="0" r="0" b="0"/>
                      <wp:wrapNone/>
                      <wp:docPr id="14" name="Frame5"/>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34060" cy="175260"/>
                      <wp:effectExtent l="0" t="0" r="0" b="0"/>
                      <wp:wrapNone/>
                      <wp:docPr id="17" name="Frame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34060" cy="175260"/>
                      <wp:effectExtent l="0" t="0" r="0" b="0"/>
                      <wp:wrapNone/>
                      <wp:docPr id="20" name="Frame1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7385" cy="175260"/>
                      <wp:effectExtent l="0" t="0" r="0" b="0"/>
                      <wp:wrapNone/>
                      <wp:docPr id="23" name="Frame1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76860" cy="175260"/>
                      <wp:effectExtent l="0" t="0" r="0" b="0"/>
                      <wp:wrapNone/>
                      <wp:docPr id="25" name="Frame1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8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 ​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20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before="0" w:after="0"/>
              <w:ind w:left="0" w:right="0" w:hanging="0"/>
              <w:jc w:val="left"/>
              <w:rPr/>
            </w:pPr>
            <w:r>
              <w:rPr/>
              <w:t> </w:t>
            </w:r>
          </w:p>
        </w:tc>
      </w:tr>
      <w:tr>
        <w:trPr/>
        <w:tc>
          <w:tcPr>
            <w:tcW w:w="39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3,546,669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6,591,080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(3,044,411)</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3,546,669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6,591,080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(3,044,411)</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11,799,154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13,467,845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(1,668,691)</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4,184,806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4,241,607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(56,801)</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early termination of vendor agreement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453,135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453,135</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16,437,095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17,709,452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(1,272,357)</w:t>
            </w:r>
          </w:p>
        </w:tc>
        <w:tc>
          <w:tcPr>
            <w:tcW w:w="34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(12,890,426)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(11,118,372)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(1,772,054)</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594,206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437,010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157,196</w:t>
            </w:r>
          </w:p>
        </w:tc>
        <w:tc>
          <w:tcPr>
            <w:tcW w:w="34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117,444</w:t>
            </w:r>
          </w:p>
        </w:tc>
        <w:tc>
          <w:tcPr>
            <w:tcW w:w="34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4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(12,178,776)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(10,681,362)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(1,497,414)</w:t>
            </w:r>
          </w:p>
        </w:tc>
        <w:tc>
          <w:tcPr>
            <w:tcW w:w="346" w:type="dxa"/>
            <w:tcBorders/>
            <w:shd w:fill="CCEEFF" w:val="clear"/>
            <w:vAlign w:val="center"/>
          </w:tcPr>
          <w:p>
            <w:pPr>
              <w:pStyle w:val="TableContents"/>
              <w:bidi w:val="0"/>
              <w:spacing w:before="0" w:after="0"/>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Revenue </w:t>
      </w:r>
    </w:p>
    <w:p>
      <w:pPr>
        <w:pStyle w:val="TextBody"/>
        <w:bidi w:val="0"/>
        <w:spacing w:before="120" w:after="240"/>
        <w:ind w:left="0" w:right="0" w:hanging="0"/>
        <w:jc w:val="both"/>
        <w:rPr>
          <w:rFonts w:ascii="Times New Roman;Times;serif" w:hAnsi="Times New Roman;Times;serif"/>
          <w:sz w:val="20"/>
        </w:rPr>
      </w:pPr>
      <w:r>
        <w:rPr>
          <w:rFonts w:ascii="Times New Roman;Times;serif" w:hAnsi="Times New Roman;Times;serif"/>
          <w:sz w:val="20"/>
        </w:rPr>
        <w:t>We did not generate any revenue during the years ended December 31, 2025 and 2024, respectively, from the sales or licensing of our product candidates.</w:t>
      </w:r>
    </w:p>
    <w:p>
      <w:pPr>
        <w:pStyle w:val="TextBody"/>
        <w:bidi w:val="0"/>
        <w:spacing w:before="12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the Cancer Prevention and Research Institute of Texas (“CPRIT”), to support the clinical investigation of MT-401 as an Off-the-Shelf (“OTS”) product in patients with Acute Myeloid Leukemia (“AML”) (the “CPRIT AML Grant”).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2022, we received notice from the FDA that we had been awarded a $2.0 million grant from the FDA’s Orphan Products Grant program to support the clinical investigation of MT-401 for the treatment of AML (the “FDA Grant”). </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2023, we received notice of a $2.0 million grant from the National Institutes of Health (“NIH”) Small Business Innovation Research (“SBIR”) program to support the development and investigation of MT-401 for the treatment of AML patients following standard-of-care therapy with hypomethylating agents (the “SBIR AML Grant”).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June 2024, we received notice of a $2.0 million grant over a 2-year period from the National Institutes of Health SBIR program to support control over tumor immune escape in pancreatic cancer using a dual T cell product strategy (the “Decoy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2024, we received notice of an additional $2.0 million grant from the NIH SBIR program to support the clinical investigation of MT-601 in patients with non-Hodgkin’s lymphoma (“NHL”) who have relapsed following anti-CD19 chimeric antigen receptor (“CAR”) T cell therapy (the “SBIR NHL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2024, we received another $2.0 million grant from the National Institutes of Health SBIR Program to support the advancement of MT-601 in patients with pancreatic cancer (the “PANACEA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we received notice an additional $9.5 million grant from CPRIT to support the clinical investigation of MT-601 in patients with metastatic pancreatic cancer (the “CPRIT Pancreatic Grant”).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grant income recorded for the years ended December 31, 2025 and 2024, by grant:</w:t>
      </w:r>
    </w:p>
    <w:p>
      <w:pPr>
        <w:pStyle w:val="TextBody"/>
        <w:bidi w:val="0"/>
        <w:spacing w:before="0" w:after="240"/>
        <w:ind w:left="0" w:right="0" w:hanging="0"/>
        <w:jc w:val="both"/>
        <w:rPr/>
      </w:pPr>
      <w:r>
        <w:rPr/>
        <w:t>​</w:t>
      </w:r>
    </w:p>
    <w:tbl>
      <w:tblPr>
        <w:tblW w:w="5212" w:type="dxa"/>
        <w:jc w:val="left"/>
        <w:tblInd w:w="0" w:type="dxa"/>
        <w:tblLayout w:type="fixed"/>
        <w:tblCellMar>
          <w:top w:w="0" w:type="dxa"/>
          <w:left w:w="0" w:type="dxa"/>
          <w:bottom w:w="0" w:type="dxa"/>
          <w:right w:w="0" w:type="dxa"/>
        </w:tblCellMar>
      </w:tblPr>
      <w:tblGrid>
        <w:gridCol w:w="2131"/>
        <w:gridCol w:w="346"/>
        <w:gridCol w:w="211"/>
        <w:gridCol w:w="931"/>
        <w:gridCol w:w="346"/>
        <w:gridCol w:w="211"/>
        <w:gridCol w:w="103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53185" cy="175260"/>
                      <wp:effectExtent l="0" t="0" r="0" b="0"/>
                      <wp:wrapNone/>
                      <wp:docPr id="27" name="Frame18"/>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91185" cy="175260"/>
                      <wp:effectExtent l="0" t="0" r="0" b="0"/>
                      <wp:wrapNone/>
                      <wp:docPr id="30" name="Frame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57860" cy="175260"/>
                      <wp:effectExtent l="0" t="0" r="0" b="0"/>
                      <wp:wrapNone/>
                      <wp:docPr id="33" name="Frame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7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2131"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CPRIT AML Grant</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900,014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4,411,149</w:t>
            </w:r>
          </w:p>
        </w:tc>
      </w:tr>
      <w:tr>
        <w:trPr/>
        <w:tc>
          <w:tcPr>
            <w:tcW w:w="21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FDA Grant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519,750</w:t>
            </w:r>
          </w:p>
        </w:tc>
      </w:tr>
      <w:tr>
        <w:trPr/>
        <w:tc>
          <w:tcPr>
            <w:tcW w:w="21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SBIR AML Grant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472,208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982,182</w:t>
            </w:r>
          </w:p>
        </w:tc>
      </w:tr>
      <w:tr>
        <w:trPr/>
        <w:tc>
          <w:tcPr>
            <w:tcW w:w="21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Decoy Grant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391,305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5,822</w:t>
            </w:r>
          </w:p>
        </w:tc>
      </w:tr>
      <w:tr>
        <w:trPr/>
        <w:tc>
          <w:tcPr>
            <w:tcW w:w="21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SBIR NHL Grant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665,000</w:t>
            </w:r>
          </w:p>
        </w:tc>
      </w:tr>
      <w:tr>
        <w:trPr/>
        <w:tc>
          <w:tcPr>
            <w:tcW w:w="21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PANACEA Grant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425,670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7,177</w:t>
            </w:r>
          </w:p>
        </w:tc>
      </w:tr>
      <w:tr>
        <w:trPr/>
        <w:tc>
          <w:tcPr>
            <w:tcW w:w="2131" w:type="dxa"/>
            <w:tcBorders/>
            <w:vAlign w:val="center"/>
          </w:tcPr>
          <w:p>
            <w:pPr>
              <w:pStyle w:val="TableContents"/>
              <w:pBdr/>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CPRIT Pancreatic Grant</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573,994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1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grant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3,546,669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6,591,080</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 Both CPRIT grants are subject to certain revenue - sharing arrangements, as per the grant agreements (see Note 10).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expenses incurred during the fiscal year ended December 31, 2025 were $16.4 million compared to $17.7 million in the prior year. Significant changes in operating expenses are outlined as follows: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or clinical trial costs decreased by 12% to $11.8 million for the year ended December 31, 2025, compared to $13.5 million for the year ended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of $1.7 million in 2025 was primarily attributable to the following:</w:t>
      </w:r>
    </w:p>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of $3.2 million in clinical trial expenses, primarily related to the AML study, offset by</w:t>
            </w:r>
          </w:p>
        </w:tc>
      </w:tr>
    </w:tbl>
    <w:tbl>
      <w:tblPr>
        <w:tblW w:w="9996" w:type="dxa"/>
        <w:jc w:val="left"/>
        <w:tblInd w:w="0" w:type="dxa"/>
        <w:tblLayout w:type="fixed"/>
        <w:tblCellMar>
          <w:top w:w="28" w:type="dxa"/>
          <w:left w:w="28" w:type="dxa"/>
          <w:bottom w:w="28" w:type="dxa"/>
          <w:right w:w="28" w:type="dxa"/>
        </w:tblCellMar>
      </w:tblPr>
      <w:tblGrid>
        <w:gridCol w:w="124"/>
        <w:gridCol w:w="256"/>
        <w:gridCol w:w="9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 of $1.4 million in clinical consulting expenses, process development costs, and other clinical expenses, and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$0.1 million in headcount-related expenses, including stock-based compensation expense</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decreased by 1% to $4.2 million for the year ended December 31, 2025 from $4.2 million during the prior period, and therefore remained consistent overall year over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$0.6 million and $0.4 million for the years ended December 31, 2025 and 2024, respectively, and was attributable to interest income relating to funds that are held in U.S. Treasury notes and U.S. government agency-backed securities.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was $0.1 million and nil for the years ended December 31, 2025 and 2024, respectively, and was attributable to a state sales tax rebate from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in our net loss during the year ended December 31, 2025 compared to the year ended December 31, 2024 was due to lower grant income. We anticipate that we will continue to incur net losses in the future as we continue to invest in research and development activities, including clinical development of our MAR-T cell product candidates.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generated any revenues from the sales or licensing of our product candidates since inception and only have limited revenue associated with grants to fund research. We have financed our operations primarily through public and private offerings of our stock and debt including warrants and the exercise thereof, as well as grants. Based on our lack of recurring revenues, anticipated uses of cash and historical recurring cash losses from operating activities, and cash, cash equivalents, and restricted cash as of December 31, 2025, and taking into consideration the net proceeds received in July and August of 2025 through the sale of Common Stock pursuant to its ATM Agreement with H.C. Wainwright &amp; Co., LLC, we anticipate that we will be able to fund our operating expenses and capital expenditure requirements through the fourth quarter of 2026, assuming no additional grant funds are received, either from new grants or from existing awarded grants. We are considering raising additional capital through the issuance of common shares or preferred shares and intend to apply for additional grant funds, which could enable us to fund our operating expenses and capital expenditure requirements beyond the fourth quarter of 2026, although no assurance can be given that such capital or existing awarded grants will be earned or future grants will be awarded. This estimate is subject to our ability to effectively manage our costs, raise additional capital, and receive additional grant funds, of which there can be no assurance.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and Working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our cash, cash equivalents, and restricted cash as well as working capital as of December 31, 2025 and 2024:</w:t>
      </w:r>
    </w:p>
    <w:tbl>
      <w:tblPr>
        <w:tblW w:w="7295" w:type="dxa"/>
        <w:jc w:val="left"/>
        <w:tblInd w:w="0" w:type="dxa"/>
        <w:tblLayout w:type="fixed"/>
        <w:tblCellMar>
          <w:top w:w="0" w:type="dxa"/>
          <w:left w:w="0" w:type="dxa"/>
          <w:bottom w:w="0" w:type="dxa"/>
          <w:right w:w="0" w:type="dxa"/>
        </w:tblCellMar>
      </w:tblPr>
      <w:tblGrid>
        <w:gridCol w:w="3556"/>
        <w:gridCol w:w="346"/>
        <w:gridCol w:w="253"/>
        <w:gridCol w:w="1248"/>
        <w:gridCol w:w="346"/>
        <w:gridCol w:w="241"/>
        <w:gridCol w:w="1305"/>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258060" cy="175260"/>
                      <wp:effectExtent l="0" t="0" r="0" b="0"/>
                      <wp:wrapNone/>
                      <wp:docPr id="34" name="Frame25"/>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60655" cy="175260"/>
                      <wp:effectExtent l="0" t="0" r="0" b="0"/>
                      <wp:wrapNone/>
                      <wp:docPr id="36" name="Frame27"/>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92480" cy="175260"/>
                      <wp:effectExtent l="0" t="0" r="0" b="0"/>
                      <wp:wrapNone/>
                      <wp:docPr id="37" name="Frame28"/>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53035" cy="175260"/>
                      <wp:effectExtent l="0" t="0" r="0" b="0"/>
                      <wp:wrapNone/>
                      <wp:docPr id="39" name="Frame30"/>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828675" cy="175260"/>
                      <wp:effectExtent l="0" t="0" r="0" b="0"/>
                      <wp:wrapNone/>
                      <wp:docPr id="40" name="Frame31"/>
                      <a:graphic xmlns:a="http://schemas.openxmlformats.org/drawingml/2006/main">
                        <a:graphicData uri="http://schemas.microsoft.com/office/word/2010/wordprocessingShape">
                          <wps:wsp>
                            <wps:cNvSpPr txBox="1"/>
                            <wps:spPr>
                              <a:xfrm>
                                <a:off x="0" y="0"/>
                                <a:ext cx="828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17,042,847</w:t>
            </w:r>
          </w:p>
        </w:tc>
        <w:tc>
          <w:tcPr>
            <w:tcW w:w="34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19,192,440</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Working capital</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16,796,814</w:t>
            </w:r>
          </w:p>
        </w:tc>
        <w:tc>
          <w:tcPr>
            <w:tcW w:w="346" w:type="dxa"/>
            <w:tcBorders/>
            <w:vAlign w:val="center"/>
          </w:tcPr>
          <w:p>
            <w:pPr>
              <w:pStyle w:val="TableContents"/>
              <w:bidi w:val="0"/>
              <w:spacing w:before="0" w:after="1"/>
              <w:ind w:left="0" w:right="0" w:hanging="0"/>
              <w:jc w:val="left"/>
              <w:rPr/>
            </w:pPr>
            <w:r>
              <w:rPr/>
              <w:t>​</w:t>
            </w:r>
          </w:p>
        </w:tc>
        <w:tc>
          <w:tcPr>
            <w:tcW w:w="2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05"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18,558,406</w:t>
            </w:r>
          </w:p>
        </w:tc>
      </w:tr>
    </w:tbl>
    <w:p>
      <w:pPr>
        <w:pStyle w:val="TextBody"/>
        <w:bidi w:val="0"/>
        <w:spacing w:before="0" w:after="240"/>
        <w:ind w:left="0" w:right="0" w:hanging="0"/>
        <w:jc w:val="left"/>
        <w:rPr>
          <w:caps w:val="false"/>
          <w:smallCaps w:val="false"/>
        </w:rPr>
      </w:pPr>
      <w:r>
        <w:rPr>
          <w:caps w:val="false"/>
          <w:smallCaps w:val="false"/>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years ended December 31, 2025 and 2024:</w:t>
      </w:r>
    </w:p>
    <w:p>
      <w:pPr>
        <w:pStyle w:val="TextBody"/>
        <w:bidi w:val="0"/>
        <w:spacing w:before="0" w:after="0"/>
        <w:ind w:left="0" w:right="0" w:hanging="0"/>
        <w:jc w:val="left"/>
        <w:rPr/>
      </w:pPr>
      <w:r>
        <w:rPr/>
        <w:t>​</w:t>
      </w:r>
    </w:p>
    <w:tbl>
      <w:tblPr>
        <w:tblW w:w="9307" w:type="dxa"/>
        <w:jc w:val="left"/>
        <w:tblInd w:w="0" w:type="dxa"/>
        <w:tblLayout w:type="fixed"/>
        <w:tblCellMar>
          <w:top w:w="0" w:type="dxa"/>
          <w:left w:w="0" w:type="dxa"/>
          <w:bottom w:w="0" w:type="dxa"/>
          <w:right w:w="0" w:type="dxa"/>
        </w:tblCellMar>
      </w:tblPr>
      <w:tblGrid>
        <w:gridCol w:w="5836"/>
        <w:gridCol w:w="346"/>
        <w:gridCol w:w="211"/>
        <w:gridCol w:w="1156"/>
        <w:gridCol w:w="346"/>
        <w:gridCol w:w="211"/>
        <w:gridCol w:w="1201"/>
      </w:tblGrid>
      <w:tr>
        <w:trPr/>
        <w:tc>
          <w:tcPr>
            <w:tcW w:w="5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705860" cy="175260"/>
                      <wp:effectExtent l="0" t="0" r="0" b="0"/>
                      <wp:wrapNone/>
                      <wp:docPr id="41" name="Frame32"/>
                      <a:graphic xmlns:a="http://schemas.openxmlformats.org/drawingml/2006/main">
                        <a:graphicData uri="http://schemas.microsoft.com/office/word/2010/wordprocessingShape">
                          <wps:wsp>
                            <wps:cNvSpPr txBox="1"/>
                            <wps:spPr>
                              <a:xfrm>
                                <a:off x="0" y="0"/>
                                <a:ext cx="3705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3"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34060" cy="175260"/>
                      <wp:effectExtent l="0" t="0" r="0" b="0"/>
                      <wp:wrapNone/>
                      <wp:docPr id="44" name="Frame3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6"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62635" cy="175260"/>
                      <wp:effectExtent l="0" t="0" r="0" b="0"/>
                      <wp:wrapNone/>
                      <wp:docPr id="47" name="Frame3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5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8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201" w:type="dxa"/>
            <w:tcBorders/>
            <w:shd w:fill="CCEEFF" w:val="clear"/>
            <w:vAlign w:val="center"/>
          </w:tcPr>
          <w:p>
            <w:pPr>
              <w:pStyle w:val="TableContents"/>
              <w:bidi w:val="0"/>
              <w:spacing w:before="0" w:after="0"/>
              <w:ind w:left="0" w:right="0" w:hanging="0"/>
              <w:jc w:val="center"/>
              <w:rPr/>
            </w:pPr>
            <w:r>
              <w:rPr/>
              <w:t>​</w:t>
            </w:r>
          </w:p>
        </w:tc>
      </w:tr>
      <w:tr>
        <w:trPr/>
        <w:tc>
          <w:tcPr>
            <w:tcW w:w="58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(12,014,081)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(10,910,324)</w:t>
            </w:r>
          </w:p>
        </w:tc>
      </w:tr>
      <w:tr>
        <w:trPr/>
        <w:tc>
          <w:tcPr>
            <w:tcW w:w="58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58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9,864,488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14,991,314</w:t>
            </w:r>
          </w:p>
        </w:tc>
      </w:tr>
      <w:tr>
        <w:trPr/>
        <w:tc>
          <w:tcPr>
            <w:tcW w:w="58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(2,149,593)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4,080,990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Continuing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Net cash used in operating activities during the year ended December 31, 2025 was $12.0 million. The use of cash primarily related to our net loss of $12.2 million and a $0.3 million decrease from changes in assets and liabilities, offset by $0.5 million of stock-based compensation.</w:t>
      </w:r>
    </w:p>
    <w:p>
      <w:pPr>
        <w:pStyle w:val="TextBody"/>
        <w:bidi w:val="0"/>
        <w:spacing w:before="0" w:after="24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Net cash used in operating activities during the year ended December 31, 2024 was $10.9 million. The use of cash primarily related to our net loss of $10.7 million and a $0.4 million decrease from changes in assets and liabilities, offset by $0.2 million of stock-based compensation.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Net cash provided by financing activities was $9.9 million and $15.0 million during the years ended December 31, 2025 and 2024, respectively, primarily due to the net proceeds received from sale of common stock through the ATM Agreement in 2025 and Private Placement in 2024, as well as the exercise of stock options.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Future Capital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receivable mainly consists of grant income receivable. Qualifying grant income earned in advance of cash received from grants is recognized as revenue and recorded as other receivable. The following table summarizes the Company’s other receivable balance as of December 31, 2025 and 2024, respectively:</w:t>
      </w:r>
    </w:p>
    <w:p>
      <w:pPr>
        <w:pStyle w:val="TextBody"/>
        <w:bidi w:val="0"/>
        <w:spacing w:before="0" w:after="240"/>
        <w:ind w:left="0" w:right="0" w:hanging="0"/>
        <w:jc w:val="both"/>
        <w:rPr/>
      </w:pPr>
      <w:r>
        <w:rPr/>
        <w:t>​</w:t>
      </w:r>
    </w:p>
    <w:tbl>
      <w:tblPr>
        <w:tblW w:w="5632" w:type="dxa"/>
        <w:jc w:val="left"/>
        <w:tblInd w:w="0" w:type="dxa"/>
        <w:tblLayout w:type="fixed"/>
        <w:tblCellMar>
          <w:top w:w="0" w:type="dxa"/>
          <w:left w:w="0" w:type="dxa"/>
          <w:bottom w:w="0" w:type="dxa"/>
          <w:right w:w="0" w:type="dxa"/>
        </w:tblCellMar>
      </w:tblPr>
      <w:tblGrid>
        <w:gridCol w:w="2551"/>
        <w:gridCol w:w="346"/>
        <w:gridCol w:w="211"/>
        <w:gridCol w:w="931"/>
        <w:gridCol w:w="346"/>
        <w:gridCol w:w="211"/>
        <w:gridCol w:w="103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19885" cy="175260"/>
                      <wp:effectExtent l="0" t="0" r="0" b="0"/>
                      <wp:wrapNone/>
                      <wp:docPr id="48" name="Frame39"/>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91185" cy="175260"/>
                      <wp:effectExtent l="0" t="0" r="0" b="0"/>
                      <wp:wrapNone/>
                      <wp:docPr id="51" name="Frame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57860" cy="175260"/>
                      <wp:effectExtent l="0" t="0" r="0" b="0"/>
                      <wp:wrapNone/>
                      <wp:docPr id="54" name="Frame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 income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25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CPRIT AML Grant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815,436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2,059,457</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FDA Grant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SBIR AML Grant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162,897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244,810</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Decoy Grant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5,822</w:t>
            </w:r>
          </w:p>
        </w:tc>
      </w:tr>
      <w:tr>
        <w:trPr/>
        <w:tc>
          <w:tcPr>
            <w:tcW w:w="25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SBIR NHL Grant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PANACEA Grant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190,052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6,502</w:t>
            </w:r>
          </w:p>
        </w:tc>
      </w:tr>
      <w:tr>
        <w:trPr/>
        <w:tc>
          <w:tcPr>
            <w:tcW w:w="25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grant income receivable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1,318,981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2,316,591</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28,112</w:t>
            </w:r>
          </w:p>
        </w:tc>
      </w:tr>
      <w:tr>
        <w:trPr/>
        <w:tc>
          <w:tcPr>
            <w:tcW w:w="255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255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1,369,400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2,346,703</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we had working capital of $16.8 million, compared to working capital of $18.6 million as of December 31, 2024. Operating expenses incurred during the fiscal year ended December 31, 2025 were $16.5 million compared to $17.7 million in the prior year. Based on our lack of recurring revenues, anticipated uses of cash and historical recurring cash losses from operating activities, and cash and cash equivalents as of December 31, 2025, we anticipate that we will be able to fund our operating expenses and capital expenditure requirements through the fourth quarter of 2026, assuming no additional grant funds are received. We currently plan to raise additional capital through the issuance of common shares and receive additional grant funds, which could enable us to fund our operating expenses and capital expenditure requirements beyond the fourth quarter of 2026, although no assurance can be given that such capital or existing awarded grants will be earned or future grants will be awarded. This estimate is subject to our ability to effectively manage our costs, raise additional capital, and receive additional grant funds. Our assumptions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continue clinical trials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research and development of our product candidates and seek to discover additional product candidates; seek regulatory approvals for our product candidates if they successfully complete clinical trials;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development of our manufacturing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sales, marketing and distribution infrastructure and scale-up manufacturing capabilities to commercialize any product candidates that may receive regulatory approval;</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strategic transactions we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operational, financial and information management systems and hire additional personnel, including personnel to support development of our product candidates and, if a product candidate is approved, our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foregoing, high inflation and concerns about an economic recession in the United States or other major markets have resulted in, among other things, volatility in the capital markets that may have the effect of reducing our ability to access capital, which could in the future negatively affect our liquidity. In addition, a recession or market correction due to these factors could materially affect our business and the value of our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ATM Agreement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August 2021, we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or the ATM Agreement, with Cantor Fitzgerald &amp; Co. and RBC Capital Markets, LLC, or the Sales Agents, pursuant to which we can offer and sell, from time to time at our sole discretion through the Sales Agents, shares of our common stock having an aggregate offering price of up to $75.0 million. Any shares of our common stock sold will be issued pursuant to our shelf registration statement on Form S-3 (File No. 333-258687), which the SEC declared effective on August 19, 2021. However, our use of the shelf registration statement on Form S-3 will be limited for so long as we are subject to General Instruction I.B.6 of Form S-3, which limits the amounts that we may sell under the registration statement and in accordance with the ATM agreement. The Sales Agents will be entitled to compensation under the Sales Agreement at a commission rate equal to 3.0% of the gross sales price per share sold under the ATM Agreement, and we have provided each of the Sales Agents with indemnification and contribution rights. During the year ended December 31, 2024, the Company sold 8,178 shares of its common stock under the ATM Agreement resulting in net proceeds of approximately $37,000, after deducting agent commissions. On June 10, 2024, the Company provided notice of its termination of the ATM Agreement with Cantor Fitzgerald &amp; Co. and RBC Capital Markets, LLC. The Company is not subject to any termination penalties related to the termination of the ATM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we entered into an At The Market Offering Agreement (the “Sales Agreement”), with H.C. Wainwright &amp; Co. LLC, relating to the sale of shares of our common stock having an agreement offering price of up to $11,431,713 from time to time through H.C. Wainwright &amp; Co. LLC. Any shares of our common stock sold will be issued pursuant to our shelf registration statement on Form S-3 (File No. 333-283512), which the SEC declared effective on December 6, 2024. However, our use of the shelf registration statement on Form S-3 will be limited for so long as we are subject to General Instruction I.B.6 of Form S-3, which limits the amounts that we may sell under the registration statement and in accordance with the ATM agreement. H.C. Wainwright &amp; Co. LLC will be entitled to compensation under the Sales Agreement at a commission rate equal to 3.0% of the gross sales price per share sold under the ATM Agreement, and we have provided H.C. Wainwright &amp; Co. LLC with indemnification and contribution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Between July 17 and 21, 2025, the Company sold 1,624,075 shares of common stock pursuant to our ATM Agreement with H.C. Wainwright &amp; Co., LLC for net proceeds of $4.5 million, after deducting agent commissions, at an average price of $2.87 per share.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26, 2025, the Company sold 3,734,217 shares of common stock pursuant to the ATM Agreement with H.C. Wainwright &amp; Co., LLC for net proceeds of $5.4 million, after deducting agent commissions, at an average price of $1.48 per share.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Private Placement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gross proceeds from the sale of securities in the Private Placement, before deducting commissions to the placement agent and estimated offering expenses, was approximately $16.1 million, which does not include any proceeds that may be received upon exercise of any warrants issued in the Private Placement. Both the Pre-Funded Warrants and the Private Placement Warrants are not exercisable until the Company obtains shareholder approval. On March 21, 2025, the Company obtained shareholder approval for the exercise of such warrants. The transaction closed on December 23,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 sources of revenue, other than grant income, to provide incoming cash flows to sustain our future operations. As outlined above, our ability to pursue our long-term planned business activities is dependent upon our successful efforts to raise additional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Critical Accounting Policies and Estimates</w:t>
      </w:r>
      <w:r>
        <w:rPr>
          <w:rFonts w:ascii="Times New Roman;Times;serif" w:hAnsi="Times New Roman;Times;serif"/>
          <w:sz w:val="20"/>
        </w:rPr>
        <w: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critical accounting policies include grant income, which is discussed further below. The Company does not have any critical accounting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accounting estimates employed are appropriate and resulting balances are reasonable; however, due to inherent uncertainties in making estimates, actual results could differ from the original estimates, requiring adjustments to these balances in future periods.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Grant Income represents funding under cost reimbursement programs from government agencies and non-profit foundations for qualified research and development activities performed by the Company. In applying the provisions of ASC Topic 606, Revenue from Contracts with Customers (“ASC 606”), we determined that grants and awards are out of the scope of ASC 606 because the funding entities do not meet the definition of a “customer”, as defined by ASC 606, as there is not considered to be a transfer of control of goods or services. With respect to each grant or award, the Company determines if it has a collaboration in accordance with ASC Topic 808, Collaborative Arrangements (“ASC 808”). For grant and awards outside the scope of ASC 808, the Company applies either ASC 606 or IAS 20 by analogy depending on if the arrangement is considered an exchange or non-exchange transaction, respectively. Under both accounting frameworks, revenue is recognized when the Company incurs expenses related to the grants for the amount the Company is entitled to under the provisions of the contract. During the two years ended December 31, 2025, the Company did not participate in any collaboration agreements.</w:t>
      </w:r>
    </w:p>
    <w:p>
      <w:pPr>
        <w:pStyle w:val="TextBody"/>
        <w:bidi w:val="0"/>
        <w:spacing w:before="120" w:after="240"/>
        <w:ind w:left="0" w:right="0" w:hanging="0"/>
        <w:jc w:val="both"/>
        <w:rPr>
          <w:rFonts w:ascii="Times New Roman;Times;serif" w:hAnsi="Times New Roman;Times;serif"/>
          <w:sz w:val="20"/>
        </w:rPr>
      </w:pPr>
      <w:r>
        <w:rPr>
          <w:rFonts w:ascii="Times New Roman;Times;serif" w:hAnsi="Times New Roman;Times;serif"/>
          <w:sz w:val="20"/>
        </w:rPr>
        <w:t>The Company recognizes grant income when amounts eligible for reimbursement are determinable and have been incurred, the applicable conditions under the grant arrangements have been met, and collectability of amounts due is reasonably assured or already received. The classification of costs incurred related to grants is based on the nature of the activities performed by the Company. Grant Income is recognized when the related costs are incurred. Restricted cash received from grants in advance of incurring qualifying costs is recorded as deferred revenue and recognized as revenue when qualifying costs are incurred. Qualifying grant income earned in advance of cash received from grants is recognized as revenue and recorded as other receivable.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Standards Not Yet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From time to time, new accounting pronouncements are issued by the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Government Grants (Topic 832): Accounting for Government Grants Received by Business Entities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2025, the FASB issued ASU 2025-10, Government Grants (Topic 832): Accounting for Government Grants Received by Business Entities. The new standard is intended to establish authoritative guidance on the accounting for government grants received by business entities and reduce diversity in practice. The amendments establish the timing and methods of recognition of both (1) a grant related to an asset and (2) a grant related to income. The amendments also require certain disclosures including the nature of the grant received, the accounting policies used to account for the grant, and significant terms and conditions for the grant. The new guidance is effective for annual reporting periods beginning after December 15, 2028, and interim reporting periods within those annual reporting periods. Early adoption is permitted. The new guidance may be applied on a modified prospective basis, modified retrospective basis, or full retrospective basis. The Company is currently evaluating the impact of ASU 2025-10 on its consolidated financial statements.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Income Statement – Reporting Comprehensive Income – Expense Disaggregation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the FASB issued ASU No. 2024-03, Income Statement - Reporting Comprehensive Income - Expense Disaggregation Disclosures, to improve transparency in financial reporting by requiring entities to present more detailed information about the nature of expenses included within the Income Statement. The guidance will be effective for annual reporting periods beginning after December 15, 2026, and interim reporting periods beginning after December 15, 2027. Early adoption is permitted. Upon adoption, the guidance can be applied prospectively or retrospectively. The Company is in the process of assessing the impact of ASU 2024-03 on its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entered into any off-balance sheet arrangements that have or are reasonably likely to have a current or future effect on our financial condition, changes in financial condition, revenues, expenses, results of operations, liquidity, capital expenditures or capital resources that is material to investors.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Tax Loss and Credit Carryforwards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we have approximately $186.8 million of federal and $38.6 million of state net operating loss carryforwards that may be available to offset future taxable income, if any. The federal net operating loss carryforwards of $38.4 million, if not utilized, will expire between 2030 and 2037. The federal net operating loss carryforwards of $148.4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$16.7 million generated in 2018 and thereafter are subject to an 80% limitation on taxable income, do not expire and will carry forward indefinitely. Any change in ownership greater than 50% under Section 382 of the Internal Revenue Code places significant annual limitations on the use of such net operating loss carryforwards.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December 31, 2025 and 2024, we recorded a 100% valuation allowance against our deferred tax assets of approximately $43.3 million and $41.0 million, respectively, as our management believes it is uncertain that they will be fully realized. If we determine in the future that we will be able to realize all or a portion of our net operating loss carryforwards, an adjustment to valuation allowance against our deferred tax assets would increase net income in the period in which we make such a determination.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future revenues and operating results will not be significant. We do not believe that inflation has had a material impact on our results of operations for the periods presented, except with respect to payroll-related costs and other costs arising from or related to government-imposed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2" w:name="ITEM7AQUANTITATIVEANDQUALITATIVEDISCLOSU"/>
      <w:bookmarkStart w:id="83" w:name="_d795ec84_6523_4c0e_8ff3_eacd3d97e041"/>
      <w:bookmarkEnd w:id="82"/>
      <w:bookmarkEnd w:id="83"/>
      <w:r>
        <w:rPr>
          <w:rFonts w:ascii="Times New Roman;Times;serif" w:hAnsi="Times New Roman;Times;serif"/>
          <w:b/>
          <w:sz w:val="20"/>
        </w:rPr>
        <w:t>ITEM 7A.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w:t>
      </w:r>
    </w:p>
    <w:p>
      <w:pPr>
        <w:pStyle w:val="TextBody"/>
        <w:bidi w:val="0"/>
        <w:spacing w:before="0" w:after="240"/>
        <w:ind w:left="0" w:right="0" w:hanging="0"/>
        <w:jc w:val="left"/>
        <w:rPr>
          <w:rFonts w:ascii="Times New Roman;Times;serif" w:hAnsi="Times New Roman;Times;serif"/>
          <w:b/>
          <w:sz w:val="20"/>
        </w:rPr>
      </w:pPr>
      <w:bookmarkStart w:id="84" w:name="ITEM8FINANCIALSTATEMENTS_684464"/>
      <w:bookmarkStart w:id="85" w:name="_47d26880_04b2_4578_abd7_1ccbc696ace6"/>
      <w:bookmarkEnd w:id="84"/>
      <w:bookmarkEnd w:id="85"/>
      <w:r>
        <w:rPr>
          <w:rFonts w:ascii="Times New Roman;Times;serif" w:hAnsi="Times New Roman;Times;serif"/>
          <w:b/>
          <w:sz w:val="20"/>
        </w:rPr>
        <w:t>ITEM 8.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Financial Statements are incorporated herein by reference to pages beginning on page F-1 at the end of this report and the supplementary data is not applicable.</w:t>
      </w:r>
    </w:p>
    <w:p>
      <w:pPr>
        <w:pStyle w:val="TextBody"/>
        <w:bidi w:val="0"/>
        <w:spacing w:before="0" w:after="240"/>
        <w:ind w:left="0" w:right="0" w:hanging="0"/>
        <w:jc w:val="both"/>
        <w:rPr>
          <w:rFonts w:ascii="Times New Roman;Times;serif" w:hAnsi="Times New Roman;Times;serif"/>
          <w:b/>
          <w:sz w:val="20"/>
        </w:rPr>
      </w:pPr>
      <w:bookmarkStart w:id="86" w:name="ITEM9CHANGESINANDDISAGREEMENTSWITHACCOUN"/>
      <w:bookmarkStart w:id="87" w:name="_af77395b_31ad_41c7_bb4f_311cd7385ddf"/>
      <w:bookmarkEnd w:id="86"/>
      <w:bookmarkEnd w:id="87"/>
      <w:r>
        <w:rPr>
          <w:rFonts w:ascii="Times New Roman;Times;serif" w:hAnsi="Times New Roman;Times;serif"/>
          <w:b/>
          <w:sz w:val="20"/>
        </w:rPr>
        <w:t>ITEM 9. CHANGES IN AND DISAGREEMENTS WITH ACCOUNTANTS ON ACCOUNTING AND FINANCIAL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had no changes in, or disagreements with our principal independent accountants.</w:t>
      </w:r>
    </w:p>
    <w:p>
      <w:pPr>
        <w:pStyle w:val="TextBody"/>
        <w:bidi w:val="0"/>
        <w:spacing w:before="0" w:after="240"/>
        <w:ind w:left="0" w:right="0" w:hanging="0"/>
        <w:jc w:val="left"/>
        <w:rPr>
          <w:rFonts w:ascii="Times New Roman;Times;serif" w:hAnsi="Times New Roman;Times;serif"/>
          <w:b/>
          <w:sz w:val="20"/>
        </w:rPr>
      </w:pPr>
      <w:bookmarkStart w:id="88" w:name="ITEM9ACONTROLSANDPROCEDURES_136839"/>
      <w:bookmarkStart w:id="89" w:name="_add12e85_92c4_425d_b021_d243f092d736"/>
      <w:bookmarkEnd w:id="88"/>
      <w:bookmarkEnd w:id="89"/>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established disclosure controls and procedures, as such term is defined in Rule 13a-15(e) under the Securities Exchange Act of 1934. Under the supervision and with the participation of our management, we conducted an evaluation of the effectiveness of our disclosure controls and procedures as of December 31, 2025 to ensure that the information required to be disclosed by us in the reports that we file or submit under the Securities Exchange Act of 1934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principal financial officer as appropriate, to allow timely decisions regarding required disclosure. Our management, with participation of our principal executive officer and principal financial officer, has evaluated the effectiveness of our disclosure controls and procedures as of December 31, 2025. Based on that evaluation, our principal executive officer and principal financial officer concluded that our disclosure controls and procedures were effective as of December 31, 2025 to provide reasonable assurance that the information required to be disclosed by us in this Annual Report was (a) reported within the time periods specified by SEC rules and regulations and (b) communicated to our management, including our Chief Executive Officer and Principal Financial Officer, to allow timely decisions regarding any required disclosure.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Management’s Report on Internal Control Over Financial Reporting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and accounting officer, we conducted an evaluation of the effectiveness of our internal control over financial reporting as of December 31, 2025 based on the framework in Internal Control—Integrated Framework 2013 issued by the Committee of Sponsoring Organizations of the Treadway Commission (COSO). Based on that evaluation, our management concluded that our internal control over financial reporting was effective as of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Cybersecurity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utilize information technology for internal and external communications with vendors, clinical sites, banks, investors and shareholders. Loss, disruption or compromise of these systems could significantly impact operations and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not aware of any material cybersecurity violation or occurrence. We believe our efforts toward prevention of such violation or occurrence, including system design and controls, processes and procedures, training and monitoring of system access, limit, but may not prevent unauthorized access to our systems.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than temporary disruption to operations that may be caused by a cybersecurity breach, we consider cash transactions to be the primary risk for potential loss. We and our financial institution take steps to minimize the risk by requiring multiple levels of authorization and other controls.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Exchange Act Rules 13a-15(f) and 15d-15(f)) during the fiscal quarter ended December 31, 2025 that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Inherent Limitations on Effectiveness of Internal Controls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designing and evaluating the disclosure controls and procedures,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Our management, including our Chief Executive Officer and Principal Financial and Accounting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0" w:name="ITEM9BOTHERINFORMATION_833436"/>
      <w:bookmarkStart w:id="91" w:name="_05a09906_f396_4c7b_997b_36fb96872821"/>
      <w:bookmarkEnd w:id="90"/>
      <w:bookmarkEnd w:id="91"/>
      <w:r>
        <w:rPr>
          <w:rFonts w:ascii="Times New Roman;Times;serif" w:hAnsi="Times New Roman;Times;serif"/>
          <w:b/>
          <w:sz w:val="20"/>
        </w:rPr>
        <w:t>ITEM 9B. OTHER INFORMATION</w:t>
      </w:r>
    </w:p>
    <w:tbl>
      <w:tblPr>
        <w:tblW w:w="10205" w:type="dxa"/>
        <w:jc w:val="left"/>
        <w:tblInd w:w="0" w:type="dxa"/>
        <w:tblLayout w:type="fixed"/>
        <w:tblCellMar>
          <w:top w:w="0" w:type="dxa"/>
          <w:left w:w="0" w:type="dxa"/>
          <w:bottom w:w="0" w:type="dxa"/>
          <w:right w:w="0"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7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Rule 10b5–1 trading arrangement.</w:t>
            </w:r>
            <w:r>
              <w:rPr>
                <w:rFonts w:ascii="Times New Roman;Times;serif" w:hAnsi="Times New Roman;Times;serif"/>
                <w:sz w:val="20"/>
              </w:rPr>
              <w:t xml:space="preserve"> During the fourth quarter of 2025, no director or Section 16 officer adopted or terminated any Rule 10b5-1 plan or non-Rule 10b5-1 trading arrangements.</w:t>
            </w:r>
          </w:p>
        </w:tc>
      </w:tr>
    </w:tbl>
    <w:p>
      <w:pPr>
        <w:pStyle w:val="TextBody"/>
        <w:bidi w:val="0"/>
        <w:spacing w:before="0" w:after="240"/>
        <w:ind w:left="0" w:right="0" w:hanging="0"/>
        <w:jc w:val="left"/>
        <w:rPr>
          <w:rFonts w:ascii="Times New Roman;Times;serif" w:hAnsi="Times New Roman;Times;serif"/>
          <w:sz w:val="20"/>
        </w:rPr>
      </w:pPr>
      <w:bookmarkStart w:id="92" w:name="ITEM9CDISCLOSUREREGARDINGFOREIGNJURISD_4"/>
      <w:bookmarkStart w:id="93" w:name="_98699061_4c52_4250_b385_26c2795345a4"/>
      <w:bookmarkEnd w:id="92"/>
      <w:bookmarkEnd w:id="93"/>
      <w:r>
        <w:rPr>
          <w:rFonts w:ascii="Times New Roman;Times;serif" w:hAnsi="Times New Roman;Times;serif"/>
          <w:b/>
          <w:sz w:val="20"/>
        </w:rPr>
        <w:t xml:space="preserve">ITEM 9C. </w:t>
      </w:r>
      <w:r>
        <w:rPr>
          <w:rFonts w:ascii="Times New Roman;Times;serif" w:hAnsi="Times New Roman;Times;serif"/>
          <w:b/>
          <w:caps/>
          <w:sz w:val="20"/>
        </w:rPr>
        <w:t>Disclosure Regarding Foreign Jurisdictions that Prevent Inspections</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4" w:name="PARTIII_534190"/>
      <w:bookmarkStart w:id="95" w:name="_0f885c5a_9fc9_44c5_b11d_f6ab6e6db0d1"/>
      <w:bookmarkEnd w:id="94"/>
      <w:bookmarkEnd w:id="95"/>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96" w:name="ITEM10DIRECTORSEXECUTIVEOFFICERSANDCORPO"/>
      <w:bookmarkEnd w:id="96"/>
      <w:r>
        <w:rPr>
          <w:rFonts w:ascii="Times New Roman;Times;serif" w:hAnsi="Times New Roman;Times;serif"/>
          <w:b/>
          <w:sz w:val="20"/>
        </w:rPr>
        <w:t>ITEM 10. DIRECTORS, EXECUTIVE OFFICERS AND CORPORATE GOVERNANCE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this item and not set forth below will be set forth in the sections headed “Election of Directors,” “Executive Officers” and “Delinquent Section 16(a) Reports” in our definitive proxy statement for our 2024 Annual Meeting of Stockholders, or our Proxy Statement, to be filed with the SEC within 120 days after the end of the fiscal year ended December 31, 2025 and is incorporated herein by reference.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adopted a written code of business conduct and ethics that applies to our directors, officers and employees, including our principal executive officer, principal financial and accounting officer or controller, or persons performing similar functions, known as the Code of Ethics and Business Conduct. The Code of Ethics and Business Conduct is available on our website at www.markertherapeutics.com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insider trading policy prohibits all employees, including our executive officers, and non-employee directors from engaging in short sales, transactions in put or call options, hedging transactions, using margin accounts, pledges, or other inherently speculative transactions involving the Company’s securities.</w:t>
      </w:r>
    </w:p>
    <w:p>
      <w:pPr>
        <w:pStyle w:val="TextBody"/>
        <w:bidi w:val="0"/>
        <w:spacing w:before="0" w:after="240"/>
        <w:ind w:left="0" w:right="0" w:hanging="0"/>
        <w:jc w:val="left"/>
        <w:rPr>
          <w:rFonts w:ascii="Times New Roman;Times;serif" w:hAnsi="Times New Roman;Times;serif"/>
          <w:b/>
          <w:sz w:val="20"/>
        </w:rPr>
      </w:pPr>
      <w:bookmarkStart w:id="97" w:name="ITEM11EXECUTIVECOMPENSATION_899018"/>
      <w:bookmarkStart w:id="98" w:name="_592df86e_5d81_492b_9ee3_965f7ceb27f1"/>
      <w:bookmarkEnd w:id="97"/>
      <w:bookmarkEnd w:id="98"/>
      <w:r>
        <w:rPr>
          <w:rFonts w:ascii="Times New Roman;Times;serif" w:hAnsi="Times New Roman;Times;serif"/>
          <w:b/>
          <w:sz w:val="20"/>
        </w:rPr>
        <w:t>ITEM 11. EXECUTIVE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set forth in the section headed “Executive Compensation” in our Proxy Statement and is incorporated herein by reference.</w:t>
      </w:r>
    </w:p>
    <w:p>
      <w:pPr>
        <w:pStyle w:val="TextBody"/>
        <w:bidi w:val="0"/>
        <w:spacing w:before="0" w:after="240"/>
        <w:ind w:left="0" w:right="0" w:hanging="0"/>
        <w:jc w:val="both"/>
        <w:rPr>
          <w:rFonts w:ascii="Times New Roman;Times;serif" w:hAnsi="Times New Roman;Times;serif"/>
          <w:b/>
          <w:sz w:val="20"/>
        </w:rPr>
      </w:pPr>
      <w:bookmarkStart w:id="99" w:name="ITEM12SECURITYOWNERSHIPOFCERTAINBENEFICI"/>
      <w:bookmarkStart w:id="100" w:name="_85c6d332_462a_4555_8baf_d34c3cbc6c02"/>
      <w:bookmarkEnd w:id="99"/>
      <w:bookmarkEnd w:id="100"/>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set forth in the section headed “Securities Authorized for Issuance Under Equity Compensation Plans” and “Security Ownership of Certain Beneficial Owners and Management” in our Proxy Statement and is incorporated herein by reference.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Item 201(d) of Regulation S-K will be set forth in the section headed “Executive Compensation” and “Information Regarding the Board of Directors and Corporate Governance” in our Proxy Statement and is incorporated herein by reference.</w:t>
      </w:r>
    </w:p>
    <w:p>
      <w:pPr>
        <w:pStyle w:val="TextBody"/>
        <w:bidi w:val="0"/>
        <w:spacing w:before="0" w:after="240"/>
        <w:ind w:left="0" w:right="0" w:hanging="0"/>
        <w:jc w:val="left"/>
        <w:rPr>
          <w:rFonts w:ascii="Times New Roman;Times;serif" w:hAnsi="Times New Roman;Times;serif"/>
          <w:b/>
          <w:sz w:val="20"/>
        </w:rPr>
      </w:pPr>
      <w:bookmarkStart w:id="101" w:name="ITEM13CERTAINRELATIONSHIPSANDRELATEDTRAN"/>
      <w:bookmarkStart w:id="102" w:name="_2d4cc44b_8593_4a1d_a658_d788fb82492e"/>
      <w:bookmarkEnd w:id="101"/>
      <w:bookmarkEnd w:id="102"/>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set forth in the section headed “Transactions with Related Persons and Indemnification” and “Information Regarding the Board of Directors and Corporate Governance” in our Proxy Statement and is incorporated herein by reference.</w:t>
      </w:r>
    </w:p>
    <w:p>
      <w:pPr>
        <w:pStyle w:val="TextBody"/>
        <w:bidi w:val="0"/>
        <w:spacing w:before="0" w:after="240"/>
        <w:ind w:left="0" w:right="0" w:hanging="0"/>
        <w:jc w:val="left"/>
        <w:rPr>
          <w:rFonts w:ascii="Times New Roman;Times;serif" w:hAnsi="Times New Roman;Times;serif"/>
          <w:b/>
          <w:sz w:val="20"/>
        </w:rPr>
      </w:pPr>
      <w:bookmarkStart w:id="103" w:name="ITEM14PRINCIPALACCOUNTINGFEESANDSERVICES"/>
      <w:bookmarkStart w:id="104" w:name="_35984241_bccb_4dc7_9046_785123e54ade"/>
      <w:bookmarkEnd w:id="103"/>
      <w:bookmarkEnd w:id="104"/>
      <w:r>
        <w:rPr>
          <w:rFonts w:ascii="Times New Roman;Times;serif" w:hAnsi="Times New Roman;Times;serif"/>
          <w:b/>
          <w:sz w:val="20"/>
        </w:rPr>
        <w:t>ITEM 14. PRINCIPAL ACCOUNTING FEES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set forth in the section headed “Principal Accountant Fees and Services” in our Proxy Statement and is incorporated 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5" w:name="PARTIV_855523"/>
      <w:bookmarkStart w:id="106" w:name="_2231bafb_807b_4ca1_b1a7_1912cb7ed0d3"/>
      <w:bookmarkEnd w:id="105"/>
      <w:bookmarkEnd w:id="106"/>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07" w:name="ITEM15EXHIBITSFINANCIALSTATEMENTSCHEDULE"/>
      <w:bookmarkEnd w:id="107"/>
      <w:r>
        <w:rPr>
          <w:rFonts w:ascii="Times New Roman;Times;serif" w:hAnsi="Times New Roman;Times;serif"/>
          <w:b/>
          <w:sz w:val="20"/>
        </w:rPr>
        <w:t>ITEM 15. EXHIBITS, FINANCIAL STATEMENT SCHEDULES</w:t>
      </w:r>
    </w:p>
    <w:tbl>
      <w:tblPr>
        <w:tblW w:w="4997" w:type="dxa"/>
        <w:jc w:val="left"/>
        <w:tblInd w:w="0" w:type="dxa"/>
        <w:tblLayout w:type="fixed"/>
        <w:tblCellMar>
          <w:top w:w="0" w:type="dxa"/>
          <w:left w:w="0" w:type="dxa"/>
          <w:bottom w:w="0" w:type="dxa"/>
          <w:right w:w="0" w:type="dxa"/>
        </w:tblCellMar>
      </w:tblPr>
      <w:tblGrid>
        <w:gridCol w:w="331"/>
        <w:gridCol w:w="4666"/>
      </w:tblGrid>
      <w:tr>
        <w:trPr/>
        <w:tc>
          <w:tcPr>
            <w:tcW w:w="33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46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documents filed as part of this report are as follows:</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5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financial statements and accompanying report of independent registered public accounting firm are set forth immediately following the signature page of this report beginning on page F-1.</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financial statement schedules are omitted because they are inapplicable, not required or the information is included elsewhere in the financial statements or the notes thereto.</w:t>
            </w:r>
          </w:p>
        </w:tc>
      </w:tr>
    </w:tbl>
    <w:tbl>
      <w:tblPr>
        <w:tblW w:w="7112" w:type="dxa"/>
        <w:jc w:val="left"/>
        <w:tblInd w:w="0" w:type="dxa"/>
        <w:tblLayout w:type="fixed"/>
        <w:tblCellMar>
          <w:top w:w="0" w:type="dxa"/>
          <w:left w:w="0" w:type="dxa"/>
          <w:bottom w:w="0" w:type="dxa"/>
          <w:right w:w="0" w:type="dxa"/>
        </w:tblCellMar>
      </w:tblPr>
      <w:tblGrid>
        <w:gridCol w:w="271"/>
        <w:gridCol w:w="6841"/>
      </w:tblGrid>
      <w:tr>
        <w:trPr/>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68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following is a list of exhibits filed as part of this Annual Report on Form 10-K.</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80"/>
        <w:gridCol w:w="346"/>
        <w:gridCol w:w="4033"/>
        <w:gridCol w:w="346"/>
        <w:gridCol w:w="511"/>
        <w:gridCol w:w="346"/>
        <w:gridCol w:w="841"/>
        <w:gridCol w:w="346"/>
        <w:gridCol w:w="631"/>
        <w:gridCol w:w="346"/>
        <w:gridCol w:w="651"/>
        <w:gridCol w:w="346"/>
        <w:gridCol w:w="782"/>
      </w:tblGrid>
      <w:tr>
        <w:trPr/>
        <w:tc>
          <w:tcPr>
            <w:tcW w:w="680"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4033"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3672"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346" w:type="dxa"/>
            <w:tcBorders>
              <w:bottom w:val="single" w:sz="2" w:space="0" w:color="000000"/>
            </w:tcBorders>
            <w:tcMar>
              <w:bottom w:w="28" w:type="dxa"/>
            </w:tcMar>
            <w:vAlign w:val="center"/>
          </w:tcPr>
          <w:p>
            <w:pPr>
              <w:pStyle w:val="TableHeading"/>
              <w:bidi w:val="0"/>
              <w:spacing w:before="0" w:after="283"/>
              <w:ind w:left="0" w:right="0" w:hanging="0"/>
              <w:rPr>
                <w:sz w:val="4"/>
                <w:szCs w:val="4"/>
              </w:rPr>
            </w:pPr>
            <w:r>
              <w:rPr>
                <w:sz w:val="4"/>
                <w:szCs w:val="4"/>
              </w:rPr>
            </w:r>
          </w:p>
        </w:tc>
        <w:tc>
          <w:tcPr>
            <w:tcW w:w="782" w:type="dxa"/>
            <w:tcBorders/>
            <w:vAlign w:val="center"/>
          </w:tcPr>
          <w:p>
            <w:pPr>
              <w:pStyle w:val="TableHeading"/>
              <w:bidi w:val="0"/>
              <w:spacing w:before="0" w:after="283"/>
              <w:ind w:left="0" w:right="0" w:hanging="0"/>
              <w:rPr>
                <w:sz w:val="4"/>
                <w:szCs w:val="4"/>
              </w:rPr>
            </w:pPr>
            <w:r>
              <w:rPr>
                <w:sz w:val="4"/>
                <w:szCs w:val="4"/>
              </w:rPr>
            </w:r>
          </w:p>
        </w:tc>
      </w:tr>
      <w:tr>
        <w:trPr/>
        <w:tc>
          <w:tcPr>
            <w:tcW w:w="680"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Exhibit </w:t>
              <w:br/>
              <w:t>number</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4033"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84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5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w:t>
              <w:br/>
              <w:t>date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78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w:t>
              <w:br/>
              <w:t>herewith</w:t>
            </w:r>
          </w:p>
        </w:tc>
      </w:tr>
      <w:tr>
        <w:trPr/>
        <w:tc>
          <w:tcPr>
            <w:tcW w:w="680"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4033"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84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65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782"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Certificate of Incorporation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Certificate of Amendment to Certificate of Incorporation of Marker Therapeutics, Inc.</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5/27/22</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Certificate of Amendment to Certificate of Incorporation of Marker Therapeutics, Inc.</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1/26/23</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Bylaws of Marker Therapeutics, Inc.</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Form of Common Stock Certificate of Marker Therapeutics, Inc.</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3/25/24</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Description of Securities of Marker Therapeutics, Inc.</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3/25/24</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Form of Pre-Funded Warrant</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12/23/24</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Form of Series A Warrant (Private Placement Warrant)</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12/23/24</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Exclusive License Agreement between Baylor College of Medicine and Marker Therapeutics, Inc. dated March 16, 2018***</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10.21</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3/15/19</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Sponsored Research Contract between Baylor College of Medicine and Marker Therapeutics, Inc. dated November 16, 2018***</w:t>
              </w:r>
            </w:hyperlink>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3/15/19</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Form of Director and Officer Indemnification Agreement*</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10.39</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3/15/19</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Marker Therapeutics, Inc. 2020 Equity Incentive Plan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333-239136</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6/12/20</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Marker Therapeutics, Inc. 2020 Equity Incentive Plan, as amended on May 24, 2022</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S-8</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333-266797</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8/11/22</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Form of Stock Option Grant Notice and Stock Option Agreement under the Marker Therapeutics, Inc. 2020 Equity Incentive Plan.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11/9/20</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Securities Purchase Agreement dated December 19, 2024</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12/19/24</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Registration Rights dated December 19, 2024</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12/23/24</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At The Market Offering Agreement, dated as of November 27, 2024, between the Company and H.C. Wainwright &amp; Co., LLC</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S-3</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333-283515</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11/27/24</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r>
        <w:trPr/>
        <w:tc>
          <w:tcPr>
            <w:tcW w:w="6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14.1</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hyperlink w:anchor="mrkr-20251231xex14d1.htm">
              <w:r>
                <w:rPr>
                  <w:rStyle w:val="InternetLink"/>
                  <w:rFonts w:ascii="Times New Roman;Times;serif" w:hAnsi="Times New Roman;Times;serif"/>
                  <w:b w:val="false"/>
                  <w:i w:val="false"/>
                  <w:caps w:val="false"/>
                  <w:smallCaps w:val="false"/>
                  <w:sz w:val="20"/>
                </w:rPr>
                <w:t>Code of Ethics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8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24"/>
        <w:gridCol w:w="346"/>
        <w:gridCol w:w="4129"/>
        <w:gridCol w:w="346"/>
        <w:gridCol w:w="511"/>
        <w:gridCol w:w="346"/>
        <w:gridCol w:w="735"/>
        <w:gridCol w:w="346"/>
        <w:gridCol w:w="631"/>
        <w:gridCol w:w="346"/>
        <w:gridCol w:w="615"/>
        <w:gridCol w:w="346"/>
        <w:gridCol w:w="476"/>
        <w:gridCol w:w="308"/>
      </w:tblGrid>
      <w:tr>
        <w:trPr/>
        <w:tc>
          <w:tcPr>
            <w:tcW w:w="724"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4129" w:type="dxa"/>
            <w:tcBorders/>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283"/>
              <w:ind w:left="0" w:right="0" w:hanging="0"/>
              <w:rPr>
                <w:sz w:val="4"/>
                <w:szCs w:val="4"/>
              </w:rPr>
            </w:pPr>
            <w:r>
              <w:rPr>
                <w:sz w:val="4"/>
                <w:szCs w:val="4"/>
              </w:rPr>
            </w:r>
          </w:p>
        </w:tc>
        <w:tc>
          <w:tcPr>
            <w:tcW w:w="3530" w:type="dxa"/>
            <w:gridSpan w:val="7"/>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346" w:type="dxa"/>
            <w:tcBorders>
              <w:bottom w:val="single" w:sz="2" w:space="0" w:color="000000"/>
            </w:tcBorders>
            <w:tcMar>
              <w:bottom w:w="28" w:type="dxa"/>
            </w:tcMar>
            <w:vAlign w:val="center"/>
          </w:tcPr>
          <w:p>
            <w:pPr>
              <w:pStyle w:val="TableHeading"/>
              <w:bidi w:val="0"/>
              <w:spacing w:before="0" w:after="283"/>
              <w:ind w:left="0" w:right="0" w:hanging="0"/>
              <w:rPr>
                <w:sz w:val="4"/>
                <w:szCs w:val="4"/>
              </w:rPr>
            </w:pPr>
            <w:r>
              <w:rPr>
                <w:sz w:val="4"/>
                <w:szCs w:val="4"/>
              </w:rPr>
            </w:r>
          </w:p>
        </w:tc>
        <w:tc>
          <w:tcPr>
            <w:tcW w:w="784" w:type="dxa"/>
            <w:gridSpan w:val="2"/>
            <w:tcBorders>
              <w:bottom w:val="single" w:sz="2" w:space="0" w:color="000000"/>
            </w:tcBorders>
            <w:tcMar>
              <w:bottom w:w="28" w:type="dxa"/>
            </w:tcMar>
            <w:vAlign w:val="center"/>
          </w:tcPr>
          <w:p>
            <w:pPr>
              <w:pStyle w:val="TableHeading"/>
              <w:bidi w:val="0"/>
              <w:spacing w:before="0" w:after="283"/>
              <w:ind w:left="0" w:right="0" w:hanging="0"/>
              <w:rPr>
                <w:sz w:val="4"/>
                <w:szCs w:val="4"/>
              </w:rPr>
            </w:pPr>
            <w:r>
              <w:rPr>
                <w:sz w:val="4"/>
                <w:szCs w:val="4"/>
              </w:rPr>
            </w:r>
          </w:p>
        </w:tc>
      </w:tr>
      <w:tr>
        <w:trPr/>
        <w:tc>
          <w:tcPr>
            <w:tcW w:w="724"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Exhibit </w:t>
              <w:br/>
              <w:t>number</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4129"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5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735"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3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615"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w:t>
              <w:br/>
              <w:t>date</w:t>
            </w:r>
          </w:p>
        </w:tc>
        <w:tc>
          <w:tcPr>
            <w:tcW w:w="346" w:type="dxa"/>
            <w:tcBorders>
              <w:bottom w:val="single" w:sz="2" w:space="0" w:color="000000"/>
            </w:tcBorders>
            <w:tcMar>
              <w:bottom w:w="28" w:type="dxa"/>
            </w:tcMar>
            <w:vAlign w:val="center"/>
          </w:tcPr>
          <w:p>
            <w:pPr>
              <w:pStyle w:val="TableHeading"/>
              <w:bidi w:val="0"/>
              <w:spacing w:before="0" w:after="0"/>
              <w:ind w:left="0" w:right="0" w:hanging="0"/>
              <w:jc w:val="center"/>
              <w:rPr/>
            </w:pPr>
            <w:r>
              <w:rPr/>
              <w:t>  ​ ​ ​</w:t>
            </w:r>
          </w:p>
        </w:tc>
        <w:tc>
          <w:tcPr>
            <w:tcW w:w="784" w:type="dxa"/>
            <w:gridSpan w:val="2"/>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w:t>
              <w:br/>
              <w:t>herewith</w:t>
            </w:r>
          </w:p>
        </w:tc>
      </w:tr>
      <w:tr>
        <w:trPr/>
        <w:tc>
          <w:tcPr>
            <w:tcW w:w="724"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c>
          <w:tcPr>
            <w:tcW w:w="346" w:type="dxa"/>
            <w:tcBorders/>
            <w:vAlign w:val="center"/>
          </w:tcPr>
          <w:p>
            <w:pPr>
              <w:pStyle w:val="TableHeading"/>
              <w:bidi w:val="0"/>
              <w:spacing w:before="0" w:after="0"/>
              <w:ind w:left="0" w:right="0" w:hanging="0"/>
              <w:jc w:val="left"/>
              <w:rPr/>
            </w:pPr>
            <w:r>
              <w:rPr/>
              <w:t>​</w:t>
            </w:r>
          </w:p>
        </w:tc>
        <w:tc>
          <w:tcPr>
            <w:tcW w:w="4129"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51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735"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615"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46" w:type="dxa"/>
            <w:tcBorders/>
            <w:vAlign w:val="center"/>
          </w:tcPr>
          <w:p>
            <w:pPr>
              <w:pStyle w:val="TableHeading"/>
              <w:bidi w:val="0"/>
              <w:spacing w:before="0" w:after="0"/>
              <w:ind w:left="0" w:right="0" w:hanging="0"/>
              <w:jc w:val="left"/>
              <w:rPr/>
            </w:pPr>
            <w:r>
              <w:rPr/>
              <w:t>​</w:t>
            </w:r>
          </w:p>
        </w:tc>
        <w:tc>
          <w:tcPr>
            <w:tcW w:w="784" w:type="dxa"/>
            <w:gridSpan w:val="2"/>
            <w:tcBorders>
              <w:top w:val="single" w:sz="2" w:space="0" w:color="000000"/>
            </w:tcBorders>
            <w:tcMar>
              <w:top w:w="28" w:type="dxa"/>
            </w:tcMar>
            <w:vAlign w:val="center"/>
          </w:tcPr>
          <w:p>
            <w:pPr>
              <w:pStyle w:val="TableHeading"/>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16.1</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Letter from Marcum LLP dated August 12, 2025</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16.1</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8/12/25</w:t>
            </w:r>
          </w:p>
        </w:tc>
        <w:tc>
          <w:tcPr>
            <w:tcW w:w="346" w:type="dxa"/>
            <w:tcBorders/>
            <w:vAlign w:val="center"/>
          </w:tcPr>
          <w:p>
            <w:pPr>
              <w:pStyle w:val="TableContents"/>
              <w:bidi w:val="0"/>
              <w:spacing w:before="0" w:after="0"/>
              <w:ind w:left="0" w:right="0" w:hanging="0"/>
              <w:jc w:val="left"/>
              <w:rPr/>
            </w:pPr>
            <w:r>
              <w:rPr/>
              <w:t>​</w:t>
            </w:r>
          </w:p>
        </w:tc>
        <w:tc>
          <w:tcPr>
            <w:tcW w:w="784" w:type="dxa"/>
            <w:gridSpan w:val="2"/>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4" w:type="dxa"/>
            <w:gridSpan w:val="2"/>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19.1</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Insider Trading Policy</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19.1</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3/31/25</w:t>
            </w:r>
          </w:p>
        </w:tc>
        <w:tc>
          <w:tcPr>
            <w:tcW w:w="346" w:type="dxa"/>
            <w:tcBorders/>
            <w:vAlign w:val="center"/>
          </w:tcPr>
          <w:p>
            <w:pPr>
              <w:pStyle w:val="TableContents"/>
              <w:bidi w:val="0"/>
              <w:spacing w:before="0" w:after="0"/>
              <w:ind w:left="0" w:right="0" w:hanging="0"/>
              <w:jc w:val="left"/>
              <w:rPr/>
            </w:pPr>
            <w:r>
              <w:rPr/>
              <w:t>​</w:t>
            </w:r>
          </w:p>
        </w:tc>
        <w:tc>
          <w:tcPr>
            <w:tcW w:w="784" w:type="dxa"/>
            <w:gridSpan w:val="2"/>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84" w:type="dxa"/>
            <w:gridSpan w:val="2"/>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hyperlink w:anchor="mrkr-20251231xex21d1.htm">
              <w:r>
                <w:rPr>
                  <w:rStyle w:val="InternetLink"/>
                  <w:rFonts w:ascii="Times New Roman;Times;serif" w:hAnsi="Times New Roman;Times;serif"/>
                  <w:b w:val="false"/>
                  <w:i w:val="false"/>
                  <w:caps w:val="false"/>
                  <w:smallCaps w:val="false"/>
                  <w:sz w:val="20"/>
                </w:rPr>
                <w:t>List of Subsidiaries</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hyperlink w:anchor="mrkr-20251231xex23d1.htm">
              <w:r>
                <w:rPr>
                  <w:rStyle w:val="InternetLink"/>
                  <w:rFonts w:ascii="Times New Roman;Times;serif" w:hAnsi="Times New Roman;Times;serif"/>
                  <w:b w:val="false"/>
                  <w:i w:val="false"/>
                  <w:caps w:val="false"/>
                  <w:smallCaps w:val="false"/>
                  <w:sz w:val="20"/>
                </w:rPr>
                <w:t>Consent of Marcum LLP, an independent public accounting firm.</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23.2</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hyperlink w:anchor="mrkr-20251231xex23d2.htm">
              <w:r>
                <w:rPr>
                  <w:rStyle w:val="InternetLink"/>
                  <w:rFonts w:ascii="Times New Roman;Times;serif" w:hAnsi="Times New Roman;Times;serif"/>
                  <w:b w:val="false"/>
                  <w:i w:val="false"/>
                  <w:caps w:val="false"/>
                  <w:smallCaps w:val="false"/>
                  <w:sz w:val="20"/>
                </w:rPr>
                <w:t>Consent of CBIZ CPAs, an independent public accounting firm.</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24.1</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hyperlink w:anchor="SIGNATURES_412578">
              <w:r>
                <w:rPr>
                  <w:rStyle w:val="InternetLink"/>
                  <w:rFonts w:ascii="Times New Roman;Times;serif" w:hAnsi="Times New Roman;Times;serif"/>
                  <w:b w:val="false"/>
                  <w:i w:val="false"/>
                  <w:caps w:val="false"/>
                  <w:smallCaps w:val="false"/>
                  <w:sz w:val="20"/>
                </w:rPr>
                <w:t>Powers of Attorney (included on signature page)</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hyperlink w:anchor="mrkr-20251231xex31d1.htm">
              <w:r>
                <w:rPr>
                  <w:rStyle w:val="InternetLink"/>
                  <w:rFonts w:ascii="Times New Roman;Times;serif" w:hAnsi="Times New Roman;Times;serif"/>
                  <w:b w:val="false"/>
                  <w:i w:val="false"/>
                  <w:caps w:val="false"/>
                  <w:smallCaps w:val="false"/>
                  <w:sz w:val="20"/>
                </w:rPr>
                <w:t>Certification of Chief Executive Officer pursuant to Securities Exchange Act of 1934 Rule 13a-14(a) or 15d-14a</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hyperlink w:anchor="mrkr-20251231xex31d2.htm">
              <w:r>
                <w:rPr>
                  <w:rStyle w:val="InternetLink"/>
                  <w:rFonts w:ascii="Times New Roman;Times;serif" w:hAnsi="Times New Roman;Times;serif"/>
                  <w:b w:val="false"/>
                  <w:i w:val="false"/>
                  <w:caps w:val="false"/>
                  <w:smallCaps w:val="false"/>
                  <w:sz w:val="20"/>
                </w:rPr>
                <w:t>Certification of Chief Financial Officer pursuant to Securities Exchange Act of 1934 Rule 13a-14(a) or 15d-14a</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hyperlink w:anchor="mrkr-20251231xex32d1.htm">
              <w:r>
                <w:rPr>
                  <w:rStyle w:val="InternetLink"/>
                  <w:rFonts w:ascii="Times New Roman;Times;serif" w:hAnsi="Times New Roman;Times;serif"/>
                  <w:b w:val="false"/>
                  <w:i w:val="false"/>
                  <w:caps w:val="false"/>
                  <w:smallCaps w:val="false"/>
                  <w:sz w:val="20"/>
                </w:rPr>
                <w:t>Certification of Chief Executive Officer pursuant to 18 U. S. C. Section 1350 as adopted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hyperlink w:anchor="mrkr-20251231xex32d2.htm">
              <w:r>
                <w:rPr>
                  <w:rStyle w:val="InternetLink"/>
                  <w:rFonts w:ascii="Times New Roman;Times;serif" w:hAnsi="Times New Roman;Times;serif"/>
                  <w:b w:val="false"/>
                  <w:i w:val="false"/>
                  <w:caps w:val="false"/>
                  <w:smallCaps w:val="false"/>
                  <w:sz w:val="20"/>
                </w:rPr>
                <w:t>Certification of Chief Financial Officer pursuant to 18 U. S. C. Section 1350 as adopted pursuant to Section 906 of the Sarbanes-Oxley Act of 2002#</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Incentive Compensation Recoupment Policy</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3/25/24</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r>
        <w:trPr/>
        <w:tc>
          <w:tcPr>
            <w:tcW w:w="7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4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 filed herewith)</w:t>
            </w:r>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3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center"/>
              <w:rPr/>
            </w:pPr>
            <w:r>
              <w:rPr/>
              <w:t>​</w:t>
            </w:r>
          </w:p>
        </w:tc>
      </w:tr>
    </w:tbl>
    <w:tbl>
      <w:tblPr>
        <w:tblW w:w="6092" w:type="dxa"/>
        <w:jc w:val="left"/>
        <w:tblInd w:w="0" w:type="dxa"/>
        <w:tblLayout w:type="fixed"/>
        <w:tblCellMar>
          <w:top w:w="0" w:type="dxa"/>
          <w:left w:w="0" w:type="dxa"/>
          <w:bottom w:w="0" w:type="dxa"/>
          <w:right w:w="0" w:type="dxa"/>
        </w:tblCellMar>
      </w:tblPr>
      <w:tblGrid>
        <w:gridCol w:w="226"/>
        <w:gridCol w:w="5866"/>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58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Executive 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Confidential treatment has been granted as to certain portions of this exhibit pursuant to Rule 406 of the Securities Act of 1933, as amended, or Rule 24b-2 of the Securities Exchange Act of 1934, as amended.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8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Portions of this exhibit (indicated by asterisks) have been omitted pursuant to a request for conditional treatment and this exhibit has been submitted separately with the SEC.</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tc>
      </w:tr>
    </w:tbl>
    <w:p>
      <w:pPr>
        <w:pStyle w:val="TextBody"/>
        <w:bidi w:val="0"/>
        <w:spacing w:before="0" w:after="240"/>
        <w:ind w:left="0" w:right="0" w:hanging="0"/>
        <w:jc w:val="left"/>
        <w:rPr>
          <w:rFonts w:ascii="Times New Roman;Times;serif" w:hAnsi="Times New Roman;Times;serif"/>
          <w:b/>
          <w:sz w:val="20"/>
        </w:rPr>
      </w:pPr>
      <w:bookmarkStart w:id="108" w:name="ITEM16FORM10KSUMMARY_680075"/>
      <w:bookmarkStart w:id="109" w:name="_4d5bcd66_00fe_4f67_94ee_5c070c32d0d9"/>
      <w:bookmarkEnd w:id="108"/>
      <w:bookmarkEnd w:id="109"/>
      <w:r>
        <w:rPr>
          <w:rFonts w:ascii="Times New Roman;Times;serif" w:hAnsi="Times New Roman;Times;serif"/>
          <w:b/>
          <w:sz w:val="20"/>
        </w:rPr>
        <w:t>ITEM 16. FORM 10-K SUMMARY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0" w:name="SIGNATURES_412578"/>
      <w:bookmarkStart w:id="111" w:name="_74eb54c2_1733_4e5e_b926_3aa6c4b7174b"/>
      <w:bookmarkEnd w:id="110"/>
      <w:bookmarkEnd w:id="111"/>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and 15 (d) of the Securities Exchange Act of 1934, the registrant has duly caused this report to be signed on its behalf by the undersigned, thereunto duly authorized.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Dated: March 18,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1"/>
        <w:gridCol w:w="400"/>
        <w:gridCol w:w="9564"/>
      </w:tblGrid>
      <w:tr>
        <w:trPr/>
        <w:tc>
          <w:tcPr>
            <w:tcW w:w="241" w:type="dxa"/>
            <w:tcBorders/>
            <w:vAlign w:val="center"/>
          </w:tcPr>
          <w:p>
            <w:pPr>
              <w:pStyle w:val="TableContents"/>
              <w:bidi w:val="0"/>
              <w:spacing w:before="0" w:after="283"/>
              <w:ind w:left="0" w:right="0" w:hanging="0"/>
              <w:jc w:val="left"/>
              <w:rPr>
                <w:sz w:val="4"/>
                <w:szCs w:val="4"/>
              </w:rPr>
            </w:pPr>
            <w:r>
              <w:rPr>
                <w:sz w:val="4"/>
                <w:szCs w:val="4"/>
              </w:rPr>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54000" cy="29210"/>
                      <wp:effectExtent l="0" t="0" r="0" b="0"/>
                      <wp:wrapNone/>
                      <wp:docPr id="55" name="Frame46"/>
                      <a:graphic xmlns:a="http://schemas.openxmlformats.org/drawingml/2006/main">
                        <a:graphicData uri="http://schemas.microsoft.com/office/word/2010/wordprocessingShape">
                          <wps:wsp>
                            <wps:cNvSpPr txBox="1"/>
                            <wps:spPr>
                              <a:xfrm>
                                <a:off x="0" y="0"/>
                                <a:ext cx="2540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564" w:type="dxa"/>
            <w:tcBorders/>
            <w:vAlign w:val="center"/>
          </w:tcPr>
          <w:p>
            <w:pPr>
              <w:pStyle w:val="TableContents"/>
              <w:bidi w:val="0"/>
              <w:spacing w:before="0" w:after="283"/>
              <w:ind w:left="0" w:right="0" w:hanging="0"/>
              <w:jc w:val="left"/>
              <w:rPr>
                <w:sz w:val="4"/>
                <w:szCs w:val="4"/>
              </w:rPr>
            </w:pPr>
            <w:r>
              <w:rPr>
                <w:sz w:val="4"/>
                <w:szCs w:val="4"/>
              </w:rPr>
            </w:r>
          </w:p>
        </w:tc>
      </w:tr>
      <w:tr>
        <w:trPr/>
        <w:tc>
          <w:tcPr>
            <w:tcW w:w="241" w:type="dxa"/>
            <w:tcBorders/>
            <w:vAlign w:val="center"/>
          </w:tcPr>
          <w:p>
            <w:pPr>
              <w:pStyle w:val="TableContents"/>
              <w:bidi w:val="0"/>
              <w:spacing w:before="0" w:after="0"/>
              <w:ind w:left="0" w:right="0" w:hanging="0"/>
              <w:jc w:val="left"/>
              <w:rPr/>
            </w:pPr>
            <w:r>
              <w:rPr/>
              <w:t>  ​</w:t>
            </w:r>
          </w:p>
        </w:tc>
        <w:tc>
          <w:tcPr>
            <w:tcW w:w="996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Marker Therapeutics, Inc.</w:t>
            </w:r>
          </w:p>
        </w:tc>
      </w:tr>
      <w:tr>
        <w:trPr/>
        <w:tc>
          <w:tcPr>
            <w:tcW w:w="241" w:type="dxa"/>
            <w:tcBorders/>
            <w:vAlign w:val="center"/>
          </w:tcPr>
          <w:p>
            <w:pPr>
              <w:pStyle w:val="TableContents"/>
              <w:bidi w:val="0"/>
              <w:spacing w:before="0" w:after="0"/>
              <w:ind w:left="0" w:right="0" w:hanging="0"/>
              <w:jc w:val="left"/>
              <w:rPr/>
            </w:pPr>
            <w:r>
              <w:rPr/>
              <w:t> </w:t>
            </w:r>
          </w:p>
        </w:tc>
        <w:tc>
          <w:tcPr>
            <w:tcW w:w="9964" w:type="dxa"/>
            <w:gridSpan w:val="2"/>
            <w:tcBorders/>
            <w:vAlign w:val="center"/>
          </w:tcPr>
          <w:p>
            <w:pPr>
              <w:pStyle w:val="TableContents"/>
              <w:bidi w:val="0"/>
              <w:spacing w:before="0" w:after="0"/>
              <w:ind w:left="0" w:right="0" w:hanging="0"/>
              <w:jc w:val="left"/>
              <w:rPr/>
            </w:pPr>
            <w:r>
              <w:rPr/>
              <w:t> </w:t>
            </w:r>
          </w:p>
        </w:tc>
      </w:tr>
      <w:tr>
        <w:trPr/>
        <w:tc>
          <w:tcPr>
            <w:tcW w:w="241"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9564"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Juan Vera</w:t>
            </w:r>
          </w:p>
        </w:tc>
      </w:tr>
      <w:tr>
        <w:trPr/>
        <w:tc>
          <w:tcPr>
            <w:tcW w:w="241"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 </w:t>
            </w:r>
          </w:p>
        </w:tc>
        <w:tc>
          <w:tcPr>
            <w:tcW w:w="9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Juan Vera</w:t>
            </w:r>
          </w:p>
        </w:tc>
      </w:tr>
      <w:tr>
        <w:trPr/>
        <w:tc>
          <w:tcPr>
            <w:tcW w:w="241" w:type="dxa"/>
            <w:tcBorders/>
            <w:vAlign w:val="center"/>
          </w:tcPr>
          <w:p>
            <w:pPr>
              <w:pStyle w:val="TableContents"/>
              <w:bidi w:val="0"/>
              <w:spacing w:before="0" w:after="0"/>
              <w:ind w:left="0" w:right="0" w:hanging="0"/>
              <w:jc w:val="left"/>
              <w:rPr/>
            </w:pPr>
            <w:r>
              <w:rPr/>
              <w:t> </w:t>
            </w:r>
          </w:p>
        </w:tc>
        <w:tc>
          <w:tcPr>
            <w:tcW w:w="400" w:type="dxa"/>
            <w:tcBorders/>
            <w:vAlign w:val="center"/>
          </w:tcPr>
          <w:p>
            <w:pPr>
              <w:pStyle w:val="TableContents"/>
              <w:bidi w:val="0"/>
              <w:spacing w:before="0" w:after="0"/>
              <w:ind w:left="0" w:right="0" w:hanging="0"/>
              <w:jc w:val="left"/>
              <w:rPr/>
            </w:pPr>
            <w:r>
              <w:rPr/>
              <w:t> </w:t>
            </w:r>
          </w:p>
        </w:tc>
        <w:tc>
          <w:tcPr>
            <w:tcW w:w="95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Treasurer (Principal Executive Officer and Principal Financial and Accounting Officer)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POWER OF ATTORNEY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of the undersigned officers and directors of Marker Therapeutics, Inc., hereby constitutes and appoints Juan Vera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March 28, 2026 on behalf of the registrant and in the capacities indicated.</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29"/>
        <w:gridCol w:w="346"/>
        <w:gridCol w:w="6633"/>
        <w:gridCol w:w="346"/>
        <w:gridCol w:w="1059"/>
        <w:gridCol w:w="192"/>
      </w:tblGrid>
      <w:tr>
        <w:trPr/>
        <w:tc>
          <w:tcPr>
            <w:tcW w:w="1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034415" cy="29210"/>
                      <wp:effectExtent l="0" t="0" r="0" b="0"/>
                      <wp:wrapNone/>
                      <wp:docPr id="56" name="Frame47"/>
                      <a:graphic xmlns:a="http://schemas.openxmlformats.org/drawingml/2006/main">
                        <a:graphicData uri="http://schemas.microsoft.com/office/word/2010/wordprocessingShape">
                          <wps:wsp>
                            <wps:cNvSpPr txBox="1"/>
                            <wps:spPr>
                              <a:xfrm>
                                <a:off x="0" y="0"/>
                                <a:ext cx="10344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29210"/>
                      <wp:effectExtent l="0" t="0" r="0" b="0"/>
                      <wp:wrapNone/>
                      <wp:docPr id="57" name="Frame4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211955" cy="29210"/>
                      <wp:effectExtent l="0" t="0" r="0" b="0"/>
                      <wp:wrapNone/>
                      <wp:docPr id="58" name="Frame49"/>
                      <a:graphic xmlns:a="http://schemas.openxmlformats.org/drawingml/2006/main">
                        <a:graphicData uri="http://schemas.microsoft.com/office/word/2010/wordprocessingShape">
                          <wps:wsp>
                            <wps:cNvSpPr txBox="1"/>
                            <wps:spPr>
                              <a:xfrm>
                                <a:off x="0" y="0"/>
                                <a:ext cx="42119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29210"/>
                      <wp:effectExtent l="0" t="0" r="0" b="0"/>
                      <wp:wrapNone/>
                      <wp:docPr id="59" name="Frame5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72465" cy="29210"/>
                      <wp:effectExtent l="0" t="0" r="0" b="0"/>
                      <wp:wrapNone/>
                      <wp:docPr id="60" name="Frame51"/>
                      <a:graphic xmlns:a="http://schemas.openxmlformats.org/drawingml/2006/main">
                        <a:graphicData uri="http://schemas.microsoft.com/office/word/2010/wordprocessingShape">
                          <wps:wsp>
                            <wps:cNvSpPr txBox="1"/>
                            <wps:spPr>
                              <a:xfrm>
                                <a:off x="0" y="0"/>
                                <a:ext cx="6724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1920" cy="29210"/>
                      <wp:effectExtent l="0" t="0" r="0" b="0"/>
                      <wp:wrapNone/>
                      <wp:docPr id="61" name="Frame52"/>
                      <a:graphic xmlns:a="http://schemas.openxmlformats.org/drawingml/2006/main">
                        <a:graphicData uri="http://schemas.microsoft.com/office/word/2010/wordprocessingShape">
                          <wps:wsp>
                            <wps:cNvSpPr txBox="1"/>
                            <wps:spPr>
                              <a:xfrm>
                                <a:off x="0" y="0"/>
                                <a:ext cx="1219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Signature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66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Title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629" w:type="dxa"/>
            <w:tcBorders>
              <w:top w:val="single" w:sz="2" w:space="0" w:color="000000"/>
              <w:bottom w:val="single" w:sz="2" w:space="0" w:color="000000"/>
            </w:tcBorders>
            <w:tcMar>
              <w:top w:w="28" w:type="dxa"/>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Juan Vera</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Treasurer, Director (Principal Executive Officer and Principal Financial and Accounting Officer)</w:t>
            </w:r>
          </w:p>
        </w:tc>
        <w:tc>
          <w:tcPr>
            <w:tcW w:w="346" w:type="dxa"/>
            <w:tcBorders/>
            <w:vAlign w:val="center"/>
          </w:tcPr>
          <w:p>
            <w:pPr>
              <w:pStyle w:val="TableContents"/>
              <w:bidi w:val="0"/>
              <w:spacing w:before="0" w:after="0"/>
              <w:ind w:left="0" w:right="0" w:hanging="0"/>
              <w:jc w:val="left"/>
              <w:rPr/>
            </w:pPr>
            <w:r>
              <w:rPr/>
              <w:t>​</w:t>
            </w:r>
          </w:p>
        </w:tc>
        <w:tc>
          <w:tcPr>
            <w:tcW w:w="105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18, 2026</w:t>
            </w:r>
          </w:p>
        </w:tc>
        <w:tc>
          <w:tcPr>
            <w:tcW w:w="192" w:type="dxa"/>
            <w:tcBorders/>
            <w:vAlign w:val="center"/>
          </w:tcPr>
          <w:p>
            <w:pPr>
              <w:pStyle w:val="TableContents"/>
              <w:bidi w:val="0"/>
              <w:spacing w:before="0" w:after="0"/>
              <w:ind w:left="0" w:right="0" w:hanging="0"/>
              <w:jc w:val="left"/>
              <w:rPr/>
            </w:pPr>
            <w:r>
              <w:rPr/>
              <w:t>​</w:t>
            </w:r>
          </w:p>
        </w:tc>
      </w:tr>
      <w:tr>
        <w:trPr/>
        <w:tc>
          <w:tcPr>
            <w:tcW w:w="1629"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Juan Vera</w:t>
            </w:r>
          </w:p>
        </w:tc>
        <w:tc>
          <w:tcPr>
            <w:tcW w:w="346" w:type="dxa"/>
            <w:tcBorders/>
            <w:vAlign w:val="center"/>
          </w:tcPr>
          <w:p>
            <w:pPr>
              <w:pStyle w:val="TableContents"/>
              <w:bidi w:val="0"/>
              <w:spacing w:before="0" w:after="0"/>
              <w:ind w:left="0" w:right="0" w:hanging="0"/>
              <w:jc w:val="left"/>
              <w:rPr/>
            </w:pPr>
            <w:r>
              <w:rPr/>
              <w:t>​</w:t>
            </w:r>
          </w:p>
        </w:tc>
        <w:tc>
          <w:tcPr>
            <w:tcW w:w="66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16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1629"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 David Eansor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18, 2026</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29"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 David Eansor</w:t>
            </w:r>
          </w:p>
        </w:tc>
        <w:tc>
          <w:tcPr>
            <w:tcW w:w="346" w:type="dxa"/>
            <w:tcBorders/>
            <w:vAlign w:val="center"/>
          </w:tcPr>
          <w:p>
            <w:pPr>
              <w:pStyle w:val="TableContents"/>
              <w:bidi w:val="0"/>
              <w:spacing w:before="0" w:after="0"/>
              <w:ind w:left="0" w:right="0" w:hanging="0"/>
              <w:jc w:val="left"/>
              <w:rPr/>
            </w:pPr>
            <w:r>
              <w:rPr/>
              <w:t>​</w:t>
            </w:r>
          </w:p>
        </w:tc>
        <w:tc>
          <w:tcPr>
            <w:tcW w:w="66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16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1629"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Katharine Knobil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18, 2026</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29"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Katharine Knobil</w:t>
            </w:r>
          </w:p>
        </w:tc>
        <w:tc>
          <w:tcPr>
            <w:tcW w:w="346" w:type="dxa"/>
            <w:tcBorders/>
            <w:vAlign w:val="center"/>
          </w:tcPr>
          <w:p>
            <w:pPr>
              <w:pStyle w:val="TableContents"/>
              <w:bidi w:val="0"/>
              <w:spacing w:before="0" w:after="0"/>
              <w:ind w:left="0" w:right="0" w:hanging="0"/>
              <w:jc w:val="left"/>
              <w:rPr/>
            </w:pPr>
            <w:r>
              <w:rPr/>
              <w:t>​</w:t>
            </w:r>
          </w:p>
        </w:tc>
        <w:tc>
          <w:tcPr>
            <w:tcW w:w="66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16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1629"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 Elms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18, 2026</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29"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 Elms</w:t>
            </w:r>
          </w:p>
        </w:tc>
        <w:tc>
          <w:tcPr>
            <w:tcW w:w="346" w:type="dxa"/>
            <w:tcBorders/>
            <w:vAlign w:val="center"/>
          </w:tcPr>
          <w:p>
            <w:pPr>
              <w:pStyle w:val="TableContents"/>
              <w:bidi w:val="0"/>
              <w:spacing w:before="0" w:after="0"/>
              <w:ind w:left="0" w:right="0" w:hanging="0"/>
              <w:jc w:val="left"/>
              <w:rPr/>
            </w:pPr>
            <w:r>
              <w:rPr/>
              <w:t>​</w:t>
            </w:r>
          </w:p>
        </w:tc>
        <w:tc>
          <w:tcPr>
            <w:tcW w:w="66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162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162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Kathryn Penkus Corzo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6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18, 2026</w:t>
            </w:r>
          </w:p>
        </w:tc>
        <w:tc>
          <w:tcPr>
            <w:tcW w:w="1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2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Kathryn Penkus Corzo</w:t>
            </w:r>
          </w:p>
        </w:tc>
        <w:tc>
          <w:tcPr>
            <w:tcW w:w="346" w:type="dxa"/>
            <w:tcBorders/>
            <w:vAlign w:val="center"/>
          </w:tcPr>
          <w:p>
            <w:pPr>
              <w:pStyle w:val="TableContents"/>
              <w:bidi w:val="0"/>
              <w:spacing w:before="0" w:after="0"/>
              <w:ind w:left="0" w:right="0" w:hanging="0"/>
              <w:jc w:val="left"/>
              <w:rPr/>
            </w:pPr>
            <w:r>
              <w:rPr/>
              <w:t>​</w:t>
            </w:r>
          </w:p>
        </w:tc>
        <w:tc>
          <w:tcPr>
            <w:tcW w:w="66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9"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2" w:name="_0622b7b8_7a63_4147_ab62_a6d1ecc7da7c"/>
      <w:bookmarkEnd w:id="112"/>
      <w:r>
        <w:rPr>
          <w:rFonts w:ascii="Times New Roman;Times;serif" w:hAnsi="Times New Roman;Times;serif"/>
          <w:b/>
          <w:sz w:val="20"/>
        </w:rPr>
        <w:t>MARKER THERAPEUTICS, INC.</w:t>
      </w:r>
    </w:p>
    <w:p>
      <w:pPr>
        <w:pStyle w:val="TextBody"/>
        <w:bidi w:val="0"/>
        <w:spacing w:before="0" w:after="240"/>
        <w:ind w:left="0" w:right="0" w:hanging="0"/>
        <w:jc w:val="center"/>
        <w:rPr>
          <w:rFonts w:ascii="Times New Roman;Times;serif" w:hAnsi="Times New Roman;Times;serif"/>
          <w:b/>
          <w:sz w:val="20"/>
        </w:rPr>
      </w:pPr>
      <w:bookmarkStart w:id="113" w:name="CONSOLIDATEDFINANCIALSTATEMENTS_582912"/>
      <w:bookmarkEnd w:id="113"/>
      <w:r>
        <w:rPr>
          <w:rFonts w:ascii="Times New Roman;Times;serif" w:hAnsi="Times New Roman;Times;serif"/>
          <w:b/>
          <w:sz w:val="20"/>
        </w:rPr>
        <w:t>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DECEMBER 31, 2025 AND DECEMBER 31, 2024</w:t>
      </w:r>
    </w:p>
    <w:tbl>
      <w:tblPr>
        <w:tblW w:w="8118" w:type="dxa"/>
        <w:jc w:val="left"/>
        <w:tblInd w:w="0" w:type="dxa"/>
        <w:tblLayout w:type="fixed"/>
        <w:tblCellMar>
          <w:top w:w="0" w:type="dxa"/>
          <w:left w:w="0" w:type="dxa"/>
          <w:bottom w:w="0" w:type="dxa"/>
          <w:right w:w="0" w:type="dxa"/>
        </w:tblCellMar>
      </w:tblPr>
      <w:tblGrid>
        <w:gridCol w:w="7246"/>
        <w:gridCol w:w="346"/>
        <w:gridCol w:w="526"/>
      </w:tblGrid>
      <w:tr>
        <w:trPr/>
        <w:tc>
          <w:tcPr>
            <w:tcW w:w="72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r>
      <w:tr>
        <w:trPr/>
        <w:tc>
          <w:tcPr>
            <w:tcW w:w="7246" w:type="dxa"/>
            <w:tcBorders/>
            <w:vAlign w:val="center"/>
          </w:tcPr>
          <w:p>
            <w:pPr>
              <w:pStyle w:val="TableContents"/>
              <w:bidi w:val="0"/>
              <w:spacing w:before="0" w:after="0"/>
              <w:ind w:left="0" w:right="0" w:hanging="0"/>
              <w:jc w:val="left"/>
              <w:rPr/>
            </w:pPr>
            <w:hyperlink w:anchor="REPORTOFINDEPENDENT_817318">
              <w:r>
                <w:rPr>
                  <w:rStyle w:val="InternetLink"/>
                  <w:rFonts w:ascii="Times New Roman;Times;serif" w:hAnsi="Times New Roman;Times;serif"/>
                  <w:b/>
                  <w:i w:val="false"/>
                  <w:caps w:val="false"/>
                  <w:smallCaps w:val="false"/>
                  <w:sz w:val="20"/>
                </w:rPr>
                <w:t>Report of Independent Registered Public Accounting Firm</w:t>
              </w:r>
            </w:hyperlink>
            <w:r>
              <w:rPr>
                <w:rFonts w:ascii="Times New Roman;Times;serif" w:hAnsi="Times New Roman;Times;serif"/>
                <w:sz w:val="20"/>
              </w:rPr>
              <w:t xml:space="preserve"> </w:t>
            </w:r>
            <w:r>
              <w:rPr>
                <w:rFonts w:ascii="Times New Roman;Times;serif" w:hAnsi="Times New Roman;Times;serif"/>
                <w:b/>
                <w:sz w:val="20"/>
              </w:rPr>
              <w:t xml:space="preserve">(PCAOB ID Number 688) </w:t>
            </w:r>
          </w:p>
        </w:tc>
        <w:tc>
          <w:tcPr>
            <w:tcW w:w="346" w:type="dxa"/>
            <w:tcBorders/>
            <w:vAlign w:val="center"/>
          </w:tcPr>
          <w:p>
            <w:pPr>
              <w:pStyle w:val="TableContents"/>
              <w:bidi w:val="0"/>
              <w:spacing w:before="0" w:after="0"/>
              <w:ind w:left="0" w:right="0" w:hanging="0"/>
              <w:jc w:val="left"/>
              <w:rPr/>
            </w:pPr>
            <w:r>
              <w:rPr/>
              <w:t>  ​ ​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7246"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i w:val="false"/>
                  <w:caps w:val="false"/>
                  <w:smallCaps w:val="false"/>
                  <w:sz w:val="20"/>
                </w:rPr>
                <w:t>Report of Independent Registered Public Accounting Firm</w:t>
              </w:r>
            </w:hyperlink>
            <w:r>
              <w:rPr>
                <w:rFonts w:ascii="Times New Roman;Times;serif" w:hAnsi="Times New Roman;Times;serif"/>
                <w:sz w:val="20"/>
              </w:rPr>
              <w:t xml:space="preserve"> </w:t>
            </w:r>
            <w:r>
              <w:rPr>
                <w:rFonts w:ascii="Times New Roman;Times;serif" w:hAnsi="Times New Roman;Times;serif"/>
                <w:b/>
                <w:sz w:val="20"/>
              </w:rPr>
              <w:t>(PCAOB ID Number 199)</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7246" w:type="dxa"/>
            <w:tcBorders/>
            <w:vAlign w:val="center"/>
          </w:tcPr>
          <w:p>
            <w:pPr>
              <w:pStyle w:val="TableContents"/>
              <w:bidi w:val="0"/>
              <w:spacing w:before="0" w:after="0"/>
              <w:ind w:left="0" w:right="0" w:hanging="0"/>
              <w:jc w:val="left"/>
              <w:rPr/>
            </w:pPr>
            <w:hyperlink w:anchor="CONSOLIDATEDBALANCESHEETS_711572">
              <w:r>
                <w:rPr>
                  <w:rStyle w:val="InternetLink"/>
                  <w:rFonts w:ascii="Times New Roman;Times;serif" w:hAnsi="Times New Roman;Times;serif"/>
                  <w:b/>
                  <w:i w:val="false"/>
                  <w:caps w:val="false"/>
                  <w:smallCaps w:val="false"/>
                  <w:sz w:val="20"/>
                </w:rPr>
                <w:t>Consolidated Balance Sheets</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7246" w:type="dxa"/>
            <w:tcBorders/>
            <w:vAlign w:val="center"/>
          </w:tcPr>
          <w:p>
            <w:pPr>
              <w:pStyle w:val="TableContents"/>
              <w:bidi w:val="0"/>
              <w:spacing w:before="0" w:after="0"/>
              <w:ind w:left="0" w:right="0" w:hanging="0"/>
              <w:jc w:val="left"/>
              <w:rPr/>
            </w:pPr>
            <w:hyperlink w:anchor="CONSOLIDATEDSTATEMENTSOFOPERATIONS_85122">
              <w:r>
                <w:rPr>
                  <w:rStyle w:val="InternetLink"/>
                  <w:rFonts w:ascii="Times New Roman;Times;serif" w:hAnsi="Times New Roman;Times;serif"/>
                  <w:b/>
                  <w:i w:val="false"/>
                  <w:caps w:val="false"/>
                  <w:smallCaps w:val="false"/>
                  <w:sz w:val="20"/>
                </w:rPr>
                <w:t>Consolidated Statements of Operations</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7246"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i w:val="false"/>
                  <w:caps w:val="false"/>
                  <w:smallCaps w:val="false"/>
                  <w:sz w:val="20"/>
                </w:rPr>
                <w:t xml:space="preserve">Consolidated Statements of Stockholders’ Equity </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7246" w:type="dxa"/>
            <w:tcBorders/>
            <w:vAlign w:val="center"/>
          </w:tcPr>
          <w:p>
            <w:pPr>
              <w:pStyle w:val="TableContents"/>
              <w:bidi w:val="0"/>
              <w:spacing w:before="0" w:after="0"/>
              <w:ind w:left="0" w:right="0" w:hanging="0"/>
              <w:jc w:val="left"/>
              <w:rPr/>
            </w:pPr>
            <w:hyperlink w:anchor="CONSOLIDATEDSTATEMENTSOFCASHFLOWS_67365">
              <w:r>
                <w:rPr>
                  <w:rStyle w:val="InternetLink"/>
                  <w:rFonts w:ascii="Times New Roman;Times;serif" w:hAnsi="Times New Roman;Times;serif"/>
                  <w:b/>
                  <w:i w:val="false"/>
                  <w:caps w:val="false"/>
                  <w:smallCaps w:val="false"/>
                  <w:sz w:val="20"/>
                </w:rPr>
                <w:t>Consolidated Statements of Cash Flows</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r>
        <w:trPr/>
        <w:tc>
          <w:tcPr>
            <w:tcW w:w="7246" w:type="dxa"/>
            <w:tcBorders/>
            <w:vAlign w:val="center"/>
          </w:tcPr>
          <w:p>
            <w:pPr>
              <w:pStyle w:val="TableContents"/>
              <w:bidi w:val="0"/>
              <w:spacing w:before="0" w:after="0"/>
              <w:ind w:left="0" w:right="0" w:hanging="0"/>
              <w:jc w:val="left"/>
              <w:rPr/>
            </w:pPr>
            <w:hyperlink w:anchor="NOTESTOCONSOLIDATEDFINANCIALSTATEMENTS_5">
              <w:r>
                <w:rPr>
                  <w:rStyle w:val="InternetLink"/>
                  <w:rFonts w:ascii="Times New Roman;Times;serif" w:hAnsi="Times New Roman;Times;serif"/>
                  <w:b/>
                  <w:i w:val="false"/>
                  <w:caps w:val="false"/>
                  <w:smallCaps w:val="false"/>
                  <w:sz w:val="20"/>
                </w:rPr>
                <w:t>Notes to the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4" w:name="REPORTOFINDEPENDENT_817318"/>
      <w:bookmarkStart w:id="115" w:name="_e23c8ab9_5775_4893_9520_d570de4ff803"/>
      <w:bookmarkEnd w:id="114"/>
      <w:bookmarkEnd w:id="115"/>
      <w:r>
        <w:rPr>
          <w:rFonts w:ascii="Times New Roman;Times;serif" w:hAnsi="Times New Roman;Times;serif"/>
          <w:b/>
          <w:sz w:val="20"/>
        </w:rPr>
        <w:t>REPORT OF INDEPENDENT REGISTERED PUBLIC ACCOUNTING FIRM</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Shareholders and Board of Directors of</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Marker Therapeutics,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audited, before the effects of the retrospective adjustments to the disclosures for the adoption of ASU 2023-09, Income Taxes (Topic 740): Improvements to Income Tax Disclosures (“ASU 2023-09”) as discussed in Notes 3 and 12 to the consolidated financial statements, the accompanying consolidated balance sheet of Marker Therapeutics, Inc. (the “Company”) as of December 31, 2024, the related consolidated statements of operations, stockholders’ equity and cash flows for the year ended December 31, 2024, and the related notes (collectively referred to as the “financial statements”) (the 2024 financial statements before the effects of the adjustments discussed in Notes 3 and 12 to the financial statements are not presented herein). In our opinion the financial statements, before the effects of the retrospective adjustments to the disclosures for the adoption of ASU 2023-09 as discussed in Notes 3 and 12 to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were not engaged to audit, review, or apply any procedures to the retrospective adjustments to the disclosures for the adoption of ASU 2023-09 as discussed in Notes 3 and 12 to the financial statements and, accordingly, we do not express an opinion or any other form of assurance about whether such adjustments are appropriate and have been properly applied. Those retrospective adjustments were audited by CBIZ CPAs P.C.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Explanatory Paragraph – Going Concern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 Marcum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Marcum LLP</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served as the Company’s auditor from 2014 to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Houston, TX</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March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116" w:name="REPORTOFINDEPENDENTREGISTEREDPUBLICACCOU"/>
      <w:bookmarkEnd w:id="116"/>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Stockholders and Board of Directors of</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Marker Therapeutics, Inc.</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 of Marker Therapeutics, Inc. (the “Company”) as of December 31, 2025, the related consolidated statements of operations, stockholders’ equity and cash flows for the year ended Decemebr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discussed in Notes 3 and 12 to the financial statements, the Company adopted ASU 2023-09, Income Taxes (Topic 740): </w:t>
      </w:r>
      <w:r>
        <w:rPr>
          <w:rFonts w:ascii="Times New Roman;Times;serif" w:hAnsi="Times New Roman;Times;serif"/>
          <w:i/>
          <w:sz w:val="20"/>
        </w:rPr>
        <w:t>Improvements to Income Tax Disclosures</w:t>
      </w:r>
      <w:r>
        <w:rPr>
          <w:rFonts w:ascii="Times New Roman;Times;serif" w:hAnsi="Times New Roman;Times;serif"/>
          <w:sz w:val="20"/>
        </w:rPr>
        <w:t> (“ASU 2023-09”). We have also audited the adjustments to the 2024 financial statements to retrospectively adjust the disclosures for the adoption of ASU 2023-09 in 2025. In our opinion, such retrospective adjustments are appropriate and have been properly applied. We were not engaged to audit, review, or apply any procedures to the 2024 financial statements of the Company other than with respect to these retrospective adjustments, and accordingly, we do not express an opinion or any other form of assurance on the 2024 financial statements taken as a whole.</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Explanatory Paragraph – Going Concern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assuming that the Company will continue as a going concern. As more fully described in Note 2, the Company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/s/ CBIZ CPAs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CBIZ CPAs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2014 (such date takes into account the acquisition of the attest business of Marcum llp by CBIZ CPAs P.C. effective November 1, 2024).</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Houston, TX</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March 18, 2026</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17" w:name="_2f166a95_0ea0_4cd1_a511_a16c04f1ac92"/>
      <w:bookmarkEnd w:id="117"/>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118" w:name="CONSOLIDATEDBALANCESHEETS_711572"/>
      <w:bookmarkEnd w:id="118"/>
      <w:r>
        <w:rPr>
          <w:rFonts w:ascii="Times New Roman;Times;serif" w:hAnsi="Times New Roman;Times;serif"/>
          <w:b/>
          <w:sz w:val="20"/>
        </w:rPr>
        <w:t>CONSOLIDATED BALANCE SHEETS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9" w:name="Tc_1LYr7959Ek6zb5pMoD5NHw_26_5"/>
      <w:bookmarkStart w:id="120" w:name="Tc_4zaEsn9UBECd0EGlXFQWTg_26_2"/>
      <w:bookmarkStart w:id="121" w:name="Tc_P6b-K8KEaEixajHD4g_xSA_26_0"/>
      <w:bookmarkStart w:id="122" w:name="Tc_H_AipER710GFEGZIxvxI7A_25_0"/>
      <w:bookmarkStart w:id="123" w:name="Tc_OKFZjNkT1U6UDfAa_prPAg_24_0"/>
      <w:bookmarkStart w:id="124" w:name="Tc_OyUciNq9_0Cwzfl43zV36A_23_0"/>
      <w:bookmarkStart w:id="125" w:name="Tc_lmo01QCZ6UqgKK6wGattGQ_22_0"/>
      <w:bookmarkStart w:id="126" w:name="Tc_s4zOVFISJ0CUtjat-zlx0A_21_0"/>
      <w:bookmarkStart w:id="127" w:name="Tc_8rjSYEbNik-nb_hAOJvdnw_20_0"/>
      <w:bookmarkStart w:id="128" w:name="Tc_xVX7-v7IZUuCoeMf68D9-g_18_0"/>
      <w:bookmarkStart w:id="129" w:name="Tc_ONZv1VsMIkWUsqT5njijng_17_0"/>
      <w:bookmarkStart w:id="130" w:name="Tc_iLCd2l48XUS-z9MkhNSakw_16_6"/>
      <w:bookmarkStart w:id="131" w:name="Tc_w1dOCa0ZXk-VeRPIwNepnA_16_0"/>
      <w:bookmarkStart w:id="132" w:name="Tc_b0cEDVJrHUqD3IUnMwrUiw_15_3"/>
      <w:bookmarkStart w:id="133" w:name="Tc_7LYRi9mHZkGBwGbWfdsEDw_14_5"/>
      <w:bookmarkStart w:id="134" w:name="Tc_XPMuvyas5k65svT2KMSZww_14_2"/>
      <w:bookmarkStart w:id="135" w:name="Tc_F4rT88TlWE6B1-t63m3FGg_14_0"/>
      <w:bookmarkStart w:id="136" w:name="Tc_DWfJk_ViwUOMos8_nNhpqg_13_0"/>
      <w:bookmarkStart w:id="137" w:name="Tc_ZYc1qjnpHEuxwfJY4Mc8Vw_12_0"/>
      <w:bookmarkStart w:id="138" w:name="Tc_plTinRU6K0yC_KT9jip9uA_10_5"/>
      <w:bookmarkStart w:id="139" w:name="Tc_ulrcgZeEOU6Rc5VIuQRQzQ_10_2"/>
      <w:bookmarkStart w:id="140" w:name="Tc_QhbPethwY0KZHkPTEVmufA_10_0"/>
      <w:bookmarkStart w:id="141" w:name="Tc_6vcv1mHtckSzmGpVGLGapg_9_0"/>
      <w:bookmarkStart w:id="142" w:name="Tc_j2Ckro5IL0O-y69j3K9yxg_8_0"/>
      <w:bookmarkStart w:id="143" w:name="Tc_8DKWvRz69UqdiqJR_LMrIA_7_0"/>
      <w:bookmarkStart w:id="144" w:name="Tc_MsDJtK6mZ0emDBeHc9qOvg_6_6"/>
      <w:bookmarkStart w:id="145" w:name="Tc_HTcu9mbHMUiN5siB3zCpQQ_6_0"/>
      <w:bookmarkStart w:id="146" w:name="Tc__yCR5XP2T0STiZdqnQC4Tw_5_5"/>
      <w:bookmarkStart w:id="147" w:name="Tc_2YaFf9Vnb0q8boCVFfzDaw_5_2"/>
      <w:bookmarkStart w:id="148" w:name="Tc_-g5NGR0qYECh45rj8E294Q_5_0"/>
      <w:bookmarkStart w:id="149" w:name="Tc_Wo2wCkgSske8L5UzzTwBZA_4_0"/>
      <w:bookmarkStart w:id="150" w:name="Tc_Liw9yLTQR0W4KC9W5xiieg_3_0"/>
      <w:bookmarkStart w:id="151" w:name="Tc_jI9Ot117V0ae7cDFlZFENQ_2_5"/>
      <w:bookmarkStart w:id="152" w:name="Tc_t7lrOOSNB0y7w0Ul24yRUw_2_2"/>
      <w:bookmarkStart w:id="153" w:name="Tc_Nj3xKtzz5UOKO1rv7kSP0w_1_5"/>
      <w:bookmarkStart w:id="154" w:name="Tc_B6I-1PSMDE6LBx-HRNPuBw_1_2"/>
      <w:bookmarkStart w:id="155" w:name="_85c3d5ca_44ab_45ce_957c_3ef7769313c5"/>
      <w:bookmarkStart w:id="156" w:name="Tc_1LYr7959Ek6zb5pMoD5NHw_26_5"/>
      <w:bookmarkStart w:id="157" w:name="Tc_4zaEsn9UBECd0EGlXFQWTg_26_2"/>
      <w:bookmarkStart w:id="158" w:name="Tc_P6b-K8KEaEixajHD4g_xSA_26_0"/>
      <w:bookmarkStart w:id="159" w:name="Tc_H_AipER710GFEGZIxvxI7A_25_0"/>
      <w:bookmarkStart w:id="160" w:name="Tc_OKFZjNkT1U6UDfAa_prPAg_24_0"/>
      <w:bookmarkStart w:id="161" w:name="Tc_OyUciNq9_0Cwzfl43zV36A_23_0"/>
      <w:bookmarkStart w:id="162" w:name="Tc_lmo01QCZ6UqgKK6wGattGQ_22_0"/>
      <w:bookmarkStart w:id="163" w:name="Tc_s4zOVFISJ0CUtjat-zlx0A_21_0"/>
      <w:bookmarkStart w:id="164" w:name="Tc_8rjSYEbNik-nb_hAOJvdnw_20_0"/>
      <w:bookmarkStart w:id="165" w:name="Tc_xVX7-v7IZUuCoeMf68D9-g_18_0"/>
      <w:bookmarkStart w:id="166" w:name="Tc_ONZv1VsMIkWUsqT5njijng_17_0"/>
      <w:bookmarkStart w:id="167" w:name="Tc_iLCd2l48XUS-z9MkhNSakw_16_6"/>
      <w:bookmarkStart w:id="168" w:name="Tc_w1dOCa0ZXk-VeRPIwNepnA_16_0"/>
      <w:bookmarkStart w:id="169" w:name="Tc_b0cEDVJrHUqD3IUnMwrUiw_15_3"/>
      <w:bookmarkStart w:id="170" w:name="Tc_7LYRi9mHZkGBwGbWfdsEDw_14_5"/>
      <w:bookmarkStart w:id="171" w:name="Tc_XPMuvyas5k65svT2KMSZww_14_2"/>
      <w:bookmarkStart w:id="172" w:name="Tc_F4rT88TlWE6B1-t63m3FGg_14_0"/>
      <w:bookmarkStart w:id="173" w:name="Tc_DWfJk_ViwUOMos8_nNhpqg_13_0"/>
      <w:bookmarkStart w:id="174" w:name="Tc_ZYc1qjnpHEuxwfJY4Mc8Vw_12_0"/>
      <w:bookmarkStart w:id="175" w:name="Tc_plTinRU6K0yC_KT9jip9uA_10_5"/>
      <w:bookmarkStart w:id="176" w:name="Tc_ulrcgZeEOU6Rc5VIuQRQzQ_10_2"/>
      <w:bookmarkStart w:id="177" w:name="Tc_QhbPethwY0KZHkPTEVmufA_10_0"/>
      <w:bookmarkStart w:id="178" w:name="Tc_6vcv1mHtckSzmGpVGLGapg_9_0"/>
      <w:bookmarkStart w:id="179" w:name="Tc_j2Ckro5IL0O-y69j3K9yxg_8_0"/>
      <w:bookmarkStart w:id="180" w:name="Tc_8DKWvRz69UqdiqJR_LMrIA_7_0"/>
      <w:bookmarkStart w:id="181" w:name="Tc_MsDJtK6mZ0emDBeHc9qOvg_6_6"/>
      <w:bookmarkStart w:id="182" w:name="Tc_HTcu9mbHMUiN5siB3zCpQQ_6_0"/>
      <w:bookmarkStart w:id="183" w:name="Tc__yCR5XP2T0STiZdqnQC4Tw_5_5"/>
      <w:bookmarkStart w:id="184" w:name="Tc_2YaFf9Vnb0q8boCVFfzDaw_5_2"/>
      <w:bookmarkStart w:id="185" w:name="Tc_-g5NGR0qYECh45rj8E294Q_5_0"/>
      <w:bookmarkStart w:id="186" w:name="Tc_Wo2wCkgSske8L5UzzTwBZA_4_0"/>
      <w:bookmarkStart w:id="187" w:name="Tc_Liw9yLTQR0W4KC9W5xiieg_3_0"/>
      <w:bookmarkStart w:id="188" w:name="Tc_jI9Ot117V0ae7cDFlZFENQ_2_5"/>
      <w:bookmarkStart w:id="189" w:name="Tc_t7lrOOSNB0y7w0Ul24yRUw_2_2"/>
      <w:bookmarkStart w:id="190" w:name="Tc_Nj3xKtzz5UOKO1rv7kSP0w_1_5"/>
      <w:bookmarkStart w:id="191" w:name="Tc_B6I-1PSMDE6LBx-HRNPuBw_1_2"/>
      <w:bookmarkStart w:id="192" w:name="_85c3d5ca_44ab_45ce_957c_3ef7769313c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tbl>
      <w:tblPr>
        <w:tblW w:w="10205" w:type="dxa"/>
        <w:jc w:val="left"/>
        <w:tblInd w:w="0" w:type="dxa"/>
        <w:tblLayout w:type="fixed"/>
        <w:tblCellMar>
          <w:top w:w="0" w:type="dxa"/>
          <w:left w:w="0" w:type="dxa"/>
          <w:bottom w:w="0" w:type="dxa"/>
          <w:right w:w="0" w:type="dxa"/>
        </w:tblCellMar>
      </w:tblPr>
      <w:tblGrid>
        <w:gridCol w:w="6600"/>
        <w:gridCol w:w="346"/>
        <w:gridCol w:w="211"/>
        <w:gridCol w:w="1222"/>
        <w:gridCol w:w="346"/>
        <w:gridCol w:w="211"/>
        <w:gridCol w:w="1269"/>
      </w:tblGrid>
      <w:tr>
        <w:trPr/>
        <w:tc>
          <w:tcPr>
            <w:tcW w:w="6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191000" cy="175260"/>
                      <wp:effectExtent l="0" t="0" r="0" b="0"/>
                      <wp:wrapNone/>
                      <wp:docPr id="62" name="Frame53"/>
                      <a:graphic xmlns:a="http://schemas.openxmlformats.org/drawingml/2006/main">
                        <a:graphicData uri="http://schemas.microsoft.com/office/word/2010/wordprocessingShape">
                          <wps:wsp>
                            <wps:cNvSpPr txBox="1"/>
                            <wps:spPr>
                              <a:xfrm>
                                <a:off x="0" y="0"/>
                                <a:ext cx="419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775970" cy="175260"/>
                      <wp:effectExtent l="0" t="0" r="0" b="0"/>
                      <wp:wrapNone/>
                      <wp:docPr id="65" name="Frame56"/>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805815" cy="175260"/>
                      <wp:effectExtent l="0" t="0" r="0" b="0"/>
                      <wp:wrapNone/>
                      <wp:docPr id="68" name="Frame59"/>
                      <a:graphic xmlns:a="http://schemas.openxmlformats.org/drawingml/2006/main">
                        <a:graphicData uri="http://schemas.microsoft.com/office/word/2010/wordprocessingShape">
                          <wps:wsp>
                            <wps:cNvSpPr txBox="1"/>
                            <wps:spPr>
                              <a:xfrm>
                                <a:off x="0" y="0"/>
                                <a:ext cx="805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3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  ​ ​ ​</w:t>
            </w:r>
          </w:p>
        </w:tc>
        <w:tc>
          <w:tcPr>
            <w:tcW w:w="148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6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43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4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600"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69" w:type="dxa"/>
            <w:tcBorders/>
            <w:shd w:fill="CCEEFF" w:val="clear"/>
            <w:vAlign w:val="center"/>
          </w:tcPr>
          <w:p>
            <w:pPr>
              <w:pStyle w:val="TableContents"/>
              <w:bidi w:val="0"/>
              <w:spacing w:before="0" w:after="1"/>
              <w:ind w:left="0" w:right="0" w:hanging="0"/>
              <w:jc w:val="left"/>
              <w:rPr/>
            </w:pPr>
            <w:r>
              <w:rPr/>
              <w:t>​</w:t>
            </w:r>
          </w:p>
        </w:tc>
      </w:tr>
      <w:tr>
        <w:trPr/>
        <w:tc>
          <w:tcPr>
            <w:tcW w:w="660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69" w:type="dxa"/>
            <w:tcBorders/>
            <w:vAlign w:val="center"/>
          </w:tcPr>
          <w:p>
            <w:pPr>
              <w:pStyle w:val="TableContents"/>
              <w:bidi w:val="0"/>
              <w:spacing w:before="0" w:after="1"/>
              <w:ind w:left="0" w:right="0" w:hanging="0"/>
              <w:jc w:val="left"/>
              <w:rPr/>
            </w:pPr>
            <w:r>
              <w:rPr/>
              <w:t>​</w:t>
            </w:r>
          </w:p>
        </w:tc>
      </w:tr>
      <w:tr>
        <w:trPr/>
        <w:tc>
          <w:tcPr>
            <w:tcW w:w="660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16,068,048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19,192,440</w:t>
            </w:r>
          </w:p>
        </w:tc>
      </w:tr>
      <w:tr>
        <w:trPr/>
        <w:tc>
          <w:tcPr>
            <w:tcW w:w="660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974,799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69" w:type="dxa"/>
            <w:tcBorders/>
            <w:vAlign w:val="center"/>
          </w:tcPr>
          <w:p>
            <w:pPr>
              <w:pStyle w:val="TableContents"/>
              <w:bidi w:val="0"/>
              <w:spacing w:before="0" w:after="1"/>
              <w:ind w:left="0" w:right="0" w:hanging="0"/>
              <w:jc w:val="right"/>
              <w:rPr/>
            </w:pPr>
            <w:r>
              <w:rPr/>
              <w:t>—</w:t>
            </w:r>
          </w:p>
        </w:tc>
      </w:tr>
      <w:tr>
        <w:trPr/>
        <w:tc>
          <w:tcPr>
            <w:tcW w:w="660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658,750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483,717</w:t>
            </w:r>
          </w:p>
        </w:tc>
      </w:tr>
      <w:tr>
        <w:trPr/>
        <w:tc>
          <w:tcPr>
            <w:tcW w:w="660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1,369,400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2,346,703</w:t>
            </w:r>
          </w:p>
        </w:tc>
      </w:tr>
      <w:tr>
        <w:trPr/>
        <w:tc>
          <w:tcPr>
            <w:tcW w:w="660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19,070,997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22,022,860</w:t>
            </w:r>
          </w:p>
        </w:tc>
      </w:tr>
      <w:tr>
        <w:trPr/>
        <w:tc>
          <w:tcPr>
            <w:tcW w:w="660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19,070,997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22,022,860</w:t>
            </w:r>
          </w:p>
        </w:tc>
      </w:tr>
      <w:tr>
        <w:trPr/>
        <w:tc>
          <w:tcPr>
            <w:tcW w:w="660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69" w:type="dxa"/>
            <w:tcBorders/>
            <w:shd w:fill="CCEEFF" w:val="clear"/>
            <w:vAlign w:val="center"/>
          </w:tcPr>
          <w:p>
            <w:pPr>
              <w:pStyle w:val="TableContents"/>
              <w:bidi w:val="0"/>
              <w:spacing w:before="0" w:after="1"/>
              <w:ind w:left="0" w:right="0" w:hanging="0"/>
              <w:jc w:val="right"/>
              <w:rPr/>
            </w:pPr>
            <w:r>
              <w:rPr/>
              <w:t>​</w:t>
            </w:r>
          </w:p>
        </w:tc>
      </w:tr>
      <w:tr>
        <w:trPr/>
        <w:tc>
          <w:tcPr>
            <w:tcW w:w="660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2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69" w:type="dxa"/>
            <w:tcBorders/>
            <w:vAlign w:val="center"/>
          </w:tcPr>
          <w:p>
            <w:pPr>
              <w:pStyle w:val="TableContents"/>
              <w:bidi w:val="0"/>
              <w:spacing w:before="0" w:after="1"/>
              <w:ind w:left="0" w:right="0" w:hanging="0"/>
              <w:jc w:val="right"/>
              <w:rPr/>
            </w:pPr>
            <w:r>
              <w:rPr/>
              <w:t>  ​</w:t>
            </w:r>
          </w:p>
        </w:tc>
      </w:tr>
      <w:tr>
        <w:trPr/>
        <w:tc>
          <w:tcPr>
            <w:tcW w:w="660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2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69" w:type="dxa"/>
            <w:tcBorders/>
            <w:shd w:fill="CCEEFF" w:val="clear"/>
            <w:vAlign w:val="center"/>
          </w:tcPr>
          <w:p>
            <w:pPr>
              <w:pStyle w:val="TableContents"/>
              <w:bidi w:val="0"/>
              <w:spacing w:before="0" w:after="1"/>
              <w:ind w:left="0" w:right="0" w:hanging="0"/>
              <w:jc w:val="right"/>
              <w:rPr/>
            </w:pPr>
            <w:r>
              <w:rPr/>
              <w:t>  ​</w:t>
            </w:r>
          </w:p>
        </w:tc>
      </w:tr>
      <w:tr>
        <w:trPr/>
        <w:tc>
          <w:tcPr>
            <w:tcW w:w="660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1,299,384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1,753,954</w:t>
            </w:r>
          </w:p>
        </w:tc>
      </w:tr>
      <w:tr>
        <w:trPr/>
        <w:tc>
          <w:tcPr>
            <w:tcW w:w="6600" w:type="dxa"/>
            <w:tcBorders/>
            <w:shd w:fill="CCEEFF" w:val="clear"/>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1,710,500</w:t>
            </w:r>
          </w:p>
        </w:tc>
      </w:tr>
      <w:tr>
        <w:trPr/>
        <w:tc>
          <w:tcPr>
            <w:tcW w:w="660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974,799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6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60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2,274,183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3,464,454</w:t>
            </w:r>
          </w:p>
        </w:tc>
      </w:tr>
      <w:tr>
        <w:trPr/>
        <w:tc>
          <w:tcPr>
            <w:tcW w:w="660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2,274,183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3,464,454</w:t>
            </w:r>
          </w:p>
        </w:tc>
      </w:tr>
      <w:tr>
        <w:trPr/>
        <w:tc>
          <w:tcPr>
            <w:tcW w:w="660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69" w:type="dxa"/>
            <w:tcBorders/>
            <w:shd w:fill="CCEEFF" w:val="clear"/>
            <w:vAlign w:val="center"/>
          </w:tcPr>
          <w:p>
            <w:pPr>
              <w:pStyle w:val="TableContents"/>
              <w:bidi w:val="0"/>
              <w:spacing w:before="0" w:after="1"/>
              <w:ind w:left="0" w:right="0" w:hanging="0"/>
              <w:jc w:val="right"/>
              <w:rPr/>
            </w:pPr>
            <w:r>
              <w:rPr/>
              <w:t>​</w:t>
            </w:r>
          </w:p>
        </w:tc>
      </w:tr>
      <w:tr>
        <w:trPr/>
        <w:tc>
          <w:tcPr>
            <w:tcW w:w="660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2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69" w:type="dxa"/>
            <w:tcBorders/>
            <w:vAlign w:val="center"/>
          </w:tcPr>
          <w:p>
            <w:pPr>
              <w:pStyle w:val="TableContents"/>
              <w:bidi w:val="0"/>
              <w:spacing w:before="0" w:after="1"/>
              <w:ind w:left="0" w:right="0" w:hanging="0"/>
              <w:jc w:val="right"/>
              <w:rPr/>
            </w:pPr>
            <w:r>
              <w:rPr/>
              <w:t>​</w:t>
            </w:r>
          </w:p>
        </w:tc>
      </w:tr>
      <w:tr>
        <w:trPr/>
        <w:tc>
          <w:tcPr>
            <w:tcW w:w="660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$0.001 par value, 5 million shares authorized, 0 shares issued and outstanding at December 31, 2025 and 2024,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22"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69"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60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$0.001 par value, 30 million shares authorized, 16.7 million and 10.7 million shares issued and outstanding as of December 31, 2025 and 2024, respectively (see Note 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10,708</w:t>
            </w:r>
          </w:p>
        </w:tc>
      </w:tr>
      <w:tr>
        <w:trPr/>
        <w:tc>
          <w:tcPr>
            <w:tcW w:w="660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475,960,940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465,564,876</w:t>
            </w:r>
          </w:p>
        </w:tc>
      </w:tr>
      <w:tr>
        <w:trPr/>
        <w:tc>
          <w:tcPr>
            <w:tcW w:w="660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(459,180,798)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(447,017,178)</w:t>
            </w:r>
          </w:p>
        </w:tc>
      </w:tr>
      <w:tr>
        <w:trPr/>
        <w:tc>
          <w:tcPr>
            <w:tcW w:w="660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16,796,814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18,558,406</w:t>
            </w:r>
          </w:p>
        </w:tc>
      </w:tr>
      <w:tr>
        <w:trPr/>
        <w:tc>
          <w:tcPr>
            <w:tcW w:w="6600"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19,070,997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6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22,022,860</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3" w:name="_0d7c6033_5562_426a_9aa8_5ea4d1b280da"/>
      <w:bookmarkEnd w:id="193"/>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194" w:name="CONSOLIDATEDSTATEMENTSOFOPERATIONS_85122"/>
      <w:bookmarkEnd w:id="194"/>
      <w:r>
        <w:rPr>
          <w:rFonts w:ascii="Times New Roman;Times;serif" w:hAnsi="Times New Roman;Times;serif"/>
          <w:b/>
          <w:sz w:val="20"/>
        </w:rPr>
        <w:t>CONSOLIDATED STATEMENTS OF OPERATIONS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95" w:name="Tc_PS4a45BUskqu1ywuC4bLNQ_24_0"/>
      <w:bookmarkStart w:id="196" w:name="Tc_W8U1UcHig0u8YIvARqN26A_23_0"/>
      <w:bookmarkStart w:id="197" w:name="Tc_EC9T-QUwAkSMQQza8CoXZA_22_0"/>
      <w:bookmarkStart w:id="198" w:name="Tc_GKYh7BV9L0-SjfI9QCPoKQ_20_5"/>
      <w:bookmarkStart w:id="199" w:name="Tc_6VfT69DxN0WO-6DXYG3Rsw_20_2"/>
      <w:bookmarkStart w:id="200" w:name="Tc_3UGu7JRpn0OAB7V4-9Gf3Q_20_0"/>
      <w:bookmarkStart w:id="201" w:name="Tc_zanm5v-AjUOxERGoObuMIQ_18_0"/>
      <w:bookmarkStart w:id="202" w:name="Tc_CNieTHzM-kaA_hVf9W7uKw_17_0"/>
      <w:bookmarkStart w:id="203" w:name="Tc_7ERLjrjlH06kRJ11qYUvtA_16_0"/>
      <w:bookmarkStart w:id="204" w:name="Tc_8URjZuNHRUK1rUE13qtWYQ_15_6"/>
      <w:bookmarkStart w:id="205" w:name="Tc_Bjmwxp99b02fNtmXI-VTvA_15_0"/>
      <w:bookmarkStart w:id="206" w:name="Tc_c2FtK6qI2EKmjd_uQ31QXg_14_0"/>
      <w:bookmarkStart w:id="207" w:name="Tc_2EkjtSKFi0CsToq0ZUwLNw_13_0"/>
      <w:bookmarkStart w:id="208" w:name="Tc_4xvcT3d-WUqMd8agpU05eA_12_0"/>
      <w:bookmarkStart w:id="209" w:name="Tc_eTO6p-Qw3EGC97QsNtvSBA_11_0"/>
      <w:bookmarkStart w:id="210" w:name="Tc_FAo-wiCi2UmYmZiuUdGafQ_10_6"/>
      <w:bookmarkStart w:id="211" w:name="Tc_avxKhBoI3UmzkgInp5pcAg_10_0"/>
      <w:bookmarkStart w:id="212" w:name="Tc_uv8rcnH1gk6vQyRNtQeynA_9_0"/>
      <w:bookmarkStart w:id="213" w:name="Tc_c4VQvlQ8kkaZxsA2k3wocg_8_0"/>
      <w:bookmarkStart w:id="214" w:name="Tc_ScMKJe8fKE2TFHfaxn1r-w_7_0"/>
      <w:bookmarkStart w:id="215" w:name="Tc_zpHnpulzjUqfM_bagRND4Q_6_0"/>
      <w:bookmarkStart w:id="216" w:name="Tc_dG2FKdWOjEeZk7xoWHDboQ_5_5"/>
      <w:bookmarkStart w:id="217" w:name="Tc_ufbOyXqaz0qEBnr8Roz0LQ_5_2"/>
      <w:bookmarkStart w:id="218" w:name="Tc_qGfgn6qr7EC3mJb9Nmfhxg_5_0"/>
      <w:bookmarkStart w:id="219" w:name="Tc_TPngx74kj0-RTs7d1r3P3w_4_0"/>
      <w:bookmarkStart w:id="220" w:name="Tc_rd856LHgPEmN5f6Rw2ydPg_3_5"/>
      <w:bookmarkStart w:id="221" w:name="Tc_Ock7vgsPJEqAJ7cc2xAgsA_3_2"/>
      <w:bookmarkStart w:id="222" w:name="Tc_lZhfRVcMQkGocfdJrwi3wQ_2_2"/>
      <w:bookmarkStart w:id="223" w:name="Tc_iR9A-qYBUEGcP6sS9AU-Jg_1_2"/>
      <w:bookmarkStart w:id="224" w:name="_46f8db94_14a3_4e2e_b350_f7c72443ecca"/>
      <w:bookmarkStart w:id="225" w:name="_53f51e77_fa60_4752_a10e_bb1f0acdfeb6"/>
      <w:bookmarkStart w:id="226" w:name="Tc_PS4a45BUskqu1ywuC4bLNQ_24_0"/>
      <w:bookmarkStart w:id="227" w:name="Tc_W8U1UcHig0u8YIvARqN26A_23_0"/>
      <w:bookmarkStart w:id="228" w:name="Tc_EC9T-QUwAkSMQQza8CoXZA_22_0"/>
      <w:bookmarkStart w:id="229" w:name="Tc_GKYh7BV9L0-SjfI9QCPoKQ_20_5"/>
      <w:bookmarkStart w:id="230" w:name="Tc_6VfT69DxN0WO-6DXYG3Rsw_20_2"/>
      <w:bookmarkStart w:id="231" w:name="Tc_3UGu7JRpn0OAB7V4-9Gf3Q_20_0"/>
      <w:bookmarkStart w:id="232" w:name="Tc_zanm5v-AjUOxERGoObuMIQ_18_0"/>
      <w:bookmarkStart w:id="233" w:name="Tc_CNieTHzM-kaA_hVf9W7uKw_17_0"/>
      <w:bookmarkStart w:id="234" w:name="Tc_7ERLjrjlH06kRJ11qYUvtA_16_0"/>
      <w:bookmarkStart w:id="235" w:name="Tc_8URjZuNHRUK1rUE13qtWYQ_15_6"/>
      <w:bookmarkStart w:id="236" w:name="Tc_Bjmwxp99b02fNtmXI-VTvA_15_0"/>
      <w:bookmarkStart w:id="237" w:name="Tc_c2FtK6qI2EKmjd_uQ31QXg_14_0"/>
      <w:bookmarkStart w:id="238" w:name="Tc_2EkjtSKFi0CsToq0ZUwLNw_13_0"/>
      <w:bookmarkStart w:id="239" w:name="Tc_4xvcT3d-WUqMd8agpU05eA_12_0"/>
      <w:bookmarkStart w:id="240" w:name="Tc_eTO6p-Qw3EGC97QsNtvSBA_11_0"/>
      <w:bookmarkStart w:id="241" w:name="Tc_FAo-wiCi2UmYmZiuUdGafQ_10_6"/>
      <w:bookmarkStart w:id="242" w:name="Tc_avxKhBoI3UmzkgInp5pcAg_10_0"/>
      <w:bookmarkStart w:id="243" w:name="Tc_uv8rcnH1gk6vQyRNtQeynA_9_0"/>
      <w:bookmarkStart w:id="244" w:name="Tc_c4VQvlQ8kkaZxsA2k3wocg_8_0"/>
      <w:bookmarkStart w:id="245" w:name="Tc_ScMKJe8fKE2TFHfaxn1r-w_7_0"/>
      <w:bookmarkStart w:id="246" w:name="Tc_zpHnpulzjUqfM_bagRND4Q_6_0"/>
      <w:bookmarkStart w:id="247" w:name="Tc_dG2FKdWOjEeZk7xoWHDboQ_5_5"/>
      <w:bookmarkStart w:id="248" w:name="Tc_ufbOyXqaz0qEBnr8Roz0LQ_5_2"/>
      <w:bookmarkStart w:id="249" w:name="Tc_qGfgn6qr7EC3mJb9Nmfhxg_5_0"/>
      <w:bookmarkStart w:id="250" w:name="Tc_TPngx74kj0-RTs7d1r3P3w_4_0"/>
      <w:bookmarkStart w:id="251" w:name="Tc_rd856LHgPEmN5f6Rw2ydPg_3_5"/>
      <w:bookmarkStart w:id="252" w:name="Tc_Ock7vgsPJEqAJ7cc2xAgsA_3_2"/>
      <w:bookmarkStart w:id="253" w:name="Tc_lZhfRVcMQkGocfdJrwi3wQ_2_2"/>
      <w:bookmarkStart w:id="254" w:name="Tc_iR9A-qYBUEGcP6sS9AU-Jg_1_2"/>
      <w:bookmarkStart w:id="255" w:name="_46f8db94_14a3_4e2e_b350_f7c72443ecca"/>
      <w:bookmarkStart w:id="256" w:name="_53f51e77_fa60_4752_a10e_bb1f0acdfeb6"/>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tbl>
      <w:tblPr>
        <w:tblW w:w="8302" w:type="dxa"/>
        <w:jc w:val="left"/>
        <w:tblInd w:w="0" w:type="dxa"/>
        <w:tblLayout w:type="fixed"/>
        <w:tblCellMar>
          <w:top w:w="0" w:type="dxa"/>
          <w:left w:w="0" w:type="dxa"/>
          <w:bottom w:w="0" w:type="dxa"/>
          <w:right w:w="0" w:type="dxa"/>
        </w:tblCellMar>
      </w:tblPr>
      <w:tblGrid>
        <w:gridCol w:w="4831"/>
        <w:gridCol w:w="346"/>
        <w:gridCol w:w="211"/>
        <w:gridCol w:w="1156"/>
        <w:gridCol w:w="346"/>
        <w:gridCol w:w="211"/>
        <w:gridCol w:w="1201"/>
      </w:tblGrid>
      <w:tr>
        <w:trPr/>
        <w:tc>
          <w:tcPr>
            <w:tcW w:w="4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067685" cy="175260"/>
                      <wp:effectExtent l="0" t="0" r="0" b="0"/>
                      <wp:wrapNone/>
                      <wp:docPr id="69" name="Frame60"/>
                      <a:graphic xmlns:a="http://schemas.openxmlformats.org/drawingml/2006/main">
                        <a:graphicData uri="http://schemas.microsoft.com/office/word/2010/wordprocessingShape">
                          <wps:wsp>
                            <wps:cNvSpPr txBox="1"/>
                            <wps:spPr>
                              <a:xfrm>
                                <a:off x="0" y="0"/>
                                <a:ext cx="306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734060" cy="175260"/>
                      <wp:effectExtent l="0" t="0" r="0" b="0"/>
                      <wp:wrapNone/>
                      <wp:docPr id="72" name="Frame6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62635" cy="175260"/>
                      <wp:effectExtent l="0" t="0" r="0" b="0"/>
                      <wp:wrapNone/>
                      <wp:docPr id="75" name="Frame6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1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4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8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8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48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3,546,669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6,591,080</w:t>
            </w:r>
          </w:p>
        </w:tc>
      </w:tr>
      <w:tr>
        <w:trPr/>
        <w:tc>
          <w:tcPr>
            <w:tcW w:w="48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3,546,669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6,591,080</w:t>
            </w:r>
          </w:p>
        </w:tc>
      </w:tr>
      <w:tr>
        <w:trPr/>
        <w:tc>
          <w:tcPr>
            <w:tcW w:w="483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r>
      <w:tr>
        <w:trPr/>
        <w:tc>
          <w:tcPr>
            <w:tcW w:w="48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11,799,154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13,467,845</w:t>
            </w:r>
          </w:p>
        </w:tc>
      </w:tr>
      <w:tr>
        <w:trPr/>
        <w:tc>
          <w:tcPr>
            <w:tcW w:w="48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4,184,806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4,241,607</w:t>
            </w:r>
          </w:p>
        </w:tc>
      </w:tr>
      <w:tr>
        <w:trPr/>
        <w:tc>
          <w:tcPr>
            <w:tcW w:w="48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early termination of vendor agreement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453,135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8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16,437,095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17,709,452</w:t>
            </w:r>
          </w:p>
        </w:tc>
      </w:tr>
      <w:tr>
        <w:trPr/>
        <w:tc>
          <w:tcPr>
            <w:tcW w:w="48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(12,890,426)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(11,118,372)</w:t>
            </w:r>
          </w:p>
        </w:tc>
      </w:tr>
      <w:tr>
        <w:trPr/>
        <w:tc>
          <w:tcPr>
            <w:tcW w:w="483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  ​</w:t>
            </w:r>
          </w:p>
        </w:tc>
      </w:tr>
      <w:tr>
        <w:trPr/>
        <w:tc>
          <w:tcPr>
            <w:tcW w:w="48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594,206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437,010</w:t>
            </w:r>
          </w:p>
        </w:tc>
      </w:tr>
      <w:tr>
        <w:trPr/>
        <w:tc>
          <w:tcPr>
            <w:tcW w:w="48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117,444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8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(12,178,776)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(10,681,362)</w:t>
            </w:r>
          </w:p>
        </w:tc>
      </w:tr>
      <w:tr>
        <w:trPr/>
        <w:tc>
          <w:tcPr>
            <w:tcW w:w="48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49,953</w:t>
            </w:r>
          </w:p>
        </w:tc>
      </w:tr>
      <w:tr>
        <w:trPr/>
        <w:tc>
          <w:tcPr>
            <w:tcW w:w="483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(12,163,620)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(10,731,315)</w:t>
            </w:r>
          </w:p>
        </w:tc>
      </w:tr>
      <w:tr>
        <w:trPr/>
        <w:tc>
          <w:tcPr>
            <w:tcW w:w="4831" w:type="dxa"/>
            <w:tcBorders/>
            <w:vAlign w:val="center"/>
          </w:tcPr>
          <w:p>
            <w:pPr>
              <w:pStyle w:val="TableContents"/>
              <w:pBdr/>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pPr>
            <w:r>
              <w:rPr/>
              <w:t>​</w:t>
            </w:r>
          </w:p>
        </w:tc>
      </w:tr>
      <w:tr>
        <w:trPr/>
        <w:tc>
          <w:tcPr>
            <w:tcW w:w="48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4831" w:type="dxa"/>
            <w:tcBorders/>
            <w:vAlign w:val="center"/>
          </w:tcPr>
          <w:p>
            <w:pPr>
              <w:pStyle w:val="TableContents"/>
              <w:pBdr/>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w:t>
            </w:r>
          </w:p>
        </w:tc>
      </w:tr>
      <w:tr>
        <w:trPr/>
        <w:tc>
          <w:tcPr>
            <w:tcW w:w="48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48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15,310,308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8,980,207</w:t>
            </w:r>
          </w:p>
        </w:tc>
      </w:tr>
      <w:tr>
        <w:trPr/>
        <w:tc>
          <w:tcPr>
            <w:tcW w:w="48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15,310,308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8,980,207</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7" w:name="_d9e5af4f_2714_44a3_81d5_60ce3688ae13"/>
      <w:bookmarkEnd w:id="257"/>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258" w:name="CONSOLIDATEDSTATEMENTSOFSTOCKHOLDERSEQUI"/>
      <w:bookmarkEnd w:id="258"/>
      <w:r>
        <w:rPr>
          <w:rFonts w:ascii="Times New Roman;Times;serif" w:hAnsi="Times New Roman;Times;serif"/>
          <w:b/>
          <w:sz w:val="20"/>
        </w:rPr>
        <w:t>CONSOLIDATED STATEMENTS OF STOCKHOLDERS’ EQUITY</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9" w:name="Tc_Gt40f7YIt0ytDRX9v0aFow_15_0"/>
      <w:bookmarkStart w:id="260" w:name="Tc_wydkph6vykq_dNYo3OLo2Q_14_8"/>
      <w:bookmarkStart w:id="261" w:name="Tc_KVqk62OtLEyg9IpmUrcIeA_14_5"/>
      <w:bookmarkStart w:id="262" w:name="Tc_SNbhSki9DU6qLKpwTNqWhQ_14_2"/>
      <w:bookmarkStart w:id="263" w:name="Tc_3BXWH6_WsEeyo2PBST7U6w_14_0"/>
      <w:bookmarkStart w:id="264" w:name="Tc_WO205PdpjkWjpcNrUmvgFg_13_11"/>
      <w:bookmarkStart w:id="265" w:name="Tc_0K26Gw1jW0GQRmCVeApDvQ_13_5"/>
      <w:bookmarkStart w:id="266" w:name="Tc_PlSTbsqzFkyYzqU8fPIYxg_13_2"/>
      <w:bookmarkStart w:id="267" w:name="Tc_0sqbZPFQLUGw2XF5waC7Hg_13_0"/>
      <w:bookmarkStart w:id="268" w:name="Tc_kfDC5CNWVEifpYvuVp91ww_12_11"/>
      <w:bookmarkStart w:id="269" w:name="Tc_dBUO5GvkSUmwESesw5e9NA_12_8"/>
      <w:bookmarkStart w:id="270" w:name="Tc_TSIxcUngDkGPR920IcelRA_12_0"/>
      <w:bookmarkStart w:id="271" w:name="Tc_CGnvZwGX0E6t1XM7Lin_kw_11_11"/>
      <w:bookmarkStart w:id="272" w:name="Tc_BbMmCrCAuEWxa-uK-3gkTw_11_0"/>
      <w:bookmarkStart w:id="273" w:name="Tc_mYdRWi5-D0q7xZ_pj4k3Ug_10_0"/>
      <w:bookmarkStart w:id="274" w:name="Tc_-52w9XarxEi7lTHyub8q5A_9_8"/>
      <w:bookmarkStart w:id="275" w:name="Tc_D4b1q4u6mU-PDZmK8x7w3w_9_5"/>
      <w:bookmarkStart w:id="276" w:name="Tc_2h2EeFGs7k-RC567vM3YAg_9_2"/>
      <w:bookmarkStart w:id="277" w:name="Tc_hRoNWzz3zkq3sPXnJ0fZog_9_0"/>
      <w:bookmarkStart w:id="278" w:name="Tc_RTiQrA6ZBEK4LjuVcHI0ng_8_11"/>
      <w:bookmarkStart w:id="279" w:name="Tc_i4kh549i70aO2wMxSgtwmQ_8_5"/>
      <w:bookmarkStart w:id="280" w:name="Tc_hE9Cj-aY90CrzqfS3YIrkg_8_2"/>
      <w:bookmarkStart w:id="281" w:name="Tc_W_VCUXq8DEGRq06CvmD9Jw_8_0"/>
      <w:bookmarkStart w:id="282" w:name="Tc_y8PX77CrQE2apalyKi6Xqg_7_11"/>
      <w:bookmarkStart w:id="283" w:name="Tc_iXrq5KHIUEmomAF3F59wnQ_7_0"/>
      <w:bookmarkStart w:id="284" w:name="Tc_vZ39azoqjkmpa4-6SyF0PQ_6_11"/>
      <w:bookmarkStart w:id="285" w:name="Tc_LyJ42SSwXUqGPzpn3gyzDg_6_0"/>
      <w:bookmarkStart w:id="286" w:name="Tc_dEf_jqhYaEGDlDU5xueYpQ_5_11"/>
      <w:bookmarkStart w:id="287" w:name="Tc_8smH2OOOxES4m0KdGEF8lw_5_0"/>
      <w:bookmarkStart w:id="288" w:name="Tc_vbGNoQKARkS-7jwF2KrNbg_4_0"/>
      <w:bookmarkStart w:id="289" w:name="Tc_fE5VLgcJuE6ycL7Eq2VM_g_3_13"/>
      <w:bookmarkStart w:id="290" w:name="Tc_r2mq2Mh5uU6JCZ96_tahlg_3_10"/>
      <w:bookmarkStart w:id="291" w:name="Tc_R4T5AFmcz06dgBI7HAQjow_3_7"/>
      <w:bookmarkStart w:id="292" w:name="Tc_ekYlHYU6kkqgA-R85zH7qA_3_4"/>
      <w:bookmarkStart w:id="293" w:name="Tc_jCT7kU26_kyj0kEwuH_nIg_3_2"/>
      <w:bookmarkStart w:id="294" w:name="Tc_T3A6KfnucEu9e4JGqj_nxw_2_13"/>
      <w:bookmarkStart w:id="295" w:name="Tc_wKaRThwMwE6N1LB_veHOgQ_2_10"/>
      <w:bookmarkStart w:id="296" w:name="Tc_u_Ku-I6jHEm5fWhj3DzKTg_2_7"/>
      <w:bookmarkStart w:id="297" w:name="Tc_PhZRRJ551kCZAxo6x-0vGg_2_2"/>
      <w:bookmarkStart w:id="298" w:name="Tc_Oah0FLCAWEGDIm5u1F867w_1_13"/>
      <w:bookmarkStart w:id="299" w:name="Tc_LUeark00hEObDyNsBcX7Jw_1_7"/>
      <w:bookmarkStart w:id="300" w:name="_133b3394_3b56_4c08_abef_35b282544f78"/>
      <w:bookmarkStart w:id="301" w:name="Tc_Gt40f7YIt0ytDRX9v0aFow_15_0"/>
      <w:bookmarkStart w:id="302" w:name="Tc_wydkph6vykq_dNYo3OLo2Q_14_8"/>
      <w:bookmarkStart w:id="303" w:name="Tc_KVqk62OtLEyg9IpmUrcIeA_14_5"/>
      <w:bookmarkStart w:id="304" w:name="Tc_SNbhSki9DU6qLKpwTNqWhQ_14_2"/>
      <w:bookmarkStart w:id="305" w:name="Tc_3BXWH6_WsEeyo2PBST7U6w_14_0"/>
      <w:bookmarkStart w:id="306" w:name="Tc_WO205PdpjkWjpcNrUmvgFg_13_11"/>
      <w:bookmarkStart w:id="307" w:name="Tc_0K26Gw1jW0GQRmCVeApDvQ_13_5"/>
      <w:bookmarkStart w:id="308" w:name="Tc_PlSTbsqzFkyYzqU8fPIYxg_13_2"/>
      <w:bookmarkStart w:id="309" w:name="Tc_0sqbZPFQLUGw2XF5waC7Hg_13_0"/>
      <w:bookmarkStart w:id="310" w:name="Tc_kfDC5CNWVEifpYvuVp91ww_12_11"/>
      <w:bookmarkStart w:id="311" w:name="Tc_dBUO5GvkSUmwESesw5e9NA_12_8"/>
      <w:bookmarkStart w:id="312" w:name="Tc_TSIxcUngDkGPR920IcelRA_12_0"/>
      <w:bookmarkStart w:id="313" w:name="Tc_CGnvZwGX0E6t1XM7Lin_kw_11_11"/>
      <w:bookmarkStart w:id="314" w:name="Tc_BbMmCrCAuEWxa-uK-3gkTw_11_0"/>
      <w:bookmarkStart w:id="315" w:name="Tc_mYdRWi5-D0q7xZ_pj4k3Ug_10_0"/>
      <w:bookmarkStart w:id="316" w:name="Tc_-52w9XarxEi7lTHyub8q5A_9_8"/>
      <w:bookmarkStart w:id="317" w:name="Tc_D4b1q4u6mU-PDZmK8x7w3w_9_5"/>
      <w:bookmarkStart w:id="318" w:name="Tc_2h2EeFGs7k-RC567vM3YAg_9_2"/>
      <w:bookmarkStart w:id="319" w:name="Tc_hRoNWzz3zkq3sPXnJ0fZog_9_0"/>
      <w:bookmarkStart w:id="320" w:name="Tc_RTiQrA6ZBEK4LjuVcHI0ng_8_11"/>
      <w:bookmarkStart w:id="321" w:name="Tc_i4kh549i70aO2wMxSgtwmQ_8_5"/>
      <w:bookmarkStart w:id="322" w:name="Tc_hE9Cj-aY90CrzqfS3YIrkg_8_2"/>
      <w:bookmarkStart w:id="323" w:name="Tc_W_VCUXq8DEGRq06CvmD9Jw_8_0"/>
      <w:bookmarkStart w:id="324" w:name="Tc_y8PX77CrQE2apalyKi6Xqg_7_11"/>
      <w:bookmarkStart w:id="325" w:name="Tc_iXrq5KHIUEmomAF3F59wnQ_7_0"/>
      <w:bookmarkStart w:id="326" w:name="Tc_vZ39azoqjkmpa4-6SyF0PQ_6_11"/>
      <w:bookmarkStart w:id="327" w:name="Tc_LyJ42SSwXUqGPzpn3gyzDg_6_0"/>
      <w:bookmarkStart w:id="328" w:name="Tc_dEf_jqhYaEGDlDU5xueYpQ_5_11"/>
      <w:bookmarkStart w:id="329" w:name="Tc_8smH2OOOxES4m0KdGEF8lw_5_0"/>
      <w:bookmarkStart w:id="330" w:name="Tc_vbGNoQKARkS-7jwF2KrNbg_4_0"/>
      <w:bookmarkStart w:id="331" w:name="Tc_fE5VLgcJuE6ycL7Eq2VM_g_3_13"/>
      <w:bookmarkStart w:id="332" w:name="Tc_r2mq2Mh5uU6JCZ96_tahlg_3_10"/>
      <w:bookmarkStart w:id="333" w:name="Tc_R4T5AFmcz06dgBI7HAQjow_3_7"/>
      <w:bookmarkStart w:id="334" w:name="Tc_ekYlHYU6kkqgA-R85zH7qA_3_4"/>
      <w:bookmarkStart w:id="335" w:name="Tc_jCT7kU26_kyj0kEwuH_nIg_3_2"/>
      <w:bookmarkStart w:id="336" w:name="Tc_T3A6KfnucEu9e4JGqj_nxw_2_13"/>
      <w:bookmarkStart w:id="337" w:name="Tc_wKaRThwMwE6N1LB_veHOgQ_2_10"/>
      <w:bookmarkStart w:id="338" w:name="Tc_u_Ku-I6jHEm5fWhj3DzKTg_2_7"/>
      <w:bookmarkStart w:id="339" w:name="Tc_PhZRRJ551kCZAxo6x-0vGg_2_2"/>
      <w:bookmarkStart w:id="340" w:name="Tc_Oah0FLCAWEGDIm5u1F867w_1_13"/>
      <w:bookmarkStart w:id="341" w:name="Tc_LUeark00hEObDyNsBcX7Jw_1_7"/>
      <w:bookmarkStart w:id="342" w:name="_133b3394_3b56_4c08_abef_35b282544f78"/>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tbl>
      <w:tblPr>
        <w:tblW w:w="10205" w:type="dxa"/>
        <w:jc w:val="left"/>
        <w:tblInd w:w="0" w:type="dxa"/>
        <w:tblLayout w:type="fixed"/>
        <w:tblCellMar>
          <w:top w:w="0" w:type="dxa"/>
          <w:left w:w="0" w:type="dxa"/>
          <w:bottom w:w="0" w:type="dxa"/>
          <w:right w:w="0" w:type="dxa"/>
        </w:tblCellMar>
      </w:tblPr>
      <w:tblGrid>
        <w:gridCol w:w="2799"/>
        <w:gridCol w:w="346"/>
        <w:gridCol w:w="1036"/>
        <w:gridCol w:w="346"/>
        <w:gridCol w:w="112"/>
        <w:gridCol w:w="699"/>
        <w:gridCol w:w="346"/>
        <w:gridCol w:w="109"/>
        <w:gridCol w:w="1141"/>
        <w:gridCol w:w="346"/>
        <w:gridCol w:w="109"/>
        <w:gridCol w:w="1210"/>
        <w:gridCol w:w="346"/>
        <w:gridCol w:w="109"/>
        <w:gridCol w:w="1151"/>
      </w:tblGrid>
      <w:tr>
        <w:trPr/>
        <w:tc>
          <w:tcPr>
            <w:tcW w:w="2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777365" cy="175260"/>
                      <wp:effectExtent l="0" t="0" r="0" b="0"/>
                      <wp:wrapNone/>
                      <wp:docPr id="76" name="Frame67"/>
                      <a:graphic xmlns:a="http://schemas.openxmlformats.org/drawingml/2006/main">
                        <a:graphicData uri="http://schemas.microsoft.com/office/word/2010/wordprocessingShape">
                          <wps:wsp>
                            <wps:cNvSpPr txBox="1"/>
                            <wps:spPr>
                              <a:xfrm>
                                <a:off x="0" y="0"/>
                                <a:ext cx="1777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57860" cy="175260"/>
                      <wp:effectExtent l="0" t="0" r="0" b="0"/>
                      <wp:wrapNone/>
                      <wp:docPr id="78" name="Frame6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1120" cy="175260"/>
                      <wp:effectExtent l="0" t="0" r="0" b="0"/>
                      <wp:wrapNone/>
                      <wp:docPr id="80" name="Frame71"/>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43865" cy="175260"/>
                      <wp:effectExtent l="0" t="0" r="0" b="0"/>
                      <wp:wrapNone/>
                      <wp:docPr id="81" name="Frame72"/>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24535" cy="175260"/>
                      <wp:effectExtent l="0" t="0" r="0" b="0"/>
                      <wp:wrapNone/>
                      <wp:docPr id="84" name="Frame7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15" cy="175260"/>
                      <wp:effectExtent l="0" t="0" r="0" b="0"/>
                      <wp:wrapNone/>
                      <wp:docPr id="86"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68350" cy="175260"/>
                      <wp:effectExtent l="0" t="0" r="0" b="0"/>
                      <wp:wrapNone/>
                      <wp:docPr id="87" name="Frame78"/>
                      <a:graphic xmlns:a="http://schemas.openxmlformats.org/drawingml/2006/main">
                        <a:graphicData uri="http://schemas.microsoft.com/office/word/2010/wordprocessingShape">
                          <wps:wsp>
                            <wps:cNvSpPr txBox="1"/>
                            <wps:spPr>
                              <a:xfrm>
                                <a:off x="0" y="0"/>
                                <a:ext cx="768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30885" cy="175260"/>
                      <wp:effectExtent l="0" t="0" r="0" b="0"/>
                      <wp:wrapNone/>
                      <wp:docPr id="90" name="Frame81"/>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2"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  ​ ​ ​</w:t>
            </w:r>
          </w:p>
        </w:tc>
        <w:tc>
          <w:tcPr>
            <w:tcW w:w="109" w:type="dxa"/>
            <w:tcBorders/>
            <w:vAlign w:val="center"/>
          </w:tcPr>
          <w:p>
            <w:pPr>
              <w:pStyle w:val="TableContents"/>
              <w:bidi w:val="0"/>
              <w:spacing w:before="0" w:after="1"/>
              <w:ind w:left="0" w:right="0" w:hanging="0"/>
              <w:jc w:val="left"/>
              <w:rPr/>
            </w:pPr>
            <w:r>
              <w:rPr/>
              <w:t>​</w:t>
            </w:r>
          </w:p>
        </w:tc>
        <w:tc>
          <w:tcPr>
            <w:tcW w:w="121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1250"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Paid-</w:t>
            </w:r>
          </w:p>
        </w:tc>
        <w:tc>
          <w:tcPr>
            <w:tcW w:w="346" w:type="dxa"/>
            <w:tcBorders/>
            <w:vAlign w:val="center"/>
          </w:tcPr>
          <w:p>
            <w:pPr>
              <w:pStyle w:val="TableContents"/>
              <w:bidi w:val="0"/>
              <w:spacing w:before="0" w:after="1"/>
              <w:ind w:left="0" w:right="0" w:hanging="0"/>
              <w:jc w:val="left"/>
              <w:rPr/>
            </w:pPr>
            <w:r>
              <w:rPr/>
              <w:t>​</w:t>
            </w:r>
          </w:p>
        </w:tc>
        <w:tc>
          <w:tcPr>
            <w:tcW w:w="131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79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46" w:type="dxa"/>
            <w:tcBorders/>
            <w:vAlign w:val="center"/>
          </w:tcPr>
          <w:p>
            <w:pPr>
              <w:pStyle w:val="TableContents"/>
              <w:bidi w:val="0"/>
              <w:spacing w:before="0" w:after="1"/>
              <w:ind w:left="0" w:right="0" w:hanging="0"/>
              <w:jc w:val="left"/>
              <w:rPr/>
            </w:pPr>
            <w:r>
              <w:rPr/>
              <w:t>  ​ ​ ​</w:t>
            </w:r>
          </w:p>
        </w:tc>
        <w:tc>
          <w:tcPr>
            <w:tcW w:w="12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46" w:type="dxa"/>
            <w:tcBorders/>
            <w:vAlign w:val="center"/>
          </w:tcPr>
          <w:p>
            <w:pPr>
              <w:pStyle w:val="TableContents"/>
              <w:bidi w:val="0"/>
              <w:spacing w:before="0" w:after="1"/>
              <w:ind w:left="0" w:right="0" w:hanging="0"/>
              <w:jc w:val="left"/>
              <w:rPr/>
            </w:pPr>
            <w:r>
              <w:rPr/>
              <w:t>  ​ ​ ​</w:t>
            </w:r>
          </w:p>
        </w:tc>
        <w:tc>
          <w:tcPr>
            <w:tcW w:w="13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79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January 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8,891,420</w:t>
            </w:r>
          </w:p>
        </w:tc>
        <w:tc>
          <w:tcPr>
            <w:tcW w:w="346" w:type="dxa"/>
            <w:tcBorders/>
            <w:shd w:fill="CCEEFF" w:val="clear"/>
            <w:vAlign w:val="center"/>
          </w:tcPr>
          <w:p>
            <w:pPr>
              <w:pStyle w:val="TableContents"/>
              <w:bidi w:val="0"/>
              <w:spacing w:before="0" w:after="1"/>
              <w:ind w:left="0" w:right="0" w:hanging="0"/>
              <w:jc w:val="left"/>
              <w:rPr/>
            </w:pPr>
            <w:r>
              <w:rPr/>
              <w:t>​</w:t>
            </w:r>
          </w:p>
        </w:tc>
        <w:tc>
          <w:tcPr>
            <w:tcW w:w="112"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8,891</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450,329,515</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21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(436,285,863)</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14,052,543</w:t>
            </w:r>
          </w:p>
        </w:tc>
      </w:tr>
      <w:tr>
        <w:trPr/>
        <w:tc>
          <w:tcPr>
            <w:tcW w:w="279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purchased pursuant to ATM agreement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8,178</w:t>
            </w:r>
          </w:p>
        </w:tc>
        <w:tc>
          <w:tcPr>
            <w:tcW w:w="346" w:type="dxa"/>
            <w:tcBorders/>
            <w:vAlign w:val="center"/>
          </w:tcPr>
          <w:p>
            <w:pPr>
              <w:pStyle w:val="TableContents"/>
              <w:bidi w:val="0"/>
              <w:spacing w:before="0" w:after="1"/>
              <w:ind w:left="0" w:right="0" w:hanging="0"/>
              <w:jc w:val="left"/>
              <w:rPr/>
            </w:pPr>
            <w:r>
              <w:rPr/>
              <w:t>​</w:t>
            </w:r>
          </w:p>
        </w:tc>
        <w:tc>
          <w:tcPr>
            <w:tcW w:w="112"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36,894</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36,902</w:t>
            </w:r>
          </w:p>
        </w:tc>
      </w:tr>
      <w:tr>
        <w:trPr/>
        <w:tc>
          <w:tcPr>
            <w:tcW w:w="279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Issuance of common stock from exercise of stock options </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25,602</w:t>
            </w:r>
          </w:p>
        </w:tc>
        <w:tc>
          <w:tcPr>
            <w:tcW w:w="346" w:type="dxa"/>
            <w:tcBorders/>
            <w:shd w:fill="CCEEFF" w:val="clear"/>
            <w:vAlign w:val="center"/>
          </w:tcPr>
          <w:p>
            <w:pPr>
              <w:pStyle w:val="TableContents"/>
              <w:bidi w:val="0"/>
              <w:spacing w:before="0" w:after="1"/>
              <w:ind w:left="0" w:right="0" w:hanging="0"/>
              <w:jc w:val="left"/>
              <w:rPr/>
            </w:pPr>
            <w:r>
              <w:rPr/>
              <w:t>​</w:t>
            </w:r>
          </w:p>
        </w:tc>
        <w:tc>
          <w:tcPr>
            <w:tcW w:w="112"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62,134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2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62,159</w:t>
            </w:r>
          </w:p>
        </w:tc>
      </w:tr>
      <w:tr>
        <w:trPr/>
        <w:tc>
          <w:tcPr>
            <w:tcW w:w="279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prefunded warrants and warrants for cash, net of offering costs of $1.2 million</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1,783,805</w:t>
            </w:r>
          </w:p>
        </w:tc>
        <w:tc>
          <w:tcPr>
            <w:tcW w:w="346" w:type="dxa"/>
            <w:tcBorders/>
            <w:vAlign w:val="center"/>
          </w:tcPr>
          <w:p>
            <w:pPr>
              <w:pStyle w:val="TableContents"/>
              <w:bidi w:val="0"/>
              <w:spacing w:before="0" w:after="1"/>
              <w:ind w:left="0" w:right="0" w:hanging="0"/>
              <w:jc w:val="left"/>
              <w:rPr/>
            </w:pPr>
            <w:r>
              <w:rPr/>
              <w:t>​</w:t>
            </w:r>
          </w:p>
        </w:tc>
        <w:tc>
          <w:tcPr>
            <w:tcW w:w="112"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14,890,469</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14,892,253</w:t>
            </w:r>
          </w:p>
        </w:tc>
      </w:tr>
      <w:tr>
        <w:trPr/>
        <w:tc>
          <w:tcPr>
            <w:tcW w:w="279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2"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245,864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2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245,864</w:t>
            </w:r>
          </w:p>
        </w:tc>
      </w:tr>
      <w:tr>
        <w:trPr/>
        <w:tc>
          <w:tcPr>
            <w:tcW w:w="279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(10,731,315)</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(10,731,315)</w:t>
            </w:r>
          </w:p>
        </w:tc>
      </w:tr>
      <w:tr>
        <w:trPr/>
        <w:tc>
          <w:tcPr>
            <w:tcW w:w="279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10,709,005</w:t>
            </w:r>
          </w:p>
        </w:tc>
        <w:tc>
          <w:tcPr>
            <w:tcW w:w="346" w:type="dxa"/>
            <w:tcBorders/>
            <w:shd w:fill="CCEEFF" w:val="clear"/>
            <w:vAlign w:val="center"/>
          </w:tcPr>
          <w:p>
            <w:pPr>
              <w:pStyle w:val="TableContents"/>
              <w:bidi w:val="0"/>
              <w:spacing w:before="0" w:after="1"/>
              <w:ind w:left="0" w:right="0" w:hanging="0"/>
              <w:jc w:val="left"/>
              <w:rPr/>
            </w:pPr>
            <w:r>
              <w:rPr/>
              <w:t>​</w:t>
            </w:r>
          </w:p>
        </w:tc>
        <w:tc>
          <w:tcPr>
            <w:tcW w:w="112"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10,708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465,564,876</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210"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(447,017,178)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18,558,406</w:t>
            </w:r>
          </w:p>
        </w:tc>
      </w:tr>
      <w:tr>
        <w:trPr/>
        <w:tc>
          <w:tcPr>
            <w:tcW w:w="279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purchased pursuant to ATM agreement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5,358,292</w:t>
            </w:r>
          </w:p>
        </w:tc>
        <w:tc>
          <w:tcPr>
            <w:tcW w:w="346" w:type="dxa"/>
            <w:tcBorders/>
            <w:vAlign w:val="center"/>
          </w:tcPr>
          <w:p>
            <w:pPr>
              <w:pStyle w:val="TableContents"/>
              <w:bidi w:val="0"/>
              <w:spacing w:before="0" w:after="1"/>
              <w:ind w:left="0" w:right="0" w:hanging="0"/>
              <w:jc w:val="left"/>
              <w:rPr/>
            </w:pPr>
            <w:r>
              <w:rPr/>
              <w:t>​</w:t>
            </w:r>
          </w:p>
        </w:tc>
        <w:tc>
          <w:tcPr>
            <w:tcW w:w="112"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5,359</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9,858,524</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9,863,883</w:t>
            </w:r>
          </w:p>
        </w:tc>
      </w:tr>
      <w:tr>
        <w:trPr/>
        <w:tc>
          <w:tcPr>
            <w:tcW w:w="279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from exercise of prefunded warrants</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605,830</w:t>
            </w:r>
          </w:p>
        </w:tc>
        <w:tc>
          <w:tcPr>
            <w:tcW w:w="346" w:type="dxa"/>
            <w:tcBorders/>
            <w:shd w:fill="CCEEFF" w:val="clear"/>
            <w:vAlign w:val="center"/>
          </w:tcPr>
          <w:p>
            <w:pPr>
              <w:pStyle w:val="TableContents"/>
              <w:bidi w:val="0"/>
              <w:spacing w:before="0" w:after="1"/>
              <w:ind w:left="0" w:right="0" w:hanging="0"/>
              <w:jc w:val="left"/>
              <w:rPr/>
            </w:pPr>
            <w:r>
              <w:rPr/>
              <w:t>​</w:t>
            </w:r>
          </w:p>
        </w:tc>
        <w:tc>
          <w:tcPr>
            <w:tcW w:w="112" w:type="dxa"/>
            <w:tcBorders/>
            <w:shd w:fill="CCEEFF" w:val="clear"/>
            <w:vAlign w:val="center"/>
          </w:tcPr>
          <w:p>
            <w:pPr>
              <w:pStyle w:val="TableContents"/>
              <w:bidi w:val="0"/>
              <w:spacing w:before="0" w:after="1"/>
              <w:ind w:left="0" w:right="0" w:hanging="0"/>
              <w:jc w:val="left"/>
              <w:rPr/>
            </w:pPr>
            <w:r>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2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r>
      <w:tr>
        <w:trPr/>
        <w:tc>
          <w:tcPr>
            <w:tcW w:w="279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w:t>
            </w:r>
          </w:p>
        </w:tc>
        <w:tc>
          <w:tcPr>
            <w:tcW w:w="34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12" w:type="dxa"/>
            <w:tcBorders/>
            <w:vAlign w:val="center"/>
          </w:tcPr>
          <w:p>
            <w:pPr>
              <w:pStyle w:val="TableContents"/>
              <w:bidi w:val="0"/>
              <w:spacing w:before="0" w:after="1"/>
              <w:ind w:left="0" w:right="0" w:hanging="0"/>
              <w:jc w:val="left"/>
              <w:rPr/>
            </w:pPr>
            <w:r>
              <w:rPr/>
              <w:t>​</w:t>
            </w:r>
          </w:p>
        </w:tc>
        <w:tc>
          <w:tcPr>
            <w:tcW w:w="69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537,540</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537,540</w:t>
            </w:r>
          </w:p>
        </w:tc>
      </w:tr>
      <w:tr>
        <w:trPr/>
        <w:tc>
          <w:tcPr>
            <w:tcW w:w="279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(12,163,620)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(12,163,620)</w:t>
            </w:r>
          </w:p>
        </w:tc>
      </w:tr>
      <w:tr>
        <w:trPr/>
        <w:tc>
          <w:tcPr>
            <w:tcW w:w="2799"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16,673,127</w:t>
            </w:r>
          </w:p>
        </w:tc>
        <w:tc>
          <w:tcPr>
            <w:tcW w:w="346" w:type="dxa"/>
            <w:tcBorders/>
            <w:vAlign w:val="center"/>
          </w:tcPr>
          <w:p>
            <w:pPr>
              <w:pStyle w:val="TableContents"/>
              <w:bidi w:val="0"/>
              <w:spacing w:before="0" w:after="1"/>
              <w:ind w:left="0" w:right="0" w:hanging="0"/>
              <w:jc w:val="left"/>
              <w:rPr/>
            </w:pPr>
            <w:r>
              <w:rPr/>
              <w:t>​</w:t>
            </w:r>
          </w:p>
        </w:tc>
        <w:tc>
          <w:tcPr>
            <w:tcW w:w="112"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16,672</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475,960,940</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2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(459,180,798)</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15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16,796,814</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43" w:name="_a5c74bc0_9bd3_423a_be39_f05da6f3c865"/>
      <w:bookmarkEnd w:id="343"/>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344" w:name="CONSOLIDATEDSTATEMENTSOFCASHFLOWS_67365"/>
      <w:bookmarkEnd w:id="344"/>
      <w:r>
        <w:rPr>
          <w:rFonts w:ascii="Times New Roman;Times;serif" w:hAnsi="Times New Roman;Times;serif"/>
          <w:b/>
          <w:sz w:val="20"/>
        </w:rPr>
        <w:t>CONSOLIDATED STATEMENTS OF CASH FLOWS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45" w:name="Tc_vaRJH-gfMEGqdaGRqHfVQA_21_5"/>
      <w:bookmarkStart w:id="346" w:name="Tc_aQIPNhRWXEeh5lf47AAfLA_21_2"/>
      <w:bookmarkStart w:id="347" w:name="Tc_bMZ29yt-fEyW3GqQyIq-5w_21_0"/>
      <w:bookmarkStart w:id="348" w:name="Tc_glyMTPsEfEOLeO473pb3kg_20_0"/>
      <w:bookmarkStart w:id="349" w:name="Tc_AElFpBjNNEm-XmmtJ1zsLA_19_0"/>
      <w:bookmarkStart w:id="350" w:name="Tc_HSXdcEgNM0ugObt8iXr7Ig_18_0"/>
      <w:bookmarkStart w:id="351" w:name="Tc_bDV3FlNHAUe0E33ZN8vo9Q_17_0"/>
      <w:bookmarkStart w:id="352" w:name="Tc_Z81dJseucEyn83OVft00oA_16_0"/>
      <w:bookmarkStart w:id="353" w:name="Tc_6CjhEDTezE-n5L0pNgeCKg_15_0"/>
      <w:bookmarkStart w:id="354" w:name="Tc_iMRTmg4dA024vHBdC6e9-Q_14_0"/>
      <w:bookmarkStart w:id="355" w:name="Tc_uoacQSa830qUHYMn8a7rhw_13_6"/>
      <w:bookmarkStart w:id="356" w:name="Tc_iR5rZKOVa0q7UEUxta9-2w_13_0"/>
      <w:bookmarkStart w:id="357" w:name="Tc_mN2s0jj9f0-ErHhbcpCNoA_12_0"/>
      <w:bookmarkStart w:id="358" w:name="Tc_e_lQLWfA9kOduwKJw2ORPA_11_0"/>
      <w:bookmarkStart w:id="359" w:name="Tc_zqgPJ4njLkekZlWMkyGMjw_10_0"/>
      <w:bookmarkStart w:id="360" w:name="Tc_ySklyao3O0uPJbGG41pB9Q_9_0"/>
      <w:bookmarkStart w:id="361" w:name="Tc_2nobABbh4E-Iq4D8JxdLOw_8_0"/>
      <w:bookmarkStart w:id="362" w:name="Tc_GgroW8I360SXcTmVpNA8Rg_7_0"/>
      <w:bookmarkStart w:id="363" w:name="Tc_mKkYsExfDEyDtx1zwR7kjg_6_0"/>
      <w:bookmarkStart w:id="364" w:name="Tc_20fGJcKa-kWvT7kZ4k3wVA_5_5"/>
      <w:bookmarkStart w:id="365" w:name="Tc_abiKOQgEa0-V0x9lzV0zEQ_5_2"/>
      <w:bookmarkStart w:id="366" w:name="Tc_GPNexK7dP0WiSflTcJiLDQ_5_0"/>
      <w:bookmarkStart w:id="367" w:name="Tc_zRwqYYHOMkm8o_-6eh1QGw_4_0"/>
      <w:bookmarkStart w:id="368" w:name="Tc__RvIbpc2PUu98h-PzpJgGA_3_5"/>
      <w:bookmarkStart w:id="369" w:name="Tc_BtNoNuq9WUuW4UmvCwfycw_3_2"/>
      <w:bookmarkStart w:id="370" w:name="Tc_jm9ZxvTPBEObIiMTEqFA6A_2_2"/>
      <w:bookmarkStart w:id="371" w:name="Tc_n8fa2UpydUGtcB72CgFQZQ_1_2"/>
      <w:bookmarkStart w:id="372" w:name="_0a2f81dd_7746_4e72_8b1e_c682bb5dcfcd"/>
      <w:bookmarkStart w:id="373" w:name="Tc_vaRJH-gfMEGqdaGRqHfVQA_21_5"/>
      <w:bookmarkStart w:id="374" w:name="Tc_aQIPNhRWXEeh5lf47AAfLA_21_2"/>
      <w:bookmarkStart w:id="375" w:name="Tc_bMZ29yt-fEyW3GqQyIq-5w_21_0"/>
      <w:bookmarkStart w:id="376" w:name="Tc_glyMTPsEfEOLeO473pb3kg_20_0"/>
      <w:bookmarkStart w:id="377" w:name="Tc_AElFpBjNNEm-XmmtJ1zsLA_19_0"/>
      <w:bookmarkStart w:id="378" w:name="Tc_HSXdcEgNM0ugObt8iXr7Ig_18_0"/>
      <w:bookmarkStart w:id="379" w:name="Tc_bDV3FlNHAUe0E33ZN8vo9Q_17_0"/>
      <w:bookmarkStart w:id="380" w:name="Tc_Z81dJseucEyn83OVft00oA_16_0"/>
      <w:bookmarkStart w:id="381" w:name="Tc_6CjhEDTezE-n5L0pNgeCKg_15_0"/>
      <w:bookmarkStart w:id="382" w:name="Tc_iMRTmg4dA024vHBdC6e9-Q_14_0"/>
      <w:bookmarkStart w:id="383" w:name="Tc_uoacQSa830qUHYMn8a7rhw_13_6"/>
      <w:bookmarkStart w:id="384" w:name="Tc_iR5rZKOVa0q7UEUxta9-2w_13_0"/>
      <w:bookmarkStart w:id="385" w:name="Tc_mN2s0jj9f0-ErHhbcpCNoA_12_0"/>
      <w:bookmarkStart w:id="386" w:name="Tc_e_lQLWfA9kOduwKJw2ORPA_11_0"/>
      <w:bookmarkStart w:id="387" w:name="Tc_zqgPJ4njLkekZlWMkyGMjw_10_0"/>
      <w:bookmarkStart w:id="388" w:name="Tc_ySklyao3O0uPJbGG41pB9Q_9_0"/>
      <w:bookmarkStart w:id="389" w:name="Tc_2nobABbh4E-Iq4D8JxdLOw_8_0"/>
      <w:bookmarkStart w:id="390" w:name="Tc_GgroW8I360SXcTmVpNA8Rg_7_0"/>
      <w:bookmarkStart w:id="391" w:name="Tc_mKkYsExfDEyDtx1zwR7kjg_6_0"/>
      <w:bookmarkStart w:id="392" w:name="Tc_20fGJcKa-kWvT7kZ4k3wVA_5_5"/>
      <w:bookmarkStart w:id="393" w:name="Tc_abiKOQgEa0-V0x9lzV0zEQ_5_2"/>
      <w:bookmarkStart w:id="394" w:name="Tc_GPNexK7dP0WiSflTcJiLDQ_5_0"/>
      <w:bookmarkStart w:id="395" w:name="Tc_zRwqYYHOMkm8o_-6eh1QGw_4_0"/>
      <w:bookmarkStart w:id="396" w:name="Tc__RvIbpc2PUu98h-PzpJgGA_3_5"/>
      <w:bookmarkStart w:id="397" w:name="Tc_BtNoNuq9WUuW4UmvCwfycw_3_2"/>
      <w:bookmarkStart w:id="398" w:name="Tc_jm9ZxvTPBEObIiMTEqFA6A_2_2"/>
      <w:bookmarkStart w:id="399" w:name="Tc_n8fa2UpydUGtcB72CgFQZQ_1_2"/>
      <w:bookmarkStart w:id="400" w:name="_0a2f81dd_7746_4e72_8b1e_c682bb5dcfcd"/>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tbl>
      <w:tblPr>
        <w:tblW w:w="9082" w:type="dxa"/>
        <w:jc w:val="left"/>
        <w:tblInd w:w="0" w:type="dxa"/>
        <w:tblLayout w:type="fixed"/>
        <w:tblCellMar>
          <w:top w:w="0" w:type="dxa"/>
          <w:left w:w="0" w:type="dxa"/>
          <w:bottom w:w="0" w:type="dxa"/>
          <w:right w:w="0" w:type="dxa"/>
        </w:tblCellMar>
      </w:tblPr>
      <w:tblGrid>
        <w:gridCol w:w="5611"/>
        <w:gridCol w:w="346"/>
        <w:gridCol w:w="211"/>
        <w:gridCol w:w="1156"/>
        <w:gridCol w:w="346"/>
        <w:gridCol w:w="211"/>
        <w:gridCol w:w="1201"/>
      </w:tblGrid>
      <w:tr>
        <w:trPr/>
        <w:tc>
          <w:tcPr>
            <w:tcW w:w="5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3562985" cy="175260"/>
                      <wp:effectExtent l="0" t="0" r="0" b="0"/>
                      <wp:wrapNone/>
                      <wp:docPr id="91" name="Frame82"/>
                      <a:graphic xmlns:a="http://schemas.openxmlformats.org/drawingml/2006/main">
                        <a:graphicData uri="http://schemas.microsoft.com/office/word/2010/wordprocessingShape">
                          <wps:wsp>
                            <wps:cNvSpPr txBox="1"/>
                            <wps:spPr>
                              <a:xfrm>
                                <a:off x="0" y="0"/>
                                <a:ext cx="3562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734060" cy="175260"/>
                      <wp:effectExtent l="0" t="0" r="0" b="0"/>
                      <wp:wrapNone/>
                      <wp:docPr id="94" name="Frame8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62635" cy="175260"/>
                      <wp:effectExtent l="0" t="0" r="0" b="0"/>
                      <wp:wrapNone/>
                      <wp:docPr id="97" name="Frame8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5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left"/>
              <w:rPr/>
            </w:pPr>
            <w:r>
              <w:rPr/>
              <w:t>​</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(12,163,620)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(10,731,315)</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537,540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245,864</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deposits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504,409</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(1,318,888)</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Related party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(1,710,500)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380,845</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(454,570)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8,761</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974,799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(12,014,081)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(10,910,324)</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  ​</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9,863,883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14,929,155</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warrants and stock options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62,159</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9,864,488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14,991,314</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(2,149,593)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4,080,990</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the year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19,192,440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15,111,450</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at end of the year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17,042,847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19,192,440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01" w:name="_d7475cbc_d893_4336_bd6d_413993e36aa9"/>
      <w:bookmarkEnd w:id="401"/>
      <w:r>
        <w:rPr>
          <w:rFonts w:ascii="Times New Roman;Times;serif" w:hAnsi="Times New Roman;Times;serif"/>
          <w:b/>
          <w:sz w:val="20"/>
        </w:rPr>
        <w:t>MARKER THERAPEUTICS, INC.</w:t>
      </w:r>
    </w:p>
    <w:p>
      <w:pPr>
        <w:pStyle w:val="TextBody"/>
        <w:bidi w:val="0"/>
        <w:spacing w:before="0" w:after="0"/>
        <w:ind w:left="0" w:right="0" w:hanging="0"/>
        <w:jc w:val="center"/>
        <w:rPr>
          <w:rFonts w:ascii="Times New Roman;Times;serif" w:hAnsi="Times New Roman;Times;serif"/>
          <w:b/>
          <w:sz w:val="20"/>
        </w:rPr>
      </w:pPr>
      <w:bookmarkStart w:id="402" w:name="NOTESTOCONSOLIDATEDFINANCIALSTATEMENTS_5"/>
      <w:bookmarkEnd w:id="402"/>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FISCAL YEARS DECEMBER 31, 2025 AND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NATURE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Marker Therapeutics, Inc., a Delaware corporation (the “Company” or “we”), is a clinical-stage immuno-oncology company specializing in the development and commercialization of novel T cell-based immunotherapies for the treatment of hematological malignancies and solid tumor indications. The Company’s multi antigen recognizing (“MAR”)-T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The Company was incorporated in Nevada in 1992 and reincorporated in Delaware in October 2018.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Currently, the Baylor College of Medicine (“BCM”) supplies the Company with MT-601, the Company’s lead Multi-Antigen Recognizing (MAR)-T cell therapy in anticipation of the commencement of the Company’s larger pivotal trial for Lymphoma.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16, 2025, the Company entered into a Statement of Work (the “SOW”) with Cellipont Bioservices (“Cellipont”), a leading cell therapy Contract Development and Manufacturing Organization (“CDMO”), for the manufacturing of MT-601. Pursuant to the SOW, Cellipont will provide technology transfer and cGMP manufacturing services to support the scale-up and production of MT-601 for the Company’s APOLLO study.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FINANCIAL CONDITION, GOING CONCERN AND MANAGEMENT PLANS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As of December 31, 2025, the Company had cash, cash equivalents,</w:t>
      </w:r>
      <w:r>
        <w:rPr>
          <w:rFonts w:ascii="Times New Roman;Times;serif" w:hAnsi="Times New Roman;Times;serif"/>
          <w:b/>
          <w:i/>
          <w:sz w:val="20"/>
        </w:rPr>
        <w:t xml:space="preserve"> </w:t>
      </w:r>
      <w:r>
        <w:rPr>
          <w:rFonts w:ascii="Times New Roman;Times;serif" w:hAnsi="Times New Roman;Times;serif"/>
          <w:b w:val="false"/>
          <w:i w:val="false"/>
          <w:caps w:val="false"/>
          <w:smallCaps w:val="false"/>
          <w:sz w:val="20"/>
        </w:rPr>
        <w:t>and restricted cash of approximately $17.0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debt financings and grants.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entered into a Controlled Equity Offering</w:t>
      </w:r>
      <w:r>
        <w:rPr>
          <w:rFonts w:ascii="Times New Roman;Times;serif" w:hAnsi="Times New Roman;Times;serif"/>
          <w:sz w:val="15"/>
        </w:rPr>
        <w:t>SM</w:t>
      </w:r>
      <w:r>
        <w:rPr>
          <w:rFonts w:ascii="Times New Roman;Times;serif" w:hAnsi="Times New Roman;Times;serif"/>
          <w:sz w:val="20"/>
        </w:rPr>
        <w:t xml:space="preserve"> Sales Agreement (the “ATM Agreement”) with Cantor Fitzgerald &amp; Co. and RBC Capital Markets, LLC (the “Sales Agents”), pursuant to which the Company could offer and sell, from time to time at its sole discretion through the Sales Agents, shares of its common stock having an aggregate offering price of up to $75.0 million. Any shares of its common stock sold were issued pursuant to the Company’s shelf registration statement on Form S-3 (File No. 333-258687), which the SEC declared effective on August 19, 2021. However, our use of the shelf registration statement on Form S-3 was limited for so long as we were subject to General Instruction I.B.6 of Form S-3, which limited the amounts that we could sell under the registration statement and in accordance with the ATM agreement. The Sales Agents were entitled to compensation under the Sales Agreement at a commission rate equal to 3.0% of the gross sales price per share sold under the ATM Agreement, and we provided each of the Sales Agents with indemnification and contribution rights. During the year ended December 31, 2024, the Company sold 8,178 shares of its common stock under the ATM Agreement for proceeds of $0.04 million. On June 10, 2024, the Company provided notice of its termination of the ATM Agreement with Cantor Fitzgerald &amp; Co. and RBC Capital Markets, LLC. The Company is not subject to any termination penalties related to the termination of the ATM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November 2024, the Company entered into an At The Market Offering Agreement, or the Sales Agreement, with H.C. Wainwright &amp; Co. LLC, relating to the sale of shares of its common stock having an agreement offering price of up to $11,431,713 from time to time through H.C. Wainwright &amp; Co. LLC. Any shares of common stock sold will be issued pursuant to the Company’s shelf registration statement on Form S-3 (File No. 333-283512), which the SEC declared effective on December 6, 2024. However, the Company’s use of the shelf registration statement on Form S-3 will be limited for so long as it is subject to General Instruction I.B.6 of Form S-3, which limits the amounts that the Company may sell under the registration statement and in accordance with the ATM agreement. H.C. Wainwright &amp; Co. LLC will be entitled to compensation under the Sales Agreement at a commission rate equal to 3.0% of the gross sales price per share sold under the ATM Agreement, and the Company’ has provided H.C. Wainwright &amp; Co. LLC with indemnification and contribution rights. Between July 17 and 21, 2025, the Company sold 1,624,075 shares of common stock pursuant to the ATM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Agreement for net proceeds of $4.5 million, after deducting agent commissions, at an average price of $2.87 per share. On August 26, 2025, the Company sold an additional 3,734,217 shares of common stock pursuant to the ATM Agreement with H.C. Wainwright &amp; Co., LLC for net proceeds of $5.4 million, after deducting agent commissions, at an average price of $1.48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the CPRIT to support the Company’s clinical investigation of MT-401 (the “CPRIT AML Grant”). Through the date of this filing, the Company has received $11.8 million in funds from the CPRIT AML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2022, the Company received notice from the FDA that it had awarded the Company a $2.0 million grant from the FDA’s Orphan Products Grant program to support the clinical investigation of MT-401 for the treatment of post-transplant AML (the “FDA Grant”). Through the date of this filing, the Company has received $1.2 million in funds from the FDA Grant.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2023, the Company announced that it had received a $2.0 million grant from the National Institutes of Health (“NIH”) Small Business Innovation Research (“SBIR”) program to support the development and investigation of MT-401 for the treatment of AML patients following standard-of-care therapy with hypomethylating agents (the “SBIR AML Grant”). Through the date of this filing, the Company has received $1.7 million in funds from the SBIR AML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funding agencies have agreed to continue their financial support and to shift funds to the MT-401-OTS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2024, the Company received notice of a $2.0 million grant over a 2-year period from the National Institutes of Health SBIR program to support control over tumor immune escape in pancreatic cancer using a dual T cell product strategy (the “Decoy Grant”). Through the date of this filing, the Company has received approximately $0.5 million in funds from the Decoy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notice of a $2.0 million grant from the NIH SBIR program to support the clinical investigation of MT-601 in patients with non-Hodgkin’s lymphoma (“NHL”) who have relapsed following anti-CD19 chimeric antigen receptor (CAR) T cell therapy (the “SBIR NHL Grant”). Through the date of this filing, the Company has received $1.3 million in funds from the SBIR NHL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2024, the Company received another $2.0 million grant from the NIH SBIR program to support the advancement of MT-601 in patients with pancreatic cancer (the “PANACEA Grant”). Through the date of this filing, the Company has received approximately $0.4 million in funds from the PANACEA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2024, the Company received notice of an additional $9.5 million grant from CPRIT to support the clinical investigation of MT-601 in patients with metastatic pancreatic cancer (the “CPRIT Pancreatic Grant”). Through the date of this filing, the Company has received $1.5 million in funds from this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Refer to Note 5 and Note 9 for grant income receivable and grant income recorded for each grant, respectively, for the periods presented.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On December 19, 2024, the Company entered into a Securities Purchase Agreement (the “Purchase Agreement”), pursuant to which the Company issued and sold in a private Placement the following securities: (i)1,783,805</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shares of common stock, (ii) Series B Warrants, or Pre-Funded Warrants, to purchase an aggregate of 3,247,445</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shares of common stock in lieu of shares of common stock and (iii) Series A Warrants, or Private Placement Warrants, to purchase an aggregate of 5,031,250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shares of common stock. The purchase price per share of common stock and accompanying Private Placement Warrant to purchase a share of common stock was $3.20, and the purchase price per Pre-Funded Warrant and accompanying Private Placement Warrant to purchase a share of common stock was $3.199. The transaction closed on December 23, 2024, with net proceeds from the sale of securities in the Private Placement of approximately $14.9</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which does not include any proceeds that may be received upon exercise of any warrants issued in the Private Placement. Both the Pre-Funded Warrants and the Private Placement Warrants were not exercisable until the Company obtained shareholder approval, which was received on March 21, 2025.</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continue to incur substantial losses over the next several years during its development phase.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Based on the Company’s lack of recurring revenues, anticipated uses of cash and historical recurring cash losses from operating activities, and cash, cash equivalents, and restricted cash as of December 31, 2025, and taking into consideration the net proceeds received in July and August of 2025 through the sale of Common Stock pursuant to its ATM Agreement with H.C. Wainwright &amp; Co.,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LLC (see Note 7), the Company anticipates that it will be able to fund its operating expenses and capital expenditure requirements through the fourth quarter of 2026, assuming no additional grant funds are received, either from new grants or from existing awarded grants. These factors raise substantial doubt regarding the Company’s ability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is considering raising additional capital through the issuance of securities and intends to apply for additional grant funds, which could enable the Company to fund its operating expenses and capital expenditure requirements beyond the fourth quarter of 2026, although no assurance can be given that such capital or existing awarded grants will be earned or future grants will be awarded. The Company’s future cash requirements are based on the Company’s clinical and research and development plans, timing expectations related to the progress of its programs, and is subject to the Company’s ability to effectively manage its costs, raise additional capital, and receive additional grant funds, of which there can be no assurances.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assumptions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Initiates, continues, or accelerates clinical trials of its product candidates;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the research and development of its product candidates and seeks to discover additional product candidates;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seeks regulatory approvals for any product candidates that successfully complete clinical trials;</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maintains and enforces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enters into contract manufacturing arrangements with contract manufacturing organizations for clinical manufacturing supply;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establishes sales, marketing and distribution infrastructure and scale-up manufacturing capabilities to commercialize any product candidates that may receive regulatory approval;</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strategic transactions the Company may undertake;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operational, financial and information management systems and hires additional personnel, including personnel to support development of product candidates and, if a product candidate is approved, commercialization efforts.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consolidated financial statements have been prepared on a going concern basis, which implies that the Company will continue to realize its assets and discharge its liabilities in the normal course of business. The Company’s financial statements do not include any adjustments to the recoverability and classification of recorded asset amounts and classification of liabilities that might be necessary should the Company be unable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foregoing, high inflation and concerns about an economic recession in the United States or other major markets have resulted in, among other things, volatility in the capital markets that may have the effect of reducing the Company’s ability to access capital, which could in the future negatively affect the Company’s liquidity. In addition, a recession or market correction due to these factors could materially affect the Company’s business and the value of its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accompanying consolidated financial statements have been prepared in conformity with accounting principles generally accepted in the United States of America and pursuant to the rules and regulations of the Securities Exchange Commission (“SEC”). Any reference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these footnotes to applicable guidance is meant to refer to the authoritative U.S. generally accepted accounting principles (“GAAP”) as found in the Accounting Standards Codification (“ASC”) and Accounting Standards Update (“ASU”) of the Financial Accounting Standards Board (“FASB”).</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consolidated financial statements include the accounts of the Company and its wholly-owned subsidiaries, Marker Cell Therapy, Inc. and GeneMax Pharmaceuticals Inc. – a dormant subsidiary that wholly owns GeneMax Pharmaceuticals Canada, Inc. All significant intercompany balances and transactions are eliminated upon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Preparation of the Company’s consolidated financial statements in conformity with GAAP requires management to make estimates and assumptions that affect reported amounts of assets and liabilities and disclosure of contingent assets and liabilities at the date of the financial statements and the reported amounts of expenses during the reporting period. Accordingly, actual results may differ materially from those estimates. Management considers many factors in selecting appropriate financial accounting policies,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and income taxes.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Cash Equivalents, Restricted Cash, and Credit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considers highly liquid investments with a maturity of three months or less when purchased to be cash equivalents. Cash, cash equivalents, and restricted cash at December 31, 2025 consisted of cash and certificates of deposit in institutions in the United States. The Company maintains cash in accounts which are in excess of the Federal Deposit Insurance Corporation (“FDIC”) insured limits of $250,000. As of December 31, 2025, the Company had approximately $1.6 million in cash at financial institutions, including $1.0 million of restricted cash at financial institutions, and approximately $15.4 million in U.S. government agency securities, for aggregate cash, cash equivalents, and restricted cash of $17.0 million. As of December 31, 2024, the Company had approximately $1.1 million in cash at financial institutions and approximately $18.1 million in U.S. government agency securities, for aggregate cash and cash equivalents of $19.2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cash is received from grants in advance of incurring qualifying costs, it is recorded as restricted cash until it is earned and recorded to grant income.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Modification of Stock Options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the Company recorded incremental stock-based compensation expense of $0.3 million pertaining to the modification of stock options in connection with certain consultants. The modification provided for an acceleration of unvested options, resulting in $0.3 million in compensation expense that was immediately recognized, and is reflected in operating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Patents and Patent Application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Although the Company believes that its patents and underlying technology have continuing value, the amount of future benefits to be derived from the patents is uncertain. Patent costs are, therefore, expensed as incurred.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incurs stock-based compensation expense related to the issuance of common stock and stock options. The Company estimates the fair value of stock options granted using the Black-Scholes option pricing model. 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and expected option life: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xml:space="preserve"> — The expected life of stock options was estimated using the “simplified method,” as the Company has limited historical information to develop reasonable expectations about future exercise patterns and post-vesting employment termination behavior for its stock options grants. The simplified method is based on the average of the vesting tranches and the contractual life of each grant.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xml:space="preserve"> — The Company computes stock price volatility over expected terms based on its historical common stock trading prices.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xml:space="preserve"> — The Company bases the risk-free interest rate on the implied yield available on U.S. Treasury zero-coupon issues with an equivalent remaining term. </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i/>
          <w:sz w:val="20"/>
        </w:rPr>
        <w:t>Expected Dividend</w:t>
      </w:r>
      <w:r>
        <w:rPr>
          <w:rFonts w:ascii="Times New Roman;Times;serif" w:hAnsi="Times New Roman;Times;serif"/>
          <w:sz w:val="20"/>
        </w:rPr>
        <w:t xml:space="preserve"> — The Company has never declared or paid any cash dividends on its common shares and does not plan to pay cash dividends in the foreseeable future, and, therefore, uses an expected dividend yield of zero in its valuation models.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amortizes the fair value of the awards expected to vest on a straight-line basis over the requisite service period of the awards. The Company recognizes fair value of stock options granted to nonemployees as stock-based compensation expense over the period in which the related services are received as if the Company had paid cash for those services. Forfeitures are accounted for as incurred.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consist of costs associated with clinical trial programs. Costs incurred by third parties are expensed as the contracted work is performed. The Company accrues for costs incurred as the services are being provided by monitoring the status of the clinical trial or project and the invoices received from its external service providers. The Company estimates depend on the timeliness and accuracy of the data provided by the vendors regarding the status of each project and total project spending. The Company adjusts its accrual as actual costs become known. Where contingent milestone payments are due to third parties under research and development arrangements, the milestone payment obligations are expensed when the milestone events are achieved.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2025 and 2024,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2025 and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Grant Income represents funding under cost reimbursement programs from government agencies and non-profit foundations for qualified research and development activities performed by the Company. In applying the provisions of ASC Topic 606, Revenue from Contracts with Customers (“ASC 606”), the Company determined that grants and awards are out of the scope of ASC 606 because the funding entities do not meet the definition of a “customer”, as defined by ASC 606, as there is not considered to be a transfer of control of goods or services. With respect to each grant or award, the Company determines if it has a collaboration in accordance with ASC Topic 808, Collaborative Arrangements (“ASC 808”). For grant and awards outside the scope of ASC 808, the Company applies either ASC 606 or IAS 20 by analogy depending on if the arrangement is considered an exchange or non-exchange transaction, respectively. Under both accounting frameworks, revenue is recognized when the Company incurs expenses related to the grants for the amount the Company is entitled to under the provisions of the contract. During the two years ended December 31, 2025, the Company did not participate in any collaboration agreements.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Loss per Common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share includes only the weighted average common shares outstanding, without consideration of potentially dilutive securities. Diluted loss per share includes the weighted average common shares outstanding and any potentially dilutive common stock equivalent shares in the calculation.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entity for which separate discrete financial information is made available and that is regularly evaluated by the chief operating decision maker (“CODM”) in making decisions regarding resource allocation and assessing performance. The Company is a clinical-stage immuno-oncology company specializing in the development and commercialization of novel T cell-based immunotherapies for the treatment of hematological malignancies and solid tumor indications. The Company’s operations are organized and reported as a single reportable segment, which includes all activities related to the discovery, development, and commercialization of its products. The Company’s CODM, its chief executive officer, reviews operating results on an aggregate basis and manages the operations as a single operating segment.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accounting policies of the Company’s single operating and reportable segment are the same as those described in the summary of significant accounting policies. The measure of segment assets is reported on the consolidated balance sheets as total assets. The CODM evaluates performance and allocates resources based on consolidated net income (loss) that also is reported on the consolidated statements of operations as net loss, and consolidated cash used in operations. The CODM makes operating decisions based on the availability of cash and the allocation of cash to the required expenditures. The significant expenses regularly reviewed by the CODM are consistent with those reported on the Company’s consolidated statements of operations, and expenses are not regularly reviewed on a more disaggregated basis for purposes of assessing segment performance and deciding how to allocate resources.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Accounting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From time to time, new accounting pronouncements are issued by the FASB or other standard setting bodies that the Company adopts as of the specified effective date. Unless otherwise discussed, the Company does not believe that the impact of recently issued standards that are not yet effective will have a material impact on its financial position or results of operations upon adoption.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Adopted Accounting Standards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Improvements to Income Tax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Effective January 1, 2025, the Company adopted the new standard and applied it retrospectively to prior periods presented. The Company does not believe the new disclosure requirements had a material impact to its financial positions, results of operations and cash flows.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Standards Not Yet Adopted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Government Grants (Topic 832): Accounting for Government Grants Received by Business Entities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December 2025, the FASB issued ASU 2025-10, Government Grants (Topic 832): Accounting for Government Grants Received by Business Entities. The new standard is intended to establish authoritative guidance on the accounting for government grants received by business entities and reduce diversity in practice. The amendments establish the timing and methods of recognition of both (1) a grant related to an asset and (2) a grant related to income. The amendments also require certain disclosures including the nature of the grant received, the accounting policies used to account for the grant, and significant terms and conditions for the grant. The new guidance is effective for annual reporting periods beginning after December 15, 2028, and interim reporting periods within those annual reporting periods. Early adoption is permitted. The new guidance may be applied on a modified prospective basis, modified retrospective basis, or full retrospective basis. The Company is currently evaluating the impact of ASU 2025-10 on its consolidated financial statements.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Income Statement – Reporting Comprehensive Income – Expense Disaggregation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November 2024, the FASB issued ASU No. 2024-03, Income Statement - Reporting Comprehensive Income - Expense Disaggregation Disclosures, to improve transparency in financial reporting by requiring entities to present more detailed information about the nature of expenses included within the Income Statement. The guidance will be effective for annual reporting periods beginning after December 15, 2026, and interim reporting periods beginning after December 15, 2027. Early adoption is permitted. Upon adoption, the guidance can be applied prospectively or retrospectively. The Company is in the process of assessing the impact of ASU 2024-03 on its disclosures.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 Tax Law Changes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4, 2025, the One Big Beautiful Bill Act (OBBBA) was enacted, introducing significant changes to U.S. tax law, including provisions related to bonus depreciation, interest expense limitations, and the treatment of domestic research and development expenditures.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evaluated the legislation in accordance with ASC 740 and determined that the enactment did not have a material impact on its financial statements for the year ended December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03" w:name="Tc_iw27VrObl0ei7Y7EAZ4Rvw_6_0"/>
      <w:bookmarkStart w:id="404" w:name="Tc_oT5SMgBJVUKSWOXt8o-B3g_5_0"/>
      <w:bookmarkStart w:id="405" w:name="Tc_JqrYHEc4lUOzCVTc1KExuw_4_0"/>
      <w:bookmarkStart w:id="406" w:name="Tc_7GohSSugBkuWGM9pat0gzg_3_4"/>
      <w:bookmarkStart w:id="407" w:name="Tc_0e5k98NLqU6cbKxP4AIltA_3_2"/>
      <w:bookmarkStart w:id="408" w:name="Tc_qXvuIsIVykqJ9O9A2B8pBg_2_2"/>
      <w:bookmarkStart w:id="409" w:name="Tc_JEV5fbLFt0um6ADaIzIFkA_1_2"/>
      <w:bookmarkStart w:id="410" w:name="Tc_Iu0ziUAB0U-Z3-Gxo_OBjA_12_5"/>
      <w:bookmarkStart w:id="411" w:name="Tc_5qTd8xsyaUmSalzBxO6qDQ_12_2"/>
      <w:bookmarkStart w:id="412" w:name="Tc_6d4yrx0aa0iMH8hnPh9n5g_12_0"/>
      <w:bookmarkStart w:id="413" w:name="Tc_B2zEz27pvkiXflfaqn7L6g_11_0"/>
      <w:bookmarkStart w:id="414" w:name="Tc_hublzYK8N0eG58TAdBHBQw_9_0"/>
      <w:bookmarkStart w:id="415" w:name="Tc_LnWUZylX4kKsiMOdedWMQw_8_0"/>
      <w:bookmarkStart w:id="416" w:name="Tc_avp4d7lN9UKQZfyRFFI7kA_7_0"/>
      <w:bookmarkStart w:id="417" w:name="Tc_MYh-CNXRPUqLjg50fFvCEA_5_5"/>
      <w:bookmarkStart w:id="418" w:name="Tc_Bc9kSqzRxUG4FPHW5IpjzA_5_2"/>
      <w:bookmarkStart w:id="419" w:name="Tc_e8frZp9iSUyw1lj3utqYIw_5_0"/>
      <w:bookmarkStart w:id="420" w:name="Tc_DHc_R1XW_062cUQvYLGTuw_4_0"/>
      <w:bookmarkStart w:id="421" w:name="Tc_Z_aA0Ss87E6c4p-FyvMLyQ_3_5"/>
      <w:bookmarkStart w:id="422" w:name="Tc_KMSoXbkWWkG6LbZO-l1xiA_3_2"/>
      <w:bookmarkStart w:id="423" w:name="Tc_rubszJIbbEaBTv-I_V1zyw_2_2"/>
      <w:bookmarkStart w:id="424" w:name="Tc_V4bsW2XA0kW9kU650tg0ww_1_2"/>
      <w:bookmarkStart w:id="425" w:name="_e42134e0_4d91_4ecd_af85_d93b96c7c4bd"/>
      <w:bookmarkStart w:id="426" w:name="_aae58ab4_2eb7_4103_ae48_0e324c647bbe"/>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Pr>
          <w:rFonts w:ascii="Times New Roman;Times;serif" w:hAnsi="Times New Roman;Times;serif"/>
          <w:b/>
          <w:sz w:val="20"/>
        </w:rPr>
        <w:t>NOTE 4:    NET LOSS PER SHARE APPLICABLE TO COMMON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net loss per share for the years ended December 31, 2025 and 2024, respectively:</w:t>
      </w:r>
    </w:p>
    <w:p>
      <w:pPr>
        <w:pStyle w:val="TextBody"/>
        <w:bidi w:val="0"/>
        <w:spacing w:before="0" w:after="240"/>
        <w:ind w:left="0" w:right="0" w:hanging="0"/>
        <w:jc w:val="both"/>
        <w:rPr/>
      </w:pPr>
      <w:r>
        <w:rPr/>
        <w:t>​</w:t>
      </w:r>
    </w:p>
    <w:tbl>
      <w:tblPr>
        <w:tblW w:w="8047" w:type="dxa"/>
        <w:jc w:val="left"/>
        <w:tblInd w:w="0" w:type="dxa"/>
        <w:tblLayout w:type="fixed"/>
        <w:tblCellMar>
          <w:top w:w="0" w:type="dxa"/>
          <w:left w:w="0" w:type="dxa"/>
          <w:bottom w:w="0" w:type="dxa"/>
          <w:right w:w="0" w:type="dxa"/>
        </w:tblCellMar>
      </w:tblPr>
      <w:tblGrid>
        <w:gridCol w:w="4576"/>
        <w:gridCol w:w="346"/>
        <w:gridCol w:w="211"/>
        <w:gridCol w:w="1156"/>
        <w:gridCol w:w="346"/>
        <w:gridCol w:w="211"/>
        <w:gridCol w:w="1201"/>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905760" cy="175260"/>
                      <wp:effectExtent l="0" t="0" r="0" b="0"/>
                      <wp:wrapNone/>
                      <wp:docPr id="98" name="Frame89"/>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100"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734060" cy="175260"/>
                      <wp:effectExtent l="0" t="0" r="0" b="0"/>
                      <wp:wrapNone/>
                      <wp:docPr id="101" name="Frame9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62635" cy="175260"/>
                      <wp:effectExtent l="0" t="0" r="0" b="0"/>
                      <wp:wrapNone/>
                      <wp:docPr id="104" name="Frame95"/>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31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57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(12,163,620)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(10,731,315)</w:t>
            </w:r>
          </w:p>
        </w:tc>
      </w:tr>
      <w:tr>
        <w:trPr/>
        <w:tc>
          <w:tcPr>
            <w:tcW w:w="45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w:t>
            </w:r>
          </w:p>
        </w:tc>
      </w:tr>
      <w:tr>
        <w:trPr/>
        <w:tc>
          <w:tcPr>
            <w:tcW w:w="45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15,310,308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8,980,207</w:t>
            </w:r>
          </w:p>
        </w:tc>
      </w:tr>
      <w:tr>
        <w:trPr/>
        <w:tc>
          <w:tcPr>
            <w:tcW w:w="457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15,310,308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8,980,207</w:t>
            </w:r>
          </w:p>
        </w:tc>
      </w:tr>
      <w:tr>
        <w:trPr/>
        <w:tc>
          <w:tcPr>
            <w:tcW w:w="45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earnings (loss) per share: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w:t>
            </w:r>
          </w:p>
        </w:tc>
      </w:tr>
      <w:tr>
        <w:trPr/>
        <w:tc>
          <w:tcPr>
            <w:tcW w:w="457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securities, rounded to the thousand, were not included in the diluted net loss per share calculation because their effect was anti-dilutive for the periods presented:</w:t>
      </w:r>
    </w:p>
    <w:p>
      <w:pPr>
        <w:pStyle w:val="TextBody"/>
        <w:bidi w:val="0"/>
        <w:spacing w:before="0" w:after="240"/>
        <w:ind w:left="0" w:right="0" w:hanging="0"/>
        <w:jc w:val="both"/>
        <w:rPr/>
      </w:pPr>
      <w:r>
        <w:rPr/>
        <w:t>​</w:t>
      </w:r>
    </w:p>
    <w:tbl>
      <w:tblPr>
        <w:tblW w:w="5495" w:type="dxa"/>
        <w:jc w:val="left"/>
        <w:tblInd w:w="0" w:type="dxa"/>
        <w:tblLayout w:type="fixed"/>
        <w:tblCellMar>
          <w:top w:w="0" w:type="dxa"/>
          <w:left w:w="0" w:type="dxa"/>
          <w:bottom w:w="0" w:type="dxa"/>
          <w:right w:w="0" w:type="dxa"/>
        </w:tblCellMar>
      </w:tblPr>
      <w:tblGrid>
        <w:gridCol w:w="2836"/>
        <w:gridCol w:w="346"/>
        <w:gridCol w:w="931"/>
        <w:gridCol w:w="346"/>
        <w:gridCol w:w="1036"/>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800860" cy="175260"/>
                      <wp:effectExtent l="0" t="0" r="0" b="0"/>
                      <wp:wrapNone/>
                      <wp:docPr id="105" name="Frame96"/>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591185" cy="175260"/>
                      <wp:effectExtent l="0" t="0" r="0" b="0"/>
                      <wp:wrapNone/>
                      <wp:docPr id="107" name="Frame9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57860" cy="175260"/>
                      <wp:effectExtent l="0" t="0" r="0" b="0"/>
                      <wp:wrapNone/>
                      <wp:docPr id="109" name="Frame10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1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1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options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1,762,878</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587,704</w:t>
            </w:r>
          </w:p>
        </w:tc>
      </w:tr>
      <w:tr>
        <w:trPr/>
        <w:tc>
          <w:tcPr>
            <w:tcW w:w="2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purchase warrants</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5,031,250</w:t>
            </w:r>
          </w:p>
        </w:tc>
        <w:tc>
          <w:tcPr>
            <w:tcW w:w="34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8,278,695</w:t>
            </w:r>
          </w:p>
        </w:tc>
      </w:tr>
      <w:tr>
        <w:trPr/>
        <w:tc>
          <w:tcPr>
            <w:tcW w:w="2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Potentially dilutive securities</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6,794,128</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8,866,399</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427" w:name="Tc_nLU_NPJM0k2Y-bDaElhaVg_13_5"/>
      <w:bookmarkStart w:id="428" w:name="Tc_8X_qxZq4KU2r47Yo8f8f5A_13_2"/>
      <w:bookmarkStart w:id="429" w:name="Tc_CrZuSunjOU6yjUbeiaX0bw_13_0"/>
      <w:bookmarkStart w:id="430" w:name="Tc_4jevWgOO9kOfmpyg63bvuQ_12_3"/>
      <w:bookmarkStart w:id="431" w:name="Tc_Kgc4bngM70aA_wrOykb58g_12_0"/>
      <w:bookmarkStart w:id="432" w:name="Tc_Rw5YiMqmv0e9aNXnMTflDw_11_0"/>
      <w:bookmarkStart w:id="433" w:name="Tc_FEIe0mzbQEWdl2jsxzKHSw_10_0"/>
      <w:bookmarkStart w:id="434" w:name="Tc_EARJH-NmVEuLItg6qTGPPg_9_0"/>
      <w:bookmarkStart w:id="435" w:name="Tc_kEHtq6WdD0yUW7reQZcaQg_8_6"/>
      <w:bookmarkStart w:id="436" w:name="Tc_5HIlIjpH_ku6ONyfOvLZAA_8_0"/>
      <w:bookmarkStart w:id="437" w:name="Tc_8Uqzvc4D9kuDrvLPk4C9BQ_7_0"/>
      <w:bookmarkStart w:id="438" w:name="Tc_PJhIq5cKn0qnxI6BtmmCgA_6_0"/>
      <w:bookmarkStart w:id="439" w:name="Tc_QA3wwnBcjUyr1_9dEJS4qg_5_6"/>
      <w:bookmarkStart w:id="440" w:name="Tc_GyVT3wJT1EKJbw18q5u4mA_5_0"/>
      <w:bookmarkStart w:id="441" w:name="Tc_sR-2gcbCEku40_KZxgiqjQ_4_5"/>
      <w:bookmarkStart w:id="442" w:name="Tc_zLhAgv_-XUKI6NwH-bl1tg_4_2"/>
      <w:bookmarkStart w:id="443" w:name="Tc_rSDcQkOlBUefzbvnUVDGTQ_4_0"/>
      <w:bookmarkStart w:id="444" w:name="Tc_iOpuV4ramUid4AS2UA2Oxg_3_0"/>
      <w:bookmarkStart w:id="445" w:name="Tc_aRYA3_A8Vkm97qA2ZhbG7Q_2_5"/>
      <w:bookmarkStart w:id="446" w:name="Tc_vwaynzZc-k-cH4PK1Ei2oA_2_2"/>
      <w:bookmarkStart w:id="447" w:name="Tc_HMNaidsBuk64B0ae0ToJ5Q_1_5"/>
      <w:bookmarkStart w:id="448" w:name="Tc_LcDaYSLGi0OzvvBM4wF-7w_1_2"/>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rFonts w:ascii="Times New Roman;Times;serif" w:hAnsi="Times New Roman;Times;serif"/>
          <w:b/>
          <w:sz w:val="20"/>
        </w:rPr>
        <w:t>NOTE 5:     OTHER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receivable mainly consists of grant income receivable. Qualifying grant income earned in advance of cash received from grants is recognized as revenue and recorded as other receivable. The following table summarizes the Company’s other receivable balance as of December 31, 2025 and 2024, respectively:</w:t>
      </w:r>
    </w:p>
    <w:p>
      <w:pPr>
        <w:pStyle w:val="TextBody"/>
        <w:bidi w:val="0"/>
        <w:spacing w:before="0" w:after="0"/>
        <w:ind w:left="0" w:right="0" w:hanging="0"/>
        <w:jc w:val="left"/>
        <w:rPr/>
      </w:pPr>
      <w:r>
        <w:rPr/>
        <w:t>​</w:t>
      </w:r>
    </w:p>
    <w:tbl>
      <w:tblPr>
        <w:tblW w:w="5632" w:type="dxa"/>
        <w:jc w:val="left"/>
        <w:tblInd w:w="0" w:type="dxa"/>
        <w:tblLayout w:type="fixed"/>
        <w:tblCellMar>
          <w:top w:w="0" w:type="dxa"/>
          <w:left w:w="0" w:type="dxa"/>
          <w:bottom w:w="0" w:type="dxa"/>
          <w:right w:w="0" w:type="dxa"/>
        </w:tblCellMar>
      </w:tblPr>
      <w:tblGrid>
        <w:gridCol w:w="2551"/>
        <w:gridCol w:w="346"/>
        <w:gridCol w:w="211"/>
        <w:gridCol w:w="931"/>
        <w:gridCol w:w="346"/>
        <w:gridCol w:w="211"/>
        <w:gridCol w:w="103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619885" cy="175260"/>
                      <wp:effectExtent l="0" t="0" r="0" b="0"/>
                      <wp:wrapNone/>
                      <wp:docPr id="110" name="Frame101"/>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91185" cy="175260"/>
                      <wp:effectExtent l="0" t="0" r="0" b="0"/>
                      <wp:wrapNone/>
                      <wp:docPr id="113" name="Frame10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57860" cy="175260"/>
                      <wp:effectExtent l="0" t="0" r="0" b="0"/>
                      <wp:wrapNone/>
                      <wp:docPr id="116" name="Frame10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 income receivable:</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CPRIT AML Grant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815,436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2,059,457</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FDA Grant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SBIR AML Grant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162,897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244,810</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Decoy Grant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5,822</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SBIR NHL Grant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PANACEA Grant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190,052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6,502</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grant income receivable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1,318,981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2,316,591</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28,112</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1,369,400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2,346,703</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Refer to Note 2 for details related to awarded grants and Note 9 for more information on grant income.</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449" w:name="Tc_QkMOIpYRy0WGRFOLessd1g_9_5"/>
      <w:bookmarkStart w:id="450" w:name="Tc_QvCPNlgruEeqFa7HtoGI5g_9_2"/>
      <w:bookmarkStart w:id="451" w:name="Tc__ExqfaHyqUuWd_K4vPiqDw_9_0"/>
      <w:bookmarkStart w:id="452" w:name="Tc_Mykzlm1SS0Wc0XG2iZbcPg_8_0"/>
      <w:bookmarkStart w:id="453" w:name="Tc_Qhsyws9WT0SE8XtTD-vR8g_7_0"/>
      <w:bookmarkStart w:id="454" w:name="Tc_es9n1esBi0mwZ-EFbgdhCQ_6_3"/>
      <w:bookmarkStart w:id="455" w:name="Tc_5BaddQrpxU-uhGO0sYoayA_5_0"/>
      <w:bookmarkStart w:id="456" w:name="Tc_W-DxakT3QUSy4oYKmT9tKw_4_0"/>
      <w:bookmarkStart w:id="457" w:name="Tc_otGXOoC5vk6-eRR4UbXENw_3_5"/>
      <w:bookmarkStart w:id="458" w:name="Tc_P6c6LA08dUG2U2zEta-sPA_3_2"/>
      <w:bookmarkStart w:id="459" w:name="Tc_XCLyYAwP6k2QWMFGv7Y4LQ_3_0"/>
      <w:bookmarkStart w:id="460" w:name="Tc_AWh-FZr92Eappl28qJyvbw_2_5"/>
      <w:bookmarkStart w:id="461" w:name="Tc_nfAiBpgbZUup_ytAol-XxA_2_2"/>
      <w:bookmarkStart w:id="462" w:name="Tc_LhHw_7UUVUqCF1Vg0DDj-Q_1_5"/>
      <w:bookmarkStart w:id="463" w:name="Tc_fX6R433qlUiD8YNZTcLpZw_1_2"/>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Pr>
          <w:rFonts w:ascii="Times New Roman;Times;serif" w:hAnsi="Times New Roman;Times;serif"/>
          <w:b/>
          <w:sz w:val="20"/>
        </w:rPr>
        <w:t>NOTE 6:    ACCOUNTS PAYABLE, ACCRUED LIABILITIES, AND RELATED PARTY PAYABLE</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Accounts payable, accrued liabilities, and related party payable consist of the following as of December 31, 2025 and 2024, respectively:</w:t>
      </w:r>
    </w:p>
    <w:p>
      <w:pPr>
        <w:pStyle w:val="TextBody"/>
        <w:bidi w:val="0"/>
        <w:spacing w:before="0" w:after="0"/>
        <w:ind w:left="0" w:right="0" w:hanging="0"/>
        <w:jc w:val="left"/>
        <w:rPr/>
      </w:pPr>
      <w:r>
        <w:rPr/>
        <w:t>​</w:t>
      </w:r>
    </w:p>
    <w:tbl>
      <w:tblPr>
        <w:tblW w:w="6937" w:type="dxa"/>
        <w:jc w:val="left"/>
        <w:tblInd w:w="0" w:type="dxa"/>
        <w:tblLayout w:type="fixed"/>
        <w:tblCellMar>
          <w:top w:w="0" w:type="dxa"/>
          <w:left w:w="0" w:type="dxa"/>
          <w:bottom w:w="0" w:type="dxa"/>
          <w:right w:w="0" w:type="dxa"/>
        </w:tblCellMar>
      </w:tblPr>
      <w:tblGrid>
        <w:gridCol w:w="3856"/>
        <w:gridCol w:w="346"/>
        <w:gridCol w:w="211"/>
        <w:gridCol w:w="931"/>
        <w:gridCol w:w="346"/>
        <w:gridCol w:w="211"/>
        <w:gridCol w:w="1036"/>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448560" cy="175260"/>
                      <wp:effectExtent l="0" t="0" r="0" b="0"/>
                      <wp:wrapNone/>
                      <wp:docPr id="117" name="Frame108"/>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91185" cy="175260"/>
                      <wp:effectExtent l="0" t="0" r="0" b="0"/>
                      <wp:wrapNone/>
                      <wp:docPr id="120" name="Frame1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57860" cy="175260"/>
                      <wp:effectExtent l="0" t="0" r="0" b="0"/>
                      <wp:wrapNone/>
                      <wp:docPr id="123" name="Frame1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793,727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1,066,395</w:t>
            </w:r>
          </w:p>
        </w:tc>
      </w:tr>
      <w:tr>
        <w:trPr/>
        <w:tc>
          <w:tcPr>
            <w:tcW w:w="38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87,083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86,350</w:t>
            </w:r>
          </w:p>
        </w:tc>
      </w:tr>
      <w:tr>
        <w:trPr/>
        <w:tc>
          <w:tcPr>
            <w:tcW w:w="38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293,189</w:t>
            </w:r>
          </w:p>
        </w:tc>
      </w:tr>
      <w:tr>
        <w:trPr/>
        <w:tc>
          <w:tcPr>
            <w:tcW w:w="3856" w:type="dxa"/>
            <w:tcBorders/>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1,710,500</w:t>
            </w:r>
          </w:p>
        </w:tc>
      </w:tr>
      <w:tr>
        <w:trPr/>
        <w:tc>
          <w:tcPr>
            <w:tcW w:w="38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104,591</w:t>
            </w:r>
          </w:p>
        </w:tc>
      </w:tr>
      <w:tr>
        <w:trPr/>
        <w:tc>
          <w:tcPr>
            <w:tcW w:w="38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203,928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203,429</w:t>
            </w:r>
          </w:p>
        </w:tc>
      </w:tr>
      <w:tr>
        <w:trPr/>
        <w:tc>
          <w:tcPr>
            <w:tcW w:w="38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1,299,384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3,464,454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$1.7 million related-party payable as of December 31, 2024 reflects amounts for outsourced product development and manufacturing services. See Note 11: Related Party Transactions.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authorized up to 30,000,000 shares of common stock, $0.001 par value per share, for issuance. Significant 2025 and 2024 common stock transactions were as follows: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Issuance of Common Stock Pursuant to ATM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the Company sold 5,358,292 shares of its common stock under the ATM Agreement for gross proceeds of $9.9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2024, the Company sold 8,178 shares of its common stock under the ATM Agreement for gross proceeds of $37,000. On June 10, 2024, the Company provided notice of its termination of the ATM Agreement with Cantor Fitzgerald &amp; Co. and RBC Capital Markets, LLC. In November 2024, the Company entered into an ATM Agreement with H.C. Wainwright &amp; Co., LLC.</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Private Placement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19, 2024, the Company entered into a Securities Purchase Agreement (the “Purchase Agreement”), pursuant to which the Company issued and sold in a private Placement the following securities: (i) 1,783,805 shares of common stock, (ii) Series B Warrants, or Pre-Funded Warrants, to purchase an aggregate of 3,247,445 shares of common stock in lieu of shares of common stock and (iii) Series A Warrants, or Private Placement Warrants, to purchase an aggregate of 5,031,250 shares of common stock. The purchase price per share of common stock and accompanying Private Placement Warrant to purchase a share of common stock was $3.20, and the purchase price per Pre-Funded Warrant and accompanying </w:t>
      </w:r>
      <w:r>
        <w:rPr>
          <w:rFonts w:ascii="Times New Roman;Times;serif" w:hAnsi="Times New Roman;Times;serif"/>
          <w:b w:val="false"/>
          <w:i w:val="false"/>
          <w:caps w:val="false"/>
          <w:smallCaps w:val="false"/>
          <w:sz w:val="20"/>
        </w:rPr>
        <w:t>Private Placement</w:t>
      </w:r>
      <w:r>
        <w:rPr>
          <w:rFonts w:ascii="Times New Roman;Times;serif" w:hAnsi="Times New Roman;Times;serif"/>
          <w:sz w:val="20"/>
        </w:rPr>
        <w:t xml:space="preserve"> Warrant to purchase a share of common stock was $3.199. Net proceeds from the sale of securities in the Private Placement was approximately $14.9 million, which does not include any proceeds that may be received upon the exercise of any warrants issued in the Private Placement. Both the Pre-Funded Warrants and the Private Placement Warrants are not exercisable until the Company obtains shareholder approval. On March 21, 2025, the Company obtained shareholder approval for the exercise of such warrants. The transaction closed on December 23, 2024.</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Exercise of 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year ended December 31, 2024, certain outstanding options were exercised for 25,602 shares of common stock providing aggregate proceeds to the Company of approximately </w:t>
      </w:r>
      <w:r>
        <w:rPr>
          <w:rFonts w:ascii="Times New Roman;Times;serif" w:hAnsi="Times New Roman;Times;serif"/>
          <w:b w:val="false"/>
          <w:i w:val="false"/>
          <w:caps w:val="false"/>
          <w:smallCaps w:val="false"/>
          <w:sz w:val="20"/>
        </w:rPr>
        <w:t>$62,000</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Exercise of Pre-funded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certain outstanding pre-funded warrants were exercised for 605,830 shares of common stock providing aggregate proceeds to the Company of $605.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464" w:name="Tc_zz-TzDq2aUa13n03nk3n8w_7_11"/>
      <w:bookmarkStart w:id="465" w:name="Tc_irXPsgTjHE-lRteIEjUJBA_6_11"/>
      <w:bookmarkStart w:id="466" w:name="Tc_R39_fz4x7kasCWaFWMf_nQ_6_7"/>
      <w:bookmarkStart w:id="467" w:name="Tc_SNMH7DxfXEmt5B2d6BpTtQ_6_4"/>
      <w:bookmarkStart w:id="468" w:name="Tc_UNOAH0381UCWUsP_9xiR7A_6_2"/>
      <w:bookmarkStart w:id="469" w:name="Tc_FImCVRc_2EiObJeYPZoWaQ_6_0"/>
      <w:bookmarkStart w:id="470" w:name="Tc_vSkjnA8xr0Kv0UE3Oa5T9A_5_13"/>
      <w:bookmarkStart w:id="471" w:name="Tc_nRGVuGa8hkOBiAvn5mFfgQ_5_11"/>
      <w:bookmarkStart w:id="472" w:name="Tc_Q7KuR5aofEeiGpRcgCCrGg_5_7"/>
      <w:bookmarkStart w:id="473" w:name="Tc_wUf1NbLgd0aC_Ss4FZqcWA_5_4"/>
      <w:bookmarkStart w:id="474" w:name="Tc_SkSLEmAQskyAix6ckaU2IA_5_2"/>
      <w:bookmarkStart w:id="475" w:name="Tc_7uFkiEI7xU2Z0V6lOVItXQ_5_0"/>
      <w:bookmarkStart w:id="476" w:name="Tc_Q5vDpIcnRUunUp6n8BTsbQ_4_15"/>
      <w:bookmarkStart w:id="477" w:name="Tc_D66i6pbN4keVYuzBAIslqA_4_13"/>
      <w:bookmarkStart w:id="478" w:name="Tc_5mCXN4moNEGx9J6KjZMh1w_4_11"/>
      <w:bookmarkStart w:id="479" w:name="Tc_LjebGS26zE21Jl9QGJwAdA_4_9"/>
      <w:bookmarkStart w:id="480" w:name="Tc_7lSAeid6t0KXqu-AzzisLA_4_7"/>
      <w:bookmarkStart w:id="481" w:name="Tc_2eDNcNCH6UWq1Irs_tRP0g_4_4"/>
      <w:bookmarkStart w:id="482" w:name="Tc_uhsmQXYyokGd41eSbW2Gng_4_2"/>
      <w:bookmarkStart w:id="483" w:name="Tc_UQgC4Bcz7U6rlJXtYQV5MQ_3_15"/>
      <w:bookmarkStart w:id="484" w:name="Tc_sRnwcx7ud0CRju3kuDWV9g_3_11"/>
      <w:bookmarkStart w:id="485" w:name="Tc_JlAMl6Qt00SBLEk_rUvwAQ_3_9"/>
      <w:bookmarkStart w:id="486" w:name="Tc_FWdUKjPTH0mEABQCAMHYSw_3_7"/>
      <w:bookmarkStart w:id="487" w:name="Tc_gRz-5PPg30694Umb24me9w_3_4"/>
      <w:bookmarkStart w:id="488" w:name="Tc_hIQ_BQTSFEab7cTPwOVBPg_2_15"/>
      <w:bookmarkStart w:id="489" w:name="Tc_o2nz9iuM1kKMo-N4zaOJ1Q_2_9"/>
      <w:bookmarkStart w:id="490" w:name="Tc_ApChC4tDkkGB6KcQIp6Efg_2_4"/>
      <w:bookmarkStart w:id="491" w:name="Tc_bjhUnIEnKUuksOTWk2yL2A_1_15"/>
      <w:bookmarkStart w:id="492" w:name="Tc_nwO5Ou0vm0KqENBhWamJVQ_1_9"/>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rPr>
          <w:rFonts w:ascii="Times New Roman;Times;serif" w:hAnsi="Times New Roman;Times;serif"/>
          <w:b/>
          <w:i/>
          <w:sz w:val="20"/>
        </w:rPr>
        <w:t>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authorized up to 5,000,000 shares of preferred stock, $0.001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To date, the Company has not issued any preferred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 Summary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total warrants outstanding at December 31, 2025:</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188"/>
        <w:gridCol w:w="346"/>
        <w:gridCol w:w="918"/>
        <w:gridCol w:w="346"/>
        <w:gridCol w:w="201"/>
        <w:gridCol w:w="525"/>
        <w:gridCol w:w="346"/>
        <w:gridCol w:w="1338"/>
        <w:gridCol w:w="346"/>
        <w:gridCol w:w="1029"/>
        <w:gridCol w:w="346"/>
        <w:gridCol w:w="706"/>
        <w:gridCol w:w="346"/>
        <w:gridCol w:w="799"/>
        <w:gridCol w:w="346"/>
        <w:gridCol w:w="1079"/>
      </w:tblGrid>
      <w:tr>
        <w:trPr/>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54380" cy="175260"/>
                      <wp:effectExtent l="0" t="0" r="0" b="0"/>
                      <wp:wrapNone/>
                      <wp:docPr id="124" name="Frame115"/>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82930" cy="175260"/>
                      <wp:effectExtent l="0" t="0" r="0" b="0"/>
                      <wp:wrapNone/>
                      <wp:docPr id="126" name="Frame117"/>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7635" cy="175260"/>
                      <wp:effectExtent l="0" t="0" r="0" b="0"/>
                      <wp:wrapNone/>
                      <wp:docPr id="128" name="Frame119"/>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33375" cy="175260"/>
                      <wp:effectExtent l="0" t="0" r="0" b="0"/>
                      <wp:wrapNone/>
                      <wp:docPr id="129" name="Frame120"/>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849630" cy="175260"/>
                      <wp:effectExtent l="0" t="0" r="0" b="0"/>
                      <wp:wrapNone/>
                      <wp:docPr id="131" name="Frame122"/>
                      <a:graphic xmlns:a="http://schemas.openxmlformats.org/drawingml/2006/main">
                        <a:graphicData uri="http://schemas.microsoft.com/office/word/2010/wordprocessingShape">
                          <wps:wsp>
                            <wps:cNvSpPr txBox="1"/>
                            <wps:spPr>
                              <a:xfrm>
                                <a:off x="0" y="0"/>
                                <a:ext cx="849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53415" cy="175260"/>
                      <wp:effectExtent l="0" t="0" r="0" b="0"/>
                      <wp:wrapNone/>
                      <wp:docPr id="133" name="Frame124"/>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48310" cy="175260"/>
                      <wp:effectExtent l="0" t="0" r="0" b="0"/>
                      <wp:wrapNone/>
                      <wp:docPr id="135" name="Frame12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07365" cy="175260"/>
                      <wp:effectExtent l="0" t="0" r="0" b="0"/>
                      <wp:wrapNone/>
                      <wp:docPr id="137" name="Frame128"/>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85165" cy="175260"/>
                      <wp:effectExtent l="0" t="0" r="0" b="0"/>
                      <wp:wrapNone/>
                      <wp:docPr id="139" name="Frame130"/>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1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01" w:type="dxa"/>
            <w:tcBorders/>
            <w:vAlign w:val="center"/>
          </w:tcPr>
          <w:p>
            <w:pPr>
              <w:pStyle w:val="TableContents"/>
              <w:bidi w:val="0"/>
              <w:spacing w:before="0" w:after="1"/>
              <w:ind w:left="0" w:right="0" w:hanging="0"/>
              <w:jc w:val="left"/>
              <w:rPr/>
            </w:pPr>
            <w:r>
              <w:rPr/>
              <w:t>​</w:t>
            </w:r>
          </w:p>
        </w:tc>
        <w:tc>
          <w:tcPr>
            <w:tcW w:w="52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3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2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1"/>
              <w:ind w:left="0" w:right="0" w:hanging="0"/>
              <w:jc w:val="center"/>
              <w:rPr/>
            </w:pPr>
            <w:r>
              <w:rPr/>
              <w:t>  ​ ​ ​</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7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11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133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2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7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1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46" w:type="dxa"/>
            <w:tcBorders/>
            <w:vAlign w:val="center"/>
          </w:tcPr>
          <w:p>
            <w:pPr>
              <w:pStyle w:val="TableContents"/>
              <w:bidi w:val="0"/>
              <w:spacing w:before="0" w:after="1"/>
              <w:ind w:left="0" w:right="0" w:hanging="0"/>
              <w:jc w:val="center"/>
              <w:rPr/>
            </w:pPr>
            <w:r>
              <w:rPr/>
              <w:t>​</w:t>
            </w:r>
          </w:p>
        </w:tc>
        <w:tc>
          <w:tcPr>
            <w:tcW w:w="133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46" w:type="dxa"/>
            <w:tcBorders/>
            <w:vAlign w:val="center"/>
          </w:tcPr>
          <w:p>
            <w:pPr>
              <w:pStyle w:val="TableContents"/>
              <w:bidi w:val="0"/>
              <w:spacing w:before="0" w:after="1"/>
              <w:ind w:left="0" w:right="0" w:hanging="0"/>
              <w:jc w:val="center"/>
              <w:rPr/>
            </w:pPr>
            <w:r>
              <w:rPr/>
              <w:t>​</w:t>
            </w:r>
          </w:p>
        </w:tc>
        <w:tc>
          <w:tcPr>
            <w:tcW w:w="102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New</w:t>
            </w:r>
          </w:p>
        </w:tc>
        <w:tc>
          <w:tcPr>
            <w:tcW w:w="346" w:type="dxa"/>
            <w:tcBorders/>
            <w:vAlign w:val="center"/>
          </w:tcPr>
          <w:p>
            <w:pPr>
              <w:pStyle w:val="TableContents"/>
              <w:bidi w:val="0"/>
              <w:spacing w:before="0" w:after="1"/>
              <w:ind w:left="0" w:right="0" w:hanging="0"/>
              <w:jc w:val="center"/>
              <w:rPr/>
            </w:pPr>
            <w:r>
              <w:rPr/>
              <w:t>​</w:t>
            </w:r>
          </w:p>
        </w:tc>
        <w:tc>
          <w:tcPr>
            <w:tcW w:w="79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7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18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 Date</w:t>
            </w:r>
          </w:p>
        </w:tc>
        <w:tc>
          <w:tcPr>
            <w:tcW w:w="346" w:type="dxa"/>
            <w:tcBorders/>
            <w:vAlign w:val="center"/>
          </w:tcPr>
          <w:p>
            <w:pPr>
              <w:pStyle w:val="TableContents"/>
              <w:bidi w:val="0"/>
              <w:spacing w:before="0" w:after="1"/>
              <w:ind w:left="0" w:right="0" w:hanging="0"/>
              <w:jc w:val="center"/>
              <w:rPr/>
            </w:pPr>
            <w:r>
              <w:rPr/>
              <w:t>​</w:t>
            </w:r>
          </w:p>
        </w:tc>
        <w:tc>
          <w:tcPr>
            <w:tcW w:w="7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1"/>
              <w:ind w:left="0" w:right="0" w:hanging="0"/>
              <w:jc w:val="center"/>
              <w:rPr/>
            </w:pPr>
            <w:r>
              <w:rPr/>
              <w:t>​</w:t>
            </w:r>
          </w:p>
        </w:tc>
        <w:tc>
          <w:tcPr>
            <w:tcW w:w="133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46" w:type="dxa"/>
            <w:tcBorders/>
            <w:vAlign w:val="center"/>
          </w:tcPr>
          <w:p>
            <w:pPr>
              <w:pStyle w:val="TableContents"/>
              <w:bidi w:val="0"/>
              <w:spacing w:before="0" w:after="1"/>
              <w:ind w:left="0" w:right="0" w:hanging="0"/>
              <w:jc w:val="center"/>
              <w:rPr/>
            </w:pPr>
            <w:r>
              <w:rPr/>
              <w:t>​</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center"/>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46" w:type="dxa"/>
            <w:tcBorders/>
            <w:vAlign w:val="center"/>
          </w:tcPr>
          <w:p>
            <w:pPr>
              <w:pStyle w:val="TableContents"/>
              <w:bidi w:val="0"/>
              <w:spacing w:before="0" w:after="1"/>
              <w:ind w:left="0" w:right="0" w:hanging="0"/>
              <w:jc w:val="center"/>
              <w:rPr/>
            </w:pPr>
            <w:r>
              <w:rPr/>
              <w:t>​</w:t>
            </w:r>
          </w:p>
        </w:tc>
        <w:tc>
          <w:tcPr>
            <w:tcW w:w="79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Exercised</w:t>
            </w:r>
          </w:p>
        </w:tc>
        <w:tc>
          <w:tcPr>
            <w:tcW w:w="346" w:type="dxa"/>
            <w:tcBorders/>
            <w:vAlign w:val="center"/>
          </w:tcPr>
          <w:p>
            <w:pPr>
              <w:pStyle w:val="TableContents"/>
              <w:bidi w:val="0"/>
              <w:spacing w:before="0" w:after="1"/>
              <w:ind w:left="0" w:right="0" w:hanging="0"/>
              <w:jc w:val="center"/>
              <w:rPr/>
            </w:pPr>
            <w:r>
              <w:rPr/>
              <w:t>​</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18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Private placement warrants</w:t>
            </w:r>
          </w:p>
        </w:tc>
        <w:tc>
          <w:tcPr>
            <w:tcW w:w="346" w:type="dxa"/>
            <w:tcBorders/>
            <w:shd w:fill="CCEEFF" w:val="clear"/>
            <w:vAlign w:val="center"/>
          </w:tcPr>
          <w:p>
            <w:pPr>
              <w:pStyle w:val="TableContents"/>
              <w:bidi w:val="0"/>
              <w:spacing w:before="0" w:after="1"/>
              <w:ind w:left="0" w:right="0" w:hanging="0"/>
              <w:jc w:val="left"/>
              <w:rPr/>
            </w:pPr>
            <w:r>
              <w:rPr/>
              <w:t> </w:t>
            </w:r>
          </w:p>
        </w:tc>
        <w:tc>
          <w:tcPr>
            <w:tcW w:w="918"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2024</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w:t>
            </w:r>
          </w:p>
        </w:tc>
        <w:tc>
          <w:tcPr>
            <w:tcW w:w="346" w:type="dxa"/>
            <w:tcBorders/>
            <w:shd w:fill="CCEEFF" w:val="clear"/>
            <w:vAlign w:val="center"/>
          </w:tcPr>
          <w:p>
            <w:pPr>
              <w:pStyle w:val="TableContents"/>
              <w:bidi w:val="0"/>
              <w:spacing w:before="0" w:after="1"/>
              <w:ind w:left="0" w:right="0" w:hanging="0"/>
              <w:jc w:val="left"/>
              <w:rPr/>
            </w:pPr>
            <w:r>
              <w:rPr/>
              <w:t> </w:t>
            </w:r>
          </w:p>
        </w:tc>
        <w:tc>
          <w:tcPr>
            <w:tcW w:w="133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16"/>
              </w:rPr>
              <w:t>5 years</w:t>
            </w:r>
            <w:r>
              <w:rPr>
                <w:rFonts w:ascii="Times New Roman;Times;serif" w:hAnsi="Times New Roman;Times;serif"/>
                <w:sz w:val="20"/>
              </w:rPr>
              <w:t xml:space="preserve"> </w:t>
            </w:r>
            <w:r>
              <w:rPr>
                <w:rFonts w:ascii="Times New Roman;Times;serif" w:hAnsi="Times New Roman;Times;serif"/>
                <w:sz w:val="16"/>
              </w:rPr>
              <w:t>from shareholder approval</w:t>
            </w:r>
          </w:p>
        </w:tc>
        <w:tc>
          <w:tcPr>
            <w:tcW w:w="346" w:type="dxa"/>
            <w:tcBorders/>
            <w:shd w:fill="CCEEFF" w:val="clear"/>
            <w:vAlign w:val="center"/>
          </w:tcPr>
          <w:p>
            <w:pPr>
              <w:pStyle w:val="TableContents"/>
              <w:bidi w:val="0"/>
              <w:spacing w:before="0" w:after="1"/>
              <w:ind w:left="0" w:right="0" w:hanging="0"/>
              <w:jc w:val="left"/>
              <w:rPr/>
            </w:pPr>
            <w:r>
              <w:rPr/>
              <w:t> </w:t>
            </w:r>
          </w:p>
        </w:tc>
        <w:tc>
          <w:tcPr>
            <w:tcW w:w="10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5,031,250</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5,031,250</w:t>
            </w:r>
          </w:p>
        </w:tc>
      </w:tr>
      <w:tr>
        <w:trPr/>
        <w:tc>
          <w:tcPr>
            <w:tcW w:w="11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Pre-funded warrants</w:t>
            </w:r>
          </w:p>
        </w:tc>
        <w:tc>
          <w:tcPr>
            <w:tcW w:w="346" w:type="dxa"/>
            <w:tcBorders/>
            <w:vAlign w:val="center"/>
          </w:tcPr>
          <w:p>
            <w:pPr>
              <w:pStyle w:val="TableContents"/>
              <w:bidi w:val="0"/>
              <w:spacing w:before="0" w:after="1"/>
              <w:ind w:left="0" w:right="0" w:hanging="0"/>
              <w:jc w:val="left"/>
              <w:rPr/>
            </w:pPr>
            <w:r>
              <w:rPr/>
              <w:t> </w:t>
            </w:r>
          </w:p>
        </w:tc>
        <w:tc>
          <w:tcPr>
            <w:tcW w:w="918"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December 2024</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0.001</w:t>
            </w:r>
          </w:p>
        </w:tc>
        <w:tc>
          <w:tcPr>
            <w:tcW w:w="346" w:type="dxa"/>
            <w:tcBorders/>
            <w:vAlign w:val="center"/>
          </w:tcPr>
          <w:p>
            <w:pPr>
              <w:pStyle w:val="TableContents"/>
              <w:bidi w:val="0"/>
              <w:spacing w:before="0" w:after="1"/>
              <w:ind w:left="0" w:right="0" w:hanging="0"/>
              <w:jc w:val="left"/>
              <w:rPr/>
            </w:pPr>
            <w:r>
              <w:rPr/>
              <w:t> </w:t>
            </w:r>
          </w:p>
        </w:tc>
        <w:tc>
          <w:tcPr>
            <w:tcW w:w="133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16"/>
              </w:rPr>
              <w:t>5 years</w:t>
            </w:r>
            <w:r>
              <w:rPr>
                <w:rFonts w:ascii="Times New Roman;Times;serif" w:hAnsi="Times New Roman;Times;serif"/>
                <w:sz w:val="20"/>
              </w:rPr>
              <w:t xml:space="preserve"> </w:t>
            </w:r>
            <w:r>
              <w:rPr>
                <w:rFonts w:ascii="Times New Roman;Times;serif" w:hAnsi="Times New Roman;Times;serif"/>
                <w:sz w:val="16"/>
              </w:rPr>
              <w:t>from shareholder approval</w:t>
            </w:r>
          </w:p>
        </w:tc>
        <w:tc>
          <w:tcPr>
            <w:tcW w:w="346" w:type="dxa"/>
            <w:tcBorders/>
            <w:vAlign w:val="center"/>
          </w:tcPr>
          <w:p>
            <w:pPr>
              <w:pStyle w:val="TableContents"/>
              <w:bidi w:val="0"/>
              <w:spacing w:before="0" w:after="1"/>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3,247,445</w:t>
            </w:r>
          </w:p>
        </w:tc>
        <w:tc>
          <w:tcPr>
            <w:tcW w:w="34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(605,830)</w:t>
            </w:r>
          </w:p>
        </w:tc>
        <w:tc>
          <w:tcPr>
            <w:tcW w:w="346" w:type="dxa"/>
            <w:tcBorders/>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2,641,615</w:t>
            </w:r>
          </w:p>
        </w:tc>
      </w:tr>
      <w:tr>
        <w:trPr/>
        <w:tc>
          <w:tcPr>
            <w:tcW w:w="118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52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3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8,278,695</w:t>
            </w:r>
          </w:p>
        </w:tc>
        <w:tc>
          <w:tcPr>
            <w:tcW w:w="346" w:type="dxa"/>
            <w:tcBorders/>
            <w:shd w:fill="CCEEFF" w:val="clear"/>
            <w:vAlign w:val="center"/>
          </w:tcPr>
          <w:p>
            <w:pPr>
              <w:pStyle w:val="TableContents"/>
              <w:bidi w:val="0"/>
              <w:spacing w:before="0" w:after="1"/>
              <w:ind w:left="0" w:right="0" w:hanging="0"/>
              <w:jc w:val="left"/>
              <w:rPr/>
            </w:pPr>
            <w:r>
              <w:rPr/>
              <w:t> </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(605,830)</w:t>
            </w:r>
          </w:p>
        </w:tc>
        <w:tc>
          <w:tcPr>
            <w:tcW w:w="346" w:type="dxa"/>
            <w:tcBorders/>
            <w:shd w:fill="CCEEFF" w:val="clear"/>
            <w:vAlign w:val="center"/>
          </w:tcPr>
          <w:p>
            <w:pPr>
              <w:pStyle w:val="TableContents"/>
              <w:bidi w:val="0"/>
              <w:spacing w:before="0" w:after="1"/>
              <w:ind w:left="0" w:right="0" w:hanging="0"/>
              <w:jc w:val="left"/>
              <w:rPr/>
            </w:pPr>
            <w:r>
              <w:rPr/>
              <w:t> </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7,672,865</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STOCK BASED COMPENSATION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19, 2020, the Board adopted the 2020 Equity Incentive Plan (“2020 Equity Incentive Plan”) which replaced the 2014 Omnibus Stock Option Plan. The 2020 Plan was further amended effective May 2022 to increase the number of shares of common stock authorized for issuance under the plan by 850,000 shares. The 2020 Equity Incentive Plan allows for grants of stock options, restricted shares, stock bonuses and other equity-based awards to employees and non-employee directors of the Company. Awards under the 2020 Equity Incentive Plan may be at prices and for terms as determined by the Company’s board of directors and may have vesting requirements as determined by the Board, provided that the exercise price for any stock option must be at least equal to the fair market value (as defined in the 2020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Nasdaq Stock Exchange.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Options granted under the 2020 Equity Incentive Plan have a maximum term of ten years from the date of grant and generally vest over four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2025 Equity Incentive Awards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12, 2025, pursuant to the Company’s 2020 Equity Incentive Plan, as amended, the compensation committee of the Company’s board of directors approved 50,000 options to purchase the Company’s common stock as equity-based incentive awards to the Company’s Chief Executive Officer and President, Dr. Juan Vera, and 30,000 options to purchase the Company’s common stock as equity-based incentive awards to each Non-Employee Director. Each option award was granted with an exercise price of $1.59 per share, the closing price of the Company’s common stock on the Nasdaq Capital Market on February 12, 2025, with the option award vesting in three annual installments, subject to such Optionee’s continued service on the applicable vesting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31, 2025, the board of directors (the “Board”) of the Company appointed Ms. Kathryn Penkus Corzo to the Company’s Board, effective November 1, 2025. In connection with the appointment of Kathryn Penkus Corzo to the Company’s Board and pursuant to the Company’s 2020 Equity Incentive Plan, the Company granted Ms. Corzo 147,611 stock options to purchase shares of the Company’s common stock at an exercise price per share equal to the fair market value per share on the date she was appointed to the Board. The options will vest evenly over thirty-six (36) months and are subject to her continued service as a director.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493" w:name="Tc_xpund2Vi20i8NnvFm7QdpQ_8_7"/>
      <w:bookmarkStart w:id="494" w:name="Tc_q_RGShl4ekW3vziyV7vFsA_8_6"/>
      <w:bookmarkStart w:id="495" w:name="Tc_ksw6Ddz1HUKw4LIh8x1_Ug_8_4"/>
      <w:bookmarkStart w:id="496" w:name="Tc_kPRbRpFaV0KXUXES_vVIzw_8_0"/>
      <w:bookmarkStart w:id="497" w:name="Tc_w5-crh0OLEOCyWtCvUL2iQ_7_7"/>
      <w:bookmarkStart w:id="498" w:name="Tc_Dkf3S4-YjES6WKdKyMPKJg_7_6"/>
      <w:bookmarkStart w:id="499" w:name="Tc_nm-VkJM6TE2wf988yBxnbA_7_4"/>
      <w:bookmarkStart w:id="500" w:name="Tc_vbFPykpOD0ydmNJm5ldF6A_7_0"/>
      <w:bookmarkStart w:id="501" w:name="Tc_NcbL00q97kyTI1u3ju2efw_6_7"/>
      <w:bookmarkStart w:id="502" w:name="Tc_FNHwn3Mdo0KxlT08gG-ZnQ_6_6"/>
      <w:bookmarkStart w:id="503" w:name="Tc_wkeEowu9YEuWD1M3HuRLKQ_6_4"/>
      <w:bookmarkStart w:id="504" w:name="Tc_9pQOcbrmmECDUguQ1iPy4Q_6_0"/>
      <w:bookmarkStart w:id="505" w:name="Tc_cCqFQTjgckWQVJ5CfzqeJw_5_6"/>
      <w:bookmarkStart w:id="506" w:name="Tc_RrklPQFTWUiYplf0nA7OKg_5_0"/>
      <w:bookmarkStart w:id="507" w:name="Tc_8iShr2gvD0ONCEqHKtfS0w_4_6"/>
      <w:bookmarkStart w:id="508" w:name="Tc_7n8-im3rYU-B04b6tBnsPg_4_5"/>
      <w:bookmarkStart w:id="509" w:name="Tc_oncVg4oqZ0eUqHyQyEV6Tg_4_2"/>
      <w:bookmarkStart w:id="510" w:name="Tc_1U5veD67MkSi6c5oaKZGFA_4_0"/>
      <w:bookmarkStart w:id="511" w:name="Tc_wuulxiisy0Si8NW6nkCtRw_3_5"/>
      <w:bookmarkStart w:id="512" w:name="Tc_Pw6yRd5qZkuhE8u5NkWNRg_3_2"/>
      <w:bookmarkStart w:id="513" w:name="Tc_5ccnK47y2E-pBhZz_QgACg_2_2"/>
      <w:bookmarkStart w:id="514" w:name="Tc_d8GOSXYff0SUlhV2kp7h9Q_1_2"/>
      <w:bookmarkStart w:id="515" w:name="Tc_e0xoo_pQIkKDEzX0WK_okQ_14_7"/>
      <w:bookmarkStart w:id="516" w:name="Tc_JLu70HMI_0CmCmhoxd2Syg_14_4"/>
      <w:bookmarkStart w:id="517" w:name="Tc_oUccwkrDX0uglsmqu70-WQ_14_0"/>
      <w:bookmarkStart w:id="518" w:name="Tc_4T4FhPCI9U2Wp7J5a8y83w_13_7"/>
      <w:bookmarkStart w:id="519" w:name="Tc_7ETY98ImwEWSCoSaDY57gw_13_4"/>
      <w:bookmarkStart w:id="520" w:name="Tc_m2wAezdNPk2Ju5x8-7aHzA_13_0"/>
      <w:bookmarkStart w:id="521" w:name="Tc__J1xgWgXvUqeMwxiN450Hg_12_10"/>
      <w:bookmarkStart w:id="522" w:name="Tc_wnCA_CWz2kGtFW0VR4CqIg_12_8"/>
      <w:bookmarkStart w:id="523" w:name="Tc_Ie1xFClo7UiDsFCRbtmsNQ_12_0"/>
      <w:bookmarkStart w:id="524" w:name="Tc_OqcMsMzJ-UurhDwfx2SLUw_11_10"/>
      <w:bookmarkStart w:id="525" w:name="Tc_LxGA2yJ7mkmtcYNCUg6ttg_11_8"/>
      <w:bookmarkStart w:id="526" w:name="Tc_fCjXYcX6kE2vnpOSDomyQw_11_5"/>
      <w:bookmarkStart w:id="527" w:name="Tc_euxDsQ_JgUq-P4K0Pfud2A_11_2"/>
      <w:bookmarkStart w:id="528" w:name="Tc_x_Zsg3-UBkSV-PZWqcP1Cg_11_0"/>
      <w:bookmarkStart w:id="529" w:name="Tc_sXuPVllxMEC3ndJ5LfTQiw_10_10"/>
      <w:bookmarkStart w:id="530" w:name="Tc_yzr4GaHq1U-Up_YAU2svsg_10_8"/>
      <w:bookmarkStart w:id="531" w:name="Tc_8t2GmtiMgkWeSlyFgGV0xA_10_0"/>
      <w:bookmarkStart w:id="532" w:name="Tc_5ST8ArKYzkac217k77m1EQ_9_7"/>
      <w:bookmarkStart w:id="533" w:name="Tc_kD2g_DGT3E-BtqI_kPMMSg_9_0"/>
      <w:bookmarkStart w:id="534" w:name="Tc_eMZcJs3Mck-WgOz_yg8n0A_8_10"/>
      <w:bookmarkStart w:id="535" w:name="Tc_ppL_PzxSFkmlfWte9piNlQ_8_8"/>
      <w:bookmarkStart w:id="536" w:name="Tc_jNFnzaonok2UW6LitayUWQ_8_0"/>
      <w:bookmarkStart w:id="537" w:name="Tc_ecB9xoR-e0mQPMTCnGaBKw_7_10"/>
      <w:bookmarkStart w:id="538" w:name="Tc_2t5xDexF0kKw1AlX5H995A_7_8"/>
      <w:bookmarkStart w:id="539" w:name="Tc_Psu8aKu0UU-83uDpldmtTQ_7_0"/>
      <w:bookmarkStart w:id="540" w:name="Tc_ZQ_lCfopn0yrgI9LmxdNYg_6_10"/>
      <w:bookmarkStart w:id="541" w:name="Tc_zLvPPZJcsUSgwXW-daOVmA_6_8"/>
      <w:bookmarkStart w:id="542" w:name="Tc_rfx4BJg0Kk-x6W15PznBUw_6_5"/>
      <w:bookmarkStart w:id="543" w:name="Tc_9mCjFIoej0e4wnm94JgzEQ_6_2"/>
      <w:bookmarkStart w:id="544" w:name="Tc_CFRtFt4IR0-1vOCDDa8xDA_6_0"/>
      <w:bookmarkStart w:id="545" w:name="Tc_bnr4DlLVJk65pkRaJMEKtA_5_7"/>
      <w:bookmarkStart w:id="546" w:name="Tc_VKch4iawikWQPCf0ixc9gg_5_4"/>
      <w:bookmarkStart w:id="547" w:name="Tc_4k8_dQc1QkqqKrG8WvErnQ_5_0"/>
      <w:bookmarkStart w:id="548" w:name="Tc_bDt9eBuvfEGdD-RuyUMSBg_4_10"/>
      <w:bookmarkStart w:id="549" w:name="Tc_yGFWBAWMR06Q4KUPv0Vf0A_4_7"/>
      <w:bookmarkStart w:id="550" w:name="Tc_0jJ4_AAtRkSAWi_iIQwQDQ_4_4"/>
      <w:bookmarkStart w:id="551" w:name="Tc_uCsY4oiajUSoGAfIjQSagg_4_2"/>
      <w:bookmarkStart w:id="552" w:name="Tc_jLoKAmMxqker9gACdGpjlA_3_10"/>
      <w:bookmarkStart w:id="553" w:name="Tc_GD0VjWEWAEuizkjh8yEGVQ_3_4"/>
      <w:bookmarkStart w:id="554" w:name="Tc_h9QOZKFfCUKEqCyFb593aw_2_10"/>
      <w:bookmarkStart w:id="555" w:name="Tc_XNeRhZW-vU66alHSqydIRw_1_10"/>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r>
        <w:rPr>
          <w:rFonts w:ascii="Times New Roman;Times;serif" w:hAnsi="Times New Roman;Times;serif"/>
          <w:sz w:val="20"/>
        </w:rPr>
        <w:t>On October 31, 2025, the Compensation Committee and Board approved a discretionary award of 250,000 stock options at an exercise price per share equal to the fair market value per share on the date of the grant (the “CEO Options”) to Dr. Juan Vera under the Company’s 2020 Plan. The CEO Options vest annually over four years beginning on the anniversary of the grant date of the CEO Options and are subject to the terms and conditions of the 2020 Plan and the Company’s form of option award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17, 2025, the Compensation Committee of the Board approved additional grant awards to each Non-Employee Director apart from Ms. Corzo. The Company granted each Non-Employee Director a total of 221,741 stock options to purchase shares of the Company’s common stock at an exercise price per share equal to the fair market value per share on the grant date, or $0.9548. The options vest fully in one annual installment, subject to such Optionee’s continued service through the vesting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approximately 0.1 million shares of common stock are available to be issued under the 2020 Equity Incentive Plan.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Stock Options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Company’s stock option activity for the years ended December 31, 2025 and December 31, 2024, is as follows: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889"/>
        <w:gridCol w:w="346"/>
        <w:gridCol w:w="1411"/>
        <w:gridCol w:w="346"/>
        <w:gridCol w:w="405"/>
        <w:gridCol w:w="1096"/>
        <w:gridCol w:w="346"/>
        <w:gridCol w:w="280"/>
        <w:gridCol w:w="1238"/>
        <w:gridCol w:w="346"/>
        <w:gridCol w:w="1502"/>
      </w:tblGrid>
      <w:tr>
        <w:trPr/>
        <w:tc>
          <w:tcPr>
            <w:tcW w:w="2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834515" cy="175260"/>
                      <wp:effectExtent l="0" t="0" r="0" b="0"/>
                      <wp:wrapNone/>
                      <wp:docPr id="140" name="Frame131"/>
                      <a:graphic xmlns:a="http://schemas.openxmlformats.org/drawingml/2006/main">
                        <a:graphicData uri="http://schemas.microsoft.com/office/word/2010/wordprocessingShape">
                          <wps:wsp>
                            <wps:cNvSpPr txBox="1"/>
                            <wps:spPr>
                              <a:xfrm>
                                <a:off x="0" y="0"/>
                                <a:ext cx="183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895985" cy="175260"/>
                      <wp:effectExtent l="0" t="0" r="0" b="0"/>
                      <wp:wrapNone/>
                      <wp:docPr id="142" name="Frame13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57175" cy="175260"/>
                      <wp:effectExtent l="0" t="0" r="0" b="0"/>
                      <wp:wrapNone/>
                      <wp:docPr id="144" name="Frame135"/>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5960" cy="175260"/>
                      <wp:effectExtent l="0" t="0" r="0" b="0"/>
                      <wp:wrapNone/>
                      <wp:docPr id="145" name="Frame13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77800" cy="175260"/>
                      <wp:effectExtent l="0" t="0" r="0" b="0"/>
                      <wp:wrapNone/>
                      <wp:docPr id="147" name="Frame13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86130" cy="175260"/>
                      <wp:effectExtent l="0" t="0" r="0" b="0"/>
                      <wp:wrapNone/>
                      <wp:docPr id="148" name="Frame139"/>
                      <a:graphic xmlns:a="http://schemas.openxmlformats.org/drawingml/2006/main">
                        <a:graphicData uri="http://schemas.microsoft.com/office/word/2010/wordprocessingShape">
                          <wps:wsp>
                            <wps:cNvSpPr txBox="1"/>
                            <wps:spPr>
                              <a:xfrm>
                                <a:off x="0" y="0"/>
                                <a:ext cx="786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53770" cy="175260"/>
                      <wp:effectExtent l="0" t="0" r="0" b="0"/>
                      <wp:wrapNone/>
                      <wp:docPr id="150" name="Frame141"/>
                      <a:graphic xmlns:a="http://schemas.openxmlformats.org/drawingml/2006/main">
                        <a:graphicData uri="http://schemas.microsoft.com/office/word/2010/wordprocessingShape">
                          <wps:wsp>
                            <wps:cNvSpPr txBox="1"/>
                            <wps:spPr>
                              <a:xfrm>
                                <a:off x="0" y="0"/>
                                <a:ext cx="953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left"/>
              <w:rPr/>
            </w:pPr>
            <w:r>
              <w:rPr/>
              <w:t>​</w:t>
            </w:r>
          </w:p>
        </w:tc>
        <w:tc>
          <w:tcPr>
            <w:tcW w:w="123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50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left"/>
              <w:rPr/>
            </w:pPr>
            <w:r>
              <w:rPr/>
              <w:t>​</w:t>
            </w:r>
          </w:p>
        </w:tc>
        <w:tc>
          <w:tcPr>
            <w:tcW w:w="123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0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Weighted Average</w:t>
            </w:r>
            <w:r>
              <w:rPr>
                <w:rFonts w:ascii="Times New Roman;Times;serif" w:hAnsi="Times New Roman;Times;serif"/>
                <w:sz w:val="16"/>
              </w:rPr>
              <w:t> </w:t>
            </w:r>
          </w:p>
        </w:tc>
        <w:tc>
          <w:tcPr>
            <w:tcW w:w="346" w:type="dxa"/>
            <w:tcBorders/>
            <w:vAlign w:val="center"/>
          </w:tcPr>
          <w:p>
            <w:pPr>
              <w:pStyle w:val="TableContents"/>
              <w:bidi w:val="0"/>
              <w:spacing w:before="0" w:after="1"/>
              <w:ind w:left="0" w:right="0" w:hanging="0"/>
              <w:jc w:val="center"/>
              <w:rPr/>
            </w:pPr>
            <w:r>
              <w:rPr/>
              <w:t>​</w:t>
            </w:r>
          </w:p>
        </w:tc>
        <w:tc>
          <w:tcPr>
            <w:tcW w:w="280" w:type="dxa"/>
            <w:tcBorders/>
            <w:vAlign w:val="center"/>
          </w:tcPr>
          <w:p>
            <w:pPr>
              <w:pStyle w:val="TableContents"/>
              <w:bidi w:val="0"/>
              <w:spacing w:before="0" w:after="1"/>
              <w:ind w:left="0" w:right="0" w:hanging="0"/>
              <w:jc w:val="left"/>
              <w:rPr/>
            </w:pPr>
            <w:r>
              <w:rPr/>
              <w:t>​</w:t>
            </w:r>
          </w:p>
        </w:tc>
        <w:tc>
          <w:tcPr>
            <w:tcW w:w="123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28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46" w:type="dxa"/>
            <w:tcBorders/>
            <w:vAlign w:val="center"/>
          </w:tcPr>
          <w:p>
            <w:pPr>
              <w:pStyle w:val="TableContents"/>
              <w:bidi w:val="0"/>
              <w:spacing w:before="0" w:after="1"/>
              <w:ind w:left="0" w:right="0" w:hanging="0"/>
              <w:jc w:val="left"/>
              <w:rPr/>
            </w:pPr>
            <w:r>
              <w:rPr/>
              <w:t>  ​ ​ ​</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1"/>
              <w:ind w:left="0" w:right="0" w:hanging="0"/>
              <w:jc w:val="left"/>
              <w:rPr/>
            </w:pPr>
            <w:r>
              <w:rPr/>
              <w:t>  ​ ​ ​</w:t>
            </w:r>
          </w:p>
        </w:tc>
        <w:tc>
          <w:tcPr>
            <w:tcW w:w="15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Intrinsic Value</w:t>
            </w:r>
          </w:p>
        </w:tc>
        <w:tc>
          <w:tcPr>
            <w:tcW w:w="346" w:type="dxa"/>
            <w:tcBorders/>
            <w:vAlign w:val="center"/>
          </w:tcPr>
          <w:p>
            <w:pPr>
              <w:pStyle w:val="TableContents"/>
              <w:bidi w:val="0"/>
              <w:spacing w:before="0" w:after="1"/>
              <w:ind w:left="0" w:right="0" w:hanging="0"/>
              <w:jc w:val="left"/>
              <w:rPr/>
            </w:pPr>
            <w:r>
              <w:rPr/>
              <w:t>  ​ ​ ​</w:t>
            </w:r>
          </w:p>
        </w:tc>
        <w:tc>
          <w:tcPr>
            <w:tcW w:w="150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r>
      <w:tr>
        <w:trPr/>
        <w:tc>
          <w:tcPr>
            <w:tcW w:w="28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January 1, 2024</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737,895</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w:t>
            </w:r>
          </w:p>
        </w:tc>
        <w:tc>
          <w:tcPr>
            <w:tcW w:w="346" w:type="dxa"/>
            <w:tcBorders/>
            <w:shd w:fill="CCEEFF" w:val="clear"/>
            <w:vAlign w:val="center"/>
          </w:tcPr>
          <w:p>
            <w:pPr>
              <w:pStyle w:val="TableContents"/>
              <w:bidi w:val="0"/>
              <w:spacing w:before="0" w:after="1"/>
              <w:ind w:left="0" w:right="0" w:hanging="0"/>
              <w:jc w:val="righ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1,317,234</w:t>
            </w:r>
          </w:p>
        </w:tc>
        <w:tc>
          <w:tcPr>
            <w:tcW w:w="346" w:type="dxa"/>
            <w:tcBorders/>
            <w:shd w:fill="CCEEFF" w:val="clear"/>
            <w:vAlign w:val="center"/>
          </w:tcPr>
          <w:p>
            <w:pPr>
              <w:pStyle w:val="TableContents"/>
              <w:bidi w:val="0"/>
              <w:spacing w:before="0" w:after="1"/>
              <w:ind w:left="0" w:right="0" w:hanging="0"/>
              <w:jc w:val="left"/>
              <w:rPr/>
            </w:pPr>
            <w:r>
              <w:rPr/>
              <w:t>​</w:t>
            </w:r>
          </w:p>
        </w:tc>
        <w:tc>
          <w:tcPr>
            <w:tcW w:w="15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28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80" w:type="dxa"/>
            <w:tcBorders/>
            <w:vAlign w:val="center"/>
          </w:tcPr>
          <w:p>
            <w:pPr>
              <w:pStyle w:val="TableContents"/>
              <w:bidi w:val="0"/>
              <w:spacing w:before="0" w:after="1"/>
              <w:ind w:left="0" w:right="0" w:hanging="0"/>
              <w:jc w:val="left"/>
              <w:rPr/>
            </w:pPr>
            <w:r>
              <w:rPr/>
              <w:t>​</w:t>
            </w:r>
          </w:p>
        </w:tc>
        <w:tc>
          <w:tcPr>
            <w:tcW w:w="123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02" w:type="dxa"/>
            <w:tcBorders/>
            <w:vAlign w:val="center"/>
          </w:tcPr>
          <w:p>
            <w:pPr>
              <w:pStyle w:val="TableContents"/>
              <w:bidi w:val="0"/>
              <w:spacing w:before="0" w:after="1"/>
              <w:ind w:left="0" w:right="0" w:hanging="0"/>
              <w:jc w:val="right"/>
              <w:rPr/>
            </w:pPr>
            <w:r>
              <w:rPr/>
              <w:t>—</w:t>
            </w:r>
          </w:p>
        </w:tc>
      </w:tr>
      <w:tr>
        <w:trPr/>
        <w:tc>
          <w:tcPr>
            <w:tcW w:w="28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(25,602)</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46" w:type="dxa"/>
            <w:tcBorders/>
            <w:shd w:fill="CCEEFF" w:val="clear"/>
            <w:vAlign w:val="center"/>
          </w:tcPr>
          <w:p>
            <w:pPr>
              <w:pStyle w:val="TableContents"/>
              <w:bidi w:val="0"/>
              <w:spacing w:before="0" w:after="1"/>
              <w:ind w:left="0" w:right="0" w:hanging="0"/>
              <w:jc w:val="righ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123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02" w:type="dxa"/>
            <w:tcBorders/>
            <w:shd w:fill="CCEEFF" w:val="clear"/>
            <w:vAlign w:val="center"/>
          </w:tcPr>
          <w:p>
            <w:pPr>
              <w:pStyle w:val="TableContents"/>
              <w:bidi w:val="0"/>
              <w:spacing w:before="0" w:after="1"/>
              <w:ind w:left="0" w:right="0" w:hanging="0"/>
              <w:jc w:val="right"/>
              <w:rPr/>
            </w:pPr>
            <w:r>
              <w:rPr/>
              <w:t>—</w:t>
            </w:r>
          </w:p>
        </w:tc>
      </w:tr>
      <w:tr>
        <w:trPr/>
        <w:tc>
          <w:tcPr>
            <w:tcW w:w="28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Canceled/Expired</w:t>
            </w:r>
          </w:p>
        </w:tc>
        <w:tc>
          <w:tcPr>
            <w:tcW w:w="34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(124,589)</w:t>
            </w:r>
          </w:p>
        </w:tc>
        <w:tc>
          <w:tcPr>
            <w:tcW w:w="346" w:type="dxa"/>
            <w:tcBorders/>
            <w:vAlign w:val="center"/>
          </w:tcPr>
          <w:p>
            <w:pPr>
              <w:pStyle w:val="TableContents"/>
              <w:bidi w:val="0"/>
              <w:spacing w:before="0" w:after="1"/>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42.24</w:t>
            </w:r>
          </w:p>
        </w:tc>
        <w:tc>
          <w:tcPr>
            <w:tcW w:w="346" w:type="dxa"/>
            <w:tcBorders/>
            <w:vAlign w:val="center"/>
          </w:tcPr>
          <w:p>
            <w:pPr>
              <w:pStyle w:val="TableContents"/>
              <w:bidi w:val="0"/>
              <w:spacing w:before="0" w:after="1"/>
              <w:ind w:left="0" w:right="0" w:hanging="0"/>
              <w:jc w:val="righ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0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587,704</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22.85</w:t>
            </w:r>
          </w:p>
        </w:tc>
        <w:tc>
          <w:tcPr>
            <w:tcW w:w="346" w:type="dxa"/>
            <w:tcBorders/>
            <w:shd w:fill="CCEEFF" w:val="clear"/>
            <w:vAlign w:val="center"/>
          </w:tcPr>
          <w:p>
            <w:pPr>
              <w:pStyle w:val="TableContents"/>
              <w:bidi w:val="0"/>
              <w:spacing w:before="0" w:after="1"/>
              <w:ind w:left="0" w:right="0" w:hanging="0"/>
              <w:jc w:val="righ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377,767</w:t>
            </w:r>
          </w:p>
        </w:tc>
        <w:tc>
          <w:tcPr>
            <w:tcW w:w="346" w:type="dxa"/>
            <w:tcBorders/>
            <w:shd w:fill="CCEEFF" w:val="clear"/>
            <w:vAlign w:val="center"/>
          </w:tcPr>
          <w:p>
            <w:pPr>
              <w:pStyle w:val="TableContents"/>
              <w:bidi w:val="0"/>
              <w:spacing w:before="0" w:after="1"/>
              <w:ind w:left="0" w:right="0" w:hanging="0"/>
              <w:jc w:val="left"/>
              <w:rPr/>
            </w:pPr>
            <w:r>
              <w:rPr/>
              <w:t>​</w:t>
            </w:r>
          </w:p>
        </w:tc>
        <w:tc>
          <w:tcPr>
            <w:tcW w:w="15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28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1,202,834</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1"/>
              <w:ind w:left="0" w:right="0" w:hanging="0"/>
              <w:jc w:val="right"/>
              <w:rPr/>
            </w:pPr>
            <w:r>
              <w:rPr/>
              <w:t>​</w:t>
            </w:r>
          </w:p>
        </w:tc>
        <w:tc>
          <w:tcPr>
            <w:tcW w:w="280" w:type="dxa"/>
            <w:tcBorders/>
            <w:vAlign w:val="center"/>
          </w:tcPr>
          <w:p>
            <w:pPr>
              <w:pStyle w:val="TableContents"/>
              <w:bidi w:val="0"/>
              <w:spacing w:before="0" w:after="1"/>
              <w:ind w:left="0" w:right="0" w:hanging="0"/>
              <w:jc w:val="left"/>
              <w:rPr/>
            </w:pPr>
            <w:r>
              <w:rPr/>
              <w:t>​</w:t>
            </w:r>
          </w:p>
        </w:tc>
        <w:tc>
          <w:tcPr>
            <w:tcW w:w="123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02" w:type="dxa"/>
            <w:tcBorders/>
            <w:vAlign w:val="center"/>
          </w:tcPr>
          <w:p>
            <w:pPr>
              <w:pStyle w:val="TableContents"/>
              <w:bidi w:val="0"/>
              <w:spacing w:before="0" w:after="1"/>
              <w:ind w:left="0" w:right="0" w:hanging="0"/>
              <w:jc w:val="right"/>
              <w:rPr/>
            </w:pPr>
            <w:r>
              <w:rPr/>
              <w:t>—</w:t>
            </w:r>
          </w:p>
        </w:tc>
      </w:tr>
      <w:tr>
        <w:trPr/>
        <w:tc>
          <w:tcPr>
            <w:tcW w:w="28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123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02" w:type="dxa"/>
            <w:tcBorders/>
            <w:shd w:fill="CCEEFF" w:val="clear"/>
            <w:vAlign w:val="center"/>
          </w:tcPr>
          <w:p>
            <w:pPr>
              <w:pStyle w:val="TableContents"/>
              <w:bidi w:val="0"/>
              <w:spacing w:before="0" w:after="1"/>
              <w:ind w:left="0" w:right="0" w:hanging="0"/>
              <w:jc w:val="right"/>
              <w:rPr/>
            </w:pPr>
            <w:r>
              <w:rPr/>
              <w:t>—</w:t>
            </w:r>
          </w:p>
        </w:tc>
      </w:tr>
      <w:tr>
        <w:trPr/>
        <w:tc>
          <w:tcPr>
            <w:tcW w:w="28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Canceled/Expired</w:t>
            </w:r>
          </w:p>
        </w:tc>
        <w:tc>
          <w:tcPr>
            <w:tcW w:w="34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(27,660)</w:t>
            </w:r>
          </w:p>
        </w:tc>
        <w:tc>
          <w:tcPr>
            <w:tcW w:w="346" w:type="dxa"/>
            <w:tcBorders/>
            <w:vAlign w:val="center"/>
          </w:tcPr>
          <w:p>
            <w:pPr>
              <w:pStyle w:val="TableContents"/>
              <w:bidi w:val="0"/>
              <w:spacing w:before="0" w:after="1"/>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35.66</w:t>
            </w:r>
          </w:p>
        </w:tc>
        <w:tc>
          <w:tcPr>
            <w:tcW w:w="346" w:type="dxa"/>
            <w:tcBorders/>
            <w:vAlign w:val="center"/>
          </w:tcPr>
          <w:p>
            <w:pPr>
              <w:pStyle w:val="TableContents"/>
              <w:bidi w:val="0"/>
              <w:spacing w:before="0" w:after="1"/>
              <w:ind w:left="0" w:right="0" w:hanging="0"/>
              <w:jc w:val="righ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0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8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1,762,878</w:t>
            </w:r>
          </w:p>
        </w:tc>
        <w:tc>
          <w:tcPr>
            <w:tcW w:w="346" w:type="dxa"/>
            <w:tcBorders/>
            <w:shd w:fill="CCEEFF" w:val="clear"/>
            <w:vAlign w:val="center"/>
          </w:tcPr>
          <w:p>
            <w:pPr>
              <w:pStyle w:val="TableContents"/>
              <w:bidi w:val="0"/>
              <w:spacing w:before="0" w:after="1"/>
              <w:ind w:left="0" w:right="0" w:hanging="0"/>
              <w:jc w:val="left"/>
              <w:rPr/>
            </w:pPr>
            <w:r>
              <w:rPr/>
              <w:t>​</w:t>
            </w:r>
          </w:p>
        </w:tc>
        <w:tc>
          <w:tcPr>
            <w:tcW w:w="4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w:t>
            </w:r>
          </w:p>
        </w:tc>
        <w:tc>
          <w:tcPr>
            <w:tcW w:w="346" w:type="dxa"/>
            <w:tcBorders/>
            <w:shd w:fill="CCEEFF" w:val="clear"/>
            <w:vAlign w:val="center"/>
          </w:tcPr>
          <w:p>
            <w:pPr>
              <w:pStyle w:val="TableContents"/>
              <w:bidi w:val="0"/>
              <w:spacing w:before="0" w:after="1"/>
              <w:ind w:left="0" w:right="0" w:hanging="0"/>
              <w:jc w:val="righ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563,368</w:t>
            </w:r>
          </w:p>
        </w:tc>
        <w:tc>
          <w:tcPr>
            <w:tcW w:w="346" w:type="dxa"/>
            <w:tcBorders/>
            <w:shd w:fill="CCEEFF" w:val="clear"/>
            <w:vAlign w:val="center"/>
          </w:tcPr>
          <w:p>
            <w:pPr>
              <w:pStyle w:val="TableContents"/>
              <w:bidi w:val="0"/>
              <w:spacing w:before="0" w:after="1"/>
              <w:ind w:left="0" w:right="0" w:hanging="0"/>
              <w:jc w:val="left"/>
              <w:rPr/>
            </w:pPr>
            <w:r>
              <w:rPr/>
              <w:t>​</w:t>
            </w:r>
          </w:p>
        </w:tc>
        <w:tc>
          <w:tcPr>
            <w:tcW w:w="15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2889"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exercisable</w:t>
            </w:r>
          </w:p>
        </w:tc>
        <w:tc>
          <w:tcPr>
            <w:tcW w:w="34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461,202</w:t>
            </w:r>
          </w:p>
        </w:tc>
        <w:tc>
          <w:tcPr>
            <w:tcW w:w="346"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26.57</w:t>
            </w:r>
          </w:p>
        </w:tc>
        <w:tc>
          <w:tcPr>
            <w:tcW w:w="346" w:type="dxa"/>
            <w:tcBorders/>
            <w:vAlign w:val="center"/>
          </w:tcPr>
          <w:p>
            <w:pPr>
              <w:pStyle w:val="TableContents"/>
              <w:bidi w:val="0"/>
              <w:spacing w:before="0" w:after="1"/>
              <w:ind w:left="0" w:right="0" w:hanging="0"/>
              <w:jc w:val="righ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7,619</w:t>
            </w:r>
          </w:p>
        </w:tc>
        <w:tc>
          <w:tcPr>
            <w:tcW w:w="346" w:type="dxa"/>
            <w:tcBorders/>
            <w:vAlign w:val="center"/>
          </w:tcPr>
          <w:p>
            <w:pPr>
              <w:pStyle w:val="TableContents"/>
              <w:bidi w:val="0"/>
              <w:spacing w:before="0" w:after="1"/>
              <w:ind w:left="0" w:right="0" w:hanging="0"/>
              <w:jc w:val="left"/>
              <w:rPr/>
            </w:pPr>
            <w:r>
              <w:rPr/>
              <w:t>​</w:t>
            </w:r>
          </w:p>
        </w:tc>
        <w:tc>
          <w:tcPr>
            <w:tcW w:w="150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Black-Scholes option pricing model is used to estimate the fair value of stock options granted under the Company’s share-based compensation plans. The weighted average assumptions used in calculating the fair values of stock options that were granted during the years ended December 31, 2025 and 2024, respectively, were as follows:</w:t>
      </w:r>
    </w:p>
    <w:p>
      <w:pPr>
        <w:pStyle w:val="TextBody"/>
        <w:bidi w:val="0"/>
        <w:spacing w:before="0" w:after="240"/>
        <w:ind w:left="0" w:right="0" w:hanging="0"/>
        <w:jc w:val="both"/>
        <w:rPr/>
      </w:pPr>
      <w:r>
        <w:rPr/>
        <w:t>​</w:t>
      </w:r>
    </w:p>
    <w:tbl>
      <w:tblPr>
        <w:tblW w:w="5093" w:type="dxa"/>
        <w:jc w:val="left"/>
        <w:tblInd w:w="0" w:type="dxa"/>
        <w:tblLayout w:type="fixed"/>
        <w:tblCellMar>
          <w:top w:w="0" w:type="dxa"/>
          <w:left w:w="0" w:type="dxa"/>
          <w:bottom w:w="0" w:type="dxa"/>
          <w:right w:w="0" w:type="dxa"/>
        </w:tblCellMar>
      </w:tblPr>
      <w:tblGrid>
        <w:gridCol w:w="2626"/>
        <w:gridCol w:w="346"/>
        <w:gridCol w:w="211"/>
        <w:gridCol w:w="676"/>
        <w:gridCol w:w="361"/>
        <w:gridCol w:w="211"/>
        <w:gridCol w:w="346"/>
        <w:gridCol w:w="31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667510" cy="175260"/>
                      <wp:effectExtent l="0" t="0" r="0" b="0"/>
                      <wp:wrapNone/>
                      <wp:docPr id="151" name="Frame142"/>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29260" cy="175260"/>
                      <wp:effectExtent l="0" t="0" r="0" b="0"/>
                      <wp:wrapNone/>
                      <wp:docPr id="154" name="Frame1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29235" cy="175260"/>
                      <wp:effectExtent l="0" t="0" r="0" b="0"/>
                      <wp:wrapNone/>
                      <wp:docPr id="155" name="Frame14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0660" cy="175260"/>
                      <wp:effectExtent l="0" t="0" r="0" b="0"/>
                      <wp:wrapNone/>
                      <wp:docPr id="158" name="Frame14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c>
          <w:tcPr>
            <w:tcW w:w="316" w:type="dxa"/>
            <w:tcBorders/>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left"/>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stock price volatility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 of interest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rate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556" w:name="Tc_Ak2CqCS670WbC6C10iFAOw_7_5"/>
      <w:bookmarkStart w:id="557" w:name="Tc__W64xaoliUeCj0rJLh4UPg_7_2"/>
      <w:bookmarkStart w:id="558" w:name="Tc_STvHO0aNb066fqu0e47gAQ_7_0"/>
      <w:bookmarkStart w:id="559" w:name="Tc_PV_Nn6-W2k63mNlTOVaI0w_6_0"/>
      <w:bookmarkStart w:id="560" w:name="Tc_3FmG79elvUuMrH3eY7u4vQ_5_5"/>
      <w:bookmarkStart w:id="561" w:name="Tc_e9Krbi9i40Ck7Je--mmcfQ_5_2"/>
      <w:bookmarkStart w:id="562" w:name="Tc_Dmt77xeCAUiAJ3JtCSKlCg_5_0"/>
      <w:bookmarkStart w:id="563" w:name="Tc_T-G7Fp6g9kOpWDG_LwxFOQ_4_0"/>
      <w:bookmarkStart w:id="564" w:name="Tc_1-yBBqxP60Sd3VfYoitCXA_3_5"/>
      <w:bookmarkStart w:id="565" w:name="Tc_t332es9fuUWPwbddIxCx8Q_3_2"/>
      <w:bookmarkStart w:id="566" w:name="Tc_WPzkvTGVwU68AVFeexrgDQ_2_2"/>
      <w:bookmarkStart w:id="567" w:name="Tc_08KxJe05-0-ftWqBQsE-ug_1_2"/>
      <w:bookmarkEnd w:id="556"/>
      <w:bookmarkEnd w:id="557"/>
      <w:bookmarkEnd w:id="558"/>
      <w:bookmarkEnd w:id="559"/>
      <w:bookmarkEnd w:id="560"/>
      <w:bookmarkEnd w:id="561"/>
      <w:bookmarkEnd w:id="562"/>
      <w:bookmarkEnd w:id="563"/>
      <w:bookmarkEnd w:id="564"/>
      <w:bookmarkEnd w:id="565"/>
      <w:bookmarkEnd w:id="566"/>
      <w:bookmarkEnd w:id="567"/>
      <w:r>
        <w:rPr>
          <w:rFonts w:ascii="Times New Roman;Times;serif" w:hAnsi="Times New Roman;Times;serif"/>
          <w:sz w:val="20"/>
        </w:rPr>
        <w:t>The following table sets forth stock-based compensation expenses recorded during the respective periods:</w:t>
      </w:r>
    </w:p>
    <w:p>
      <w:pPr>
        <w:pStyle w:val="TextBody"/>
        <w:bidi w:val="0"/>
        <w:spacing w:before="0" w:after="240"/>
        <w:ind w:left="0" w:right="0" w:hanging="0"/>
        <w:jc w:val="both"/>
        <w:rPr/>
      </w:pPr>
      <w:r>
        <w:rPr/>
        <w:t>​</w:t>
      </w:r>
    </w:p>
    <w:tbl>
      <w:tblPr>
        <w:tblW w:w="5782" w:type="dxa"/>
        <w:jc w:val="left"/>
        <w:tblInd w:w="0" w:type="dxa"/>
        <w:tblLayout w:type="fixed"/>
        <w:tblCellMar>
          <w:top w:w="0" w:type="dxa"/>
          <w:left w:w="0" w:type="dxa"/>
          <w:bottom w:w="0" w:type="dxa"/>
          <w:right w:w="0" w:type="dxa"/>
        </w:tblCellMar>
      </w:tblPr>
      <w:tblGrid>
        <w:gridCol w:w="3001"/>
        <w:gridCol w:w="346"/>
        <w:gridCol w:w="211"/>
        <w:gridCol w:w="781"/>
        <w:gridCol w:w="346"/>
        <w:gridCol w:w="211"/>
        <w:gridCol w:w="88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905635" cy="175260"/>
                      <wp:effectExtent l="0" t="0" r="0" b="0"/>
                      <wp:wrapNone/>
                      <wp:docPr id="159" name="Frame150"/>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95935" cy="175260"/>
                      <wp:effectExtent l="0" t="0" r="0" b="0"/>
                      <wp:wrapNone/>
                      <wp:docPr id="162" name="Frame1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62610" cy="175260"/>
                      <wp:effectExtent l="0" t="0" r="0" b="0"/>
                      <wp:wrapNone/>
                      <wp:docPr id="165" name="Frame15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4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Compensation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308,068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15,247</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229,472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230,617</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 compensation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537,540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245,864</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the Company recorded incremental stock-based compensation expense of $0.3 million pertaining to the modification of stock options in connection with certain consultants. The modification resulted in an acceleration of $0.3 million in compensation expense that was immediately recognized, and is reflected in operating expenses.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December 31, 2025, the total stock-based compensation cost related to unvested awards not yet recognized was $0.9 million. The expected weighted average period for compensation costs to be recognized was 1.8 years. Future option grants will impact the compensation expense recognized.</w:t>
      </w:r>
    </w:p>
    <w:p>
      <w:pPr>
        <w:pStyle w:val="TextBody"/>
        <w:bidi w:val="0"/>
        <w:spacing w:before="0" w:after="240"/>
        <w:ind w:left="0" w:right="0" w:hanging="0"/>
        <w:jc w:val="both"/>
        <w:rPr>
          <w:rFonts w:ascii="Times New Roman;Times;serif" w:hAnsi="Times New Roman;Times;serif"/>
          <w:b/>
          <w:sz w:val="20"/>
        </w:rPr>
      </w:pPr>
      <w:bookmarkStart w:id="568" w:name="Tc_V5Yu5ebKkEeL_tm_clVY1Q_12_5"/>
      <w:bookmarkStart w:id="569" w:name="Tc_uvw-QooaekmECp10BbftEA_12_2"/>
      <w:bookmarkStart w:id="570" w:name="Tc_v2iP25QHj0GvOtfM1ghi4Q_12_0"/>
      <w:bookmarkStart w:id="571" w:name="Tc_pzmQlFZYqEihIhNzWrs5Xw_11_6"/>
      <w:bookmarkStart w:id="572" w:name="Tc_HcDy83gXcEi5qY2Ny35y_g_11_0"/>
      <w:bookmarkStart w:id="573" w:name="Tc_dd1aI4krJ0KIozB1r3Dm_A_10_0"/>
      <w:bookmarkStart w:id="574" w:name="Tc_LuCU-yRQI0SjYwh7jixXdQ_9_0"/>
      <w:bookmarkStart w:id="575" w:name="Tc_c2Q_b6KBcEmKMzStgKh9Cg_8_0"/>
      <w:bookmarkStart w:id="576" w:name="Tc_1zZsBFuG1k-dqmVU7mF3qQ_7_0"/>
      <w:bookmarkStart w:id="577" w:name="Tc_bnnxaZZdBEGcw0haZUV67Q_6_0"/>
      <w:bookmarkStart w:id="578" w:name="Tc_spbTnh73kkqkwV8PPc-L4w_5_5"/>
      <w:bookmarkStart w:id="579" w:name="Tc_FrBYZdAIQkm3FZ28VHJKcw_5_2"/>
      <w:bookmarkStart w:id="580" w:name="Tc_OZi7_Qs9UEihP9s9KfkLZA_5_0"/>
      <w:bookmarkStart w:id="581" w:name="Tc_7zIIv_xks0muv7j1a4pdNQ_4_0"/>
      <w:bookmarkStart w:id="582" w:name="Tc_Nvtd5sop9ku-VXRMZNyEsg_3_5"/>
      <w:bookmarkStart w:id="583" w:name="Tc_LZtnx0DdgEC73jZ0octiEg_3_2"/>
      <w:bookmarkStart w:id="584" w:name="Tc_oS5lkrQbP0KCwCtZ1fpAzg_2_2"/>
      <w:bookmarkStart w:id="585" w:name="Tc_25rbeJ2-R0yB2FwmPu7BjQ_1_2"/>
      <w:bookmarkStart w:id="586" w:name="_f83e616c_8d66_4c7c_98a3_a369d767f8f4"/>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r>
        <w:rPr>
          <w:rFonts w:ascii="Times New Roman;Times;serif" w:hAnsi="Times New Roman;Times;serif"/>
          <w:b/>
          <w:sz w:val="20"/>
        </w:rPr>
        <w:t>NOTE 9: GRANT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Grant Income represents funding under cost reimbursement programs from government agencies and non-profit foundations for qualified research and development activities performed by the Company. Revenue is recognized when the Company incurs expenses related to the grants for the amount the Company is entitled to under the provisions of the contract (see Note 3). If restricted cash is received from grants in advance of incurring qualifying costs, it is recorded as deferred revenue and recognized as revenue when qualifying costs are incurred. The Company had $1.0 million of restricted cash recorded as of December 31, 2025, and none recorded as of December 31,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grant income recorded for the years ended December 31, 2025 and 2024, by grant:</w:t>
      </w:r>
    </w:p>
    <w:p>
      <w:pPr>
        <w:pStyle w:val="TextBody"/>
        <w:bidi w:val="0"/>
        <w:spacing w:before="0" w:after="0"/>
        <w:ind w:left="0" w:right="0" w:hanging="0"/>
        <w:jc w:val="left"/>
        <w:rPr/>
      </w:pPr>
      <w:r>
        <w:rPr/>
        <w:t>​</w:t>
      </w:r>
    </w:p>
    <w:tbl>
      <w:tblPr>
        <w:tblW w:w="5212" w:type="dxa"/>
        <w:jc w:val="left"/>
        <w:tblInd w:w="0" w:type="dxa"/>
        <w:tblLayout w:type="fixed"/>
        <w:tblCellMar>
          <w:top w:w="0" w:type="dxa"/>
          <w:left w:w="0" w:type="dxa"/>
          <w:bottom w:w="0" w:type="dxa"/>
          <w:right w:w="0" w:type="dxa"/>
        </w:tblCellMar>
      </w:tblPr>
      <w:tblGrid>
        <w:gridCol w:w="2131"/>
        <w:gridCol w:w="346"/>
        <w:gridCol w:w="211"/>
        <w:gridCol w:w="931"/>
        <w:gridCol w:w="346"/>
        <w:gridCol w:w="211"/>
        <w:gridCol w:w="103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53185" cy="175260"/>
                      <wp:effectExtent l="0" t="0" r="0" b="0"/>
                      <wp:wrapNone/>
                      <wp:docPr id="166" name="Frame157"/>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91185" cy="175260"/>
                      <wp:effectExtent l="0" t="0" r="0" b="0"/>
                      <wp:wrapNone/>
                      <wp:docPr id="169" name="Frame1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57860" cy="175260"/>
                      <wp:effectExtent l="0" t="0" r="0" b="0"/>
                      <wp:wrapNone/>
                      <wp:docPr id="172" name="Frame16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7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  ​</w:t>
            </w:r>
          </w:p>
        </w:tc>
      </w:tr>
      <w:tr>
        <w:trPr/>
        <w:tc>
          <w:tcPr>
            <w:tcW w:w="213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CPRIT AML Grant</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900,014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4,411,149</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FDA Grant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118,478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519,750</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SBIR AML Grant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472,208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982,182</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Decoy Grant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391,305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5,822</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SBIR NHL Grant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665,000</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PANACEA Grant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425,670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7,177</w:t>
            </w:r>
          </w:p>
        </w:tc>
      </w:tr>
      <w:tr>
        <w:trPr/>
        <w:tc>
          <w:tcPr>
            <w:tcW w:w="213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CPRIT Pancreatic Grant</w:t>
            </w: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573,994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grant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3,546,669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6,591,080</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Both CPRIT grants are subject to certain revenue-sharing arrangements, as per the grant agreements (see Note 10).</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qualifying grant income is earned in advance of cash received from grants, it is recognized as revenue and recorded as other receivable (see Note 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COMMITMENTS AND CONTINGENCIES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Cancer Prevention and Research Institute of Texas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August 2021, the Company received notice of a Product Development Research award totaling approximately $13.1 million from CPRIT to support the Company’s clinical investigation of MT-401 (the “CPRIT AML Grant”). In December 2024, the Company received notice of an additional $9.5 million grant from CPRIT to support the clinical investigation of MT-601 in patients with pancreatic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cancer (“the CPRIT Pancreatic Grant”). Both CPRIT grants contain identical terms surrounding intellectual property and revenue sharing.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Per the CPRIT grant agreements, the Company will retain ownership over any intellectual property developed under the contracts (the “Project Results”). With respect to non-commercial use of any Project Results, the Company agreed to grant to CPRIT a nonexclusive, irrevocable, royalty-free, perpetual, worldwide license with the right to sublicense any necessary additional intellectual property rights to exploit all Project Results by CPRIT, other governmental entities and agencies of the State of Texas, and private or independent institutions of higher education located in Texas, solely for academic, research, and other non-commercial purposes.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Company’s products become commercially saleable, the Company is obligated to make payments to CPRIT, with respect to net sales of any product covered in the contract, equal to a percentage of revenue ranging from the low-to-mid single digits. These payments will continue up to and until CPRIT receives an aggregate amount of 400% of the sum of all monies paid to the Company by CPRIT under the grant agreements. If the Company is required to obtain a license from a third party to sell any such product, the revenue sharing percentages may be reduced. In addition, once the Company has paid CPRIT 400% of the monies received under the grant agreements, the Company will continue to pay CPRIT a revenue-sharing percentage of 0.5% for the remainder of the Revenue Term as specified in the grant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License Agreement with the Baylor College of Medicine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2018, the Company entered into an exclusive license agreement with BCM under which the Company acquired a worldwide, exclusive license to BCM’s rights in and to certain intellectual property rights, including a European patent to develop and commercialize MAR-T cell product candidates (the “BCM License Agreement”). In exchange for the license, the Company issued shares of its common stock to BCM valued at approximately $5.0 million at the time of issuance, agreed to make royalty payments to BCM upon commercial sales according to the royalty schedule in the BCM License Agreement, under which the royalty percentages increase in proportion to the aggregate net sales, and agreed to pay BCM certain milestone payments up to an aggregate of $64.85 million. The milestone payments are based upon the occurrence of nine particular milestones relating to completion of the first dosing in clinical trials for a first and second distinct product, FDA approval, and achievement of certain net sales goals. The Company is also responsible for sublicensing fees and for reimbursing BCM for related-party expenses. In addition, upon a liquidity event (as defined in the BCM License Agreement) of the Company, BCM will receive a one-time liquidity incentive payment of 0.5% of the liquidity event proceeds (as defined in the BCM License Agreement).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including those arising in the ordinary course of our business. We are not currently a party to any material legal proceedings that we believe could have an adverse effect on our business, operating results or financial condition.</w:t>
      </w:r>
    </w:p>
    <w:p>
      <w:pPr>
        <w:pStyle w:val="TextBody"/>
        <w:bidi w:val="0"/>
        <w:spacing w:before="0" w:after="240"/>
        <w:ind w:left="0" w:right="0" w:hanging="0"/>
        <w:jc w:val="left"/>
        <w:rPr>
          <w:rFonts w:ascii="Times New Roman;Times;serif" w:hAnsi="Times New Roman;Times;serif"/>
          <w:b/>
          <w:sz w:val="20"/>
        </w:rPr>
      </w:pPr>
      <w:bookmarkStart w:id="587" w:name="Tc_ljbxhsdHGU-LQnojbi_Onw_7_5"/>
      <w:bookmarkStart w:id="588" w:name="Tc_OlGI3IdzukKC4Fjfo4n89g_7_2"/>
      <w:bookmarkStart w:id="589" w:name="Tc_VmF1rBFLN0Schk6ICfl-bg_7_0"/>
      <w:bookmarkStart w:id="590" w:name="Tc_r2eNMdLUsEKN1rdtMCUnyQ_6_6"/>
      <w:bookmarkStart w:id="591" w:name="Tc_ya9Kx1g500qGdI_X71fobQ_6_0"/>
      <w:bookmarkStart w:id="592" w:name="Tc_FqeEXcX5kEqbJqr4l14q5g_5_0"/>
      <w:bookmarkStart w:id="593" w:name="Tc_6emlGKChLkayYfjg7nJypQ_4_5"/>
      <w:bookmarkStart w:id="594" w:name="Tc_jOAIizNoRUOv3SafxnvscA_4_2"/>
      <w:bookmarkStart w:id="595" w:name="Tc_cgGj3_z7d0--mYyvy_qB_A_4_0"/>
      <w:bookmarkStart w:id="596" w:name="Tc_0ofUOYhoI0mX5a5tgYIR3A_3_5"/>
      <w:bookmarkStart w:id="597" w:name="Tc_kUKBSilkpk-tLSJqFoaMsg_3_2"/>
      <w:bookmarkStart w:id="598" w:name="Tc_OlKwSMBa3EeEOcwTgyFDDw_2_2"/>
      <w:bookmarkStart w:id="599" w:name="Tc_jfItlkAkTUCcujzmldKqUg_1_2"/>
      <w:bookmarkEnd w:id="587"/>
      <w:bookmarkEnd w:id="588"/>
      <w:bookmarkEnd w:id="589"/>
      <w:bookmarkEnd w:id="590"/>
      <w:bookmarkEnd w:id="591"/>
      <w:bookmarkEnd w:id="592"/>
      <w:bookmarkEnd w:id="593"/>
      <w:bookmarkEnd w:id="594"/>
      <w:bookmarkEnd w:id="595"/>
      <w:bookmarkEnd w:id="596"/>
      <w:bookmarkEnd w:id="597"/>
      <w:bookmarkEnd w:id="598"/>
      <w:bookmarkEnd w:id="599"/>
      <w:r>
        <w:rPr>
          <w:rFonts w:ascii="Times New Roman;Times;serif" w:hAnsi="Times New Roman;Times;serif"/>
          <w:b/>
          <w:sz w:val="20"/>
        </w:rPr>
        <w:t>NOTE 11:    RELATED PARTY TRANSACTIONS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related party transaction expenses recorded for the years ended December 31, 2025 and 2024, respectively.</w:t>
      </w:r>
    </w:p>
    <w:p>
      <w:pPr>
        <w:pStyle w:val="TextBody"/>
        <w:bidi w:val="0"/>
        <w:spacing w:before="0" w:after="240"/>
        <w:ind w:left="0" w:right="0" w:hanging="0"/>
        <w:jc w:val="both"/>
        <w:rPr/>
      </w:pPr>
      <w:r>
        <w:rPr/>
        <w:t>​</w:t>
      </w:r>
    </w:p>
    <w:tbl>
      <w:tblPr>
        <w:tblW w:w="6532" w:type="dxa"/>
        <w:jc w:val="left"/>
        <w:tblInd w:w="0" w:type="dxa"/>
        <w:tblLayout w:type="fixed"/>
        <w:tblCellMar>
          <w:top w:w="0" w:type="dxa"/>
          <w:left w:w="0" w:type="dxa"/>
          <w:bottom w:w="0" w:type="dxa"/>
          <w:right w:w="0" w:type="dxa"/>
        </w:tblCellMar>
      </w:tblPr>
      <w:tblGrid>
        <w:gridCol w:w="3451"/>
        <w:gridCol w:w="346"/>
        <w:gridCol w:w="211"/>
        <w:gridCol w:w="931"/>
        <w:gridCol w:w="346"/>
        <w:gridCol w:w="211"/>
        <w:gridCol w:w="103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1385" cy="175260"/>
                      <wp:effectExtent l="0" t="0" r="0" b="0"/>
                      <wp:wrapNone/>
                      <wp:docPr id="173" name="Frame164"/>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91185" cy="175260"/>
                      <wp:effectExtent l="0" t="0" r="0" b="0"/>
                      <wp:wrapNone/>
                      <wp:docPr id="176" name="Frame16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57860" cy="175260"/>
                      <wp:effectExtent l="0" t="0" r="0" b="0"/>
                      <wp:wrapNone/>
                      <wp:docPr id="179" name="Frame17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Baylor College of Medicine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3,218,138</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6,723</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Cell Ready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1,266,804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5,846,456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Wilson Wolf Manufacturing Corporation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83,543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4,568,485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5,853,179</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As of December 31, 2025 and 2024, nil and $1.7 million, respectively, of related party transactions are included in accounts payable and accrued liabilities. See Note 6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Agreements with The Baylor College of Medicine (“BCM”).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2018, January 2020 and February 2020, the Company entered in Sponsored Research Agreements with BCM, which provided for the conduct of research for the Company by credentialed personnel at BCM’s Center for Cell and Gene Therapy. On April 1, 2025, the Company sighed Amendment #1 to the Sponsored Research and Product Development Agreement with BCM to perform research on “Controlling Tumor Immune Escape in Pancreatic Cancer using a Dual T-Cell Product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2019, May 2020 and July 2021, the Company entered into Clinical Supply Agreements with BCM, which provided for BCM to provide to the Company multi tumor antigen specific products.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October 2019, the Company entered in a Workforce Grant Agreement with BCM, which provided for BCM to provide to the Company manpower costs of projects for manufacturing, quality control testing and validation run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2020, the Company entered in a Clinical Trial Agreement with BCM, which provided for BCM to provide to the Company investigator-initiated research studies.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also entered into a Clinical Site Agreement and Laboratory Service Agreement with BCM, pursuant to which BCM conducts clinical trials for the Company and testing of Marker’s product candidates to develop an optimized potency assay.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BCM is also a shareholder of the Company’s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years ended December 31, 2025 and 2024, the Company incurred $3.2 million and $7,000 in expenses related to services and manufacturing costs and paid BCM approximately $3.0 million and $0.1 million for invoices received,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Purchases from Wilson Wolf.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2025, the Company utilized Wilson Wolf for the purchases of cell culture devices. Mr. John Wilson is a former director of the Company and is serving as the CEO of Wilson Wolf Manufacturing 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years ended December 31, 2025 and 2024, the Company incurred approximately $0.1 million and nil, respectively, in expenses related to cell culture devices and paid Wilson Wolf approximately $0.1 million and nil respectively, for invoices received.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Purchases from Cell Ready, LLC.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utilized Cell Ready, LLC for clinical manufacturing supply and product development. Cell Ready, which is owned by a former director, Mr. John Wilson, is a contract development and manufacturing organization (“CDMO”). On February 22, 2024, the Company entered into a 3-year Master Services Agreement for Product Supply (the “MSA”) with Cell Ready. During the years ended December 31, 2025 and 2024, the Company incurred $0.8 million and $5.8 million in expenses related to services and manufacturing costs, respectively, and paid $2.6 million and $5.5 million for invoices received, respectively.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27, 2025, the Company mutually agreed with Cell Ready to terminate the MSA. In connection therewith, the Company entered into a settlement and release agreement with Cell Ready pursuant to which the Company paid Cell Ready approximately $453,000 and the parties provided one another with mutual releases of all claims associated with any and all agreements between the Company and Cell Ready.</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no federal income tax expense due to operating losses incurred for the years ended December 31, 2025, and 2024, respectively. The Company recognized ($15,156) and $49,953 in state tax (benefit) expense for the years ended December 31, 2025 and 2024,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600" w:name="Tc_1vChfyxcGEGvt0AmMAi1Zw_17_6"/>
      <w:bookmarkStart w:id="601" w:name="Tc_Im1hKJEcnkSPTN-w6UN7vA_17_5"/>
      <w:bookmarkStart w:id="602" w:name="Tc_86-0Cb-hpUmN5sgMc7sQrg_17_3"/>
      <w:bookmarkStart w:id="603" w:name="Tc_c9aUR7SBhkux6vZJug-FDA_17_2"/>
      <w:bookmarkStart w:id="604" w:name="Tc_LQVIRNLHFUy5KtJS-uJdHw_17_0"/>
      <w:bookmarkStart w:id="605" w:name="Tc_5QsL-JxAtEy23t2X3UOA9g_15_6"/>
      <w:bookmarkStart w:id="606" w:name="Tc_OdTPkVOIUUW95_8PSKDBHw_15_5"/>
      <w:bookmarkStart w:id="607" w:name="Tc_Vms90S7LEU68W5yht7qqPQ_15_3"/>
      <w:bookmarkStart w:id="608" w:name="Tc_bO7EnqUC-0uuIMhkTAoOjw_15_2"/>
      <w:bookmarkStart w:id="609" w:name="Tc_9fn4TIRhZUencSy6bHatMw_15_0"/>
      <w:bookmarkStart w:id="610" w:name="Tc_xP7iUtYr90G5AoKMTbnkZA_13_6"/>
      <w:bookmarkStart w:id="611" w:name="Tc_5q0xumbLmkuEKF5tY7f6hw_13_5"/>
      <w:bookmarkStart w:id="612" w:name="Tc_6Z2ASaFCkEGlh0Cullc-tA_13_3"/>
      <w:bookmarkStart w:id="613" w:name="Tc_9f5JCAlrkUSSEI2iLWFFzg_13_2"/>
      <w:bookmarkStart w:id="614" w:name="Tc_UkYbeWbt4kyiMa6_JdhkAQ_13_0"/>
      <w:bookmarkStart w:id="615" w:name="Tc_VYJ0lsK9iE6hrholNulKrQ_12_0"/>
      <w:bookmarkStart w:id="616" w:name="Tc_9_o84VdEx06xkphPTlvTWg_10_0"/>
      <w:bookmarkStart w:id="617" w:name="Tc_pq-4teqt-Uq0WGwfGbJPxw_9_6"/>
      <w:bookmarkStart w:id="618" w:name="Tc_I9X8-k4_Ak69psX5hVWQaA_9_0"/>
      <w:bookmarkStart w:id="619" w:name="Tc_1Mre-vwr30m3PAAYmqgEOw_8_6"/>
      <w:bookmarkStart w:id="620" w:name="Tc_L2MbiPA0P0eKqDZrox-Ysw_8_0"/>
      <w:bookmarkStart w:id="621" w:name="Tc_OENQz4YKekC2YcbuYTt43w_7_0"/>
      <w:bookmarkStart w:id="622" w:name="Tc_65Vd_Yw61E29N6Gfm07xhQ_6_0"/>
      <w:bookmarkStart w:id="623" w:name="Tc_UvqFuAUJ7EKdo6IvHId4zw_5_5"/>
      <w:bookmarkStart w:id="624" w:name="Tc_KIuwiVdHDEaO24NlUyd3xA_5_2"/>
      <w:bookmarkStart w:id="625" w:name="Tc_fY_JZX5wjUiR0eIyrRMd8w_5_0"/>
      <w:bookmarkStart w:id="626" w:name="Tc__dDr0vraaECwmHuUGlXGjA_4_0"/>
      <w:bookmarkStart w:id="627" w:name="Tc_Y1Vt_zs-dEODdz6DOG5DTQ_3_5"/>
      <w:bookmarkStart w:id="628" w:name="Tc_ejYDTGhzSUKSFfoeFGTdnw_3_2"/>
      <w:bookmarkStart w:id="629" w:name="Tc_BbfZkdXJd0qdlFa1A5XE6Q_2_2"/>
      <w:bookmarkStart w:id="630" w:name="Tc_E11xjLMw-kCN2DUqrNX-WA_1_2"/>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r>
        <w:rPr>
          <w:rFonts w:ascii="Times New Roman;Times;serif" w:hAnsi="Times New Roman;Times;serif"/>
          <w:sz w:val="20"/>
        </w:rPr>
        <w:t>The effects of temporary differences that give rise to significant portions of the deferred tax assets as of December 31, 2025 and 2024 are as follows:</w:t>
      </w:r>
    </w:p>
    <w:p>
      <w:pPr>
        <w:pStyle w:val="TextBody"/>
        <w:bidi w:val="0"/>
        <w:spacing w:before="0" w:after="240"/>
        <w:ind w:left="0" w:right="0" w:hanging="0"/>
        <w:jc w:val="both"/>
        <w:rPr/>
      </w:pPr>
      <w:r>
        <w:rPr/>
        <w:t>​</w:t>
      </w:r>
    </w:p>
    <w:tbl>
      <w:tblPr>
        <w:tblW w:w="6667" w:type="dxa"/>
        <w:jc w:val="left"/>
        <w:tblInd w:w="0" w:type="dxa"/>
        <w:tblLayout w:type="fixed"/>
        <w:tblCellMar>
          <w:top w:w="0" w:type="dxa"/>
          <w:left w:w="0" w:type="dxa"/>
          <w:bottom w:w="0" w:type="dxa"/>
          <w:right w:w="0" w:type="dxa"/>
        </w:tblCellMar>
      </w:tblPr>
      <w:tblGrid>
        <w:gridCol w:w="3196"/>
        <w:gridCol w:w="346"/>
        <w:gridCol w:w="211"/>
        <w:gridCol w:w="1156"/>
        <w:gridCol w:w="346"/>
        <w:gridCol w:w="211"/>
        <w:gridCol w:w="1201"/>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29460" cy="175260"/>
                      <wp:effectExtent l="0" t="0" r="0" b="0"/>
                      <wp:wrapNone/>
                      <wp:docPr id="180" name="Frame171"/>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34060" cy="175260"/>
                      <wp:effectExtent l="0" t="0" r="0" b="0"/>
                      <wp:wrapNone/>
                      <wp:docPr id="183" name="Frame17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62635" cy="175260"/>
                      <wp:effectExtent l="0" t="0" r="0" b="0"/>
                      <wp:wrapNone/>
                      <wp:docPr id="186" name="Frame17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Years Ended </w: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center"/>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 Carryforward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40,896,185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30,724,771</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1,548,803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1,670,477</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R&amp;E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7,868,640</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Reserves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Accruals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pPr>
            <w:r>
              <w:rPr/>
              <w:t>—</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811,961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733,328</w:t>
            </w:r>
          </w:p>
        </w:tc>
      </w:tr>
      <w:tr>
        <w:trPr/>
        <w:tc>
          <w:tcPr>
            <w:tcW w:w="31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43,325,798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40,997,216</w:t>
            </w:r>
          </w:p>
        </w:tc>
      </w:tr>
      <w:tr>
        <w:trPr/>
        <w:tc>
          <w:tcPr>
            <w:tcW w:w="31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(43,325,798)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(40,997,216)</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31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31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1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Deferred Tax Assets/(Liabilities)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2025 and 2024. </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has approximately $186.8 million of federal and $38.6 million of state Net Operating Losses (“NOL”s) that may be available to offset future taxable income, if any. The federal net operating loss carryforwards of $38.4 million, if not utilized, will expire between 2030 and 2037. The federal net operating loss carryforwards of $148.4 million generated in 2018 and thereafter are subject to an 80% limitation on taxable income, do not expire and will carry forward indefinitely. The state net operating loss carryforwards of $21.9 million, if not utilized, will begin to expire in 2035. The state net operating loss carryforwards of $16.7 million generated in 2018 and thereafter are subject to an 80% limitation on taxable income, do not expire and will carry forward indefinitely.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federal and state research and development tax credit carryforwards of $0.7 million and $0.1 million, respectively, available to offset future federal income taxes. The research and development tax credit carryforwards begin to expire in 2030.</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July 4, 2025, the One Big Beautiful Bill Act (“OBBBA”) was signed into law. Key corporate tax provisions include the restoration of 100% bonus depreciation, immediate expensing for domestic research and experimental expenditures, changes to Section 163(j) interest limitations, updates to Global Intangible Low-Taxed Income and Foreign-Derived Intangible Income rules, amendments to energy credits, and expanded Section 162(m) aggregation requirements. In accordance with Accounting Standards Codification 740, Income Taxes (“ASC 740”), the effects of the new tax law were recognized in the period of enactment. Due to the Company’s valuation allowance position, the provisions of the OBBBA did not have an impact on the Company’s income tax provision.</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Company’s income tax returns for 2022 to 2024 are still open and subject to audit. In addition, net operating losses arising from prior years are also subject to examination at the time they are utilized in future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631" w:name="Tc_4oiI9u9z50yf4BoielJFaA_10_5"/>
      <w:bookmarkStart w:id="632" w:name="Tc_n92RcAfHy0uAMnhzQD8c3Q_10_2"/>
      <w:bookmarkStart w:id="633" w:name="Tc_2E-YV3bfxEanubipdPKVfA_10_0"/>
      <w:bookmarkStart w:id="634" w:name="Tc_SI3jVIyhVE6utwBZLfgZLA_9_0"/>
      <w:bookmarkStart w:id="635" w:name="Tc_uF9vzxOeRkiU2jda-hwcRQ_8_0"/>
      <w:bookmarkStart w:id="636" w:name="Tc_8p_YDI2Ab0SYpyzdZGpvCw_7_6"/>
      <w:bookmarkStart w:id="637" w:name="Tc_SZqveP0RlEO0Yztms3WRZw_7_5"/>
      <w:bookmarkStart w:id="638" w:name="Tc_RC50-I8pFkakPKIYrpGnaw_7_3"/>
      <w:bookmarkStart w:id="639" w:name="Tc_jdiKTGKRkk6Y5tyztla0Iw_7_2"/>
      <w:bookmarkStart w:id="640" w:name="Tc_sn8N2k8PUUqfg6ZPJ4zNKQ_7_0"/>
      <w:bookmarkStart w:id="641" w:name="Tc_rl8xP2nFRkGVpdafN_jrJg_6_0"/>
      <w:bookmarkStart w:id="642" w:name="Tc_DIJzjMPFfUeCIkWPOxb0yQ_5_5"/>
      <w:bookmarkStart w:id="643" w:name="Tc_jZC6VoLS7km6XTbPQbOjgA_5_2"/>
      <w:bookmarkStart w:id="644" w:name="Tc_13c6OrBoJky9i5IzMh8gVA_4_5"/>
      <w:bookmarkStart w:id="645" w:name="Tc__yUXaGUIWESXFQW2ddDtuQ_4_2"/>
      <w:bookmarkStart w:id="646" w:name="Tc_k9B9nBrwy0uZfd-ot_rttQ_3_5"/>
      <w:bookmarkStart w:id="647" w:name="Tc_S2m67AG1oEWCbyyQ2Vx9_A_3_2"/>
      <w:bookmarkStart w:id="648" w:name="Tc_DtiFxqAgCkaL2HOmcRnZsA_2_2"/>
      <w:bookmarkStart w:id="649" w:name="Tc_zQ0pd92EBU-xOi0dwtl2SA_1_2"/>
      <w:bookmarkStart w:id="650" w:name="Tc_yEKoLa2bSku_b2F9JVYX7w_11_11"/>
      <w:bookmarkStart w:id="651" w:name="Tc_lHwUjYs6nU6WHBml8FFTtA_11_7"/>
      <w:bookmarkStart w:id="652" w:name="Tc_Jsh_n54eEEOzu__CLssPPg_11_6"/>
      <w:bookmarkStart w:id="653" w:name="Tc_0OsFuN6hO0uoqdJRAJ-f7w_11_2"/>
      <w:bookmarkStart w:id="654" w:name="Tc_rPlPJqBCCkexhKeAhScNsA_11_0"/>
      <w:bookmarkStart w:id="655" w:name="Tc_4KIQ08x5SU20M6W9D3U-iw_10_11"/>
      <w:bookmarkStart w:id="656" w:name="Tc_MjvMXRAWakGkbV-NfMYMCg_10_6"/>
      <w:bookmarkStart w:id="657" w:name="Tc_c_88XX3UUkW01IDneVQA5w_10_0"/>
      <w:bookmarkStart w:id="658" w:name="Tc_R_HeWghMhUK7uilzu2OigA_9_0"/>
      <w:bookmarkStart w:id="659" w:name="Tc_CCdywKfdu0qUU89EJjNDDw_8_11"/>
      <w:bookmarkStart w:id="660" w:name="Tc_YJ08xZBYO0WcP8lmRP9ozA_8_6"/>
      <w:bookmarkStart w:id="661" w:name="Tc_0UlTTAgWJkyO6oI1UJ4mjQ_8_0"/>
      <w:bookmarkStart w:id="662" w:name="Tc_B04nbDoTpk-2jjXJwXvwWA_7_11"/>
      <w:bookmarkStart w:id="663" w:name="Tc_GH-ZtzA6206HBRBRjxTS3A_7_6"/>
      <w:bookmarkStart w:id="664" w:name="Tc_FmJPZ6QNoUuEMd0P_Fanig_7_0"/>
      <w:bookmarkStart w:id="665" w:name="Tc_pl4hDe-gaEqLFyzOwsXNPw_6_11"/>
      <w:bookmarkStart w:id="666" w:name="Tc_S0XChSvv8UGd85AOcxyeVw_6_6"/>
      <w:bookmarkStart w:id="667" w:name="Tc_095V363qwUufspI54aQ6mg_6_0"/>
      <w:bookmarkStart w:id="668" w:name="Tc_QY-gUHEfak-0e5UqNe2u8A_5_11"/>
      <w:bookmarkStart w:id="669" w:name="Tc_bsCqcEl3S0mcCb7-gFPwIQ_5_7"/>
      <w:bookmarkStart w:id="670" w:name="Tc_hcELOIYhLkmyi_kiKmjpYQ_5_6"/>
      <w:bookmarkStart w:id="671" w:name="Tc_eH8jCZLYsku96-FfDCZ67w_5_2"/>
      <w:bookmarkStart w:id="672" w:name="Tc_wXAa3AG0M0uG4TLoX5WUQw_5_0"/>
      <w:bookmarkStart w:id="673" w:name="Tc_wzHayc1gxUux54QQT0z29Q_4_10"/>
      <w:bookmarkStart w:id="674" w:name="Tc_y3sJZ84RiEe5zAX36IuFAA_4_7"/>
      <w:bookmarkStart w:id="675" w:name="Tc_I_M88b4hJkKxKmoifHEeAg_4_5"/>
      <w:bookmarkStart w:id="676" w:name="Tc_v8MaWMXwTkGRPuR1UFyZ1g_4_2"/>
      <w:bookmarkStart w:id="677" w:name="Tc_b-YkCjfPRk6H5x5sFqn40g_3_10"/>
      <w:bookmarkStart w:id="678" w:name="Tc_kSs1TfAk9UerfwHWjeC3xQ_3_5"/>
      <w:bookmarkStart w:id="679" w:name="Tc_tKdC4I-epEOTe7njfeljWQ_2_7"/>
      <w:bookmarkStart w:id="680" w:name="Tc_BzuQDIy3NU-hKNE9Ni0uBw_2_2"/>
      <w:bookmarkStart w:id="681" w:name="Tc_wblpzNmgf0asgGdZ2FF20A_1_2"/>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Pr>
          <w:rFonts w:ascii="Times New Roman;Times;serif" w:hAnsi="Times New Roman;Times;serif"/>
          <w:sz w:val="20"/>
        </w:rPr>
        <w:t>For the years ended December 31, 2025, and 2024, the expected tax (benefit) expense based on the U. S. federal statutory rate is reconciled with the actual tax provision (benefit) as follows:</w:t>
      </w:r>
    </w:p>
    <w:p>
      <w:pPr>
        <w:pStyle w:val="TextBody"/>
        <w:bidi w:val="0"/>
        <w:spacing w:before="0" w:after="240"/>
        <w:ind w:left="0" w:right="0" w:hanging="0"/>
        <w:jc w:val="both"/>
        <w:rPr/>
      </w:pPr>
      <w:r>
        <w:rPr/>
        <w:t>​</w:t>
      </w:r>
    </w:p>
    <w:tbl>
      <w:tblPr>
        <w:tblW w:w="9237" w:type="dxa"/>
        <w:jc w:val="left"/>
        <w:tblInd w:w="0" w:type="dxa"/>
        <w:tblLayout w:type="fixed"/>
        <w:tblCellMar>
          <w:top w:w="0" w:type="dxa"/>
          <w:left w:w="0" w:type="dxa"/>
          <w:bottom w:w="0" w:type="dxa"/>
          <w:right w:w="0" w:type="dxa"/>
        </w:tblCellMar>
      </w:tblPr>
      <w:tblGrid>
        <w:gridCol w:w="2986"/>
        <w:gridCol w:w="346"/>
        <w:gridCol w:w="211"/>
        <w:gridCol w:w="1051"/>
        <w:gridCol w:w="346"/>
        <w:gridCol w:w="961"/>
        <w:gridCol w:w="361"/>
        <w:gridCol w:w="211"/>
        <w:gridCol w:w="1051"/>
        <w:gridCol w:w="346"/>
        <w:gridCol w:w="961"/>
        <w:gridCol w:w="40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896110" cy="175260"/>
                      <wp:effectExtent l="0" t="0" r="0" b="0"/>
                      <wp:wrapNone/>
                      <wp:docPr id="187" name="Frame178"/>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67385" cy="175260"/>
                      <wp:effectExtent l="0" t="0" r="0" b="0"/>
                      <wp:wrapNone/>
                      <wp:docPr id="190" name="Frame18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10235" cy="175260"/>
                      <wp:effectExtent l="0" t="0" r="0" b="0"/>
                      <wp:wrapNone/>
                      <wp:docPr id="192" name="Frame183"/>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29235" cy="175260"/>
                      <wp:effectExtent l="0" t="0" r="0" b="0"/>
                      <wp:wrapNone/>
                      <wp:docPr id="193" name="Frame1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67385" cy="175260"/>
                      <wp:effectExtent l="0" t="0" r="0" b="0"/>
                      <wp:wrapNone/>
                      <wp:docPr id="195" name="Frame18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10235" cy="175260"/>
                      <wp:effectExtent l="0" t="0" r="0" b="0"/>
                      <wp:wrapNone/>
                      <wp:docPr id="197" name="Frame18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57810" cy="175260"/>
                      <wp:effectExtent l="0" t="0" r="0" b="0"/>
                      <wp:wrapNone/>
                      <wp:docPr id="198" name="Frame18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49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 December 31, </w:t>
            </w:r>
          </w:p>
        </w:tc>
        <w:tc>
          <w:tcPr>
            <w:tcW w:w="406" w:type="dxa"/>
            <w:tcBorders/>
            <w:vAlign w:val="center"/>
          </w:tcPr>
          <w:p>
            <w:pPr>
              <w:pStyle w:val="TableContents"/>
              <w:bidi w:val="0"/>
              <w:spacing w:before="0" w:after="1"/>
              <w:ind w:left="0" w:right="0" w:hanging="0"/>
              <w:jc w:val="left"/>
              <w:rPr/>
            </w:pPr>
            <w:r>
              <w:rPr/>
              <w:t> </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w:t>
            </w:r>
          </w:p>
        </w:tc>
        <w:tc>
          <w:tcPr>
            <w:tcW w:w="25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6" w:type="dxa"/>
            <w:tcBorders/>
            <w:vAlign w:val="center"/>
          </w:tcPr>
          <w:p>
            <w:pPr>
              <w:pStyle w:val="TableContents"/>
              <w:bidi w:val="0"/>
              <w:spacing w:before="0" w:after="1"/>
              <w:ind w:left="0" w:right="0" w:hanging="0"/>
              <w:jc w:val="left"/>
              <w:rPr/>
            </w:pPr>
            <w:r>
              <w:rPr/>
              <w:t> </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Percent of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Percent of </w:t>
            </w:r>
          </w:p>
        </w:tc>
        <w:tc>
          <w:tcPr>
            <w:tcW w:w="406" w:type="dxa"/>
            <w:tcBorders/>
            <w:vAlign w:val="center"/>
          </w:tcPr>
          <w:p>
            <w:pPr>
              <w:pStyle w:val="TableContents"/>
              <w:bidi w:val="0"/>
              <w:spacing w:before="0" w:after="1"/>
              <w:ind w:left="0" w:right="0" w:hanging="0"/>
              <w:jc w:val="left"/>
              <w:rPr/>
            </w:pPr>
            <w:r>
              <w:rPr/>
              <w:t>​</w:t>
            </w:r>
          </w:p>
        </w:tc>
      </w:tr>
      <w:tr>
        <w:trPr/>
        <w:tc>
          <w:tcPr>
            <w:tcW w:w="29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 Loss</w:t>
            </w:r>
          </w:p>
        </w:tc>
        <w:tc>
          <w:tcPr>
            <w:tcW w:w="361"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 Loss</w:t>
            </w:r>
          </w:p>
        </w:tc>
        <w:tc>
          <w:tcPr>
            <w:tcW w:w="406" w:type="dxa"/>
            <w:tcBorders/>
            <w:vAlign w:val="center"/>
          </w:tcPr>
          <w:p>
            <w:pPr>
              <w:pStyle w:val="TableContents"/>
              <w:bidi w:val="0"/>
              <w:spacing w:before="0" w:after="1"/>
              <w:ind w:left="0" w:right="0" w:hanging="0"/>
              <w:jc w:val="left"/>
              <w:rPr/>
            </w:pPr>
            <w:r>
              <w:rPr/>
              <w:t>​</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federal statutory rate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(2,557,543)</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(2,243,086)</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taxes, net of federal benefit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(15,156)</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49,953</w:t>
            </w:r>
          </w:p>
        </w:tc>
        <w:tc>
          <w:tcPr>
            <w:tcW w:w="34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2,336,604</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1,271,570</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(11.90)</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Nontaxable or nondeductible items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90,207</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27,712</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(0.30)</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SBC cancellations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130,732</w:t>
            </w:r>
          </w:p>
        </w:tc>
        <w:tc>
          <w:tcPr>
            <w:tcW w:w="34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943,804</w:t>
            </w:r>
          </w:p>
        </w:tc>
        <w:tc>
          <w:tcPr>
            <w:tcW w:w="346" w:type="dxa"/>
            <w:tcBorders/>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(15,156)</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49,953</w:t>
            </w:r>
          </w:p>
        </w:tc>
        <w:tc>
          <w:tcPr>
            <w:tcW w:w="346" w:type="dxa"/>
            <w:tcBorders/>
            <w:shd w:fill="CCEEFF" w:val="clear"/>
            <w:vAlign w:val="center"/>
          </w:tcPr>
          <w:p>
            <w:pPr>
              <w:pStyle w:val="TableContents"/>
              <w:bidi w:val="0"/>
              <w:spacing w:before="0" w:after="1"/>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c>
          <w:tcPr>
            <w:tcW w:w="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recognized approximately $15,156 in state tax benefit for the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ASU 2023-09, Income Taxes (Topic 740): Improvements to Income Tax Disclosures, the Company updated the presentation of its effective tax rate reconciliation to reflect the standardized categories required by the new guidance. The effective tax rate reconciliation for the year ended December 31, 2024 has been recast for comparative purposes to conform to the current-year presentation. The recast was solely for presentation purposes and did not result in any changes to the Company’s previously reported income tax expense, effective tax rate, or other financial statement amounts.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2025, and 2024, there were no unrecognized tax benefits. The Company recognizes accrued interest and penalties as income tax expense. No amounts were accrued for the payment of interest and penalties at December 31, 2025 and 2024. The Company is currently not aware of any issues under review that could result in significant payments, accruals or material deviation from its position in the next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a summary of income tax payments made and income tax refunds received during the year ended December 31, 2025, and 2024 as follows:</w:t>
      </w:r>
    </w:p>
    <w:p>
      <w:pPr>
        <w:pStyle w:val="TextBody"/>
        <w:bidi w:val="0"/>
        <w:spacing w:before="0" w:after="0"/>
        <w:ind w:left="0" w:right="0" w:hanging="0"/>
        <w:jc w:val="left"/>
        <w:rPr/>
      </w:pPr>
      <w:r>
        <w:rPr/>
        <w:t>​</w:t>
      </w:r>
    </w:p>
    <w:tbl>
      <w:tblPr>
        <w:tblW w:w="5748" w:type="dxa"/>
        <w:jc w:val="left"/>
        <w:tblInd w:w="0" w:type="dxa"/>
        <w:tblLayout w:type="fixed"/>
        <w:tblCellMar>
          <w:top w:w="0" w:type="dxa"/>
          <w:left w:w="0" w:type="dxa"/>
          <w:bottom w:w="0" w:type="dxa"/>
          <w:right w:w="0" w:type="dxa"/>
        </w:tblCellMar>
      </w:tblPr>
      <w:tblGrid>
        <w:gridCol w:w="2131"/>
        <w:gridCol w:w="346"/>
        <w:gridCol w:w="361"/>
        <w:gridCol w:w="1079"/>
        <w:gridCol w:w="346"/>
        <w:gridCol w:w="333"/>
        <w:gridCol w:w="1152"/>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53185" cy="175260"/>
                      <wp:effectExtent l="0" t="0" r="0" b="0"/>
                      <wp:wrapNone/>
                      <wp:docPr id="199" name="Frame190"/>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29235" cy="175260"/>
                      <wp:effectExtent l="0" t="0" r="0" b="0"/>
                      <wp:wrapNone/>
                      <wp:docPr id="201" name="Frame19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85165" cy="175260"/>
                      <wp:effectExtent l="0" t="0" r="0" b="0"/>
                      <wp:wrapNone/>
                      <wp:docPr id="202" name="Frame193"/>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1455" cy="175260"/>
                      <wp:effectExtent l="0" t="0" r="0" b="0"/>
                      <wp:wrapNone/>
                      <wp:docPr id="204" name="Frame195"/>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31520" cy="175260"/>
                      <wp:effectExtent l="0" t="0" r="0" b="0"/>
                      <wp:wrapNone/>
                      <wp:docPr id="205" name="Frame196"/>
                      <a:graphic xmlns:a="http://schemas.openxmlformats.org/drawingml/2006/main">
                        <a:graphicData uri="http://schemas.microsoft.com/office/word/2010/wordprocessingShape">
                          <wps:wsp>
                            <wps:cNvSpPr txBox="1"/>
                            <wps:spPr>
                              <a:xfrm>
                                <a:off x="0" y="0"/>
                                <a:ext cx="731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271"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Years Ended</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27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4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 (Refund)</w:t>
            </w:r>
          </w:p>
        </w:tc>
        <w:tc>
          <w:tcPr>
            <w:tcW w:w="346" w:type="dxa"/>
            <w:tcBorders/>
            <w:vAlign w:val="center"/>
          </w:tcPr>
          <w:p>
            <w:pPr>
              <w:pStyle w:val="TableContents"/>
              <w:bidi w:val="0"/>
              <w:spacing w:before="0" w:after="1"/>
              <w:ind w:left="0" w:right="0" w:hanging="0"/>
              <w:jc w:val="center"/>
              <w:rPr/>
            </w:pPr>
            <w:r>
              <w:rPr/>
              <w:t>​</w:t>
            </w:r>
          </w:p>
        </w:tc>
        <w:tc>
          <w:tcPr>
            <w:tcW w:w="14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Payment (Refund)</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4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14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Jurisdiction</w:t>
            </w:r>
          </w:p>
        </w:tc>
        <w:tc>
          <w:tcPr>
            <w:tcW w:w="346"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333" w:type="dxa"/>
            <w:tcBorders/>
            <w:shd w:fill="CCEEFF" w:val="clear"/>
            <w:vAlign w:val="center"/>
          </w:tcPr>
          <w:p>
            <w:pPr>
              <w:pStyle w:val="TableContents"/>
              <w:bidi w:val="0"/>
              <w:spacing w:before="0" w:after="1"/>
              <w:ind w:left="0" w:right="0" w:hanging="0"/>
              <w:jc w:val="left"/>
              <w:rPr/>
            </w:pPr>
            <w:r>
              <w:rPr/>
              <w:t>  ​</w:t>
            </w:r>
          </w:p>
        </w:tc>
        <w:tc>
          <w:tcPr>
            <w:tcW w:w="1152" w:type="dxa"/>
            <w:tcBorders/>
            <w:shd w:fill="CCEEFF" w:val="clear"/>
            <w:vAlign w:val="center"/>
          </w:tcPr>
          <w:p>
            <w:pPr>
              <w:pStyle w:val="TableContents"/>
              <w:bidi w:val="0"/>
              <w:spacing w:before="0" w:after="1"/>
              <w:ind w:left="0" w:right="0" w:hanging="0"/>
              <w:jc w:val="center"/>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vAlign w:val="center"/>
          </w:tcPr>
          <w:p>
            <w:pPr>
              <w:pStyle w:val="TableContents"/>
              <w:bidi w:val="0"/>
              <w:spacing w:before="0" w:after="1"/>
              <w:ind w:left="0" w:right="0" w:hanging="0"/>
              <w:jc w:val="righ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Texas</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37,000</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shd w:fill="CCEEFF" w:val="clear"/>
            <w:vAlign w:val="center"/>
          </w:tcPr>
          <w:p>
            <w:pPr>
              <w:pStyle w:val="TableContents"/>
              <w:bidi w:val="0"/>
              <w:spacing w:before="0" w:after="1"/>
              <w:ind w:left="0" w:right="0" w:hanging="0"/>
              <w:jc w:val="left"/>
              <w:rPr/>
            </w:pPr>
            <w:r>
              <w:rPr/>
              <w:t> </w:t>
            </w:r>
          </w:p>
        </w:tc>
        <w:tc>
          <w:tcPr>
            <w:tcW w:w="11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64,000</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US States</w:t>
            </w:r>
          </w:p>
        </w:tc>
        <w:tc>
          <w:tcPr>
            <w:tcW w:w="346" w:type="dxa"/>
            <w:tcBorders/>
            <w:vAlign w:val="center"/>
          </w:tcPr>
          <w:p>
            <w:pPr>
              <w:pStyle w:val="TableContents"/>
              <w:bidi w:val="0"/>
              <w:spacing w:before="0"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1"/>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8,150</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Income Taxes Paid</w:t>
            </w:r>
          </w:p>
        </w:tc>
        <w:tc>
          <w:tcPr>
            <w:tcW w:w="346" w:type="dxa"/>
            <w:tcBorders/>
            <w:shd w:fill="CCEEFF" w:val="clear"/>
            <w:vAlign w:val="center"/>
          </w:tcPr>
          <w:p>
            <w:pPr>
              <w:pStyle w:val="TableContents"/>
              <w:bidi w:val="0"/>
              <w:spacing w:before="0" w:after="1"/>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42,000</w:t>
            </w:r>
          </w:p>
        </w:tc>
        <w:tc>
          <w:tcPr>
            <w:tcW w:w="346" w:type="dxa"/>
            <w:tcBorders/>
            <w:shd w:fill="CCEEFF" w:val="clear"/>
            <w:vAlign w:val="center"/>
          </w:tcPr>
          <w:p>
            <w:pPr>
              <w:pStyle w:val="TableContents"/>
              <w:bidi w:val="0"/>
              <w:spacing w:before="0" w:after="1"/>
              <w:ind w:left="0" w:right="0" w:hanging="0"/>
              <w:jc w:val="left"/>
              <w:rPr/>
            </w:pPr>
            <w:r>
              <w:rPr/>
              <w:t>​</w:t>
            </w:r>
          </w:p>
        </w:tc>
        <w:tc>
          <w:tcPr>
            <w:tcW w:w="3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72,150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160"/>
        <w:ind w:left="0" w:right="0" w:hanging="0"/>
        <w:jc w:val="both"/>
        <w:rPr>
          <w:rFonts w:ascii="Times New Roman;Times;serif" w:hAnsi="Times New Roman;Times;serif"/>
          <w:b/>
          <w:sz w:val="20"/>
        </w:rPr>
      </w:pPr>
      <w:bookmarkStart w:id="682" w:name="endoffinancial"/>
      <w:bookmarkEnd w:id="682"/>
      <w:r>
        <w:rPr>
          <w:rFonts w:ascii="Times New Roman;Times;serif" w:hAnsi="Times New Roman;Times;serif"/>
          <w:b/>
          <w:sz w:val="20"/>
        </w:rPr>
        <w:t>NOTE 13:    SUBSEQUENT EVENTS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evaluated subsequent events and transactions that occurred up to the date these consolidated financial statements were issued. Based upon this review, the Company did not identify any subsequent events that would have required adjustment to or disclosure in the unaudited condensed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72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240"/>
        <w:ind w:left="0" w:right="0" w:hanging="0"/>
        <w:jc w:val="right"/>
        <w:rPr>
          <w:rFonts w:ascii="Times New Roman;Times;serif" w:hAnsi="Times New Roman;Times;serif"/>
          <w:b/>
          <w:sz w:val="20"/>
        </w:rPr>
      </w:pPr>
      <w:bookmarkStart w:id="683" w:name="mrkr-20251231xex14d1.htm"/>
      <w:bookmarkStart w:id="684" w:name="ksmrkr20251231xex14d1"/>
      <w:bookmarkEnd w:id="683"/>
      <w:bookmarkEnd w:id="684"/>
      <w:r>
        <w:rPr>
          <w:rFonts w:ascii="Times New Roman;Times;serif" w:hAnsi="Times New Roman;Times;serif"/>
          <w:b/>
          <w:sz w:val="20"/>
        </w:rPr>
        <w:t>Exhibit 14.1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Marker Therapeutics,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Code of Ethics and Business 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w:t>
      </w:r>
      <w:r>
        <w:rPr>
          <w:rFonts w:ascii="Times New Roman;Times;serif" w:hAnsi="Times New Roman;Times;serif"/>
          <w:sz w:val="20"/>
          <w:u w:val="single"/>
        </w:rPr>
        <w:t>Introduction</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1.1  The Board of Directors of Marker Therapeutics, Inc. (together with its subsidiaries, the “</w:t>
      </w:r>
      <w:r>
        <w:rPr>
          <w:rFonts w:ascii="Times New Roman;Times;serif" w:hAnsi="Times New Roman;Times;serif"/>
          <w:b/>
          <w:sz w:val="20"/>
        </w:rPr>
        <w:t>Company</w:t>
      </w:r>
      <w:r>
        <w:rPr>
          <w:rFonts w:ascii="Times New Roman;Times;serif" w:hAnsi="Times New Roman;Times;serif"/>
          <w:sz w:val="20"/>
        </w:rPr>
        <w:t>”) has adopted this Code of Ethics and Business Conduct (the “</w:t>
      </w:r>
      <w:r>
        <w:rPr>
          <w:rFonts w:ascii="Times New Roman;Times;serif" w:hAnsi="Times New Roman;Times;serif"/>
          <w:b/>
          <w:sz w:val="20"/>
        </w:rPr>
        <w:t>Code</w:t>
      </w:r>
      <w:r>
        <w:rPr>
          <w:rFonts w:ascii="Times New Roman;Times;serif" w:hAnsi="Times New Roman;Times;serif"/>
          <w:sz w:val="20"/>
        </w:rPr>
        <w:t>”) in order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promote honest and ethical conduct, including the ethical handling of actual or apparent conflicts of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promote full, fair, accurate, timely and understandable disclosure in reports and documents that the Company files with, or submits to, the Securities and Exchange Commission (the “</w:t>
      </w:r>
      <w:r>
        <w:rPr>
          <w:rFonts w:ascii="Times New Roman;Times;serif" w:hAnsi="Times New Roman;Times;serif"/>
          <w:b/>
          <w:sz w:val="20"/>
        </w:rPr>
        <w:t>SEC</w:t>
      </w:r>
      <w:r>
        <w:rPr>
          <w:rFonts w:ascii="Times New Roman;Times;serif" w:hAnsi="Times New Roman;Times;serif"/>
          <w:sz w:val="20"/>
        </w:rPr>
        <w:t>”) and in other public communications made by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promote compliance with applicable governmental laws, rules and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promote the protection of Company assets, including corporate opportunities and confidential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promote fair dealing practices;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deter wrongdoing;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ensure accountability for adherence to the Code.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1.2  All directors, officers and employees, are required to be familiar with the Code, comply with its provisions and report any suspected violations as described below in </w:t>
      </w:r>
      <w:r>
        <w:rPr>
          <w:rFonts w:ascii="Times New Roman;Times;serif" w:hAnsi="Times New Roman;Times;serif"/>
          <w:b/>
          <w:sz w:val="20"/>
        </w:rPr>
        <w:t>Section 10</w:t>
      </w:r>
      <w:r>
        <w:rPr>
          <w:rFonts w:ascii="Times New Roman;Times;serif" w:hAnsi="Times New Roman;Times;serif"/>
          <w:sz w:val="20"/>
        </w:rPr>
        <w:t>., Reporting and Enforcement. This Code should also be provided to and followed by the Company’s other agents and representatives, including consultants.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w:t>
      </w:r>
      <w:r>
        <w:rPr>
          <w:rFonts w:ascii="Times New Roman;Times;serif" w:hAnsi="Times New Roman;Times;serif"/>
          <w:sz w:val="20"/>
          <w:u w:val="single"/>
        </w:rPr>
        <w:t>Honest and Ethical Conduct</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2.1  The Company’s policy is to promote high standards of integrity by conducting its affairs honestly and ethically.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2.2  Each director, officer and employee must act with integrity and observe the highest ethical standards of business conduct in his or her dealings with the Company’s customers, suppliers, partners, service providers, competitors, employees and anyone else with whom he or she has contact in the course of performing his or her job.</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w:t>
      </w:r>
      <w:r>
        <w:rPr>
          <w:rFonts w:ascii="Times New Roman;Times;serif" w:hAnsi="Times New Roman;Times;serif"/>
          <w:sz w:val="20"/>
          <w:u w:val="single"/>
        </w:rPr>
        <w:t>Conflicts of Interest</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3.1  A conflict of interest occurs when an individual’s private interest (or the interest of a member of his or her family) interferes, or even appears to interfere, with the interests of the Company as a whole. A conflict of interest can arise when an employee, officer or director (or a member of his or her family) takes actions or has interests that may make it difficult to perform his or her work for the Company objectively and effectively. Conflicts of interest also arise when an employee, officer or director (or a member of his or her family) receives improper personal benefits as a result of his or her position in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3.2  Loans by the Company to, or guarantees by the Company of obligations of, employees or their family members are of special concern and could constitute improper personal benefits to the recipients of such loans or guarantees, depending on the facts and circumstances. Loans by the Company to, or guarantees by the Company of obligations of, any director or executive officer or their family members are expressly prohibited.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3.3  Whether or not a conflict of interest exists or will exist can be unclear. Conflicts of interest should be avoided unless specifically authorized as described in </w:t>
      </w:r>
      <w:r>
        <w:rPr>
          <w:rFonts w:ascii="Times New Roman;Times;serif" w:hAnsi="Times New Roman;Times;serif"/>
          <w:b/>
          <w:sz w:val="20"/>
        </w:rPr>
        <w:t>Section 3.4</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3.4  Persons other than directors and executive officers who have questions about a potential conflict of interest or who become aware of an actual or potential conflict should discuss the matter with, and seek a determination and prior authorization or approval from, their supervisor or the Chief Executive Officer. A supervisor may not authorize or approve conflict of interest matters or make determinations as to whether a problematic conflict of interest exists without first providing the Chief Executive Officer with a written description of the activity and seeking the Chief Executive Officer’s written approval. If the Chief Executive Officer is himself involved in the potential or actual conflict, the matter should instead be discussed directly with the Chairman of the Audit Committee.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Directors and executive officers must seek determinations and prior authorizations or approvals of potential conflicts of interest exclusively from the Audit Committee.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4. </w:t>
      </w:r>
      <w:r>
        <w:rPr>
          <w:rFonts w:ascii="Times New Roman;Times;serif" w:hAnsi="Times New Roman;Times;serif"/>
          <w:sz w:val="20"/>
          <w:u w:val="single"/>
        </w:rPr>
        <w:t>Compliance</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4.1  Employees, officers and directors should comply, both in letter and spirit, with all applicable laws, rules and regulations in the cities, states and countries in which the Company operates.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4.2  Although not all employees, officers or directors are expected to know the details of all applicable laws, rules and regulations, it is important to know enough to determine when to seek advice from appropriate personnel. Questions about compliance should be addressed to the Chief Executive Officer.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4.3  No director, officer or employee may purchase or sell any Company securities while in possession of material non-public information regarding the Company, nor may any director, officer or employee purchase or sell another company’s securities while in possession of material non-public information regarding that company. It is against Company policies and illegal for any director, officer or employee to use material non-public information regarding the Company or any other company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obtain profit for himself or herself;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directly or indirectly “tip” others who might make an investment decision on the basis of that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5. </w:t>
      </w:r>
      <w:r>
        <w:rPr>
          <w:rFonts w:ascii="Times New Roman;Times;serif" w:hAnsi="Times New Roman;Times;serif"/>
          <w:sz w:val="20"/>
          <w:u w:val="single"/>
        </w:rPr>
        <w:t>Disclosure</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5.1  The Company’s periodic reports and other documents filed with the SEC, including all financial statements and other financial information, must comply with applicable federal securities laws and SEC rules.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5.2  Each director, officer and employee who contributes in any way to the preparation or verification of the Company’s financial statements and other financial information must ensure that the Company’s books, records and accounts are accurately maintained. Each director, officer and employee must cooperate fully with the Company’s accounting and internal audit departments, as well as the Company’s independent public accountants and counsel.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5.3  Each director, officer and employee who is involved in the Company’s disclosure process must: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be familiar with and comply with the Company’s disclosure controls and procedures and its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take all necessary steps to ensure that all filings with the SEC and all other public communications about the financial and business condition of the Company provide full, fair, accurate, timely and understandable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6. </w:t>
      </w:r>
      <w:r>
        <w:rPr>
          <w:rFonts w:ascii="Times New Roman;Times;serif" w:hAnsi="Times New Roman;Times;serif"/>
          <w:sz w:val="20"/>
          <w:u w:val="single"/>
        </w:rPr>
        <w:t>Protection and Proper Use of Company Assets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6.1  All directors, officers and employees should protect the Company’s assets and ensure their efficient use. Theft, carelessness and waste have a direct impact on the Company’s profitability and are prohibited.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6.2  All Company assets should be used only for legitimate business purposes. Any suspected incident of fraud or theft should be reported for investigation immediately.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firstLine="288"/>
        <w:jc w:val="both"/>
        <w:rPr>
          <w:rFonts w:ascii="Times New Roman;Times;serif" w:hAnsi="Times New Roman;Times;serif"/>
          <w:sz w:val="20"/>
        </w:rPr>
      </w:pPr>
      <w:r>
        <w:rPr>
          <w:rFonts w:ascii="Times New Roman;Times;serif" w:hAnsi="Times New Roman;Times;serif"/>
          <w:sz w:val="20"/>
        </w:rPr>
        <w:t>6.3  The obligation to protect Company assets includes the Company’s proprietary information. Proprietary information includes intellectual property such as trade secrets, patents, trademarks, and copyrights, as well as business and marketing plans, engineering and manufacturing ideas, designs, databases, records and any non-public financial data or reports. Unauthorized use or distribution of this information is prohibited and could also be illegal and result in civil or criminal penalties.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7. </w:t>
      </w:r>
      <w:r>
        <w:rPr>
          <w:rFonts w:ascii="Times New Roman;Times;serif" w:hAnsi="Times New Roman;Times;serif"/>
          <w:sz w:val="20"/>
          <w:u w:val="single"/>
        </w:rPr>
        <w:t>Corporate Opportunities</w:t>
      </w:r>
      <w:r>
        <w:rPr>
          <w:rFonts w:ascii="Times New Roman;Times;serif" w:hAnsi="Times New Roman;Times;serif"/>
          <w:sz w:val="20"/>
        </w:rPr>
        <w:t>. All directors, officers and employees owe a duty to the Company to advance its interests when the opportunity arises. Directors, officers and employees are prohibited from taking for themselves personally (or for the benefit of friends or family members) opportunities that are discovered through the use of Company assets, property, information or position. Directors, officers and employees may not use Company assets, property, information or position for personal gain (including gain of friends or family members). In addition, no director, officer or employee may compete with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8. </w:t>
      </w:r>
      <w:r>
        <w:rPr>
          <w:rFonts w:ascii="Times New Roman;Times;serif" w:hAnsi="Times New Roman;Times;serif"/>
          <w:sz w:val="20"/>
          <w:u w:val="single"/>
        </w:rPr>
        <w:t>Confidentiality</w:t>
      </w:r>
      <w:r>
        <w:rPr>
          <w:rFonts w:ascii="Times New Roman;Times;serif" w:hAnsi="Times New Roman;Times;serif"/>
          <w:sz w:val="20"/>
        </w:rPr>
        <w:t>. Directors, officers and employees should maintain the confidentiality of information entrusted to them by the Company or by its customers, suppliers or partners, except when disclosure is expressly authorized or is required or permitted by law. Confidential information includes all non-public information (regardless of its source) that might be of use to the Company’s competitors or harmful to the Company or its customers, suppliers or partners if disclosed.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9. </w:t>
      </w:r>
      <w:r>
        <w:rPr>
          <w:rFonts w:ascii="Times New Roman;Times;serif" w:hAnsi="Times New Roman;Times;serif"/>
          <w:sz w:val="20"/>
          <w:u w:val="single"/>
        </w:rPr>
        <w:t>Fair Dealing</w:t>
      </w:r>
      <w:r>
        <w:rPr>
          <w:rFonts w:ascii="Times New Roman;Times;serif" w:hAnsi="Times New Roman;Times;serif"/>
          <w:sz w:val="20"/>
        </w:rPr>
        <w:t>. Each director, officer and employee must deal fairly with the Company’s customers, suppliers, partners, service providers, competitors, employees and anyone else with whom he or she has contact in the course of performing his or her job. No director, officer or employee may take unfair advantage of anyone through manipulation, concealment, abuse or privileged information, misrepresentation of facts or any other unfair dealing practice.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10. </w:t>
      </w:r>
      <w:r>
        <w:rPr>
          <w:rFonts w:ascii="Times New Roman;Times;serif" w:hAnsi="Times New Roman;Times;serif"/>
          <w:sz w:val="20"/>
          <w:u w:val="single"/>
        </w:rPr>
        <w:t>Reporting and Enforcement</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10.1  Reporting and Investigation of Violations.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Actions prohibited by this code involving directors or executive officers must be reported to the Audit Committee.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Actions prohibited by this code involving anyone other than a director or executive officer must be reported to person’s supervisor or the Chief Executive Officer.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After receiving a report of an alleged prohibited action, Chief Executive Officer (or the Audit Committee if the Chief Executive Officer is involved in the conflict) must promptly take all appropriate actions necessary to investigate.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All directors, officers and employees are expected to cooperate in any internal investigation of misconduct.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10.2 Enforcement.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Company must ensure prompt and consistent action against violations of this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If, after investigating a report of an alleged prohibited action by a director or executive officer, the Audit Committee determines that a violation of this Code has occurred, the Audit Committee will report such determination to the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If, after investigating a report of an alleged prohibited action by any other person, the relevant supervisor or the Chief Executive Officer determines that a violation of this Code has occurred, the supervisor or the Chief Executive Officer will report such determination to the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Upon receipt of a determination that there has been a violation of this Code, the Board of Directors will take such preventative or disciplinary action as it deems appropriate, including, but not limited to, reassignment, demotion, dismissal and, in the event of criminal conduct or other serious violations of the law, notification of appropriate governmental authorities.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10.3 Waivers.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of the Chief Executive Officer or Audit Committee (in the case of a violation by a director or executive officer) may, in its discretion, waive any violation of this Code.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waiver for a director or an executive officer shall be disclosed as required by the applicable rules of the SEC and any exchange on which the Company’s stock is listed.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10.4 Prohibition on Retaliation.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does not tolerate acts of retaliation against any director, officer or employee who makes a good faith report of known or suspected acts of misconduct or other violations of this Code.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ACKNOWLEDGMENT OF RECEIPT AND REVIEW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 be signed and returned to the Chief Executive Officer.]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                                                                          , acknowledge that I have received and read a copy of the Marker Therapeutics, Inc. Code of Ethics and Business Conduct. I understand the contents of the Code and I agree to comply with the policies and procedures set out in the Code.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 understand that I should approach the Chief Executive Officer if I have any questions about the Code generally or any questions about reporting a suspected conflict of interest or other violation of the Code.</w:t>
      </w:r>
    </w:p>
    <w:tbl>
      <w:tblPr>
        <w:tblW w:w="1820" w:type="dxa"/>
        <w:jc w:val="left"/>
        <w:tblInd w:w="0" w:type="dxa"/>
        <w:tblLayout w:type="fixed"/>
        <w:tblCellMar>
          <w:top w:w="0" w:type="dxa"/>
          <w:left w:w="0" w:type="dxa"/>
          <w:bottom w:w="0" w:type="dxa"/>
          <w:right w:w="0" w:type="dxa"/>
        </w:tblCellMar>
      </w:tblPr>
      <w:tblGrid>
        <w:gridCol w:w="124"/>
        <w:gridCol w:w="1696"/>
      </w:tblGrid>
      <w:tr>
        <w:trPr/>
        <w:tc>
          <w:tcPr>
            <w:tcW w:w="124"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r>
      <w:tr>
        <w:trPr/>
        <w:tc>
          <w:tcPr>
            <w:tcW w:w="124"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[PRINTED NAME]</w:t>
            </w:r>
          </w:p>
        </w:tc>
      </w:tr>
      <w:tr>
        <w:trPr/>
        <w:tc>
          <w:tcPr>
            <w:tcW w:w="124"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685" w:name="mrkr-20251231xex21d1.htm"/>
      <w:bookmarkStart w:id="686" w:name="ksmrkr20251231xex21d1"/>
      <w:bookmarkEnd w:id="685"/>
      <w:bookmarkEnd w:id="686"/>
      <w:r>
        <w:rPr>
          <w:rFonts w:ascii="Times New Roman;Times;serif" w:hAnsi="Times New Roman;Times;serif"/>
          <w:b/>
          <w:sz w:val="20"/>
        </w:rPr>
        <w:t>Exhibit 21.1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Marker Cell Therapy,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GeneMax Pharmaceuticals,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GeneMax Pharmaceuticals Canada, Inc.</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687" w:name="mrkr-20251231xex23d1.htm"/>
      <w:bookmarkStart w:id="688" w:name="ksmrkr20251231xex23d1"/>
      <w:bookmarkEnd w:id="687"/>
      <w:bookmarkEnd w:id="688"/>
      <w:r>
        <w:rPr>
          <w:rFonts w:ascii="Times New Roman;Times;serif" w:hAnsi="Times New Roman;Times;serif"/>
          <w:b/>
          <w:sz w:val="20"/>
        </w:rPr>
        <w:t>Exhibit 23.1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Statements on Form S-3 (File No. 333-228059, No. 333-283512, and No. 333-284233) and on Form S-8 (No. 333-239136 and No. 333-266797) of our report dated March 31, 2025, with respect to the consolidated financial statements of Marker Therapeutics, Inc. as of December 31, 2024 and for the year then ended included in this Annual Report on Form 10-K for the year ended December 31,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 MARCUM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TX</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18, 2026</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689" w:name="mrkr-20251231xex23d2.htm"/>
      <w:bookmarkStart w:id="690" w:name="ksmrkr20251231xex23d2"/>
      <w:bookmarkEnd w:id="689"/>
      <w:bookmarkEnd w:id="690"/>
      <w:r>
        <w:rPr>
          <w:rFonts w:ascii="Times New Roman;Times;serif" w:hAnsi="Times New Roman;Times;serif"/>
          <w:b/>
          <w:sz w:val="20"/>
        </w:rPr>
        <w:t>Exhibit 23.2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consent to the incorporation by reference in the Registration Statements on Form S-3 (File No. 333-228059, No. 333-283512, and No. 333-284233) and on Form S-8 (No. 333-239136 and No. 333-266797) of our report dated March 18, 2026, with respect to the consolidated financial statements of Marker Therapeutics, Inc. as of December 31, 2025 and for the year then ended included in this Annual Report on Form 10-K for the year ended December 31, 2025.</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 CBIZ CPAs P.C.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Houston, TX</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18, 2026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691" w:name="mrkr-20251231xex31d1.htm"/>
      <w:bookmarkStart w:id="692" w:name="ksmrkr20251231xex31d1"/>
      <w:bookmarkEnd w:id="691"/>
      <w:bookmarkEnd w:id="692"/>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 SECTION 302 OF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Juan Vera,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10-K of Marker Therapeutics,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Date: March 18, 2026</w:t>
      </w:r>
    </w:p>
    <w:p>
      <w:pPr>
        <w:pStyle w:val="TextBody"/>
        <w:bidi w:val="0"/>
        <w:spacing w:before="0" w:after="0"/>
        <w:ind w:left="0" w:right="0" w:hanging="0"/>
        <w:jc w:val="left"/>
        <w:rPr/>
      </w:pPr>
      <w:r>
        <w:rPr/>
        <w:t>​</w:t>
      </w:r>
    </w:p>
    <w:tbl>
      <w:tblPr>
        <w:tblW w:w="4731" w:type="dxa"/>
        <w:jc w:val="center"/>
        <w:tblInd w:w="0" w:type="dxa"/>
        <w:tblLayout w:type="fixed"/>
        <w:tblCellMar>
          <w:top w:w="0" w:type="dxa"/>
          <w:left w:w="0" w:type="dxa"/>
          <w:bottom w:w="28" w:type="dxa"/>
          <w:right w:w="0" w:type="dxa"/>
        </w:tblCellMar>
      </w:tblPr>
      <w:tblGrid>
        <w:gridCol w:w="571"/>
        <w:gridCol w:w="4006"/>
        <w:gridCol w:w="154"/>
      </w:tblGrid>
      <w:tr>
        <w:trPr/>
        <w:tc>
          <w:tcPr>
            <w:tcW w:w="4577"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Juan Vera</w:t>
            </w:r>
          </w:p>
        </w:tc>
        <w:tc>
          <w:tcPr>
            <w:tcW w:w="154"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5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0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Juan Vera</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0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Treasurer</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71" w:type="dxa"/>
            <w:tcBorders/>
            <w:tcMar>
              <w:bottom w:w="0" w:type="dxa"/>
            </w:tcMar>
            <w:vAlign w:val="center"/>
          </w:tcPr>
          <w:p>
            <w:pPr>
              <w:pStyle w:val="TableContents"/>
              <w:bidi w:val="0"/>
              <w:spacing w:before="0" w:after="0"/>
              <w:ind w:left="0" w:right="0" w:hanging="0"/>
              <w:jc w:val="left"/>
              <w:rPr/>
            </w:pPr>
            <w:r>
              <w:rPr/>
              <w:t>​</w:t>
            </w:r>
          </w:p>
        </w:tc>
        <w:tc>
          <w:tcPr>
            <w:tcW w:w="40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693" w:name="mrkr-20251231xex31d2.htm"/>
      <w:bookmarkStart w:id="694" w:name="ksmrkr20251231xex31d2"/>
      <w:bookmarkEnd w:id="693"/>
      <w:bookmarkEnd w:id="694"/>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 SECTION 302 OF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Juan Vera,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10-K of Marker Therapeutics,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18, 2026</w:t>
      </w:r>
    </w:p>
    <w:p>
      <w:pPr>
        <w:pStyle w:val="TextBody"/>
        <w:bidi w:val="0"/>
        <w:spacing w:before="0" w:after="0"/>
        <w:ind w:left="0" w:right="0" w:hanging="0"/>
        <w:jc w:val="left"/>
        <w:rPr/>
      </w:pPr>
      <w:r>
        <w:rPr/>
        <w:t>​</w:t>
      </w:r>
    </w:p>
    <w:tbl>
      <w:tblPr>
        <w:tblW w:w="4731" w:type="dxa"/>
        <w:jc w:val="left"/>
        <w:tblInd w:w="0" w:type="dxa"/>
        <w:tblLayout w:type="fixed"/>
        <w:tblCellMar>
          <w:top w:w="0" w:type="dxa"/>
          <w:left w:w="0" w:type="dxa"/>
          <w:bottom w:w="28" w:type="dxa"/>
          <w:right w:w="0" w:type="dxa"/>
        </w:tblCellMar>
      </w:tblPr>
      <w:tblGrid>
        <w:gridCol w:w="571"/>
        <w:gridCol w:w="4006"/>
        <w:gridCol w:w="154"/>
      </w:tblGrid>
      <w:tr>
        <w:trPr/>
        <w:tc>
          <w:tcPr>
            <w:tcW w:w="4577"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Juan Vera</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7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0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Juan Vera</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7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0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 Treasurer</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71" w:type="dxa"/>
            <w:tcBorders/>
            <w:tcMar>
              <w:bottom w:w="0" w:type="dxa"/>
            </w:tcMar>
            <w:vAlign w:val="center"/>
          </w:tcPr>
          <w:p>
            <w:pPr>
              <w:pStyle w:val="TableContents"/>
              <w:bidi w:val="0"/>
              <w:spacing w:before="0" w:after="0"/>
              <w:ind w:left="0" w:right="0" w:hanging="0"/>
              <w:jc w:val="left"/>
              <w:rPr/>
            </w:pPr>
            <w:r>
              <w:rPr/>
              <w:t>​</w:t>
            </w:r>
          </w:p>
        </w:tc>
        <w:tc>
          <w:tcPr>
            <w:tcW w:w="40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695" w:name="mrkr-20251231xex32d1.htm"/>
      <w:bookmarkStart w:id="696" w:name="ksmrkr20251231xex32d1"/>
      <w:bookmarkEnd w:id="695"/>
      <w:bookmarkEnd w:id="696"/>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18 U.S.C. Section 1350,</w:t>
        <w:br/>
        <w:t>AS ADOPTED PURSUANT TO</w:t>
        <w:b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Marker Therapeutics, Inc. (the “Company”) on Form 10-K for the period ended December 31, 2025 as filed with the Securities and Exchange Commission on the date hereof (the “Report”), I, Juan Vera, Principal Executive Officer of the Company, certify, pursuant to 18 U.S.C. Section 1350, as adopted pursuant to Section 906 of the Sarbanes-Oxley Act of 2002, that:</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this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18, 2026</w:t>
      </w:r>
    </w:p>
    <w:p>
      <w:pPr>
        <w:pStyle w:val="TextBody"/>
        <w:bidi w:val="0"/>
        <w:spacing w:before="0" w:after="0"/>
        <w:ind w:left="0" w:right="0" w:hanging="0"/>
        <w:jc w:val="left"/>
        <w:rPr/>
      </w:pPr>
      <w:r>
        <w:rPr/>
        <w:t>​</w:t>
      </w:r>
    </w:p>
    <w:tbl>
      <w:tblPr>
        <w:tblW w:w="2195" w:type="dxa"/>
        <w:jc w:val="left"/>
        <w:tblInd w:w="0" w:type="dxa"/>
        <w:tblLayout w:type="fixed"/>
        <w:tblCellMar>
          <w:top w:w="0" w:type="dxa"/>
          <w:left w:w="0" w:type="dxa"/>
          <w:bottom w:w="28" w:type="dxa"/>
          <w:right w:w="0" w:type="dxa"/>
        </w:tblCellMar>
      </w:tblPr>
      <w:tblGrid>
        <w:gridCol w:w="2041"/>
        <w:gridCol w:w="154"/>
      </w:tblGrid>
      <w:tr>
        <w:trPr/>
        <w:tc>
          <w:tcPr>
            <w:tcW w:w="204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Juan Vera</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041"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Juan Vera</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041"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697" w:name="mrkr-20251231xex32d2.htm"/>
      <w:bookmarkStart w:id="698" w:name="ksmrkr20251231xex32d2"/>
      <w:bookmarkEnd w:id="697"/>
      <w:bookmarkEnd w:id="698"/>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18 U.S.C. Section 1350,</w:t>
        <w:br/>
        <w:t>AS ADOPTED PURSUANT TO</w:t>
        <w:b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Marker Therapeutics, Inc. (the “Company”) on Form 10-K for the period ended December 31, 2025 as filed with the Securities and Exchange Commission on the date hereof (the “Report”), I, Juan Vera, Principal Financial Officer of the Company, certify, pursuant to 18 U.S.C. Section 1350, as adopted pursuant to Section 906 of the Sarbanes-Oxley Act of 2002, that:</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9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this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18, 2026</w:t>
      </w:r>
    </w:p>
    <w:p>
      <w:pPr>
        <w:pStyle w:val="TextBody"/>
        <w:bidi w:val="0"/>
        <w:spacing w:before="0" w:after="0"/>
        <w:ind w:left="0" w:right="0" w:hanging="0"/>
        <w:jc w:val="left"/>
        <w:rPr/>
      </w:pPr>
      <w:r>
        <w:rPr/>
        <w:t>​</w:t>
      </w:r>
    </w:p>
    <w:tbl>
      <w:tblPr>
        <w:tblW w:w="2420" w:type="dxa"/>
        <w:jc w:val="left"/>
        <w:tblInd w:w="0" w:type="dxa"/>
        <w:tblLayout w:type="fixed"/>
        <w:tblCellMar>
          <w:top w:w="0" w:type="dxa"/>
          <w:left w:w="0" w:type="dxa"/>
          <w:bottom w:w="28" w:type="dxa"/>
          <w:right w:w="0" w:type="dxa"/>
        </w:tblCellMar>
      </w:tblPr>
      <w:tblGrid>
        <w:gridCol w:w="2266"/>
        <w:gridCol w:w="154"/>
      </w:tblGrid>
      <w:tr>
        <w:trPr/>
        <w:tc>
          <w:tcPr>
            <w:tcW w:w="226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Juan Vera</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26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Juan Vera</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226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1094038/000114420418054209/tv504951_ex3-4.htm" TargetMode="External"/><Relationship Id="rId12" Type="http://schemas.openxmlformats.org/officeDocument/2006/relationships/hyperlink" Target="https://www.sec.gov/Archives/edgar/data/1094038/000119312522162322/d480537dex31.htm" TargetMode="External"/><Relationship Id="rId13" Type="http://schemas.openxmlformats.org/officeDocument/2006/relationships/hyperlink" Target="https://www.sec.gov/Archives/edgar/data/1094038/000110465923007019/tm234466d1_ex3-1.htm" TargetMode="External"/><Relationship Id="rId14" Type="http://schemas.openxmlformats.org/officeDocument/2006/relationships/hyperlink" Target="https://www.sec.gov/Archives/edgar/data/1094038/000114420418054209/tv504951_ex3-6.htm" TargetMode="External"/><Relationship Id="rId15" Type="http://schemas.openxmlformats.org/officeDocument/2006/relationships/hyperlink" Target="https://www.sec.gov/Archives/edgar/data/1094038/000141057824000297/mrkr-20231231xex4d0.htm" TargetMode="External"/><Relationship Id="rId16" Type="http://schemas.openxmlformats.org/officeDocument/2006/relationships/hyperlink" Target="https://www.sec.gov/Archives/edgar/data/1094038/000141057824000297/mrkr-20231231xex4d1.htm" TargetMode="External"/><Relationship Id="rId17" Type="http://schemas.openxmlformats.org/officeDocument/2006/relationships/hyperlink" Target="https://www.sec.gov/Archives/edgar/data/1094038/000110465924131322/tm2431905d1_ex4-1.htm" TargetMode="External"/><Relationship Id="rId18" Type="http://schemas.openxmlformats.org/officeDocument/2006/relationships/hyperlink" Target="https://www.sec.gov/Archives/edgar/data/1094038/000110465924131322/tm2431905d1_ex4-2.htm" TargetMode="External"/><Relationship Id="rId19" Type="http://schemas.openxmlformats.org/officeDocument/2006/relationships/hyperlink" Target="https://www.sec.gov/Archives/edgar/data/1094038/000114420419014350/tv514406_ex10-21.htm" TargetMode="External"/><Relationship Id="rId20" Type="http://schemas.openxmlformats.org/officeDocument/2006/relationships/hyperlink" Target="https://www.sec.gov/Archives/edgar/data/1094038/000114420419014350/tv514406_ex10-22.htm" TargetMode="External"/><Relationship Id="rId21" Type="http://schemas.openxmlformats.org/officeDocument/2006/relationships/hyperlink" Target="https://www.sec.gov/Archives/edgar/data/1094038/000114420419014350/tv514406_ex10-39.htm" TargetMode="External"/><Relationship Id="rId22" Type="http://schemas.openxmlformats.org/officeDocument/2006/relationships/hyperlink" Target="https://www.sec.gov/Archives/edgar/data/1094038/000110465920072918/tm2022347d1_ex99-1.htm" TargetMode="External"/><Relationship Id="rId23" Type="http://schemas.openxmlformats.org/officeDocument/2006/relationships/hyperlink" Target="https://www.sec.gov/Archives/edgar/data/1094038/000110465922089426/tm2223091d1_ex4-4.htm" TargetMode="External"/><Relationship Id="rId24" Type="http://schemas.openxmlformats.org/officeDocument/2006/relationships/hyperlink" Target="https://www.sec.gov/Archives/edgar/data/1094038/000110465920123055/mrkr-20200930xex10d1.htm" TargetMode="External"/><Relationship Id="rId25" Type="http://schemas.openxmlformats.org/officeDocument/2006/relationships/hyperlink" Target="https://www.sec.gov/Archives/edgar/data/1094038/000110465924130002/tm2431560d1_ex10-1.htm" TargetMode="External"/><Relationship Id="rId26" Type="http://schemas.openxmlformats.org/officeDocument/2006/relationships/hyperlink" Target="https://www.sec.gov/Archives/edgar/data/1094038/000110465924131322/tm2431905d1_ex10-2.htm" TargetMode="External"/><Relationship Id="rId27" Type="http://schemas.openxmlformats.org/officeDocument/2006/relationships/hyperlink" Target="https://www.sec.gov/Archives/edgar/data/1094038/000110465924123679/tm2429546d2_ex1-1.htm" TargetMode="External"/><Relationship Id="rId28" Type="http://schemas.openxmlformats.org/officeDocument/2006/relationships/hyperlink" Target="https://www.sec.gov/Archives/edgar/data/1094038/000110465925076834/tm2421372d1_ex16-1.htm" TargetMode="External"/><Relationship Id="rId29" Type="http://schemas.openxmlformats.org/officeDocument/2006/relationships/hyperlink" Target="https://www.sec.gov/Archives/edgar/data/1094038/000141057825000549/mrkr-20241231xex19d1.htm" TargetMode="External"/><Relationship Id="rId30" Type="http://schemas.openxmlformats.org/officeDocument/2006/relationships/hyperlink" Target="https://www.sec.gov/Archives/edgar/data/1094038/000141057824000297/mrkr-20231231xex97.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71289</Words>
  <Characters>401270</Characters>
  <CharactersWithSpaces>473272</CharactersWithSpaces>
  <Paragraphs>5524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