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Marker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57055L206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57055L206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Blue Owl Capital Holdings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1,127,052.00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1,127,052.00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1,127,052.00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901" w:orient="portrait"/>
          <w:cols w:equalWidth="0" w:num="2">
            <w:col w:w="1100" w:space="60"/>
            <w:col w:w="10000"/>
          </w:cols>
          <w:pgMar w:left="320" w:top="166" w:right="419" w:bottom="0" w:gutter="0" w:footer="0" w:header="0"/>
        </w:sectPr>
      </w:pPr>
    </w:p>
    <w:p>
      <w:pPr>
        <w:spacing w:after="0" w:line="7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The reported securities represent 554,250 shares of common stock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and 572,802 shares of Common Stock issuable upon exercise of Warrants (as defined below) to purchase shares of Common Stock from the Issuer. The percentage of class is calculated based upon 10,709,005 shares of Common Stock outstanding as of March 18, 2025, as reported on the Issuer's 10-K filed with the Securities and Exchange Commission on March 31, 2025, as increased by the 572,802 shares of Common Stock issuable upon exercise of the Warrants.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Marker Therapeutics,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2450 Holcombe Blvd, Suite BCM-A, MS: BCM251, Houston, Texas, 77021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Blue Owl Capital Holdings LP, referred to herein as the "Reporting Person."</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399 Park Avenue New York, NY 10022</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See response to Item 4 on the cover page.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57055L206</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ectPr>
          <w:pgSz w:w="11900" w:h="16901" w:orient="portrait"/>
          <w:cols w:equalWidth="0" w:num="1">
            <w:col w:w="11160"/>
          </w:cols>
          <w:pgMar w:left="320" w:top="166" w:right="419" w:bottom="0" w:gutter="0" w:footer="0" w:header="0"/>
          <w:type w:val="continuous"/>
        </w:sectPr>
      </w:pPr>
    </w:p>
    <w:bookmarkStart w:id="2" w:name="page3"/>
    <w:bookmarkEnd w:id="2"/>
    <w:p>
      <w:pPr>
        <w:ind w:left="130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4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380"/>
        <w:spacing w:after="0" w:line="253" w:lineRule="auto"/>
        <w:rPr>
          <w:sz w:val="20"/>
          <w:szCs w:val="20"/>
          <w:color w:val="auto"/>
        </w:rPr>
      </w:pPr>
      <w:r>
        <w:rPr>
          <w:rFonts w:ascii="Times New Roman" w:cs="Times New Roman" w:eastAsia="Times New Roman" w:hAnsi="Times New Roman"/>
          <w:sz w:val="21"/>
          <w:szCs w:val="21"/>
          <w:color w:val="auto"/>
        </w:rPr>
        <w:t>See response to Item 9 on the cover page. At a special meeting on March 21, 2025, stockholders approved the issuance of shares of Common Stock upon exercise of warrants held by the Reporting Person, each exercisable to</w:t>
      </w:r>
    </w:p>
    <w:p>
      <w:pPr>
        <w:spacing w:after="0" w:line="1" w:lineRule="exact"/>
        <w:rPr>
          <w:sz w:val="20"/>
          <w:szCs w:val="20"/>
          <w:color w:val="auto"/>
        </w:rPr>
      </w:pPr>
    </w:p>
    <w:p>
      <w:pPr>
        <w:ind w:left="920" w:right="60" w:hanging="912"/>
        <w:spacing w:after="0" w:line="201" w:lineRule="auto"/>
        <w:tabs>
          <w:tab w:leader="none" w:pos="920" w:val="left"/>
        </w:tabs>
        <w:numPr>
          <w:ilvl w:val="0"/>
          <w:numId w:val="6"/>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receive one share of Common Stock (the "Warrants"). In this regard, the Reporting Person holds 554,250 shares of Common Stock and 2,570,750 Warrants, which are subject to a conversion limitation that prevents the Reporting Person's beneficial ownership from exceeding 9.99%. As such, the reported securities include only 572,802 shares of Common Stock acquirable upon exercise of Warrants. The filing of this Statement shall not be construed as an admission that the Reporting Person or any of the foregoing are, for the purpose of Section 13(d) or 13(g) of the Exchange Act, the beneficial owner of any securities covered by this Statement.</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See response to Item 11 on the cover page.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00"/>
          </w:cols>
          <w:pgMar w:left="360" w:top="126" w:right="4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480" w:firstLine="6"/>
        <w:spacing w:after="0" w:line="509" w:lineRule="auto"/>
        <w:tabs>
          <w:tab w:leader="none" w:pos="258"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vote or to direct the vote: See response to Item 5 on the cover page.</w:t>
      </w:r>
    </w:p>
    <w:p>
      <w:pPr>
        <w:spacing w:after="0" w:line="1" w:lineRule="exact"/>
        <w:rPr>
          <w:rFonts w:ascii="Times New Roman" w:cs="Times New Roman" w:eastAsia="Times New Roman" w:hAnsi="Times New Roman"/>
          <w:sz w:val="21"/>
          <w:szCs w:val="21"/>
          <w:color w:val="auto"/>
        </w:rPr>
      </w:pPr>
    </w:p>
    <w:p>
      <w:pPr>
        <w:ind w:right="6200" w:firstLine="6"/>
        <w:spacing w:after="0" w:line="509" w:lineRule="auto"/>
        <w:tabs>
          <w:tab w:leader="none" w:pos="318"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vote or to direct the vote: See response to Item 6 on the cover page.</w:t>
      </w:r>
    </w:p>
    <w:p>
      <w:pPr>
        <w:spacing w:after="0" w:line="1" w:lineRule="exact"/>
        <w:rPr>
          <w:rFonts w:ascii="Times New Roman" w:cs="Times New Roman" w:eastAsia="Times New Roman" w:hAnsi="Times New Roman"/>
          <w:sz w:val="21"/>
          <w:szCs w:val="21"/>
          <w:color w:val="auto"/>
        </w:rPr>
      </w:pPr>
    </w:p>
    <w:p>
      <w:pPr>
        <w:ind w:right="528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response to Item 7 on the cover page.</w:t>
      </w:r>
    </w:p>
    <w:p>
      <w:pPr>
        <w:spacing w:after="0" w:line="1" w:lineRule="exact"/>
        <w:rPr>
          <w:rFonts w:ascii="Times New Roman" w:cs="Times New Roman" w:eastAsia="Times New Roman" w:hAnsi="Times New Roman"/>
          <w:sz w:val="22"/>
          <w:szCs w:val="22"/>
          <w:color w:val="auto"/>
        </w:rPr>
      </w:pPr>
    </w:p>
    <w:p>
      <w:pPr>
        <w:ind w:right="5080" w:firstLine="6"/>
        <w:spacing w:after="0" w:line="486" w:lineRule="auto"/>
        <w:tabs>
          <w:tab w:leader="none" w:pos="36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response to Item 8 on the cover page.</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180"/>
          </w:cols>
          <w:pgMar w:left="360" w:top="126" w:right="43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line="261"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w:t>
      </w:r>
    </w:p>
    <w:p>
      <w:pPr>
        <w:sectPr>
          <w:pgSz w:w="11900" w:h="16838" w:orient="portrait"/>
          <w:cols w:equalWidth="0" w:num="1">
            <w:col w:w="11100"/>
          </w:cols>
          <w:pgMar w:left="360" w:top="126" w:right="439" w:bottom="0" w:gutter="0" w:footer="0" w:header="0"/>
          <w:type w:val="continuous"/>
        </w:sectPr>
      </w:pPr>
    </w:p>
    <w:bookmarkStart w:id="3" w:name="page4"/>
    <w:bookmarkEnd w:id="3"/>
    <w:p>
      <w:pPr>
        <w:ind w:left="720" w:right="500"/>
        <w:spacing w:after="0" w:line="259" w:lineRule="auto"/>
        <w:rPr>
          <w:sz w:val="20"/>
          <w:szCs w:val="20"/>
          <w:color w:val="auto"/>
        </w:rPr>
      </w:pPr>
      <w:r>
        <w:rPr>
          <w:rFonts w:ascii="Times New Roman" w:cs="Times New Roman" w:eastAsia="Times New Roman" w:hAnsi="Times New Roman"/>
          <w:sz w:val="22"/>
          <w:szCs w:val="22"/>
          <w:color w:val="auto"/>
        </w:rPr>
        <w:t>connection with or as a participant in any transaction having that purpose or effect, other than activities solely in connection with a nomination under ?? 240.14a-11.</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2"/>
          <w:szCs w:val="22"/>
          <w:color w:val="auto"/>
        </w:rPr>
        <w:t>Blue Owl Capital Holdings LP</w:t>
      </w:r>
    </w:p>
    <w:p>
      <w:pPr>
        <w:spacing w:after="0" w:line="152" w:lineRule="exact"/>
        <w:rPr>
          <w:sz w:val="20"/>
          <w:szCs w:val="20"/>
          <w:color w:val="auto"/>
        </w:rPr>
      </w:pPr>
    </w:p>
    <w:p>
      <w:pPr>
        <w:ind w:left="4600"/>
        <w:spacing w:after="0"/>
        <w:tabs>
          <w:tab w:leader="none" w:pos="5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Karen Hager</w:t>
      </w:r>
    </w:p>
    <w:p>
      <w:pPr>
        <w:spacing w:after="0" w:line="4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Name/Title: Karen Hager / Chief Compliance Officer</w:t>
      </w:r>
    </w:p>
    <w:p>
      <w:pPr>
        <w:spacing w:after="0" w:line="44" w:lineRule="exact"/>
        <w:rPr>
          <w:sz w:val="20"/>
          <w:szCs w:val="20"/>
          <w:color w:val="auto"/>
        </w:rPr>
      </w:pPr>
    </w:p>
    <w:p>
      <w:pPr>
        <w:ind w:left="4600"/>
        <w:spacing w:after="0"/>
        <w:tabs>
          <w:tab w:leader="none" w:pos="56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4"/>
    </w:lvl>
  </w:abstractNum>
  <w:abstractNum w:abstractNumId="4">
    <w:nsid w:val="2EB141F2"/>
    <w:multiLevelType w:val="hybridMultilevel"/>
    <w:lvl w:ilvl="0">
      <w:lvlJc w:val="left"/>
      <w:lvlText w:val="(%1)"/>
      <w:numFmt w:val="lowerLetter"/>
      <w:start w:val="1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2025-05-15T15:24:08Z</dcterms:created>
  <dcterms:modified xsi:type="dcterms:W3CDTF">2025-05-15T15:24:08Z</dcterms:modified>
</cp:coreProperties>
</file>