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240" w:after="60"/>
        <w:rPr>
          <w:bdr w:val="single" w:sz="16" w:space="1" w:color="000000"/>
        </w:rPr>
      </w:pPr>
      <w:bookmarkStart w:id="0" w:name="tv527728_8k.htm"/>
      <w:bookmarkStart w:id="1" w:name="kstv527728_8k"/>
      <w:bookmarkEnd w:id="0"/>
      <w:bookmarkEnd w:id="1"/>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August 15, 2019</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3"/>
          <w:u w:val="single"/>
        </w:rPr>
      </w:pPr>
      <w:r>
        <w:rPr>
          <w:rFonts w:ascii="Times New Roman;Times;Serif" w:hAnsi="Times New Roman;Times;Serif"/>
          <w:b/>
          <w:i w:val="false"/>
          <w:caps w:val="false"/>
          <w:smallCaps w:val="false"/>
          <w:sz w:val="23"/>
          <w:u w:val="single"/>
        </w:rPr>
        <w:t>MARKER THERAPEUTICS,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7425" w:type="dxa"/>
        <w:jc w:val="left"/>
        <w:tblInd w:w="0" w:type="dxa"/>
        <w:tblCellMar>
          <w:top w:w="0" w:type="dxa"/>
          <w:left w:w="0" w:type="dxa"/>
          <w:bottom w:w="0" w:type="dxa"/>
          <w:right w:w="0" w:type="dxa"/>
        </w:tblCellMar>
      </w:tblPr>
      <w:tblGrid>
        <w:gridCol w:w="3095"/>
        <w:gridCol w:w="1910"/>
        <w:gridCol w:w="2420"/>
      </w:tblGrid>
      <w:tr>
        <w:trPr/>
        <w:tc>
          <w:tcPr>
            <w:tcW w:w="3095" w:type="dxa"/>
            <w:tcBorders/>
            <w:shd w:fill="auto" w:val="clear"/>
            <w:vAlign w:val="center"/>
          </w:tcPr>
          <w:p>
            <w:pPr>
              <w:pStyle w:val="TableContents"/>
              <w:spacing w:before="0" w:after="283"/>
              <w:jc w:val="center"/>
              <w:rPr>
                <w:rFonts w:ascii="Times New Roman;Times;Serif" w:hAnsi="Times New Roman;Times;Serif"/>
                <w:b/>
                <w:sz w:val="17"/>
                <w:u w:val="single"/>
              </w:rPr>
            </w:pPr>
            <w:r>
              <w:rPr>
                <w:rFonts w:ascii="Times New Roman;Times;Serif" w:hAnsi="Times New Roman;Times;Serif"/>
                <w:b/>
                <w:sz w:val="17"/>
                <w:u w:val="single"/>
              </w:rPr>
              <w:t>Delaware</w:t>
            </w:r>
          </w:p>
        </w:tc>
        <w:tc>
          <w:tcPr>
            <w:tcW w:w="1910" w:type="dxa"/>
            <w:tcBorders/>
            <w:shd w:fill="auto" w:val="clear"/>
            <w:vAlign w:val="center"/>
          </w:tcPr>
          <w:p>
            <w:pPr>
              <w:pStyle w:val="TableContents"/>
              <w:spacing w:before="0" w:after="283"/>
              <w:jc w:val="center"/>
              <w:rPr>
                <w:rFonts w:ascii="Times New Roman;Times;Serif" w:hAnsi="Times New Roman;Times;Serif"/>
                <w:b/>
                <w:sz w:val="17"/>
                <w:u w:val="single"/>
              </w:rPr>
            </w:pPr>
            <w:r>
              <w:rPr>
                <w:rFonts w:ascii="Times New Roman;Times;Serif" w:hAnsi="Times New Roman;Times;Serif"/>
                <w:b/>
                <w:sz w:val="17"/>
                <w:u w:val="single"/>
              </w:rPr>
              <w:t>001-37939</w:t>
            </w:r>
          </w:p>
        </w:tc>
        <w:tc>
          <w:tcPr>
            <w:tcW w:w="2420" w:type="dxa"/>
            <w:tcBorders/>
            <w:shd w:fill="auto" w:val="clear"/>
            <w:vAlign w:val="center"/>
          </w:tcPr>
          <w:p>
            <w:pPr>
              <w:pStyle w:val="TableContents"/>
              <w:spacing w:before="0" w:after="283"/>
              <w:jc w:val="center"/>
              <w:rPr>
                <w:rFonts w:ascii="Times New Roman;Times;Serif" w:hAnsi="Times New Roman;Times;Serif"/>
                <w:b/>
                <w:sz w:val="17"/>
                <w:u w:val="single"/>
              </w:rPr>
            </w:pPr>
            <w:r>
              <w:rPr>
                <w:rFonts w:ascii="Times New Roman;Times;Serif" w:hAnsi="Times New Roman;Times;Serif"/>
                <w:b/>
                <w:sz w:val="17"/>
                <w:u w:val="single"/>
              </w:rPr>
              <w:t>45-4497941</w:t>
            </w:r>
          </w:p>
        </w:tc>
      </w:tr>
      <w:tr>
        <w:trPr/>
        <w:tc>
          <w:tcPr>
            <w:tcW w:w="3095" w:type="dxa"/>
            <w:tcBorders/>
            <w:shd w:fill="auto" w:val="cle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(State or other jurisdiction of incorporation)</w:t>
            </w:r>
          </w:p>
        </w:tc>
        <w:tc>
          <w:tcPr>
            <w:tcW w:w="1910" w:type="dxa"/>
            <w:tcBorders/>
            <w:shd w:fill="auto" w:val="cle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(Commission File Number)</w:t>
            </w:r>
          </w:p>
        </w:tc>
        <w:tc>
          <w:tcPr>
            <w:tcW w:w="2420" w:type="dxa"/>
            <w:tcBorders/>
            <w:shd w:fill="auto" w:val="cle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(IRS Employer Identification No.)</w:t>
            </w:r>
          </w:p>
        </w:tc>
      </w:tr>
    </w:tbl>
    <w:p>
      <w:pPr>
        <w:pStyle w:val="TextBody"/>
        <w:spacing w:before="0" w:after="0"/>
        <w:ind w:left="0" w:right="0" w:hanging="0"/>
        <w:rPr>
          <w:caps w:val="false"/>
          <w:smallCaps w:val="false"/>
        </w:rPr>
      </w:pPr>
      <w:r>
        <w:rPr>
          <w:caps w:val="false"/>
          <w:smallCaps w:val="false"/>
        </w:rPr>
        <w:t> </w:t>
      </w:r>
    </w:p>
    <w:tbl>
      <w:tblPr>
        <w:tblW w:w="3640" w:type="dxa"/>
        <w:jc w:val="left"/>
        <w:tblInd w:w="0" w:type="dxa"/>
        <w:tblCellMar>
          <w:top w:w="0" w:type="dxa"/>
          <w:left w:w="0" w:type="dxa"/>
          <w:bottom w:w="0" w:type="dxa"/>
          <w:right w:w="0" w:type="dxa"/>
        </w:tblCellMar>
      </w:tblPr>
      <w:tblGrid>
        <w:gridCol w:w="2780"/>
        <w:gridCol w:w="60"/>
        <w:gridCol w:w="800"/>
      </w:tblGrid>
      <w:tr>
        <w:trPr/>
        <w:tc>
          <w:tcPr>
            <w:tcW w:w="2780"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3200 Southwest Freeway </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Suite 2240 </w:t>
            </w:r>
          </w:p>
          <w:p>
            <w:pPr>
              <w:pStyle w:val="TableContents"/>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Houston, Texas</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rFonts w:ascii="Times New Roman;Times;Serif" w:hAnsi="Times New Roman;Times;Serif"/>
                <w:b/>
                <w:sz w:val="17"/>
                <w:u w:val="single"/>
              </w:rPr>
            </w:pPr>
            <w:r>
              <w:rPr>
                <w:rFonts w:ascii="Times New Roman;Times;Serif" w:hAnsi="Times New Roman;Times;Serif"/>
                <w:b/>
                <w:sz w:val="17"/>
                <w:u w:val="single"/>
              </w:rPr>
              <w:t>77027</w:t>
            </w:r>
          </w:p>
        </w:tc>
      </w:tr>
      <w:tr>
        <w:trPr/>
        <w:tc>
          <w:tcPr>
            <w:tcW w:w="2780" w:type="dxa"/>
            <w:tcBorders/>
            <w:shd w:fill="auto" w:val="cle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(Address of principal executive offices)</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(Zip Code)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(713) 400-6400</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8110" w:type="dxa"/>
        <w:jc w:val="left"/>
        <w:tblInd w:w="0" w:type="dxa"/>
        <w:tblCellMar>
          <w:top w:w="0" w:type="dxa"/>
          <w:left w:w="0" w:type="dxa"/>
          <w:bottom w:w="0" w:type="dxa"/>
          <w:right w:w="0" w:type="dxa"/>
        </w:tblCellMar>
      </w:tblPr>
      <w:tblGrid>
        <w:gridCol w:w="245"/>
        <w:gridCol w:w="7865"/>
      </w:tblGrid>
      <w:tr>
        <w:trPr/>
        <w:tc>
          <w:tcPr>
            <w:tcW w:w="245" w:type="dxa"/>
            <w:tcBorders/>
            <w:shd w:fill="auto" w:val="clear"/>
            <w:vAlign w:val="center"/>
          </w:tcPr>
          <w:p>
            <w:pPr>
              <w:pStyle w:val="TableContents"/>
              <w:spacing w:before="0" w:after="283"/>
              <w:rPr/>
            </w:pPr>
            <w:r>
              <w:rPr/>
              <w:t>☐</w:t>
            </w:r>
          </w:p>
        </w:tc>
        <w:tc>
          <w:tcPr>
            <w:tcW w:w="7865"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Written communications pursuant to Rule 425 under the Securities Act (17 CFR 230.425)</w:t>
            </w:r>
          </w:p>
        </w:tc>
      </w:tr>
      <w:tr>
        <w:trPr/>
        <w:tc>
          <w:tcPr>
            <w:tcW w:w="245" w:type="dxa"/>
            <w:tcBorders/>
            <w:shd w:fill="auto" w:val="clear"/>
            <w:vAlign w:val="center"/>
          </w:tcPr>
          <w:p>
            <w:pPr>
              <w:pStyle w:val="TableContents"/>
              <w:spacing w:before="0" w:after="283"/>
              <w:rPr/>
            </w:pPr>
            <w:r>
              <w:rPr/>
              <w:t>☐</w:t>
            </w:r>
          </w:p>
        </w:tc>
        <w:tc>
          <w:tcPr>
            <w:tcW w:w="7865"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Soliciting material pursuant to Rule 14a-12 under the Exchange Act (17 CFR 240.14a-12)</w:t>
            </w:r>
          </w:p>
        </w:tc>
      </w:tr>
      <w:tr>
        <w:trPr/>
        <w:tc>
          <w:tcPr>
            <w:tcW w:w="245" w:type="dxa"/>
            <w:tcBorders/>
            <w:shd w:fill="auto" w:val="clear"/>
            <w:vAlign w:val="center"/>
          </w:tcPr>
          <w:p>
            <w:pPr>
              <w:pStyle w:val="TableContents"/>
              <w:spacing w:before="0" w:after="283"/>
              <w:rPr/>
            </w:pPr>
            <w:r>
              <w:rPr/>
              <w:t>☐</w:t>
            </w:r>
          </w:p>
        </w:tc>
        <w:tc>
          <w:tcPr>
            <w:tcW w:w="7865"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Pre-commencement communications pursuant to Rule 14d-2(b) under the Exchange Act (17 CFR 240.14d-2(b))</w:t>
            </w:r>
          </w:p>
        </w:tc>
      </w:tr>
      <w:tr>
        <w:trPr/>
        <w:tc>
          <w:tcPr>
            <w:tcW w:w="245" w:type="dxa"/>
            <w:tcBorders/>
            <w:shd w:fill="auto" w:val="clear"/>
            <w:vAlign w:val="center"/>
          </w:tcPr>
          <w:p>
            <w:pPr>
              <w:pStyle w:val="TableContents"/>
              <w:spacing w:before="0" w:after="283"/>
              <w:rPr/>
            </w:pPr>
            <w:r>
              <w:rPr/>
              <w:t>☐</w:t>
            </w:r>
          </w:p>
        </w:tc>
        <w:tc>
          <w:tcPr>
            <w:tcW w:w="7865"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Pre-commencement communications pursuant to Rule 13e-4(c) under the Exchange Act (17 CFR 240.13e-4(c))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7830" w:type="dxa"/>
        <w:jc w:val="left"/>
        <w:tblInd w:w="0" w:type="dxa"/>
        <w:tblCellMar>
          <w:top w:w="0" w:type="dxa"/>
          <w:left w:w="0" w:type="dxa"/>
          <w:bottom w:w="28" w:type="dxa"/>
          <w:right w:w="0" w:type="dxa"/>
        </w:tblCellMar>
      </w:tblPr>
      <w:tblGrid>
        <w:gridCol w:w="3065"/>
        <w:gridCol w:w="60"/>
        <w:gridCol w:w="1535"/>
        <w:gridCol w:w="60"/>
        <w:gridCol w:w="3110"/>
      </w:tblGrid>
      <w:tr>
        <w:trPr/>
        <w:tc>
          <w:tcPr>
            <w:tcW w:w="30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Title of each class</w:t>
            </w:r>
          </w:p>
        </w:tc>
        <w:tc>
          <w:tcPr>
            <w:tcW w:w="60" w:type="dxa"/>
            <w:tcBorders>
              <w:bottom w:val="single" w:sz="8" w:space="0" w:color="000000"/>
            </w:tcBorders>
            <w:shd w:fill="auto" w:val="clear"/>
            <w:vAlign w:val="center"/>
          </w:tcPr>
          <w:p>
            <w:pPr>
              <w:pStyle w:val="TableContents"/>
              <w:spacing w:before="0" w:after="283"/>
              <w:jc w:val="center"/>
              <w:rPr/>
            </w:pPr>
            <w:r>
              <w:rPr/>
              <w:t> </w:t>
            </w:r>
          </w:p>
        </w:tc>
        <w:tc>
          <w:tcPr>
            <w:tcW w:w="1535"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bottom w:val="single" w:sz="8" w:space="0" w:color="000000"/>
            </w:tcBorders>
            <w:shd w:fill="auto" w:val="clear"/>
            <w:vAlign w:val="center"/>
          </w:tcPr>
          <w:p>
            <w:pPr>
              <w:pStyle w:val="TableContents"/>
              <w:spacing w:before="0" w:after="283"/>
              <w:jc w:val="center"/>
              <w:rPr/>
            </w:pPr>
            <w:r>
              <w:rPr/>
              <w:t> </w:t>
            </w:r>
          </w:p>
        </w:tc>
        <w:tc>
          <w:tcPr>
            <w:tcW w:w="31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Name of each exchange on which registered</w:t>
            </w:r>
          </w:p>
        </w:tc>
      </w:tr>
      <w:tr>
        <w:trPr/>
        <w:tc>
          <w:tcPr>
            <w:tcW w:w="3065" w:type="dxa"/>
            <w:tcBorders/>
            <w:shd w:fill="auto" w:val="clear"/>
            <w:tcMar>
              <w:bottom w:w="0" w:type="dxa"/>
            </w:tcM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Common Stock, par value $0.001 per share</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MRKR</w:t>
            </w:r>
          </w:p>
        </w:tc>
        <w:tc>
          <w:tcPr>
            <w:tcW w:w="60" w:type="dxa"/>
            <w:tcBorders/>
            <w:shd w:fill="auto" w:val="clear"/>
            <w:tcMar>
              <w:bottom w:w="0" w:type="dxa"/>
            </w:tcMar>
            <w:vAlign w:val="center"/>
          </w:tcPr>
          <w:p>
            <w:pPr>
              <w:pStyle w:val="TableContents"/>
              <w:spacing w:before="0" w:after="283"/>
              <w:jc w:val="center"/>
              <w:rPr/>
            </w:pPr>
            <w:r>
              <w:rPr/>
              <w:t> </w:t>
            </w:r>
          </w:p>
        </w:tc>
        <w:tc>
          <w:tcPr>
            <w:tcW w:w="3110" w:type="dxa"/>
            <w:tcBorders/>
            <w:shd w:fill="auto" w:val="clear"/>
            <w:tcMar>
              <w:bottom w:w="0" w:type="dxa"/>
            </w:tcM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The Nasdaq Stock Market LLC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684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spacing w:before="0" w:after="0"/>
        <w:ind w:left="684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0" w:after="0"/>
        <w:ind w:left="0" w:right="0" w:hanging="0"/>
        <w:rPr>
          <w:caps w:val="false"/>
          <w:smallCaps w:val="false"/>
        </w:rPr>
      </w:pPr>
      <w:r>
        <w:rPr>
          <w:caps w:val="false"/>
          <w:smallCaps w:val="false"/>
        </w:rPr>
        <w:t> </w:t>
      </w:r>
    </w:p>
    <w:p>
      <w:pPr>
        <w:pStyle w:val="TextBody"/>
        <w:spacing w:before="60" w:after="240"/>
        <w:rPr>
          <w:bdr w:val="single" w:sz="8" w:space="1" w:color="000000"/>
        </w:rPr>
      </w:pPr>
      <w:r>
        <w:rPr>
          <w:bdr w:val="single" w:sz="8" w:space="1" w:color="000000"/>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3685" w:type="dxa"/>
        <w:jc w:val="left"/>
        <w:tblInd w:w="0" w:type="dxa"/>
        <w:tblCellMar>
          <w:top w:w="0" w:type="dxa"/>
          <w:left w:w="0" w:type="dxa"/>
          <w:bottom w:w="0" w:type="dxa"/>
          <w:right w:w="0" w:type="dxa"/>
        </w:tblCellMar>
      </w:tblPr>
      <w:tblGrid>
        <w:gridCol w:w="980"/>
        <w:gridCol w:w="2705"/>
      </w:tblGrid>
      <w:tr>
        <w:trPr/>
        <w:tc>
          <w:tcPr>
            <w:tcW w:w="980" w:type="dxa"/>
            <w:tcBorders/>
            <w:shd w:fill="auto" w:val="clear"/>
            <w:vAlign w:val="center"/>
          </w:tcPr>
          <w:p>
            <w:pPr>
              <w:pStyle w:val="TableContents"/>
              <w:spacing w:before="0" w:after="283"/>
              <w:rPr/>
            </w:pPr>
            <w:r>
              <w:rPr>
                <w:b/>
              </w:rPr>
              <w:t>Item</w:t>
            </w:r>
            <w:r>
              <w:rPr/>
              <w:t xml:space="preserve"> </w:t>
            </w:r>
            <w:r>
              <w:rPr>
                <w:b/>
              </w:rPr>
              <w:t>7.01</w:t>
            </w:r>
          </w:p>
        </w:tc>
        <w:tc>
          <w:tcPr>
            <w:tcW w:w="2705" w:type="dxa"/>
            <w:tcBorders/>
            <w:shd w:fill="auto" w:val="clear"/>
            <w:vAlign w:val="center"/>
          </w:tcPr>
          <w:p>
            <w:pPr>
              <w:pStyle w:val="TableContents"/>
              <w:spacing w:before="0" w:after="283"/>
              <w:rPr>
                <w:b/>
              </w:rPr>
            </w:pPr>
            <w:r>
              <w:rPr>
                <w:b/>
              </w:rPr>
              <w:t>Regulation FD Disclosure.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15, 2019, Marker Therapeutics,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issued a press release announcing the appointment of Nadia Agopyan, Ph.D., RAC as Vice President of Regulatory Affairs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of this Current Report on 8-K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pStyle w:val="TextBody"/>
        <w:spacing w:before="0" w:after="0"/>
        <w:ind w:left="0" w:right="0" w:hanging="0"/>
        <w:rPr>
          <w:caps w:val="false"/>
          <w:smallCaps w:val="false"/>
        </w:rPr>
      </w:pPr>
      <w:r>
        <w:rPr>
          <w:caps w:val="false"/>
          <w:smallCaps w:val="false"/>
        </w:rPr>
        <w:t> </w:t>
      </w:r>
    </w:p>
    <w:tbl>
      <w:tblPr>
        <w:tblW w:w="3355" w:type="dxa"/>
        <w:jc w:val="left"/>
        <w:tblInd w:w="0" w:type="dxa"/>
        <w:tblCellMar>
          <w:top w:w="0" w:type="dxa"/>
          <w:left w:w="0" w:type="dxa"/>
          <w:bottom w:w="0" w:type="dxa"/>
          <w:right w:w="0" w:type="dxa"/>
        </w:tblCellMar>
      </w:tblPr>
      <w:tblGrid>
        <w:gridCol w:w="770"/>
        <w:gridCol w:w="2585"/>
      </w:tblGrid>
      <w:tr>
        <w:trPr/>
        <w:tc>
          <w:tcPr>
            <w:tcW w:w="770" w:type="dxa"/>
            <w:tcBorders/>
            <w:shd w:fill="auto" w:val="clear"/>
            <w:vAlign w:val="center"/>
          </w:tcPr>
          <w:p>
            <w:pPr>
              <w:pStyle w:val="TableContents"/>
              <w:spacing w:before="0" w:after="283"/>
              <w:rPr>
                <w:rFonts w:ascii="Times New Roman;Times;Serif" w:hAnsi="Times New Roman;Times;Serif"/>
                <w:b/>
                <w:sz w:val="17"/>
              </w:rPr>
            </w:pPr>
            <w:r>
              <w:rPr>
                <w:rFonts w:ascii="Times New Roman;Times;Serif" w:hAnsi="Times New Roman;Times;Serif"/>
                <w:b/>
                <w:sz w:val="17"/>
              </w:rPr>
              <w:t>Item 9.01.</w:t>
            </w:r>
          </w:p>
        </w:tc>
        <w:tc>
          <w:tcPr>
            <w:tcW w:w="2585" w:type="dxa"/>
            <w:tcBorders/>
            <w:shd w:fill="auto" w:val="clear"/>
            <w:vAlign w:val="center"/>
          </w:tcPr>
          <w:p>
            <w:pPr>
              <w:pStyle w:val="TableContents"/>
              <w:spacing w:before="0" w:after="283"/>
              <w:rPr>
                <w:rFonts w:ascii="Times New Roman;Times;Serif" w:hAnsi="Times New Roman;Times;Serif"/>
                <w:b/>
                <w:sz w:val="17"/>
              </w:rPr>
            </w:pPr>
            <w:r>
              <w:rPr>
                <w:rFonts w:ascii="Times New Roman;Times;Serif" w:hAnsi="Times New Roman;Times;Serif"/>
                <w:b/>
                <w:sz w:val="17"/>
              </w:rPr>
              <w:t xml:space="preserve">Financial Statements and Exhibits.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pacing w:before="0" w:after="0"/>
        <w:ind w:left="0" w:right="0" w:hanging="0"/>
        <w:rPr>
          <w:caps w:val="false"/>
          <w:smallCaps w:val="false"/>
        </w:rPr>
      </w:pPr>
      <w:r>
        <w:rPr>
          <w:caps w:val="false"/>
          <w:smallCaps w:val="false"/>
        </w:rPr>
        <w:t> </w:t>
      </w:r>
    </w:p>
    <w:tbl>
      <w:tblPr>
        <w:tblW w:w="3790" w:type="dxa"/>
        <w:jc w:val="left"/>
        <w:tblInd w:w="0" w:type="dxa"/>
        <w:tblCellMar>
          <w:top w:w="0" w:type="dxa"/>
          <w:left w:w="0" w:type="dxa"/>
          <w:bottom w:w="0" w:type="dxa"/>
          <w:right w:w="0" w:type="dxa"/>
        </w:tblCellMar>
      </w:tblPr>
      <w:tblGrid>
        <w:gridCol w:w="950"/>
        <w:gridCol w:w="2840"/>
      </w:tblGrid>
      <w:tr>
        <w:trPr/>
        <w:tc>
          <w:tcPr>
            <w:tcW w:w="950" w:type="dxa"/>
            <w:tcBorders/>
            <w:shd w:fill="auto" w:val="clear"/>
            <w:vAlign w:val="center"/>
          </w:tcPr>
          <w:p>
            <w:pPr>
              <w:pStyle w:val="TableContents"/>
              <w:spacing w:before="0" w:after="283"/>
              <w:ind w:left="0" w:right="0" w:firstLine="90"/>
              <w:rPr>
                <w:rFonts w:ascii="Times New Roman;Times;Serif" w:hAnsi="Times New Roman;Times;Serif"/>
                <w:b/>
                <w:sz w:val="17"/>
                <w:u w:val="single"/>
              </w:rPr>
            </w:pPr>
            <w:r>
              <w:rPr>
                <w:rFonts w:ascii="Times New Roman;Times;Serif" w:hAnsi="Times New Roman;Times;Serif"/>
                <w:b/>
                <w:sz w:val="17"/>
                <w:u w:val="single"/>
              </w:rPr>
              <w:t>Exhibit No.</w:t>
            </w:r>
          </w:p>
        </w:tc>
        <w:tc>
          <w:tcPr>
            <w:tcW w:w="2840" w:type="dxa"/>
            <w:tcBorders/>
            <w:shd w:fill="auto" w:val="clear"/>
            <w:vAlign w:val="center"/>
          </w:tcPr>
          <w:p>
            <w:pPr>
              <w:pStyle w:val="TableContents"/>
              <w:spacing w:before="0" w:after="283"/>
              <w:rPr>
                <w:rFonts w:ascii="Times New Roman;Times;Serif" w:hAnsi="Times New Roman;Times;Serif"/>
                <w:b/>
                <w:sz w:val="17"/>
                <w:u w:val="single"/>
              </w:rPr>
            </w:pPr>
            <w:r>
              <w:rPr>
                <w:rFonts w:ascii="Times New Roman;Times;Serif" w:hAnsi="Times New Roman;Times;Serif"/>
                <w:b/>
                <w:sz w:val="17"/>
                <w:u w:val="single"/>
              </w:rPr>
              <w:t>Description</w:t>
            </w:r>
          </w:p>
        </w:tc>
      </w:tr>
      <w:tr>
        <w:trPr/>
        <w:tc>
          <w:tcPr>
            <w:tcW w:w="950" w:type="dxa"/>
            <w:tcBorders/>
            <w:shd w:fill="auto" w:val="clear"/>
            <w:vAlign w:val="center"/>
          </w:tcPr>
          <w:p>
            <w:pPr>
              <w:pStyle w:val="TableContents"/>
              <w:spacing w:before="0" w:after="283"/>
              <w:ind w:left="0" w:right="0" w:firstLine="90"/>
              <w:rPr/>
            </w:pPr>
            <w:hyperlink w:anchor="tv527728_ex99-1.htm">
              <w:r>
                <w:rPr>
                  <w:rStyle w:val="InternetLink"/>
                  <w:rFonts w:ascii="Times New Roman;Times;Serif" w:hAnsi="Times New Roman;Times;Serif"/>
                  <w:sz w:val="17"/>
                </w:rPr>
                <w:t>99.1</w:t>
              </w:r>
            </w:hyperlink>
          </w:p>
        </w:tc>
        <w:tc>
          <w:tcPr>
            <w:tcW w:w="2840" w:type="dxa"/>
            <w:tcBorders/>
            <w:shd w:fill="auto" w:val="clear"/>
            <w:vAlign w:val="center"/>
          </w:tcPr>
          <w:p>
            <w:pPr>
              <w:pStyle w:val="TableContents"/>
              <w:spacing w:before="0" w:after="283"/>
              <w:rPr/>
            </w:pPr>
            <w:hyperlink w:anchor="tv527728_ex99-1.htm">
              <w:r>
                <w:rPr>
                  <w:rStyle w:val="InternetLink"/>
                  <w:rFonts w:ascii="Times New Roman;Times;Serif" w:hAnsi="Times New Roman;Times;Serif"/>
                  <w:sz w:val="17"/>
                </w:rPr>
                <w:t>Press release issued on August 15, 2019.</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4185" w:type="dxa"/>
        <w:jc w:val="left"/>
        <w:tblInd w:w="0" w:type="dxa"/>
        <w:tblCellMar>
          <w:top w:w="0" w:type="dxa"/>
          <w:left w:w="0" w:type="dxa"/>
          <w:bottom w:w="0" w:type="dxa"/>
          <w:right w:w="0" w:type="dxa"/>
        </w:tblCellMar>
      </w:tblPr>
      <w:tblGrid>
        <w:gridCol w:w="1760"/>
        <w:gridCol w:w="120"/>
        <w:gridCol w:w="120"/>
        <w:gridCol w:w="120"/>
        <w:gridCol w:w="320"/>
        <w:gridCol w:w="120"/>
        <w:gridCol w:w="1625"/>
      </w:tblGrid>
      <w:tr>
        <w:trPr/>
        <w:tc>
          <w:tcPr>
            <w:tcW w:w="176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2065" w:type="dxa"/>
            <w:gridSpan w:val="3"/>
            <w:tcBorders/>
            <w:shd w:fill="auto" w:val="clear"/>
            <w:vAlign w:val="center"/>
          </w:tcPr>
          <w:p>
            <w:pPr>
              <w:pStyle w:val="TableContents"/>
              <w:spacing w:before="0" w:after="283"/>
              <w:ind w:left="0" w:right="0" w:firstLine="60"/>
              <w:rPr>
                <w:rFonts w:ascii="Times New Roman;Times;Serif" w:hAnsi="Times New Roman;Times;Serif"/>
                <w:b/>
                <w:sz w:val="17"/>
              </w:rPr>
            </w:pPr>
            <w:r>
              <w:rPr>
                <w:rFonts w:ascii="Times New Roman;Times;Serif" w:hAnsi="Times New Roman;Times;Serif"/>
                <w:b/>
                <w:sz w:val="17"/>
              </w:rPr>
              <w:t>Marker Therapeutics, Inc.</w:t>
            </w:r>
          </w:p>
        </w:tc>
      </w:tr>
      <w:tr>
        <w:trPr/>
        <w:tc>
          <w:tcPr>
            <w:tcW w:w="1760" w:type="dxa"/>
            <w:tcBorders/>
            <w:shd w:fill="auto" w:val="clear"/>
            <w:vAlign w:val="center"/>
          </w:tcPr>
          <w:p>
            <w:pPr>
              <w:pStyle w:val="TableContents"/>
              <w:spacing w:before="0" w:after="283"/>
              <w:ind w:left="0" w:right="0" w:firstLine="60"/>
              <w:rPr/>
            </w:pPr>
            <w:r>
              <w:rPr/>
              <w:t> </w:t>
            </w:r>
          </w:p>
        </w:tc>
        <w:tc>
          <w:tcPr>
            <w:tcW w:w="240" w:type="dxa"/>
            <w:gridSpan w:val="2"/>
            <w:tcBorders/>
            <w:shd w:fill="auto" w:val="clear"/>
            <w:vAlign w:val="center"/>
          </w:tcPr>
          <w:p>
            <w:pPr>
              <w:pStyle w:val="TableContents"/>
              <w:spacing w:before="0" w:after="283"/>
              <w:ind w:left="0" w:right="0" w:firstLine="60"/>
              <w:rPr/>
            </w:pPr>
            <w:r>
              <w:rPr/>
              <w:t> </w:t>
            </w:r>
          </w:p>
        </w:tc>
        <w:tc>
          <w:tcPr>
            <w:tcW w:w="440" w:type="dxa"/>
            <w:gridSpan w:val="2"/>
            <w:tcBorders/>
            <w:shd w:fill="auto" w:val="clear"/>
            <w:vAlign w:val="center"/>
          </w:tcPr>
          <w:p>
            <w:pPr>
              <w:pStyle w:val="TableContents"/>
              <w:spacing w:before="0" w:after="283"/>
              <w:ind w:left="0" w:right="0" w:firstLine="60"/>
              <w:rPr/>
            </w:pPr>
            <w:r>
              <w:rPr/>
              <w:t> </w:t>
            </w:r>
          </w:p>
        </w:tc>
        <w:tc>
          <w:tcPr>
            <w:tcW w:w="1745" w:type="dxa"/>
            <w:gridSpan w:val="2"/>
            <w:tcBorders/>
            <w:shd w:fill="auto" w:val="clear"/>
            <w:vAlign w:val="center"/>
          </w:tcPr>
          <w:p>
            <w:pPr>
              <w:pStyle w:val="TableContents"/>
              <w:spacing w:before="0" w:after="283"/>
              <w:rPr/>
            </w:pPr>
            <w:r>
              <w:rPr/>
              <w:t> </w:t>
            </w:r>
          </w:p>
        </w:tc>
      </w:tr>
      <w:tr>
        <w:trPr/>
        <w:tc>
          <w:tcPr>
            <w:tcW w:w="1760" w:type="dxa"/>
            <w:tcBorders/>
            <w:shd w:fill="auto" w:val="clear"/>
            <w:vAlign w:val="center"/>
          </w:tcPr>
          <w:p>
            <w:pPr>
              <w:pStyle w:val="TableContents"/>
              <w:spacing w:before="0" w:after="283"/>
              <w:ind w:left="0" w:right="0" w:firstLine="60"/>
              <w:rPr>
                <w:rFonts w:ascii="Times New Roman;Times;Serif" w:hAnsi="Times New Roman;Times;Serif"/>
                <w:sz w:val="17"/>
              </w:rPr>
            </w:pPr>
            <w:r>
              <w:rPr>
                <w:rFonts w:ascii="Times New Roman;Times;Serif" w:hAnsi="Times New Roman;Times;Serif"/>
                <w:sz w:val="17"/>
              </w:rPr>
              <w:t>Dated: August 15, 2019</w:t>
            </w:r>
          </w:p>
        </w:tc>
        <w:tc>
          <w:tcPr>
            <w:tcW w:w="12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320" w:type="dxa"/>
            <w:tcBorders/>
            <w:shd w:fill="auto" w:val="clear"/>
            <w:vAlign w:val="center"/>
          </w:tcPr>
          <w:p>
            <w:pPr>
              <w:pStyle w:val="TableContents"/>
              <w:spacing w:before="0" w:after="283"/>
              <w:ind w:left="0" w:right="0" w:firstLine="60"/>
              <w:rPr>
                <w:rFonts w:ascii="Times New Roman;Times;Serif" w:hAnsi="Times New Roman;Times;Serif"/>
                <w:sz w:val="17"/>
              </w:rPr>
            </w:pPr>
            <w:r>
              <w:rPr>
                <w:rFonts w:ascii="Times New Roman;Times;Serif" w:hAnsi="Times New Roman;Times;Serif"/>
                <w:sz w:val="17"/>
              </w:rPr>
              <w:t>By:</w:t>
            </w:r>
          </w:p>
        </w:tc>
        <w:tc>
          <w:tcPr>
            <w:tcW w:w="120" w:type="dxa"/>
            <w:tcBorders>
              <w:bottom w:val="single" w:sz="8" w:space="0" w:color="000000"/>
            </w:tcBorders>
            <w:shd w:fill="auto" w:val="clear"/>
            <w:tcMar>
              <w:bottom w:w="28" w:type="dxa"/>
            </w:tcMar>
            <w:vAlign w:val="center"/>
          </w:tcPr>
          <w:p>
            <w:pPr>
              <w:pStyle w:val="TableContents"/>
              <w:spacing w:before="0" w:after="283"/>
              <w:ind w:left="0" w:right="0" w:firstLine="60"/>
              <w:rPr/>
            </w:pPr>
            <w:r>
              <w:rPr/>
              <w:t> </w:t>
            </w:r>
          </w:p>
        </w:tc>
        <w:tc>
          <w:tcPr>
            <w:tcW w:w="1625" w:type="dxa"/>
            <w:tcBorders>
              <w:bottom w:val="single" w:sz="8" w:space="0" w:color="000000"/>
            </w:tcBorders>
            <w:shd w:fill="auto" w:val="clear"/>
            <w:tcMar>
              <w:bottom w:w="28" w:type="dxa"/>
            </w:tcMar>
            <w:vAlign w:val="center"/>
          </w:tcPr>
          <w:p>
            <w:pPr>
              <w:pStyle w:val="TableContents"/>
              <w:spacing w:before="0" w:after="283"/>
              <w:ind w:left="0" w:right="0" w:firstLine="60"/>
              <w:rPr>
                <w:rFonts w:ascii="Times New Roman;Times;Serif" w:hAnsi="Times New Roman;Times;Serif"/>
                <w:sz w:val="17"/>
              </w:rPr>
            </w:pPr>
            <w:r>
              <w:rPr>
                <w:rFonts w:ascii="Times New Roman;Times;Serif" w:hAnsi="Times New Roman;Times;Serif"/>
                <w:sz w:val="17"/>
              </w:rPr>
              <w:t>/s/ Anthony Kim</w:t>
            </w:r>
          </w:p>
        </w:tc>
      </w:tr>
      <w:tr>
        <w:trPr/>
        <w:tc>
          <w:tcPr>
            <w:tcW w:w="176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32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1625" w:type="dxa"/>
            <w:tcBorders/>
            <w:shd w:fill="auto" w:val="clear"/>
            <w:vAlign w:val="center"/>
          </w:tcPr>
          <w:p>
            <w:pPr>
              <w:pStyle w:val="TableContents"/>
              <w:spacing w:before="0" w:after="283"/>
              <w:ind w:left="0" w:right="0" w:firstLine="60"/>
              <w:rPr>
                <w:rFonts w:ascii="Times New Roman;Times;Serif" w:hAnsi="Times New Roman;Times;Serif"/>
                <w:sz w:val="17"/>
              </w:rPr>
            </w:pPr>
            <w:r>
              <w:rPr>
                <w:rFonts w:ascii="Times New Roman;Times;Serif" w:hAnsi="Times New Roman;Times;Serif"/>
                <w:sz w:val="17"/>
              </w:rPr>
              <w:t>Anthony Kim</w:t>
            </w:r>
          </w:p>
        </w:tc>
      </w:tr>
      <w:tr>
        <w:trPr/>
        <w:tc>
          <w:tcPr>
            <w:tcW w:w="176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32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1625" w:type="dxa"/>
            <w:tcBorders/>
            <w:shd w:fill="auto" w:val="clear"/>
            <w:vAlign w:val="center"/>
          </w:tcPr>
          <w:p>
            <w:pPr>
              <w:pStyle w:val="TableContents"/>
              <w:spacing w:before="0" w:after="283"/>
              <w:rPr>
                <w:rFonts w:ascii="Times New Roman;Times;Serif" w:hAnsi="Times New Roman;Times;Serif"/>
                <w:i/>
                <w:sz w:val="17"/>
              </w:rPr>
            </w:pPr>
            <w:r>
              <w:rPr>
                <w:rFonts w:ascii="Times New Roman;Times;Serif" w:hAnsi="Times New Roman;Times;Serif"/>
                <w:i/>
                <w:sz w:val="17"/>
              </w:rPr>
              <w:t>Chief Financial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r>
        <w:br w:type="page"/>
      </w:r>
    </w:p>
    <w:p>
      <w:pPr>
        <w:pStyle w:val="TextBody"/>
        <w:rPr/>
      </w:pPr>
      <w:bookmarkStart w:id="2" w:name="tv527728_ex99-1.htm"/>
      <w:bookmarkStart w:id="3" w:name="kstv527728_ex991"/>
      <w:bookmarkEnd w:id="2"/>
      <w:bookmarkEnd w:id="3"/>
      <w:r>
        <w:rPr/>
        <w:t> </w:t>
      </w:r>
    </w:p>
    <w:p>
      <w:pPr>
        <w:pStyle w:val="TextBody"/>
        <w:jc w:val="right"/>
        <w:rPr>
          <w:b/>
        </w:rPr>
      </w:pPr>
      <w:r>
        <w:rPr>
          <w:b/>
        </w:rPr>
        <w:t>Exhibit 99.1</w:t>
      </w:r>
    </w:p>
    <w:p>
      <w:pPr>
        <w:pStyle w:val="TextBody"/>
        <w:jc w:val="right"/>
        <w:rPr/>
      </w:pPr>
      <w:r>
        <w:rPr/>
        <w:t> </w:t>
      </w:r>
    </w:p>
    <w:p>
      <w:pPr>
        <w:pStyle w:val="TextBody"/>
        <w:spacing w:before="0" w:after="0"/>
        <w:ind w:left="0" w:right="0" w:hanging="0"/>
        <w:rPr>
          <w:caps w:val="false"/>
          <w:smallCaps w:val="false"/>
        </w:rPr>
      </w:pPr>
      <w:r>
        <w:rPr>
          <w:caps w:val="false"/>
          <w:smallCaps w:val="false"/>
        </w:rPr>
        <w:drawing>
          <wp:inline distT="0" distB="0" distL="0" distR="0">
            <wp:extent cx="215265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52650" cy="485775"/>
                    </a:xfrm>
                    <a:prstGeom prst="rect">
                      <a:avLst/>
                    </a:prstGeom>
                  </pic:spPr>
                </pic:pic>
              </a:graphicData>
            </a:graphic>
          </wp:inline>
        </w:drawing>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Marker Therapeutics Appoints Nadia Agopyan, Ph.D., RAC as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Vice President of Regulatory Affairs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Houston, TX – August 15, 2019 </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Marker Therapeutics, Inc.</w:t>
      </w:r>
      <w:r>
        <w:rPr>
          <w:rFonts w:ascii="Times New Roman;Times;Serif" w:hAnsi="Times New Roman;Times;Serif"/>
          <w:b w:val="false"/>
          <w:i w:val="false"/>
          <w:caps w:val="false"/>
          <w:smallCaps w:val="false"/>
          <w:sz w:val="20"/>
        </w:rPr>
        <w:t> (Nasdaq:MRKR), a clinical-stage immuno-oncology company specializing in the development of next-generation T cell-based immunotherapies for the treatment of hematological malignancies and solid tumor indications, today announced the appointment of Nadia Agopyan, Ph.D., RAC as Vice President of Regulatory Affairs, effective August 15.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welcome a professional of Nadia’s caliber and senior leadership experience to Marker,” said Peter L. Hoang, President &amp; CEO of Marker. “With more than 15 years of industry knowledge in regulatory affairs and clinical development, Nadia will be instrumental in helping shape our regulatory strategy as we prepare to initiate the first Marker-sponsored trial with MultiTAA therapy in patients with post-transplant acute myeloid leukemia.”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Agopyan joins Marker from Kite Pharma, a subsidiary of Gilead Sciences, where she served as Director of Regulatory Affairs, Global Regulatory Lead. In this role, she was responsible for overseeing the global marketing authorization and lifecycle management of the YESCARTA® franchise, defining the global regulatory strategies for CAR T cell products in lymphoma/leukemia, and overseeing clinical programs from Phase 1-4 development, as well as all operational aspects of global regulatory submissions. Previously, she served as Global Regulatory Lead at Baxter Biosciences leading Vonvendi (recombinant von Willebrand Factor) approval/launch, Senior Director Regulatory Affairs at Ambit Biosciences, and Director Regulatory Affairs at Cougar Biotechnology, a unit of Johnson and Johnson Ortho Biotech Oncology, where she led the approval of Zytiga, abiraterone acetate, for the treatment of patients with metastatic castrate-resistant prostate cancer.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Earlier in her career, Dr. Agopyan served in various roles at biotechnology companies such as Amgen, CATO Research and Allelix Biopharmaceuticals and as Assistant Professor in academia including Duke University and University of Toronto.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Agopyan earned her Ph.D. and B.Sc. in Neurophysiology from McGill University (Montreal Canada).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Marker Therapeutics,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cells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Marker is also advancing a number of innovative peptide- and gene-based immuno-therapeutics for the treatment of metastatic solid tumors, including the Folate Receptor Alpha program (TPIV200) for breast and ovarian cancers and the HER2/neu program (TPIV100/110) for breast cancer, currently in Phase 2 clinical trials.</w:t>
      </w:r>
    </w:p>
    <w:p>
      <w:pPr>
        <w:pStyle w:val="TextBody"/>
        <w:shd w:fill="FFFFFF" w:val="clear"/>
        <w:spacing w:before="0" w:after="0"/>
        <w:ind w:left="0" w:right="0" w:hanging="0"/>
        <w:rPr>
          <w:caps w:val="false"/>
          <w:smallCaps w:val="false"/>
        </w:rPr>
      </w:pPr>
      <w:r>
        <w:rPr>
          <w:caps w:val="false"/>
          <w:smallCaps w:val="false"/>
        </w:rPr>
        <w:t> </w:t>
      </w:r>
      <w:r>
        <w:rPr>
          <w:rFonts w:ascii="Times New Roman;Times;Serif" w:hAnsi="Times New Roman;Times;Serif"/>
          <w:b w:val="false"/>
          <w:i w:val="false"/>
          <w:caps w:val="false"/>
          <w:smallCaps w:val="false"/>
          <w:sz w:val="17"/>
        </w:rPr>
        <w:br/>
        <w:t>To receive future press releases via email, please visit: </w:t>
      </w:r>
      <w:r>
        <w:rPr>
          <w:rFonts w:ascii="Times New Roman;Times;Serif" w:hAnsi="Times New Roman;Times;Serif"/>
          <w:b w:val="false"/>
          <w:i w:val="false"/>
          <w:caps w:val="false"/>
          <w:smallCaps w:val="false"/>
          <w:sz w:val="17"/>
          <w:u w:val="single"/>
        </w:rPr>
        <w:t>https://markertherapeutics.com/email-alerts/</w:t>
      </w:r>
    </w:p>
    <w:p>
      <w:pPr>
        <w:pStyle w:val="TextBody"/>
        <w:shd w:fill="FFFFFF" w:val="clear"/>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color w:val="2C3338"/>
          <w:sz w:val="20"/>
        </w:rPr>
        <w:br/>
      </w:r>
      <w:r>
        <w:rPr>
          <w:rFonts w:ascii="Times New Roman;Times;Serif" w:hAnsi="Times New Roman;Times;Serif"/>
          <w:b w:val="false"/>
          <w:i w:val="false"/>
          <w:caps w:val="false"/>
          <w:smallCaps w:val="false"/>
          <w:sz w:val="20"/>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Forward-Looking Statement Disclaimer </w:t>
      </w:r>
      <w:r>
        <w:rPr>
          <w:rFonts w:ascii="Times New Roman;Times;Serif" w:hAnsi="Times New Roman;Times;Serif"/>
          <w:b w:val="false"/>
          <w:i w:val="false"/>
          <w:caps w:val="false"/>
          <w:smallCaps w:val="false"/>
          <w:sz w:val="20"/>
        </w:rPr>
        <w:br/>
      </w:r>
      <w:r>
        <w:rPr>
          <w:rFonts w:ascii="Times New Roman;Times;Serif" w:hAnsi="Times New Roman;Times;Serif"/>
          <w:b w:val="false"/>
          <w:i/>
          <w:caps w:val="false"/>
          <w:smallCaps w:val="false"/>
          <w:sz w:val="17"/>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our TPIV200 and TPIV100/110 programs; the effectiveness of these programs or the possible range of application and potential curative effects and safety in the treatment of diseases; and, the timing and success of our clinical trials, as well as clinical trials conducted by our collaborators.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our forward-looking statements whether as a result of new information, future events or otherwise, after the date of this press release.</w:t>
      </w:r>
    </w:p>
    <w:p>
      <w:pPr>
        <w:pStyle w:val="TextBody"/>
        <w:shd w:fill="FFFFFF" w:val="clear"/>
        <w:spacing w:before="0" w:after="0"/>
        <w:ind w:left="0" w:right="0" w:hanging="0"/>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right"/>
              <w:rPr/>
            </w:pPr>
            <w:r>
              <w:rPr/>
              <w:t>2</w:t>
            </w:r>
          </w:p>
        </w:tc>
      </w:tr>
    </w:tbl>
    <w:p>
      <w:pPr>
        <w:pStyle w:val="TextBody"/>
        <w:spacing w:before="0" w:after="0"/>
        <w:ind w:left="0" w:right="0" w:hanging="0"/>
        <w:rPr/>
      </w:pPr>
      <w:r>
        <w:rPr/>
        <w:t> </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w:t>
        <w:br/>
        <w:t>Solebury Trout</w:t>
        <w:br/>
        <w:t>Chiara Russo</w:t>
        <w:br/>
        <w:t>(617) 221-9197</w:t>
        <w:br/>
      </w:r>
      <w:r>
        <w:rPr>
          <w:rFonts w:ascii="Times New Roman;Times;Serif" w:hAnsi="Times New Roman;Times;Serif"/>
          <w:b w:val="false"/>
          <w:i w:val="false"/>
          <w:caps w:val="false"/>
          <w:smallCaps w:val="false"/>
          <w:color w:val="0000FF"/>
          <w:sz w:val="20"/>
          <w:u w:val="single"/>
        </w:rPr>
        <w:t>crusso@soleburytrout.com</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Solebury Trout</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Amy Bonanno</w:t>
        <w:br/>
        <w:t>(914) 450-0349</w:t>
        <w:br/>
      </w:r>
      <w:r>
        <w:rPr>
          <w:rFonts w:ascii="Times New Roman;Times;Serif" w:hAnsi="Times New Roman;Times;Serif"/>
          <w:b w:val="false"/>
          <w:i w:val="false"/>
          <w:caps w:val="false"/>
          <w:smallCaps w:val="false"/>
          <w:color w:val="0000FF"/>
          <w:sz w:val="20"/>
          <w:u w:val="single"/>
        </w:rPr>
        <w:t>abonanno@soleburytrout.com</w:t>
      </w:r>
    </w:p>
    <w:p>
      <w:pPr>
        <w:pStyle w:val="TextBody"/>
        <w:jc w:val="right"/>
        <w:rPr/>
      </w:pPr>
      <w:r>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right"/>
              <w:rPr/>
            </w:pPr>
            <w:r>
              <w:rPr/>
              <w:t>3</w:t>
            </w:r>
          </w:p>
        </w:tc>
      </w:tr>
    </w:tbl>
    <w:p>
      <w:pPr>
        <w:pStyle w:val="TextBody"/>
        <w:spacing w:before="0" w:after="283"/>
        <w:jc w:val="right"/>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1287</Words>
  <CharactersWithSpaces>8948</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