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April 17, 2019</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Marker Therapeutics, Inc. (“Marker” or the “Company”) previously communicated its understanding that Baylor College of Medicine (“BCM”) clinicians would present initial clinical data with our MultiTAA T cell therapy in pancreatic cancer in the second quarter at the upcoming American Society of Clinical Oncology (“ASCO”) meeting. BCM submitted its abstract to ASCO’s Trials in Progress (“TIP”) track. As ASCO’s rules prohibit the inclusion of clinical outcome data in TIP abstract submissions, BCM’s clinical trial design abstract did not include any clinical data. The abstract was not accepted by ASCO.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Marker now expects to report more mature data from the BCM’s ongoing pancreatic study in the third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00" w:lineRule="exact"/>
        <w:rPr>
          <w:sz w:val="20"/>
          <w:szCs w:val="20"/>
          <w:color w:val="auto"/>
        </w:rPr>
      </w:pPr>
    </w:p>
    <w:p>
      <w:pPr>
        <w:spacing w:after="0" w:line="24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i w:val="1"/>
          <w:iCs w:val="1"/>
          <w:color w:val="auto"/>
        </w:rPr>
        <w:t>This Report contains forward-looking statements for purposes of the safe harbor provisions of the Private Securities Litigation Reform Act of 1995. Statements in this Report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multi-tumor antigen specific T cell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and other SEC filings which are available through EDGAR at www.sec.gov. The Company assumes no obligation to update our forward-looking statements whether as a result of new information, future events or otherwise,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2019.</w:t>
      </w:r>
    </w:p>
    <w:p>
      <w:pPr>
        <w:spacing w:after="0" w:line="25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Michael Loiacono</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6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2019-12-03T08:44:24Z</dcterms:created>
  <dcterms:modified xsi:type="dcterms:W3CDTF">2019-12-03T08:44:24Z</dcterms:modified>
</cp:coreProperties>
</file>