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Knobil Katharine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12/08/2021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Marker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MRKR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97"/>
        <w:spacing w:after="0" w:line="269" w:lineRule="auto"/>
        <w:rPr>
          <w:sz w:val="20"/>
          <w:szCs w:val="20"/>
          <w:color w:val="auto"/>
        </w:rPr>
      </w:pPr>
      <w:r>
        <w:rPr>
          <w:rFonts w:ascii="Arial" w:cs="Arial" w:eastAsia="Arial" w:hAnsi="Arial"/>
          <w:sz w:val="20"/>
          <w:szCs w:val="20"/>
          <w:color w:val="0000FF"/>
        </w:rPr>
        <w:t>C/O MARKER THERAPEUTICS, INC.</w:t>
      </w:r>
    </w:p>
    <w:p>
      <w:pPr>
        <w:spacing w:after="0" w:line="25" w:lineRule="exact"/>
        <w:rPr>
          <w:sz w:val="24"/>
          <w:szCs w:val="24"/>
          <w:color w:val="auto"/>
        </w:rPr>
      </w:pPr>
    </w:p>
    <w:p>
      <w:pPr>
        <w:ind w:left="140" w:right="1537"/>
        <w:spacing w:after="0" w:line="269" w:lineRule="auto"/>
        <w:rPr>
          <w:sz w:val="20"/>
          <w:szCs w:val="20"/>
          <w:color w:val="auto"/>
        </w:rPr>
      </w:pPr>
      <w:r>
        <w:rPr>
          <w:rFonts w:ascii="Arial" w:cs="Arial" w:eastAsia="Arial" w:hAnsi="Arial"/>
          <w:sz w:val="20"/>
          <w:szCs w:val="20"/>
          <w:color w:val="0000FF"/>
        </w:rPr>
        <w:t>3200 SOUTHWEST FREEWAY, SUITE 2500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HOUSTON TX</w:t>
            </w:r>
          </w:p>
        </w:tc>
        <w:tc>
          <w:tcPr>
            <w:tcW w:w="880" w:type="dxa"/>
            <w:vAlign w:val="bottom"/>
          </w:tcPr>
          <w:p>
            <w:pPr>
              <w:jc w:val="right"/>
              <w:spacing w:after="0"/>
              <w:rPr>
                <w:sz w:val="20"/>
                <w:szCs w:val="20"/>
                <w:color w:val="auto"/>
              </w:rPr>
            </w:pPr>
            <w:r>
              <w:rPr>
                <w:rFonts w:ascii="Arial" w:cs="Arial" w:eastAsia="Arial" w:hAnsi="Arial"/>
                <w:sz w:val="20"/>
                <w:szCs w:val="20"/>
                <w:color w:val="0000FF"/>
              </w:rPr>
              <w:t>77027</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1,500</w:t>
            </w:r>
          </w:p>
        </w:tc>
        <w:tc>
          <w:tcPr>
            <w:tcW w:w="9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980" w:type="dxa"/>
            <w:vAlign w:val="bottom"/>
            <w:vMerge w:val="restart"/>
          </w:tcPr>
          <w:p>
            <w:pPr>
              <w:ind w:left="40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ind w:left="40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980" w:type="dxa"/>
            <w:vAlign w:val="bottom"/>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tcPr>
          <w:p>
            <w:pPr>
              <w:ind w:left="40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3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securities are held by the spouse of the Reporting Person, who shares voting and investment control of the shares and may be deemed to beneficially own the shares. The Reporting Person disclaims beneficial ownership of such shares except to the extent of her pecuniary interest therein.</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Michael Loiacono,</w:t>
            </w:r>
          </w:p>
        </w:tc>
        <w:tc>
          <w:tcPr>
            <w:tcW w:w="4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12/09/2021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 and Schedules 13D and 13G)</w:t>
      </w:r>
    </w:p>
    <w:p>
      <w:pPr>
        <w:spacing w:after="0" w:line="230" w:lineRule="exact"/>
        <w:rPr>
          <w:sz w:val="20"/>
          <w:szCs w:val="20"/>
          <w:color w:val="auto"/>
        </w:rPr>
      </w:pPr>
    </w:p>
    <w:p>
      <w:pPr>
        <w:ind w:right="130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Divakar Gupta, Darren DeStefano, Madison Jones and Owen Williams of Cooley LLP, and each of Peter Hoang, Anthony Kim and Michael Loiacono of Marker Therapeutics, Inc. (the "Company"), signing individually, the undersigned's true and lawful attorneys-in fact and agents to:</w:t>
      </w:r>
    </w:p>
    <w:p>
      <w:pPr>
        <w:spacing w:after="0" w:line="232" w:lineRule="exact"/>
        <w:rPr>
          <w:sz w:val="20"/>
          <w:szCs w:val="20"/>
          <w:color w:val="auto"/>
        </w:rPr>
      </w:pPr>
    </w:p>
    <w:p>
      <w:pPr>
        <w:ind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the Securities and Exchange Commission (the "SEC") Form ID and</w:t>
      </w:r>
    </w:p>
    <w:p>
      <w:pPr>
        <w:spacing w:after="0" w:line="4" w:lineRule="exact"/>
        <w:rPr>
          <w:rFonts w:ascii="Courier New" w:cs="Courier New" w:eastAsia="Courier New" w:hAnsi="Courier New"/>
          <w:sz w:val="20"/>
          <w:szCs w:val="20"/>
          <w:color w:val="auto"/>
        </w:rPr>
      </w:pPr>
    </w:p>
    <w:p>
      <w:pPr>
        <w:ind w:right="1520"/>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Forms 3, 4 and 5 (including amendments thereto and joint filing agreements in connection therewith) in accordance with Section 13 or Section 16 of the Securities Exchange Act of 1934, as amended (the "Exchange Act") and the rules thereunder in the undersigned's capacity as a beneficial owner of a registered class of securities of the Company;</w:t>
      </w:r>
    </w:p>
    <w:p>
      <w:pPr>
        <w:spacing w:after="0" w:line="231" w:lineRule="exact"/>
        <w:rPr>
          <w:rFonts w:ascii="Courier New" w:cs="Courier New" w:eastAsia="Courier New" w:hAnsi="Courier New"/>
          <w:sz w:val="20"/>
          <w:szCs w:val="20"/>
          <w:color w:val="auto"/>
        </w:rPr>
      </w:pPr>
    </w:p>
    <w:p>
      <w:pPr>
        <w:ind w:right="240"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w:t>
      </w:r>
    </w:p>
    <w:p>
      <w:pPr>
        <w:spacing w:after="0" w:line="4" w:lineRule="exact"/>
        <w:rPr>
          <w:rFonts w:ascii="Courier New" w:cs="Courier New" w:eastAsia="Courier New" w:hAnsi="Courier New"/>
          <w:sz w:val="20"/>
          <w:szCs w:val="20"/>
          <w:color w:val="auto"/>
        </w:rPr>
      </w:pPr>
    </w:p>
    <w:p>
      <w:pPr>
        <w:ind w:right="1420"/>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4 or 5, Schedules 13D and 13G (including amendments thereto and joint filing agreements in connection therewith) and Forms 144, and file such forms with the SEC and any stock exchange, self-regulatory association or any similar authority; and</w:t>
      </w:r>
    </w:p>
    <w:p>
      <w:pPr>
        <w:spacing w:after="0" w:line="230"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spacing w:after="0" w:line="1" w:lineRule="exact"/>
        <w:rPr>
          <w:rFonts w:ascii="Courier New" w:cs="Courier New" w:eastAsia="Courier New" w:hAnsi="Courier New"/>
          <w:sz w:val="18"/>
          <w:szCs w:val="18"/>
          <w:color w:val="auto"/>
        </w:rPr>
      </w:pPr>
    </w:p>
    <w:p>
      <w:pPr>
        <w:ind w:right="142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2" w:lineRule="exact"/>
        <w:rPr>
          <w:sz w:val="20"/>
          <w:szCs w:val="20"/>
          <w:color w:val="auto"/>
        </w:rPr>
      </w:pPr>
    </w:p>
    <w:p>
      <w:pPr>
        <w:ind w:right="1060" w:firstLine="937"/>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Sections 13 and 16 of the Exchange Act and Rule 144 thereunder.</w:t>
      </w:r>
    </w:p>
    <w:p>
      <w:pPr>
        <w:spacing w:after="0" w:line="231"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 ID or Forms</w:t>
      </w:r>
    </w:p>
    <w:p>
      <w:pPr>
        <w:spacing w:after="0" w:line="2" w:lineRule="exact"/>
        <w:rPr>
          <w:sz w:val="20"/>
          <w:szCs w:val="20"/>
          <w:color w:val="auto"/>
        </w:rPr>
      </w:pPr>
    </w:p>
    <w:p>
      <w:pPr>
        <w:ind w:right="1300"/>
        <w:spacing w:after="0" w:line="269" w:lineRule="auto"/>
        <w:rPr>
          <w:sz w:val="20"/>
          <w:szCs w:val="20"/>
          <w:color w:val="auto"/>
        </w:rPr>
      </w:pPr>
      <w:r>
        <w:rPr>
          <w:rFonts w:ascii="Courier New" w:cs="Courier New" w:eastAsia="Courier New" w:hAnsi="Courier New"/>
          <w:sz w:val="18"/>
          <w:szCs w:val="18"/>
          <w:color w:val="auto"/>
        </w:rPr>
        <w:t>3, 4 and 5 or Schedules 13D or 13G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Cooley LLP or by the Company.</w:t>
      </w:r>
    </w:p>
    <w:p>
      <w:pPr>
        <w:spacing w:after="0" w:line="208"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November 30,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/s/ Katharine Knobil</w:t>
      </w:r>
    </w:p>
    <w:p>
      <w:pPr>
        <w:spacing w:after="0" w:line="238" w:lineRule="auto"/>
        <w:rPr>
          <w:sz w:val="20"/>
          <w:szCs w:val="20"/>
          <w:color w:val="auto"/>
        </w:rPr>
      </w:pPr>
      <w:r>
        <w:rPr>
          <w:rFonts w:ascii="Courier New" w:cs="Courier New" w:eastAsia="Courier New" w:hAnsi="Courier New"/>
          <w:sz w:val="20"/>
          <w:szCs w:val="20"/>
          <w:color w:val="auto"/>
        </w:rPr>
        <w:t>Name: Katharine Knobil</w:t>
      </w:r>
    </w:p>
    <w:sectPr>
      <w:pgSz w:w="11900" w:h="16838" w:orient="portrait"/>
      <w:cols w:equalWidth="0" w:num="1">
        <w:col w:w="10660"/>
      </w:cols>
      <w:pgMar w:left="480" w:top="13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68011" TargetMode="External"/><Relationship Id="rId11"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2021-12-09T16:20:32Z</dcterms:created>
  <dcterms:modified xsi:type="dcterms:W3CDTF">2021-12-09T16:20:32Z</dcterms:modified>
</cp:coreProperties>
</file>