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413385</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12, 2015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0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w w:val="85"/>
              </w:rPr>
              <w:t>000-27239</w:t>
            </w:r>
          </w:p>
        </w:tc>
        <w:tc>
          <w:tcPr>
            <w:tcW w:w="32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0"/>
        </w:trPr>
        <w:tc>
          <w:tcPr>
            <w:tcW w:w="420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(State or other jurisdiction of incorporation)</w:t>
            </w:r>
          </w:p>
        </w:tc>
        <w:tc>
          <w:tcPr>
            <w:tcW w:w="32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(Commission File Number)</w:t>
            </w:r>
          </w:p>
        </w:tc>
        <w:tc>
          <w:tcPr>
            <w:tcW w:w="3240" w:type="dxa"/>
            <w:vAlign w:val="bottom"/>
            <w:gridSpan w:val="5"/>
          </w:tcPr>
          <w:p>
            <w:pPr>
              <w:jc w:val="center"/>
              <w:ind w:left="732"/>
              <w:spacing w:after="0"/>
              <w:rPr>
                <w:sz w:val="20"/>
                <w:szCs w:val="20"/>
                <w:color w:val="auto"/>
              </w:rPr>
            </w:pPr>
            <w:r>
              <w:rPr>
                <w:rFonts w:ascii="Arial" w:cs="Arial" w:eastAsia="Arial" w:hAnsi="Arial"/>
                <w:sz w:val="18"/>
                <w:szCs w:val="18"/>
                <w:color w:val="auto"/>
                <w:w w:val="92"/>
              </w:rPr>
              <w:t>(IRS Employer Identification No.)</w:t>
            </w:r>
          </w:p>
        </w:tc>
      </w:tr>
      <w:tr>
        <w:trPr>
          <w:trHeight w:val="409"/>
        </w:trPr>
        <w:tc>
          <w:tcPr>
            <w:tcW w:w="42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7"/>
              </w:rPr>
              <w:t>1551 Eastlake Avenue East, Suite 100, Seattle, WA</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24"/>
                <w:szCs w:val="24"/>
                <w:color w:val="auto"/>
              </w:rPr>
            </w:pPr>
          </w:p>
        </w:tc>
      </w:tr>
      <w:tr>
        <w:trPr>
          <w:trHeight w:val="20"/>
        </w:trPr>
        <w:tc>
          <w:tcPr>
            <w:tcW w:w="374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56"/>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4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(Zip Code)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0" w:lineRule="exact"/>
        <w:rPr>
          <w:sz w:val="24"/>
          <w:szCs w:val="24"/>
          <w:color w:val="auto"/>
        </w:rPr>
      </w:pPr>
    </w:p>
    <w:p>
      <w:pPr>
        <w:ind w:right="820"/>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0" w:type="dxa"/>
            <w:vAlign w:val="bottom"/>
          </w:tcPr>
          <w:p>
            <w:pPr>
              <w:jc w:val="right"/>
              <w:ind w:right="32"/>
              <w:spacing w:after="0"/>
              <w:rPr>
                <w:sz w:val="20"/>
                <w:szCs w:val="20"/>
                <w:color w:val="auto"/>
              </w:rPr>
            </w:pPr>
            <w:r>
              <w:rPr>
                <w:rFonts w:ascii="Arial" w:cs="Arial" w:eastAsia="Arial" w:hAnsi="Arial"/>
                <w:sz w:val="18"/>
                <w:szCs w:val="18"/>
                <w:color w:val="auto"/>
                <w:w w:val="78"/>
              </w:rPr>
              <w:t>[</w:t>
            </w:r>
          </w:p>
        </w:tc>
        <w:tc>
          <w:tcPr>
            <w:tcW w:w="6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600" w:type="dxa"/>
            <w:vAlign w:val="bottom"/>
          </w:tcPr>
          <w:p>
            <w:pPr>
              <w:ind w:left="5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1"/>
        </w:trPr>
        <w:tc>
          <w:tcPr>
            <w:tcW w:w="180" w:type="dxa"/>
            <w:vAlign w:val="bottom"/>
          </w:tcPr>
          <w:p>
            <w:pPr>
              <w:jc w:val="right"/>
              <w:ind w:right="32"/>
              <w:spacing w:after="0"/>
              <w:rPr>
                <w:sz w:val="20"/>
                <w:szCs w:val="20"/>
                <w:color w:val="auto"/>
              </w:rPr>
            </w:pPr>
            <w:r>
              <w:rPr>
                <w:rFonts w:ascii="Arial" w:cs="Arial" w:eastAsia="Arial" w:hAnsi="Arial"/>
                <w:sz w:val="18"/>
                <w:szCs w:val="18"/>
                <w:color w:val="auto"/>
                <w:w w:val="78"/>
              </w:rPr>
              <w:t>[</w:t>
            </w:r>
          </w:p>
        </w:tc>
        <w:tc>
          <w:tcPr>
            <w:tcW w:w="6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600" w:type="dxa"/>
            <w:vAlign w:val="bottom"/>
          </w:tcPr>
          <w:p>
            <w:pPr>
              <w:ind w:left="5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1"/>
        </w:trPr>
        <w:tc>
          <w:tcPr>
            <w:tcW w:w="180" w:type="dxa"/>
            <w:vAlign w:val="bottom"/>
          </w:tcPr>
          <w:p>
            <w:pPr>
              <w:jc w:val="right"/>
              <w:ind w:right="32"/>
              <w:spacing w:after="0"/>
              <w:rPr>
                <w:sz w:val="20"/>
                <w:szCs w:val="20"/>
                <w:color w:val="auto"/>
              </w:rPr>
            </w:pPr>
            <w:r>
              <w:rPr>
                <w:rFonts w:ascii="Arial" w:cs="Arial" w:eastAsia="Arial" w:hAnsi="Arial"/>
                <w:sz w:val="18"/>
                <w:szCs w:val="18"/>
                <w:color w:val="auto"/>
                <w:w w:val="78"/>
              </w:rPr>
              <w:t>[</w:t>
            </w:r>
          </w:p>
        </w:tc>
        <w:tc>
          <w:tcPr>
            <w:tcW w:w="6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600" w:type="dxa"/>
            <w:vAlign w:val="bottom"/>
          </w:tcPr>
          <w:p>
            <w:pPr>
              <w:ind w:left="5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23"/>
        </w:trPr>
        <w:tc>
          <w:tcPr>
            <w:tcW w:w="180" w:type="dxa"/>
            <w:vAlign w:val="bottom"/>
          </w:tcPr>
          <w:p>
            <w:pPr>
              <w:jc w:val="right"/>
              <w:ind w:right="32"/>
              <w:spacing w:after="0"/>
              <w:rPr>
                <w:sz w:val="20"/>
                <w:szCs w:val="20"/>
                <w:color w:val="auto"/>
              </w:rPr>
            </w:pPr>
            <w:r>
              <w:rPr>
                <w:rFonts w:ascii="Arial" w:cs="Arial" w:eastAsia="Arial" w:hAnsi="Arial"/>
                <w:sz w:val="18"/>
                <w:szCs w:val="18"/>
                <w:color w:val="auto"/>
                <w:w w:val="78"/>
              </w:rPr>
              <w:t>[</w:t>
            </w:r>
          </w:p>
        </w:tc>
        <w:tc>
          <w:tcPr>
            <w:tcW w:w="6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0600" w:type="dxa"/>
            <w:vAlign w:val="bottom"/>
          </w:tcPr>
          <w:p>
            <w:pPr>
              <w:ind w:left="5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303"/>
        </w:trPr>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On January 12, 2015, TapImmune Inc. (the “</w:t>
      </w:r>
      <w:r>
        <w:rPr>
          <w:rFonts w:ascii="Arial" w:cs="Arial" w:eastAsia="Arial" w:hAnsi="Arial"/>
          <w:sz w:val="15"/>
          <w:szCs w:val="15"/>
          <w:u w:val="single" w:color="auto"/>
          <w:color w:val="auto"/>
        </w:rPr>
        <w:t>Company</w:t>
      </w:r>
      <w:r>
        <w:rPr>
          <w:rFonts w:ascii="Arial" w:cs="Arial" w:eastAsia="Arial" w:hAnsi="Arial"/>
          <w:sz w:val="15"/>
          <w:szCs w:val="15"/>
          <w:color w:val="auto"/>
        </w:rPr>
        <w:t>”) entered into a Securities Purchase Agreement (the “</w:t>
      </w:r>
      <w:r>
        <w:rPr>
          <w:rFonts w:ascii="Arial" w:cs="Arial" w:eastAsia="Arial" w:hAnsi="Arial"/>
          <w:sz w:val="15"/>
          <w:szCs w:val="15"/>
          <w:u w:val="single" w:color="auto"/>
          <w:color w:val="auto"/>
        </w:rPr>
        <w:t>Securities Purchase Agreement</w:t>
      </w:r>
      <w:r>
        <w:rPr>
          <w:rFonts w:ascii="Arial" w:cs="Arial" w:eastAsia="Arial" w:hAnsi="Arial"/>
          <w:sz w:val="15"/>
          <w:szCs w:val="15"/>
          <w:color w:val="auto"/>
        </w:rPr>
        <w:t>”) with certain accredited investors (collectively, the “</w:t>
      </w:r>
      <w:r>
        <w:rPr>
          <w:rFonts w:ascii="Arial" w:cs="Arial" w:eastAsia="Arial" w:hAnsi="Arial"/>
          <w:sz w:val="15"/>
          <w:szCs w:val="15"/>
          <w:u w:val="single" w:color="auto"/>
          <w:color w:val="auto"/>
        </w:rPr>
        <w:t>Purchasers</w:t>
      </w:r>
      <w:r>
        <w:rPr>
          <w:rFonts w:ascii="Arial" w:cs="Arial" w:eastAsia="Arial" w:hAnsi="Arial"/>
          <w:sz w:val="15"/>
          <w:szCs w:val="15"/>
          <w:color w:val="auto"/>
        </w:rPr>
        <w:t>”) pursuant to which the Company has agreed to issue and sell to the Purchasers in a registered public offering (the “</w:t>
      </w:r>
      <w:r>
        <w:rPr>
          <w:rFonts w:ascii="Arial" w:cs="Arial" w:eastAsia="Arial" w:hAnsi="Arial"/>
          <w:sz w:val="15"/>
          <w:szCs w:val="15"/>
          <w:u w:val="single" w:color="auto"/>
          <w:color w:val="auto"/>
        </w:rPr>
        <w:t>Offering</w:t>
      </w:r>
      <w:r>
        <w:rPr>
          <w:rFonts w:ascii="Arial" w:cs="Arial" w:eastAsia="Arial" w:hAnsi="Arial"/>
          <w:sz w:val="15"/>
          <w:szCs w:val="15"/>
          <w:color w:val="auto"/>
        </w:rPr>
        <w:t>”) an aggregate of 7,320,000 units at a public offering price of $.20 per unit, with each unit consisting of (i) one share of the Company’s Common Stock, par value $0.001 (collectively, the “</w:t>
      </w:r>
      <w:r>
        <w:rPr>
          <w:rFonts w:ascii="Arial" w:cs="Arial" w:eastAsia="Arial" w:hAnsi="Arial"/>
          <w:sz w:val="15"/>
          <w:szCs w:val="15"/>
          <w:u w:val="single" w:color="auto"/>
          <w:color w:val="auto"/>
        </w:rPr>
        <w:t>Shares</w:t>
      </w:r>
      <w:r>
        <w:rPr>
          <w:rFonts w:ascii="Arial" w:cs="Arial" w:eastAsia="Arial" w:hAnsi="Arial"/>
          <w:sz w:val="15"/>
          <w:szCs w:val="15"/>
          <w:color w:val="auto"/>
        </w:rPr>
        <w:t>”),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3" w:lineRule="exact"/>
        <w:rPr>
          <w:sz w:val="20"/>
          <w:szCs w:val="20"/>
          <w:color w:val="auto"/>
        </w:rPr>
      </w:pPr>
    </w:p>
    <w:p>
      <w:pPr>
        <w:jc w:val="both"/>
        <w:ind w:firstLine="5"/>
        <w:spacing w:after="0" w:line="278" w:lineRule="auto"/>
        <w:tabs>
          <w:tab w:leader="none" w:pos="317" w:val="left"/>
        </w:tabs>
        <w:numPr>
          <w:ilvl w:val="0"/>
          <w:numId w:val="1"/>
        </w:numPr>
        <w:rPr>
          <w:rFonts w:ascii="Arial" w:cs="Arial" w:eastAsia="Arial" w:hAnsi="Arial"/>
          <w:sz w:val="16"/>
          <w:szCs w:val="16"/>
          <w:color w:val="auto"/>
        </w:rPr>
      </w:pPr>
      <w:r>
        <w:rPr>
          <w:rFonts w:ascii="Arial" w:cs="Arial" w:eastAsia="Arial" w:hAnsi="Arial"/>
          <w:sz w:val="16"/>
          <w:szCs w:val="16"/>
          <w:color w:val="auto"/>
        </w:rPr>
        <w:t>one Series E warrant to purchase one share of common stock (the Series A, B, C, D and E warrants shall be collectively, the “</w:t>
      </w:r>
      <w:r>
        <w:rPr>
          <w:rFonts w:ascii="Arial" w:cs="Arial" w:eastAsia="Arial" w:hAnsi="Arial"/>
          <w:sz w:val="16"/>
          <w:szCs w:val="16"/>
          <w:u w:val="single" w:color="auto"/>
          <w:color w:val="auto"/>
        </w:rPr>
        <w:t>Warrants</w:t>
      </w:r>
      <w:r>
        <w:rPr>
          <w:rFonts w:ascii="Arial" w:cs="Arial" w:eastAsia="Arial" w:hAnsi="Arial"/>
          <w:sz w:val="16"/>
          <w:szCs w:val="16"/>
          <w:color w:val="auto"/>
        </w:rPr>
        <w:t>” and the shares issuable upon exercise of the Warrants, collectively, the “</w:t>
      </w:r>
      <w:r>
        <w:rPr>
          <w:rFonts w:ascii="Arial" w:cs="Arial" w:eastAsia="Arial" w:hAnsi="Arial"/>
          <w:sz w:val="16"/>
          <w:szCs w:val="16"/>
          <w:u w:val="single" w:color="auto"/>
          <w:color w:val="auto"/>
        </w:rPr>
        <w:t>Warrant Shares</w:t>
      </w:r>
      <w:r>
        <w:rPr>
          <w:rFonts w:ascii="Arial" w:cs="Arial" w:eastAsia="Arial" w:hAnsi="Arial"/>
          <w:sz w:val="16"/>
          <w:szCs w:val="16"/>
          <w:color w:val="auto"/>
        </w:rPr>
        <w:t>”). Each Series A warrant will have an initial exercise price of $1.50 per share, will be immediately exercisable and will expire on the five year anniversary of the date of issuance. Each Series B warrant will have an initial exercise price of $0.40 per share, will be immediately exercisable, may be redeemed by us in the event that the closing price of our stock is above $0.70 for 20 consecutive trading days (subject to certain conditions including minimum trading volume requirements), and will expire on the six month anniversary of the date of issuance. Each Series C warrant will have an initial exercise price of $1.00 per share, will be immediately exercisable, may be redeemed by us in the event that the closing price of our stock is above $1.50 for 20 consecutive trading days (subject to certain conditions including minimum trading volume requirements), and will expire on the five year anniversary of the date of issuance. Each Series D warrant will be exercisable only if and to the extent that the Series B warrants are exercised, will have an initial exercise price of $0.75 per share, and will expire on the five year anniversary of the date that the Series B warrant is initially exercised. Each Series E warrant will be exercisable only if and to the extent that the Series C warrants are exercised, will have an initial exercise price of $1.25 per share, and will expire on the five year anniversary of the date that the Series C warrant is initially exercised. Units will not be issued or certificated. The Shares and the Warrants will be issued separately but can only be purchased together as units in this offering.</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descriptions of the Securities Purchase Agreement and the Warrants are only summaries of their material terms and do not purport to be complete. A copy of the Securities Purchase Agreement and each Warrant are attached hereto as Exhibits 10.1 and 4.1 through 4.5, respectively, and are incorporated herein by reference.</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aggregate expected gross proceeds from the sales of all 7,320,000 units is $1,464,000. Net proceeds, after deducting the Placement Agent Fee (described below) and other estimated offering expenses payable by the Company, are expected to be approximately $1,250,000. The Company expects that the Offering will close on or about January 12, 2015, subject to the satisfaction of customary closing conditions. The Company intends to use the net proceeds from the Offering for general corporate purposes, including clinical trial expenses and research and development expenses.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issuance and sale of the Shares, Warrants, and Warrant Shares (collectively, the “</w:t>
      </w:r>
      <w:r>
        <w:rPr>
          <w:rFonts w:ascii="Arial" w:cs="Arial" w:eastAsia="Arial" w:hAnsi="Arial"/>
          <w:sz w:val="15"/>
          <w:szCs w:val="15"/>
          <w:u w:val="single" w:color="auto"/>
          <w:color w:val="auto"/>
        </w:rPr>
        <w:t>Securities</w:t>
      </w:r>
      <w:r>
        <w:rPr>
          <w:rFonts w:ascii="Arial" w:cs="Arial" w:eastAsia="Arial" w:hAnsi="Arial"/>
          <w:sz w:val="15"/>
          <w:szCs w:val="15"/>
          <w:color w:val="auto"/>
        </w:rPr>
        <w:t>”) is registered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pursuant to the Company’s Registration Statement on Form S-3 (No. 333-196115), which was declared effective by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on July 23, 2014, as supplemented by a prospectus supplement dated January 12, 2015 and filed with the SEC pursuant to Rule 424(b)</w:t>
      </w:r>
    </w:p>
    <w:p>
      <w:pPr>
        <w:spacing w:after="0" w:line="2" w:lineRule="exact"/>
        <w:rPr>
          <w:sz w:val="20"/>
          <w:szCs w:val="20"/>
          <w:color w:val="auto"/>
        </w:rPr>
      </w:pPr>
    </w:p>
    <w:p>
      <w:pPr>
        <w:jc w:val="both"/>
        <w:ind w:firstLine="5"/>
        <w:spacing w:after="0" w:line="286" w:lineRule="auto"/>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under the Securities Act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Securities may only be offered by means of a prospectus. Copies of the prospectus and prospectus supplement can be obtained directly from the Company and at the SEC’s website at www.sec.gov or by request by emailing H.C. Wainwright &amp; Co., LLC (“</w:t>
      </w:r>
      <w:r>
        <w:rPr>
          <w:rFonts w:ascii="Arial" w:cs="Arial" w:eastAsia="Arial" w:hAnsi="Arial"/>
          <w:sz w:val="16"/>
          <w:szCs w:val="16"/>
          <w:u w:val="single" w:color="auto"/>
          <w:color w:val="auto"/>
        </w:rPr>
        <w:t>Wainwright</w:t>
      </w:r>
      <w:r>
        <w:rPr>
          <w:rFonts w:ascii="Arial" w:cs="Arial" w:eastAsia="Arial" w:hAnsi="Arial"/>
          <w:sz w:val="16"/>
          <w:szCs w:val="16"/>
          <w:color w:val="auto"/>
          <w:highlight w:val="white"/>
        </w:rPr>
        <w:t>”) at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placements@hcwco.com</w:t>
      </w:r>
      <w:r>
        <w:rPr>
          <w:rFonts w:ascii="Arial" w:cs="Arial" w:eastAsia="Arial" w:hAnsi="Arial"/>
          <w:sz w:val="16"/>
          <w:szCs w:val="16"/>
          <w:color w:val="auto"/>
        </w:rPr>
        <w:t>. No statement in this document or the attached exhibits is an offer to purchase or a solicitation of an offer to sell securities. No offer, solicitation or sale will be made in any jurisdiction in which such offer, solicitation or sale is unlawful.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Placement Agent Agreement; Placement Agent Warrants</w:t>
      </w:r>
    </w:p>
    <w:p>
      <w:pPr>
        <w:spacing w:after="0" w:line="21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Pursuant to a Placement Agent Agreement, dated July 29, 2014, by and between us and Wainwright and amended on January 12, 2015 (the “</w:t>
      </w:r>
      <w:r>
        <w:rPr>
          <w:rFonts w:ascii="Arial" w:cs="Arial" w:eastAsia="Arial" w:hAnsi="Arial"/>
          <w:sz w:val="16"/>
          <w:szCs w:val="16"/>
          <w:u w:val="single" w:color="auto"/>
          <w:color w:val="auto"/>
        </w:rPr>
        <w:t>Amended 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 Agreement</w:t>
      </w:r>
      <w:r>
        <w:rPr>
          <w:rFonts w:ascii="Arial" w:cs="Arial" w:eastAsia="Arial" w:hAnsi="Arial"/>
          <w:sz w:val="16"/>
          <w:szCs w:val="16"/>
          <w:color w:val="auto"/>
        </w:rPr>
        <w:t>”), Wainwright agreed to act as the Company’s placement agent in connection with the Offering. On January 12, 2015, Wainwright retained Olympus Securities LLC to serve as a co-placement agent in this offering. Pursuant to the Amended Placement Agent Agreement, the Company agreed to pay an aggregate cash fee for placement agent and financial advisory services equal to 7% of the gross proceeds of the Offering (the “</w:t>
      </w:r>
      <w:r>
        <w:rPr>
          <w:rFonts w:ascii="Arial" w:cs="Arial" w:eastAsia="Arial" w:hAnsi="Arial"/>
          <w:sz w:val="16"/>
          <w:szCs w:val="16"/>
          <w:u w:val="single" w:color="auto"/>
          <w:color w:val="auto"/>
        </w:rPr>
        <w:t>Placement Agent Fee</w:t>
      </w:r>
      <w:r>
        <w:rPr>
          <w:rFonts w:ascii="Arial" w:cs="Arial" w:eastAsia="Arial" w:hAnsi="Arial"/>
          <w:sz w:val="16"/>
          <w:szCs w:val="16"/>
          <w:color w:val="auto"/>
        </w:rPr>
        <w:t>”), as well as a non-accountable expense allowance equal to 1% of the gross proceeds of the Offering but not to exceed $30,000. In addition, the Company agreed to issue warrants to purchase an aggregate of up to 5% of the aggregate number of shares of Common Stock sold in the Offering to the placement agents or its designees (the “</w:t>
      </w:r>
      <w:r>
        <w:rPr>
          <w:rFonts w:ascii="Arial" w:cs="Arial" w:eastAsia="Arial" w:hAnsi="Arial"/>
          <w:sz w:val="16"/>
          <w:szCs w:val="16"/>
          <w:u w:val="single" w:color="auto"/>
          <w:color w:val="auto"/>
        </w:rPr>
        <w:t>Placement Agent Warrants</w:t>
      </w:r>
      <w:r>
        <w:rPr>
          <w:rFonts w:ascii="Arial" w:cs="Arial" w:eastAsia="Arial" w:hAnsi="Arial"/>
          <w:sz w:val="16"/>
          <w:szCs w:val="16"/>
          <w:color w:val="auto"/>
        </w:rPr>
        <w:t>”). The Placement Agent Warrants have substantially the same terms as the Warrants, except the Placement Agent Warrants will be issued pursuant to an exemption from registration as described in Item 3.02 below.</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descriptions of the Amended Placement Agent Agreement and the each Placement Agent Warrant are only summaries of their material terms and do not purport to be complete. A copy of the Amended Placement Agent Agreement and each Placement Agent Warrant are attached hereto as Exhibits 10.2 and 4.6 through 4.10,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812165</wp:posOffset>
            </wp:positionV>
            <wp:extent cx="725424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Placement Agent Warrants described in Item 1.01 above will be issued pursuant to an exemption from registration provided by Section 4(a)(2) of the Securities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700" w:hanging="695"/>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429"/>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520" w:type="dxa"/>
            <w:vAlign w:val="bottom"/>
            <w:tcBorders>
              <w:bottom w:val="single" w:sz="8" w:color="auto"/>
            </w:tcBorders>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409"/>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Common Stock Purchase Warrants-Series A</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Common Stock Purchase Warrants-Series B</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Common Stock Purchase Warrants-Series C</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Common Stock Purchase Warrants-Series D</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Common Stock Purchase Warrants-Series E</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Placement Agent Common Stock Purchase Warrants-Series A</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Placement Agent Common Stock Purchase Warrants-Series B</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Placement Agent Common Stock Purchase Warrants-Series C</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Placement Agent Common Stock Purchase Warrants-Series D</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Placement Agent Common Stock Purchase Warrants-Series E</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Opinion of Sanders Ortoli Vaughn-Flam Rosenstadt LLP</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Securities Purchase Agreement, dated as of January 12, 2015, by and among the Company and the Purchasers</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w w:val="89"/>
              </w:rPr>
              <w:t>Placement Agency Agreement, dated as of July 29, 2014 and Amended on January 12, 2015, by and between the Company and H.C. Wainwright &amp;</w:t>
            </w:r>
          </w:p>
        </w:tc>
      </w:tr>
      <w:tr>
        <w:trPr>
          <w:trHeight w:val="211"/>
        </w:trPr>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 LLC</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Finders Agreement, dated as of January 12, 2015, by and between the Company and Olympus Securities LLC</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Consent of Sanders Ortoli Vaughn-Flam Rosenstadt LLP (contained in Exhibit 5.1)</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b w:val="1"/>
                <w:bCs w:val="1"/>
                <w:color w:val="auto"/>
              </w:rPr>
              <w:t>TAPIMMUNE INC.</w:t>
            </w:r>
          </w:p>
        </w:tc>
      </w:tr>
      <w:tr>
        <w:trPr>
          <w:trHeight w:val="383"/>
        </w:trPr>
        <w:tc>
          <w:tcPr>
            <w:tcW w:w="3720" w:type="dxa"/>
            <w:vAlign w:val="bottom"/>
          </w:tcPr>
          <w:p>
            <w:pPr>
              <w:spacing w:after="0"/>
              <w:rPr>
                <w:sz w:val="20"/>
                <w:szCs w:val="20"/>
                <w:color w:val="auto"/>
              </w:rPr>
            </w:pPr>
            <w:r>
              <w:rPr>
                <w:rFonts w:ascii="Arial" w:cs="Arial" w:eastAsia="Arial" w:hAnsi="Arial"/>
                <w:sz w:val="18"/>
                <w:szCs w:val="18"/>
                <w:b w:val="1"/>
                <w:bCs w:val="1"/>
                <w:color w:val="auto"/>
              </w:rPr>
              <w:t>Date: January 12, 2015</w:t>
            </w: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By: /s/ Glynn Wilson</w:t>
            </w:r>
          </w:p>
        </w:tc>
      </w:tr>
      <w:tr>
        <w:trPr>
          <w:trHeight w:val="20"/>
        </w:trPr>
        <w:tc>
          <w:tcPr>
            <w:tcW w:w="3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3720" w:type="dxa"/>
            <w:vAlign w:val="bottom"/>
          </w:tcPr>
          <w:p>
            <w:pPr>
              <w:spacing w:after="0"/>
              <w:rPr>
                <w:sz w:val="18"/>
                <w:szCs w:val="18"/>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Name: Glynn Wilson</w:t>
            </w:r>
          </w:p>
        </w:tc>
      </w:tr>
      <w:tr>
        <w:trPr>
          <w:trHeight w:val="223"/>
        </w:trPr>
        <w:tc>
          <w:tcPr>
            <w:tcW w:w="3720" w:type="dxa"/>
            <w:vAlign w:val="bottom"/>
          </w:tcPr>
          <w:p>
            <w:pPr>
              <w:spacing w:after="0"/>
              <w:rPr>
                <w:sz w:val="19"/>
                <w:szCs w:val="19"/>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Title: Chairman and CEO</w:t>
            </w:r>
          </w:p>
        </w:tc>
      </w:tr>
      <w:tr>
        <w:trPr>
          <w:trHeight w:val="2225"/>
        </w:trPr>
        <w:tc>
          <w:tcPr>
            <w:tcW w:w="3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69"/>
        </w:trPr>
        <w:tc>
          <w:tcPr>
            <w:tcW w:w="3720" w:type="dxa"/>
            <w:vAlign w:val="bottom"/>
            <w:shd w:val="clear" w:color="auto" w:fill="808080"/>
          </w:tcPr>
          <w:p>
            <w:pPr>
              <w:spacing w:after="0"/>
              <w:rPr>
                <w:sz w:val="6"/>
                <w:szCs w:val="6"/>
                <w:color w:val="auto"/>
              </w:rPr>
            </w:pPr>
          </w:p>
        </w:tc>
        <w:tc>
          <w:tcPr>
            <w:tcW w:w="2300" w:type="dxa"/>
            <w:vAlign w:val="bottom"/>
            <w:shd w:val="clear" w:color="auto" w:fill="808080"/>
          </w:tcPr>
          <w:p>
            <w:pPr>
              <w:spacing w:after="0"/>
              <w:rPr>
                <w:sz w:val="6"/>
                <w:szCs w:val="6"/>
                <w:color w:val="auto"/>
              </w:rPr>
            </w:pPr>
          </w:p>
        </w:tc>
        <w:tc>
          <w:tcPr>
            <w:tcW w:w="1180" w:type="dxa"/>
            <w:vAlign w:val="bottom"/>
            <w:shd w:val="clear" w:color="auto" w:fill="808080"/>
          </w:tcPr>
          <w:p>
            <w:pPr>
              <w:spacing w:after="0"/>
              <w:rPr>
                <w:sz w:val="6"/>
                <w:szCs w:val="6"/>
                <w:color w:val="auto"/>
              </w:rPr>
            </w:pPr>
          </w:p>
        </w:tc>
        <w:tc>
          <w:tcPr>
            <w:tcW w:w="4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7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A Warrants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Series A Warrant No.: 1-12-15 –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w:t>
      </w:r>
    </w:p>
    <w:p>
      <w:pPr>
        <w:spacing w:after="0" w:line="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5"/>
          <w:szCs w:val="15"/>
          <w:b w:val="1"/>
          <w:bCs w:val="1"/>
          <w:color w:val="auto"/>
        </w:rPr>
        <w:t>Warrant</w:t>
      </w:r>
      <w:r>
        <w:rPr>
          <w:rFonts w:ascii="Arial" w:cs="Arial" w:eastAsia="Arial" w:hAnsi="Arial"/>
          <w:sz w:val="15"/>
          <w:szCs w:val="15"/>
          <w:color w:val="auto"/>
        </w:rPr>
        <w:t xml:space="preserve">”), at any time or times on or after the Issuance Date but not after 11:59 p.m., New York time, on the Expiration Date (as defined below), </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adjustment as provided herein) fully paid and non-assessable shares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21" w:lineRule="exact"/>
        <w:rPr>
          <w:sz w:val="20"/>
          <w:szCs w:val="20"/>
          <w:color w:val="auto"/>
        </w:rPr>
      </w:pPr>
    </w:p>
    <w:p>
      <w:pPr>
        <w:ind w:left="620" w:hanging="6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firstLine="638"/>
        <w:spacing w:after="0" w:line="279" w:lineRule="auto"/>
        <w:tabs>
          <w:tab w:leader="none" w:pos="131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4" w:name="page5"/>
    <w:bookmarkEnd w:id="4"/>
    <w:p>
      <w:pPr>
        <w:ind w:right="140"/>
        <w:spacing w:after="0" w:line="298" w:lineRule="auto"/>
        <w:rPr>
          <w:sz w:val="20"/>
          <w:szCs w:val="20"/>
          <w:color w:val="auto"/>
        </w:rPr>
      </w:pPr>
      <w:r>
        <w:rPr>
          <w:rFonts w:ascii="Arial" w:cs="Arial" w:eastAsia="Arial" w:hAnsi="Arial"/>
          <w:sz w:val="15"/>
          <w:szCs w:val="15"/>
          <w:color w:val="auto"/>
        </w:rPr>
        <w:t xml:space="preserve">confirmation of receipt of such Exercise Notice, in the form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to the Holder and the Company’s transfer agent (the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On or before the third (3rd ) Trading Day following the date on which the Company has received such Exercise Notice, the Company shall (X)</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Transfer Agent is participating in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 w:lineRule="exact"/>
        <w:rPr>
          <w:sz w:val="20"/>
          <w:szCs w:val="20"/>
          <w:color w:val="auto"/>
        </w:rPr>
      </w:pPr>
    </w:p>
    <w:p>
      <w:pPr>
        <w:ind w:firstLine="5"/>
        <w:spacing w:after="0" w:line="277" w:lineRule="auto"/>
        <w:tabs>
          <w:tab w:leader="none" w:pos="28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9" w:lineRule="exact"/>
        <w:rPr>
          <w:rFonts w:ascii="Arial" w:cs="Arial" w:eastAsia="Arial" w:hAnsi="Arial"/>
          <w:sz w:val="16"/>
          <w:szCs w:val="16"/>
          <w:color w:val="auto"/>
        </w:rPr>
      </w:pPr>
    </w:p>
    <w:p>
      <w:pPr>
        <w:ind w:left="1320" w:hanging="68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$1.50 subject to adjustment as provided herein.</w:t>
      </w:r>
    </w:p>
    <w:p>
      <w:pPr>
        <w:spacing w:after="0" w:line="247" w:lineRule="exact"/>
        <w:rPr>
          <w:rFonts w:ascii="Arial" w:cs="Arial" w:eastAsia="Arial" w:hAnsi="Arial"/>
          <w:sz w:val="18"/>
          <w:szCs w:val="18"/>
          <w:color w:val="auto"/>
        </w:rPr>
      </w:pPr>
    </w:p>
    <w:p>
      <w:pPr>
        <w:ind w:right="120" w:firstLine="638"/>
        <w:spacing w:after="0" w:line="282" w:lineRule="auto"/>
        <w:tabs>
          <w:tab w:leader="none" w:pos="1311"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ind w:right="20"/>
        <w:spacing w:after="0" w:line="276" w:lineRule="auto"/>
        <w:rPr>
          <w:sz w:val="20"/>
          <w:szCs w:val="20"/>
          <w:color w:val="auto"/>
        </w:rPr>
      </w:pPr>
      <w:r>
        <w:rPr>
          <w:rFonts w:ascii="Arial" w:cs="Arial" w:eastAsia="Arial" w:hAnsi="Arial"/>
          <w:sz w:val="16"/>
          <w:szCs w:val="16"/>
          <w:color w:val="auto"/>
        </w:rPr>
        <w:t>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w:t>
      </w:r>
    </w:p>
    <w:p>
      <w:pPr>
        <w:spacing w:after="0" w:line="4" w:lineRule="exact"/>
        <w:rPr>
          <w:sz w:val="20"/>
          <w:szCs w:val="20"/>
          <w:color w:val="auto"/>
        </w:rPr>
      </w:pPr>
    </w:p>
    <w:p>
      <w:pPr>
        <w:ind w:firstLine="5"/>
        <w:spacing w:after="0" w:line="246"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20" w:lineRule="exact"/>
        <w:rPr>
          <w:rFonts w:ascii="Arial" w:cs="Arial" w:eastAsia="Arial" w:hAnsi="Arial"/>
          <w:sz w:val="18"/>
          <w:szCs w:val="18"/>
          <w:color w:val="auto"/>
        </w:rPr>
      </w:pPr>
    </w:p>
    <w:p>
      <w:pPr>
        <w:ind w:right="140" w:firstLine="638"/>
        <w:spacing w:after="0" w:line="287" w:lineRule="auto"/>
        <w:tabs>
          <w:tab w:leader="none" w:pos="132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(other than Section 1(f)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jc w:val="both"/>
        <w:ind w:left="1280"/>
        <w:spacing w:after="0" w:line="282"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42" w:lineRule="exact"/>
        <w:rPr>
          <w:sz w:val="20"/>
          <w:szCs w:val="20"/>
          <w:color w:val="auto"/>
        </w:rPr>
      </w:pPr>
    </w:p>
    <w:p>
      <w:pPr>
        <w:ind w:right="60" w:firstLine="638"/>
        <w:spacing w:after="0" w:line="300" w:lineRule="auto"/>
        <w:tabs>
          <w:tab w:leader="none" w:pos="131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right="20" w:firstLine="638"/>
        <w:spacing w:after="0" w:line="279" w:lineRule="auto"/>
        <w:tabs>
          <w:tab w:leader="none" w:pos="129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ind w:right="60"/>
        <w:spacing w:after="0" w:line="282" w:lineRule="auto"/>
        <w:rPr>
          <w:sz w:val="20"/>
          <w:szCs w:val="20"/>
          <w:color w:val="auto"/>
        </w:rPr>
      </w:pPr>
      <w:r>
        <w:rPr>
          <w:rFonts w:ascii="Arial" w:cs="Arial" w:eastAsia="Arial" w:hAnsi="Arial"/>
          <w:sz w:val="16"/>
          <w:szCs w:val="16"/>
          <w:color w:val="auto"/>
        </w:rPr>
        <w:t>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5" w:lineRule="exact"/>
        <w:rPr>
          <w:sz w:val="20"/>
          <w:szCs w:val="20"/>
          <w:color w:val="auto"/>
        </w:rPr>
      </w:pPr>
    </w:p>
    <w:p>
      <w:pPr>
        <w:ind w:firstLine="638"/>
        <w:spacing w:after="0" w:line="277" w:lineRule="auto"/>
        <w:tabs>
          <w:tab w:leader="none" w:pos="132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ind w:firstLine="638"/>
        <w:spacing w:after="0" w:line="279" w:lineRule="auto"/>
        <w:tabs>
          <w:tab w:leader="none" w:pos="131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9" w:lineRule="exact"/>
        <w:rPr>
          <w:rFonts w:ascii="Arial" w:cs="Arial" w:eastAsia="Arial" w:hAnsi="Arial"/>
          <w:sz w:val="16"/>
          <w:szCs w:val="16"/>
          <w:color w:val="auto"/>
        </w:rPr>
      </w:pPr>
    </w:p>
    <w:p>
      <w:pPr>
        <w:ind w:firstLine="638"/>
        <w:spacing w:after="0" w:line="282" w:lineRule="auto"/>
        <w:tabs>
          <w:tab w:leader="none" w:pos="132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Shares of Common Stock</w:t>
      </w:r>
      <w:r>
        <w:rPr>
          <w:rFonts w:ascii="Arial" w:cs="Arial" w:eastAsia="Arial" w:hAnsi="Arial"/>
          <w:sz w:val="16"/>
          <w:szCs w:val="16"/>
          <w:color w:val="auto"/>
        </w:rPr>
        <w:t>. Except in the event of an Excluded Issuance,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equal to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 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 equal to the New Issuance Price. For all purposes of the foregoing (including, without limitation, determining the adjusted Exercise Price and consideration per share under this Section 2(b), the following shall be applicable:</w:t>
      </w:r>
    </w:p>
    <w:p>
      <w:pPr>
        <w:spacing w:after="0" w:line="195" w:lineRule="exact"/>
        <w:rPr>
          <w:rFonts w:ascii="Arial" w:cs="Arial" w:eastAsia="Arial" w:hAnsi="Arial"/>
          <w:sz w:val="16"/>
          <w:szCs w:val="16"/>
          <w:color w:val="auto"/>
        </w:rPr>
      </w:pPr>
    </w:p>
    <w:p>
      <w:pPr>
        <w:jc w:val="both"/>
        <w:ind w:left="640" w:firstLine="631"/>
        <w:spacing w:after="0" w:line="285" w:lineRule="auto"/>
        <w:tabs>
          <w:tab w:leader="none" w:pos="197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sum of the lowest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6"/>
          <w:szCs w:val="16"/>
          <w:color w:val="auto"/>
        </w:rPr>
        <w:t>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95" w:lineRule="exact"/>
        <w:rPr>
          <w:sz w:val="20"/>
          <w:szCs w:val="20"/>
          <w:color w:val="auto"/>
        </w:rPr>
      </w:pPr>
    </w:p>
    <w:p>
      <w:pPr>
        <w:jc w:val="both"/>
        <w:ind w:firstLine="789"/>
        <w:spacing w:after="0" w:line="279" w:lineRule="auto"/>
        <w:tabs>
          <w:tab w:leader="none" w:pos="148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99" w:lineRule="exact"/>
        <w:rPr>
          <w:rFonts w:ascii="Arial" w:cs="Arial" w:eastAsia="Arial" w:hAnsi="Arial"/>
          <w:sz w:val="16"/>
          <w:szCs w:val="16"/>
          <w:color w:val="auto"/>
        </w:rPr>
      </w:pPr>
    </w:p>
    <w:p>
      <w:pPr>
        <w:jc w:val="both"/>
        <w:ind w:firstLine="789"/>
        <w:spacing w:after="0" w:line="280" w:lineRule="auto"/>
        <w:tabs>
          <w:tab w:leader="none" w:pos="174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200" w:lineRule="exact"/>
        <w:rPr>
          <w:sz w:val="20"/>
          <w:szCs w:val="20"/>
          <w:color w:val="auto"/>
        </w:rPr>
      </w:pPr>
    </w:p>
    <w:p>
      <w:pPr>
        <w:spacing w:after="0" w:line="38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74930</wp:posOffset>
            </wp:positionV>
            <wp:extent cx="7254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780"/>
          </w:cols>
          <w:pgMar w:left="880" w:top="509" w:right="239" w:bottom="1440" w:gutter="0" w:footer="0" w:header="0"/>
        </w:sectPr>
      </w:pPr>
    </w:p>
    <w:bookmarkStart w:id="10" w:name="page11"/>
    <w:bookmarkEnd w:id="10"/>
    <w:p>
      <w:pPr>
        <w:jc w:val="both"/>
        <w:ind w:left="-560" w:firstLine="789"/>
        <w:spacing w:after="0" w:line="291" w:lineRule="auto"/>
        <w:tabs>
          <w:tab w:leader="none" w:pos="1034"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Calculation of Consideration Received</w:t>
      </w:r>
      <w:r>
        <w:rPr>
          <w:rFonts w:ascii="Arial" w:cs="Arial" w:eastAsia="Arial" w:hAnsi="Arial"/>
          <w:sz w:val="15"/>
          <w:szCs w:val="15"/>
          <w:color w:val="auto"/>
        </w:rPr>
        <w:t>.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5"/>
          <w:szCs w:val="15"/>
          <w:b w:val="1"/>
          <w:bCs w:val="1"/>
          <w:color w:val="auto"/>
        </w:rPr>
        <w:t>Valuation Event</w:t>
      </w:r>
      <w:r>
        <w:rPr>
          <w:rFonts w:ascii="Arial" w:cs="Arial" w:eastAsia="Arial" w:hAnsi="Arial"/>
          <w:sz w:val="15"/>
          <w:szCs w:val="15"/>
          <w:color w:val="auto"/>
        </w:rPr>
        <w:t>”), the fair value of such consideration will be determined within five (5) Trading Days after the tenth (10</w:t>
      </w:r>
      <w:r>
        <w:rPr>
          <w:rFonts w:ascii="Arial" w:cs="Arial" w:eastAsia="Arial" w:hAnsi="Arial"/>
          <w:sz w:val="20"/>
          <w:szCs w:val="20"/>
          <w:color w:val="auto"/>
          <w:vertAlign w:val="superscript"/>
        </w:rPr>
        <w:t>th</w:t>
      </w:r>
      <w:r>
        <w:rPr>
          <w:rFonts w:ascii="Arial" w:cs="Arial" w:eastAsia="Arial" w:hAnsi="Arial"/>
          <w:sz w:val="15"/>
          <w:szCs w:val="15"/>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rFonts w:ascii="Arial" w:cs="Arial" w:eastAsia="Arial" w:hAnsi="Arial"/>
          <w:sz w:val="15"/>
          <w:szCs w:val="15"/>
          <w:color w:val="auto"/>
        </w:rPr>
      </w:pPr>
    </w:p>
    <w:p>
      <w:pPr>
        <w:jc w:val="both"/>
        <w:ind w:left="-560" w:firstLine="789"/>
        <w:spacing w:after="0" w:line="249" w:lineRule="auto"/>
        <w:tabs>
          <w:tab w:leader="none" w:pos="10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11" w:name="page12"/>
    <w:bookmarkEnd w:id="11"/>
    <w:p>
      <w:pPr>
        <w:ind w:left="-5" w:right="40" w:firstLine="638"/>
        <w:spacing w:after="0" w:line="282" w:lineRule="auto"/>
        <w:tabs>
          <w:tab w:leader="none" w:pos="130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2(c)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1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15" w:lineRule="exact"/>
        <w:rPr>
          <w:rFonts w:ascii="Arial" w:cs="Arial" w:eastAsia="Arial" w:hAnsi="Arial"/>
          <w:sz w:val="18"/>
          <w:szCs w:val="18"/>
          <w:color w:val="auto"/>
        </w:rPr>
      </w:pPr>
    </w:p>
    <w:p>
      <w:pPr>
        <w:ind w:left="-5" w:firstLine="5"/>
        <w:spacing w:after="0" w:line="279" w:lineRule="auto"/>
        <w:tabs>
          <w:tab w:leader="none" w:pos="60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12" w:name="page13"/>
    <w:bookmarkEnd w:id="12"/>
    <w:p>
      <w:pPr>
        <w:ind w:left="620" w:hanging="615"/>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0" w:lineRule="auto"/>
        <w:tabs>
          <w:tab w:leader="none" w:pos="1311"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jc w:val="both"/>
        <w:ind w:firstLine="638"/>
        <w:spacing w:after="0" w:line="278" w:lineRule="auto"/>
        <w:tabs>
          <w:tab w:leader="none" w:pos="1321"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3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jc w:val="both"/>
        <w:ind w:firstLine="638"/>
        <w:spacing w:after="0" w:line="301" w:lineRule="auto"/>
        <w:tabs>
          <w:tab w:leader="none" w:pos="1430" w:val="left"/>
        </w:tabs>
        <w:numPr>
          <w:ilvl w:val="1"/>
          <w:numId w:val="16"/>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xml:space="preserve">. Notwithstanding the foregoing and the provisions of Section </w:t>
      </w:r>
      <w:r>
        <w:rPr>
          <w:rFonts w:ascii="Arial" w:cs="Arial" w:eastAsia="Arial" w:hAnsi="Arial"/>
          <w:sz w:val="15"/>
          <w:szCs w:val="15"/>
          <w:u w:val="single" w:color="auto"/>
          <w:color w:val="0000EE"/>
        </w:rPr>
        <w:t>4(b)</w:t>
      </w:r>
      <w:r>
        <w:rPr>
          <w:rFonts w:ascii="Arial" w:cs="Arial" w:eastAsia="Arial" w:hAnsi="Arial"/>
          <w:sz w:val="15"/>
          <w:szCs w:val="15"/>
          <w:color w:val="auto"/>
        </w:rPr>
        <w:t xml:space="preserve"> above, at the request of the Holder delivered at any time commencing on the earliest to occur of (x) the public disclosure of any Fundamental Transaction, (y) the consummation of any Fundamental Transaction and</w:t>
      </w:r>
    </w:p>
    <w:p>
      <w:pPr>
        <w:jc w:val="both"/>
        <w:ind w:firstLine="5"/>
        <w:spacing w:after="0" w:line="292"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86" w:lineRule="exact"/>
        <w:rPr>
          <w:rFonts w:ascii="Arial" w:cs="Arial" w:eastAsia="Arial" w:hAnsi="Arial"/>
          <w:sz w:val="16"/>
          <w:szCs w:val="16"/>
          <w:color w:val="auto"/>
        </w:rPr>
      </w:pPr>
    </w:p>
    <w:p>
      <w:pPr>
        <w:jc w:val="both"/>
        <w:ind w:firstLine="638"/>
        <w:spacing w:after="0" w:line="249" w:lineRule="auto"/>
        <w:tabs>
          <w:tab w:leader="none" w:pos="137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ind w:right="40" w:firstLine="5"/>
        <w:spacing w:after="0" w:line="280" w:lineRule="auto"/>
        <w:tabs>
          <w:tab w:leader="none" w:pos="61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p>
      <w:pPr>
        <w:ind w:right="20" w:firstLine="638"/>
        <w:spacing w:after="0" w:line="287" w:lineRule="auto"/>
        <w:tabs>
          <w:tab w:leader="none" w:pos="1321"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p>
      <w:pPr>
        <w:ind w:firstLine="5"/>
        <w:spacing w:after="0" w:line="249" w:lineRule="auto"/>
        <w:tabs>
          <w:tab w:leader="none" w:pos="61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40" w:firstLine="5"/>
        <w:spacing w:after="0" w:line="282" w:lineRule="auto"/>
        <w:tabs>
          <w:tab w:leader="none" w:pos="70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5" w:lineRule="exact"/>
        <w:rPr>
          <w:rFonts w:ascii="Arial" w:cs="Arial" w:eastAsia="Arial" w:hAnsi="Arial"/>
          <w:sz w:val="16"/>
          <w:szCs w:val="16"/>
          <w:color w:val="auto"/>
        </w:rPr>
      </w:pPr>
    </w:p>
    <w:p>
      <w:pPr>
        <w:ind w:right="40" w:firstLine="5"/>
        <w:spacing w:after="0" w:line="276" w:lineRule="auto"/>
        <w:tabs>
          <w:tab w:leader="none" w:pos="69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2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20" w:firstLine="5"/>
        <w:spacing w:after="0" w:line="291" w:lineRule="auto"/>
        <w:tabs>
          <w:tab w:leader="none" w:pos="70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ind w:left="-5" w:firstLine="5"/>
        <w:spacing w:after="0" w:line="278" w:lineRule="auto"/>
        <w:tabs>
          <w:tab w:leader="none" w:pos="69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4" w:lineRule="exact"/>
        <w:rPr>
          <w:rFonts w:ascii="Arial" w:cs="Arial" w:eastAsia="Arial" w:hAnsi="Arial"/>
          <w:sz w:val="16"/>
          <w:szCs w:val="16"/>
          <w:color w:val="auto"/>
        </w:rPr>
      </w:pPr>
    </w:p>
    <w:p>
      <w:pPr>
        <w:ind w:left="-5" w:firstLine="5"/>
        <w:spacing w:after="0" w:line="278" w:lineRule="auto"/>
        <w:tabs>
          <w:tab w:leader="none" w:pos="69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387"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18" w:name="page19"/>
    <w:bookmarkEnd w:id="18"/>
    <w:p>
      <w:pPr>
        <w:ind w:left="695" w:hanging="695"/>
        <w:spacing w:after="0"/>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41" w:lineRule="exact"/>
        <w:rPr>
          <w:rFonts w:ascii="Arial" w:cs="Arial" w:eastAsia="Arial" w:hAnsi="Arial"/>
          <w:sz w:val="18"/>
          <w:szCs w:val="18"/>
          <w:color w:val="auto"/>
        </w:rPr>
      </w:pPr>
    </w:p>
    <w:p>
      <w:pPr>
        <w:ind w:left="695" w:hanging="695"/>
        <w:spacing w:after="0"/>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rFonts w:ascii="Arial" w:cs="Arial" w:eastAsia="Arial" w:hAnsi="Arial"/>
          <w:sz w:val="18"/>
          <w:szCs w:val="18"/>
          <w:color w:val="auto"/>
        </w:rPr>
      </w:pPr>
    </w:p>
    <w:p>
      <w:pPr>
        <w:ind w:left="-5" w:firstLine="638"/>
        <w:spacing w:after="0" w:line="280" w:lineRule="auto"/>
        <w:tabs>
          <w:tab w:leader="none" w:pos="1306"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left="-5" w:right="60" w:firstLine="638"/>
        <w:spacing w:after="0" w:line="283" w:lineRule="auto"/>
        <w:tabs>
          <w:tab w:leader="none" w:pos="1315"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200" w:lineRule="exact"/>
        <w:rPr>
          <w:sz w:val="20"/>
          <w:szCs w:val="20"/>
          <w:color w:val="auto"/>
        </w:rPr>
      </w:pPr>
    </w:p>
    <w:p>
      <w:pPr>
        <w:spacing w:after="0" w:line="378"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19" w:name="page20"/>
    <w:bookmarkEnd w:id="19"/>
    <w:p>
      <w:pPr>
        <w:ind w:right="20" w:firstLine="638"/>
        <w:spacing w:after="0" w:line="279" w:lineRule="auto"/>
        <w:tabs>
          <w:tab w:leader="none" w:pos="13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4(a)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20" w:hanging="682"/>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100" w:firstLine="638"/>
        <w:spacing w:after="0" w:line="269"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p>
      <w:pPr>
        <w:ind w:left="-20" w:right="300" w:firstLine="638"/>
        <w:spacing w:after="0" w:line="269" w:lineRule="auto"/>
        <w:tabs>
          <w:tab w:leader="none" w:pos="13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80" w:firstLine="638"/>
        <w:spacing w:after="0" w:line="269" w:lineRule="auto"/>
        <w:tabs>
          <w:tab w:leader="none" w:pos="1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40" w:firstLine="638"/>
        <w:spacing w:after="0" w:line="250" w:lineRule="auto"/>
        <w:tabs>
          <w:tab w:leader="none" w:pos="1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Issuance</w:t>
      </w:r>
      <w:r>
        <w:rPr>
          <w:rFonts w:ascii="Arial" w:cs="Arial" w:eastAsia="Arial" w:hAnsi="Arial"/>
          <w:sz w:val="18"/>
          <w:szCs w:val="18"/>
          <w:color w:val="auto"/>
        </w:rPr>
        <w:t>” means (i) any issuance of Common Stock or Convertible Securities prior to March 1, 2015 to Dart Asset Management (or any affiliate thereof) on terms that are materially similar to (or less advantageous to Dart Asset Management (or an affiliate thereof) than) those under which the Buyer purchased the Securities, (ii) any issuance of Common Stock or Convertible Securities pursuant to the Company’s Omnibus Stock Option Plan and (iii) any issuance of Common Stock or Convertible Securities for assets, the conversion of existing debt or any other consideration other than cash or a cash equivalent.</w:t>
      </w:r>
    </w:p>
    <w:p>
      <w:pPr>
        <w:spacing w:after="0" w:line="213" w:lineRule="exact"/>
        <w:rPr>
          <w:rFonts w:ascii="Arial" w:cs="Arial" w:eastAsia="Arial" w:hAnsi="Arial"/>
          <w:sz w:val="18"/>
          <w:szCs w:val="18"/>
          <w:color w:val="auto"/>
        </w:rPr>
      </w:pPr>
    </w:p>
    <w:p>
      <w:pPr>
        <w:ind w:left="-20" w:right="240" w:firstLine="638"/>
        <w:spacing w:after="0" w:line="269" w:lineRule="auto"/>
        <w:tabs>
          <w:tab w:leader="none" w:pos="13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95" w:lineRule="exact"/>
        <w:rPr>
          <w:rFonts w:ascii="Arial" w:cs="Arial" w:eastAsia="Arial" w:hAnsi="Arial"/>
          <w:sz w:val="18"/>
          <w:szCs w:val="18"/>
          <w:color w:val="auto"/>
        </w:rPr>
      </w:pPr>
    </w:p>
    <w:p>
      <w:pPr>
        <w:ind w:left="-20" w:firstLine="638"/>
        <w:spacing w:after="0" w:line="278" w:lineRule="auto"/>
        <w:tabs>
          <w:tab w:leader="none" w:pos="12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21" w:name="page22"/>
    <w:bookmarkEnd w:id="21"/>
    <w:p>
      <w:pPr>
        <w:ind w:left="1380" w:hanging="742"/>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right="80" w:firstLine="638"/>
        <w:spacing w:after="0" w:line="257" w:lineRule="auto"/>
        <w:tabs>
          <w:tab w:leader="none" w:pos="13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right="20" w:firstLine="638"/>
        <w:spacing w:after="0" w:line="269" w:lineRule="auto"/>
        <w:tabs>
          <w:tab w:leader="none" w:pos="13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20" w:hanging="682"/>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right="80" w:firstLine="638"/>
        <w:spacing w:after="0" w:line="371" w:lineRule="auto"/>
        <w:tabs>
          <w:tab w:leader="none" w:pos="1321" w:val="left"/>
        </w:tabs>
        <w:numPr>
          <w:ilvl w:val="0"/>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firstLine="638"/>
        <w:spacing w:after="0" w:line="284" w:lineRule="auto"/>
        <w:tabs>
          <w:tab w:leader="none" w:pos="12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2" w:name="page23"/>
    <w:bookmarkEnd w:id="22"/>
    <w:p>
      <w:pPr>
        <w:ind w:firstLine="638"/>
        <w:spacing w:after="0" w:line="280" w:lineRule="auto"/>
        <w:tabs>
          <w:tab w:leader="none" w:pos="12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20" w:type="dxa"/>
            <w:vAlign w:val="bottom"/>
            <w:gridSpan w:val="2"/>
          </w:tcPr>
          <w:p>
            <w:pPr>
              <w:ind w:left="960"/>
              <w:spacing w:after="0"/>
              <w:rPr>
                <w:sz w:val="20"/>
                <w:szCs w:val="20"/>
                <w:color w:val="auto"/>
              </w:rPr>
            </w:pPr>
            <w:r>
              <w:rPr>
                <w:rFonts w:ascii="Arial" w:cs="Arial" w:eastAsia="Arial" w:hAnsi="Arial"/>
                <w:sz w:val="18"/>
                <w:szCs w:val="18"/>
                <w:b w:val="1"/>
                <w:bCs w:val="1"/>
                <w:color w:val="auto"/>
              </w:rPr>
              <w:t>TAPIMMUNE INC.</w:t>
            </w:r>
          </w:p>
        </w:tc>
        <w:tc>
          <w:tcPr>
            <w:tcW w:w="1200" w:type="dxa"/>
            <w:vAlign w:val="bottom"/>
          </w:tcPr>
          <w:p>
            <w:pPr>
              <w:spacing w:after="0"/>
              <w:rPr>
                <w:sz w:val="19"/>
                <w:szCs w:val="19"/>
                <w:color w:val="auto"/>
              </w:rPr>
            </w:pPr>
          </w:p>
        </w:tc>
      </w:tr>
      <w:tr>
        <w:trPr>
          <w:trHeight w:val="431"/>
        </w:trPr>
        <w:tc>
          <w:tcPr>
            <w:tcW w:w="10020" w:type="dxa"/>
            <w:vAlign w:val="bottom"/>
            <w:gridSpan w:val="6"/>
          </w:tcPr>
          <w:p>
            <w:pPr>
              <w:ind w:left="640"/>
              <w:spacing w:after="0"/>
              <w:rPr>
                <w:sz w:val="20"/>
                <w:szCs w:val="20"/>
                <w:color w:val="auto"/>
              </w:rPr>
            </w:pPr>
            <w:r>
              <w:rPr>
                <w:rFonts w:ascii="Arial" w:cs="Arial" w:eastAsia="Arial" w:hAnsi="Arial"/>
                <w:sz w:val="18"/>
                <w:szCs w:val="18"/>
                <w:color w:val="auto"/>
              </w:rPr>
              <w:t>The undersigned holder hereby exercises the right to purchase</w:t>
            </w:r>
          </w:p>
        </w:tc>
        <w:tc>
          <w:tcPr>
            <w:tcW w:w="1200" w:type="dxa"/>
            <w:vAlign w:val="bottom"/>
          </w:tcPr>
          <w:p>
            <w:pPr>
              <w:ind w:left="120"/>
              <w:spacing w:after="0"/>
              <w:rPr>
                <w:sz w:val="20"/>
                <w:szCs w:val="20"/>
                <w:color w:val="auto"/>
              </w:rPr>
            </w:pPr>
            <w:r>
              <w:rPr>
                <w:rFonts w:ascii="Arial" w:cs="Arial" w:eastAsia="Arial" w:hAnsi="Arial"/>
                <w:sz w:val="18"/>
                <w:szCs w:val="18"/>
                <w:color w:val="auto"/>
                <w:w w:val="85"/>
              </w:rPr>
              <w:t>of the shares of</w:t>
            </w:r>
          </w:p>
        </w:tc>
      </w:tr>
      <w:tr>
        <w:trPr>
          <w:trHeight w:val="211"/>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Common Stock (“</w:t>
            </w:r>
            <w:r>
              <w:rPr>
                <w:rFonts w:ascii="Arial" w:cs="Arial" w:eastAsia="Arial" w:hAnsi="Arial"/>
                <w:sz w:val="18"/>
                <w:szCs w:val="18"/>
                <w:b w:val="1"/>
                <w:bCs w:val="1"/>
                <w:color w:val="auto"/>
                <w:w w:val="91"/>
              </w:rPr>
              <w:t>Warrant Shares</w:t>
            </w:r>
            <w:r>
              <w:rPr>
                <w:rFonts w:ascii="Arial" w:cs="Arial" w:eastAsia="Arial" w:hAnsi="Arial"/>
                <w:sz w:val="18"/>
                <w:szCs w:val="18"/>
                <w:color w:val="auto"/>
                <w:w w:val="91"/>
              </w:rPr>
              <w:t>”) of TapImmune Inc., a Nevada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evidenced by Series A Warrant No.  (the</w:t>
            </w:r>
          </w:p>
        </w:tc>
        <w:tc>
          <w:tcPr>
            <w:tcW w:w="1200" w:type="dxa"/>
            <w:vAlign w:val="bottom"/>
          </w:tcPr>
          <w:p>
            <w:pPr>
              <w:spacing w:after="0"/>
              <w:rPr>
                <w:sz w:val="18"/>
                <w:szCs w:val="18"/>
                <w:color w:val="auto"/>
              </w:rPr>
            </w:pPr>
          </w:p>
        </w:tc>
      </w:tr>
      <w:tr>
        <w:trPr>
          <w:trHeight w:val="229"/>
        </w:trPr>
        <w:tc>
          <w:tcPr>
            <w:tcW w:w="1002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Warrant</w:t>
            </w:r>
            <w:r>
              <w:rPr>
                <w:rFonts w:ascii="Arial" w:cs="Arial" w:eastAsia="Arial" w:hAnsi="Arial"/>
                <w:sz w:val="18"/>
                <w:szCs w:val="18"/>
                <w:color w:val="auto"/>
                <w:w w:val="97"/>
              </w:rPr>
              <w:t>”). Capitalized terms used herein and not otherwise defined shall have the respective meanings set forth in the Warrant.</w:t>
            </w:r>
          </w:p>
        </w:tc>
        <w:tc>
          <w:tcPr>
            <w:tcW w:w="1200" w:type="dxa"/>
            <w:vAlign w:val="bottom"/>
          </w:tcPr>
          <w:p>
            <w:pPr>
              <w:spacing w:after="0"/>
              <w:rPr>
                <w:sz w:val="19"/>
                <w:szCs w:val="19"/>
                <w:color w:val="auto"/>
              </w:rPr>
            </w:pPr>
          </w:p>
        </w:tc>
      </w:tr>
      <w:tr>
        <w:trPr>
          <w:trHeight w:val="409"/>
        </w:trPr>
        <w:tc>
          <w:tcPr>
            <w:tcW w:w="1260" w:type="dxa"/>
            <w:vAlign w:val="bottom"/>
          </w:tcPr>
          <w:p>
            <w:pPr>
              <w:ind w:left="640"/>
              <w:spacing w:after="0"/>
              <w:rPr>
                <w:sz w:val="20"/>
                <w:szCs w:val="20"/>
                <w:color w:val="auto"/>
              </w:rPr>
            </w:pPr>
            <w:r>
              <w:rPr>
                <w:rFonts w:ascii="Arial" w:cs="Arial" w:eastAsia="Arial" w:hAnsi="Arial"/>
                <w:sz w:val="18"/>
                <w:szCs w:val="18"/>
                <w:color w:val="auto"/>
              </w:rPr>
              <w:t>1.</w:t>
            </w:r>
          </w:p>
        </w:tc>
        <w:tc>
          <w:tcPr>
            <w:tcW w:w="8760" w:type="dxa"/>
            <w:vAlign w:val="bottom"/>
            <w:gridSpan w:val="5"/>
          </w:tcPr>
          <w:p>
            <w:pPr>
              <w:spacing w:after="0"/>
              <w:rPr>
                <w:sz w:val="20"/>
                <w:szCs w:val="20"/>
                <w:color w:val="auto"/>
              </w:rPr>
            </w:pPr>
            <w:r>
              <w:rPr>
                <w:rFonts w:ascii="Arial" w:cs="Arial" w:eastAsia="Arial" w:hAnsi="Arial"/>
                <w:sz w:val="18"/>
                <w:szCs w:val="18"/>
                <w:color w:val="auto"/>
              </w:rPr>
              <w:t>Form of Exercise Price. The Holder intends that payment of the Exercise Price shall be made as:</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1260" w:type="dxa"/>
            <w:vAlign w:val="bottom"/>
          </w:tcPr>
          <w:p>
            <w:pPr>
              <w:spacing w:after="0"/>
              <w:rPr>
                <w:sz w:val="24"/>
                <w:szCs w:val="24"/>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_____________________</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a “Cash Exercise” with respect to ______________ Warrant Shares; and/or</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_____________________</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a “Cashless Exercise” with respect to ___________ Warrant Shares.</w:t>
            </w:r>
          </w:p>
        </w:tc>
        <w:tc>
          <w:tcPr>
            <w:tcW w:w="1200" w:type="dxa"/>
            <w:vAlign w:val="bottom"/>
          </w:tcPr>
          <w:p>
            <w:pPr>
              <w:spacing w:after="0"/>
              <w:rPr>
                <w:sz w:val="24"/>
                <w:szCs w:val="24"/>
                <w:color w:val="auto"/>
              </w:rPr>
            </w:pP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B Warrants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Series B Warrant No.: 1-12-15 –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w:t>
      </w:r>
    </w:p>
    <w:p>
      <w:pPr>
        <w:spacing w:after="0" w:line="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5"/>
          <w:szCs w:val="15"/>
          <w:b w:val="1"/>
          <w:bCs w:val="1"/>
          <w:color w:val="auto"/>
        </w:rPr>
        <w:t>Warrant</w:t>
      </w:r>
      <w:r>
        <w:rPr>
          <w:rFonts w:ascii="Arial" w:cs="Arial" w:eastAsia="Arial" w:hAnsi="Arial"/>
          <w:sz w:val="15"/>
          <w:szCs w:val="15"/>
          <w:color w:val="auto"/>
        </w:rPr>
        <w:t xml:space="preserve">”), at any time or times on or after the Issuance Date but not after 11:59 p.m., New York time, on the Expiration Date (as defined below), </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adjustment as provided herein) fully paid and non-assessable shares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21" w:lineRule="exact"/>
        <w:rPr>
          <w:sz w:val="20"/>
          <w:szCs w:val="20"/>
          <w:color w:val="auto"/>
        </w:rPr>
      </w:pPr>
    </w:p>
    <w:p>
      <w:pPr>
        <w:ind w:left="620" w:hanging="615"/>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41" w:lineRule="exact"/>
        <w:rPr>
          <w:rFonts w:ascii="Arial" w:cs="Arial" w:eastAsia="Arial" w:hAnsi="Arial"/>
          <w:sz w:val="18"/>
          <w:szCs w:val="18"/>
          <w:color w:val="auto"/>
        </w:rPr>
      </w:pPr>
    </w:p>
    <w:p>
      <w:pPr>
        <w:ind w:firstLine="638"/>
        <w:spacing w:after="0" w:line="279" w:lineRule="auto"/>
        <w:tabs>
          <w:tab w:leader="none" w:pos="1311"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28" w:name="page29"/>
    <w:bookmarkEnd w:id="28"/>
    <w:p>
      <w:pPr>
        <w:ind w:right="140"/>
        <w:spacing w:after="0" w:line="298" w:lineRule="auto"/>
        <w:rPr>
          <w:sz w:val="20"/>
          <w:szCs w:val="20"/>
          <w:color w:val="auto"/>
        </w:rPr>
      </w:pPr>
      <w:r>
        <w:rPr>
          <w:rFonts w:ascii="Arial" w:cs="Arial" w:eastAsia="Arial" w:hAnsi="Arial"/>
          <w:sz w:val="15"/>
          <w:szCs w:val="15"/>
          <w:color w:val="auto"/>
        </w:rPr>
        <w:t xml:space="preserve">confirmation of receipt of such Exercise Notice, in the form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to the Holder and the Company’s transfer agent (the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On or before the third (3rd ) Trading Day following the date on which the Company has received such Exercise Notice, the Company shall (X)</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Transfer Agent is participating in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 w:lineRule="exact"/>
        <w:rPr>
          <w:sz w:val="20"/>
          <w:szCs w:val="20"/>
          <w:color w:val="auto"/>
        </w:rPr>
      </w:pPr>
    </w:p>
    <w:p>
      <w:pPr>
        <w:ind w:firstLine="5"/>
        <w:spacing w:after="0" w:line="277" w:lineRule="auto"/>
        <w:tabs>
          <w:tab w:leader="none" w:pos="2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9" w:lineRule="exact"/>
        <w:rPr>
          <w:rFonts w:ascii="Arial" w:cs="Arial" w:eastAsia="Arial" w:hAnsi="Arial"/>
          <w:sz w:val="16"/>
          <w:szCs w:val="16"/>
          <w:color w:val="auto"/>
        </w:rPr>
      </w:pPr>
    </w:p>
    <w:p>
      <w:pPr>
        <w:ind w:left="1320" w:hanging="682"/>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$0.40 subject to adjustment as provided herein.</w:t>
      </w:r>
    </w:p>
    <w:p>
      <w:pPr>
        <w:spacing w:after="0" w:line="247" w:lineRule="exact"/>
        <w:rPr>
          <w:rFonts w:ascii="Arial" w:cs="Arial" w:eastAsia="Arial" w:hAnsi="Arial"/>
          <w:sz w:val="18"/>
          <w:szCs w:val="18"/>
          <w:color w:val="auto"/>
        </w:rPr>
      </w:pPr>
    </w:p>
    <w:p>
      <w:pPr>
        <w:ind w:right="120" w:firstLine="638"/>
        <w:spacing w:after="0" w:line="282" w:lineRule="auto"/>
        <w:tabs>
          <w:tab w:leader="none" w:pos="1311"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9" w:name="page30"/>
    <w:bookmarkEnd w:id="29"/>
    <w:p>
      <w:pPr>
        <w:ind w:right="20"/>
        <w:spacing w:after="0" w:line="276" w:lineRule="auto"/>
        <w:rPr>
          <w:sz w:val="20"/>
          <w:szCs w:val="20"/>
          <w:color w:val="auto"/>
        </w:rPr>
      </w:pPr>
      <w:r>
        <w:rPr>
          <w:rFonts w:ascii="Arial" w:cs="Arial" w:eastAsia="Arial" w:hAnsi="Arial"/>
          <w:sz w:val="16"/>
          <w:szCs w:val="16"/>
          <w:color w:val="auto"/>
        </w:rPr>
        <w:t>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w:t>
      </w:r>
    </w:p>
    <w:p>
      <w:pPr>
        <w:spacing w:after="0" w:line="4" w:lineRule="exact"/>
        <w:rPr>
          <w:sz w:val="20"/>
          <w:szCs w:val="20"/>
          <w:color w:val="auto"/>
        </w:rPr>
      </w:pPr>
    </w:p>
    <w:p>
      <w:pPr>
        <w:ind w:firstLine="5"/>
        <w:spacing w:after="0" w:line="244"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 w:lineRule="exact"/>
        <w:rPr>
          <w:rFonts w:ascii="Arial" w:cs="Arial" w:eastAsia="Arial" w:hAnsi="Arial"/>
          <w:sz w:val="18"/>
          <w:szCs w:val="18"/>
          <w:color w:val="auto"/>
        </w:rPr>
      </w:pPr>
    </w:p>
    <w:p>
      <w:pPr>
        <w:ind w:right="140" w:firstLine="638"/>
        <w:spacing w:after="0" w:line="283" w:lineRule="auto"/>
        <w:tabs>
          <w:tab w:leader="none" w:pos="1321"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42" w:lineRule="exact"/>
        <w:rPr>
          <w:sz w:val="20"/>
          <w:szCs w:val="20"/>
          <w:color w:val="auto"/>
        </w:rPr>
      </w:pPr>
    </w:p>
    <w:p>
      <w:pPr>
        <w:ind w:right="60" w:firstLine="638"/>
        <w:spacing w:after="0" w:line="300"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80" w:lineRule="exact"/>
        <w:rPr>
          <w:rFonts w:ascii="Arial" w:cs="Arial" w:eastAsia="Arial" w:hAnsi="Arial"/>
          <w:sz w:val="16"/>
          <w:szCs w:val="16"/>
          <w:color w:val="auto"/>
        </w:rPr>
      </w:pPr>
    </w:p>
    <w:p>
      <w:pPr>
        <w:ind w:right="20" w:firstLine="638"/>
        <w:spacing w:after="0" w:line="279"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ind w:right="60"/>
        <w:spacing w:after="0" w:line="282" w:lineRule="auto"/>
        <w:rPr>
          <w:sz w:val="20"/>
          <w:szCs w:val="20"/>
          <w:color w:val="auto"/>
        </w:rPr>
      </w:pPr>
      <w:r>
        <w:rPr>
          <w:rFonts w:ascii="Arial" w:cs="Arial" w:eastAsia="Arial" w:hAnsi="Arial"/>
          <w:sz w:val="16"/>
          <w:szCs w:val="16"/>
          <w:color w:val="auto"/>
        </w:rPr>
        <w:t>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5" w:lineRule="exact"/>
        <w:rPr>
          <w:sz w:val="20"/>
          <w:szCs w:val="20"/>
          <w:color w:val="auto"/>
        </w:rPr>
      </w:pPr>
    </w:p>
    <w:p>
      <w:pPr>
        <w:ind w:firstLine="638"/>
        <w:spacing w:after="0" w:line="277" w:lineRule="auto"/>
        <w:tabs>
          <w:tab w:leader="none" w:pos="1321"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left="-20" w:firstLine="638"/>
        <w:spacing w:after="0" w:line="279" w:lineRule="auto"/>
        <w:tabs>
          <w:tab w:leader="none" w:pos="129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9" w:lineRule="exact"/>
        <w:rPr>
          <w:rFonts w:ascii="Arial" w:cs="Arial" w:eastAsia="Arial" w:hAnsi="Arial"/>
          <w:sz w:val="16"/>
          <w:szCs w:val="16"/>
          <w:color w:val="auto"/>
        </w:rPr>
      </w:pPr>
    </w:p>
    <w:p>
      <w:pPr>
        <w:ind w:left="-20" w:right="60" w:firstLine="638"/>
        <w:spacing w:after="0" w:line="282" w:lineRule="auto"/>
        <w:tabs>
          <w:tab w:leader="none" w:pos="130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14 of this Warrant.</w:t>
      </w:r>
    </w:p>
    <w:p>
      <w:pPr>
        <w:spacing w:after="0" w:line="195" w:lineRule="exact"/>
        <w:rPr>
          <w:rFonts w:ascii="Arial" w:cs="Arial" w:eastAsia="Arial" w:hAnsi="Arial"/>
          <w:sz w:val="16"/>
          <w:szCs w:val="16"/>
          <w:color w:val="auto"/>
        </w:rPr>
      </w:pPr>
    </w:p>
    <w:p>
      <w:pPr>
        <w:ind w:left="-20" w:right="100" w:firstLine="638"/>
        <w:spacing w:after="0" w:line="253" w:lineRule="auto"/>
        <w:tabs>
          <w:tab w:leader="none" w:pos="12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41" w:lineRule="exact"/>
        <w:rPr>
          <w:rFonts w:ascii="Arial" w:cs="Arial" w:eastAsia="Arial" w:hAnsi="Arial"/>
          <w:sz w:val="18"/>
          <w:szCs w:val="18"/>
          <w:color w:val="auto"/>
        </w:rPr>
      </w:pPr>
    </w:p>
    <w:p>
      <w:pPr>
        <w:ind w:left="-20" w:right="220" w:firstLine="638"/>
        <w:spacing w:after="0" w:line="232" w:lineRule="auto"/>
        <w:tabs>
          <w:tab w:leader="none" w:pos="1332" w:val="left"/>
        </w:tabs>
        <w:numPr>
          <w:ilvl w:val="0"/>
          <w:numId w:val="36"/>
        </w:numPr>
        <w:rPr>
          <w:rFonts w:ascii="Arial" w:cs="Arial" w:eastAsia="Arial" w:hAnsi="Arial"/>
          <w:sz w:val="21"/>
          <w:szCs w:val="21"/>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483" w:right="239" w:bottom="1440" w:gutter="0" w:footer="0" w:header="0"/>
        </w:sectPr>
      </w:pPr>
    </w:p>
    <w:bookmarkStart w:id="33" w:name="page34"/>
    <w:bookmarkEnd w:id="33"/>
    <w:p>
      <w:pPr>
        <w:ind w:left="-5" w:firstLine="5"/>
        <w:spacing w:after="0" w:line="279" w:lineRule="auto"/>
        <w:tabs>
          <w:tab w:leader="none" w:pos="60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1" w:lineRule="exact"/>
        <w:rPr>
          <w:rFonts w:ascii="Arial" w:cs="Arial" w:eastAsia="Arial" w:hAnsi="Arial"/>
          <w:sz w:val="16"/>
          <w:szCs w:val="16"/>
          <w:color w:val="auto"/>
        </w:rPr>
      </w:pPr>
    </w:p>
    <w:p>
      <w:pPr>
        <w:ind w:left="615" w:hanging="615"/>
        <w:spacing w:after="0"/>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right="40" w:firstLine="638"/>
        <w:spacing w:after="0" w:line="280" w:lineRule="auto"/>
        <w:tabs>
          <w:tab w:leader="none" w:pos="130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ind w:left="-5" w:right="20" w:firstLine="638"/>
        <w:spacing w:after="0" w:line="249" w:lineRule="auto"/>
        <w:tabs>
          <w:tab w:leader="none" w:pos="131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8"/>
          <w:szCs w:val="18"/>
          <w:u w:val="single" w:color="auto"/>
          <w:color w:val="0000EE"/>
        </w:rPr>
        <w:t>4(b)</w:t>
      </w:r>
      <w:r>
        <w:rPr>
          <w:rFonts w:ascii="Arial" w:cs="Arial" w:eastAsia="Arial" w:hAnsi="Arial"/>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6"/>
          <w:szCs w:val="16"/>
          <w:color w:val="auto"/>
        </w:rPr>
        <w:t xml:space="preserve">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ind w:right="100" w:firstLine="638"/>
        <w:spacing w:after="0" w:line="249" w:lineRule="auto"/>
        <w:tabs>
          <w:tab w:leader="none" w:pos="131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8" w:lineRule="exact"/>
        <w:rPr>
          <w:rFonts w:ascii="Arial" w:cs="Arial" w:eastAsia="Arial" w:hAnsi="Arial"/>
          <w:sz w:val="18"/>
          <w:szCs w:val="18"/>
          <w:color w:val="auto"/>
        </w:rPr>
      </w:pPr>
    </w:p>
    <w:p>
      <w:pPr>
        <w:ind w:left="620" w:hanging="615"/>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MANDATORY EXERCISE</w:t>
      </w:r>
    </w:p>
    <w:p>
      <w:pPr>
        <w:spacing w:after="0" w:line="241" w:lineRule="exact"/>
        <w:rPr>
          <w:rFonts w:ascii="Arial" w:cs="Arial" w:eastAsia="Arial" w:hAnsi="Arial"/>
          <w:sz w:val="18"/>
          <w:szCs w:val="18"/>
          <w:color w:val="auto"/>
        </w:rPr>
      </w:pPr>
    </w:p>
    <w:p>
      <w:pPr>
        <w:ind w:right="140" w:firstLine="638"/>
        <w:spacing w:after="0" w:line="280" w:lineRule="auto"/>
        <w:tabs>
          <w:tab w:leader="none" w:pos="131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Mandatory Exercise Right of the Company.</w:t>
      </w:r>
      <w:r>
        <w:rPr>
          <w:rFonts w:ascii="Arial" w:cs="Arial" w:eastAsia="Arial" w:hAnsi="Arial"/>
          <w:sz w:val="16"/>
          <w:szCs w:val="16"/>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(i) the last reported sale price of Common Stock on each of the twenty (20) consecutive Trading Days immediately prior to the Mandatory Exercise Notice Date exceeded $0.70 (the “</w:t>
      </w:r>
      <w:r>
        <w:rPr>
          <w:rFonts w:ascii="Arial" w:cs="Arial" w:eastAsia="Arial" w:hAnsi="Arial"/>
          <w:sz w:val="16"/>
          <w:szCs w:val="16"/>
          <w:b w:val="1"/>
          <w:bCs w:val="1"/>
          <w:color w:val="auto"/>
        </w:rPr>
        <w:t>Mandatory Notice Trading Price</w:t>
      </w:r>
      <w:r>
        <w:rPr>
          <w:rFonts w:ascii="Arial" w:cs="Arial" w:eastAsia="Arial" w:hAnsi="Arial"/>
          <w:sz w:val="16"/>
          <w:szCs w:val="16"/>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196" w:lineRule="exact"/>
        <w:rPr>
          <w:rFonts w:ascii="Arial" w:cs="Arial" w:eastAsia="Arial" w:hAnsi="Arial"/>
          <w:sz w:val="16"/>
          <w:szCs w:val="16"/>
          <w:color w:val="auto"/>
        </w:rPr>
      </w:pPr>
    </w:p>
    <w:p>
      <w:pPr>
        <w:jc w:val="both"/>
        <w:ind w:firstLine="638"/>
        <w:spacing w:after="0" w:line="285" w:lineRule="auto"/>
        <w:tabs>
          <w:tab w:leader="none" w:pos="146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Mandatory Exercise Procedure</w:t>
      </w:r>
      <w:r>
        <w:rPr>
          <w:rFonts w:ascii="Arial" w:cs="Arial" w:eastAsia="Arial" w:hAnsi="Arial"/>
          <w:sz w:val="16"/>
          <w:szCs w:val="16"/>
          <w:color w:val="auto"/>
        </w:rPr>
        <w:t>. In connection with any such mandatory exercise of the Warrant, the Company shall deliver an irrevocable written notice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Arial" w:cs="Arial" w:eastAsia="Arial" w:hAnsi="Arial"/>
          <w:sz w:val="16"/>
          <w:szCs w:val="16"/>
          <w:b w:val="1"/>
          <w:bCs w:val="1"/>
          <w:color w:val="auto"/>
        </w:rPr>
        <w:t>Mandatory Exercise Closing Date</w:t>
      </w:r>
      <w:r>
        <w:rPr>
          <w:rFonts w:ascii="Arial" w:cs="Arial" w:eastAsia="Arial" w:hAnsi="Arial"/>
          <w:sz w:val="16"/>
          <w:szCs w:val="16"/>
          <w:color w:val="auto"/>
        </w:rPr>
        <w:t>”). Subject to the terms and conditions of this Warrant, on any such Mandatory Exercise Closing Date, each Holder shall exercise its Warrants and acquire the underlying shares of Common Stock in accordance with the terms set forth in this Warrant and the Mandatory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6" w:name="page37"/>
    <w:bookmarkEnd w:id="36"/>
    <w:p>
      <w:pPr>
        <w:ind w:right="40" w:firstLine="5"/>
        <w:spacing w:after="0" w:line="280" w:lineRule="auto"/>
        <w:tabs>
          <w:tab w:leader="none" w:pos="61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7" w:name="page38"/>
    <w:bookmarkEnd w:id="37"/>
    <w:p>
      <w:pPr>
        <w:ind w:right="20" w:firstLine="638"/>
        <w:spacing w:after="0" w:line="287" w:lineRule="auto"/>
        <w:tabs>
          <w:tab w:leader="none" w:pos="132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8" w:name="page39"/>
    <w:bookmarkEnd w:id="38"/>
    <w:p>
      <w:pPr>
        <w:ind w:firstLine="5"/>
        <w:spacing w:after="0" w:line="249" w:lineRule="auto"/>
        <w:tabs>
          <w:tab w:leader="none" w:pos="70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60" w:firstLine="5"/>
        <w:spacing w:after="0" w:line="282" w:lineRule="auto"/>
        <w:tabs>
          <w:tab w:leader="none" w:pos="69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5" w:lineRule="exact"/>
        <w:rPr>
          <w:rFonts w:ascii="Arial" w:cs="Arial" w:eastAsia="Arial" w:hAnsi="Arial"/>
          <w:sz w:val="16"/>
          <w:szCs w:val="16"/>
          <w:color w:val="auto"/>
        </w:rPr>
      </w:pPr>
    </w:p>
    <w:p>
      <w:pPr>
        <w:ind w:right="20" w:firstLine="5"/>
        <w:spacing w:after="0" w:line="276" w:lineRule="auto"/>
        <w:tabs>
          <w:tab w:leader="none" w:pos="70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2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20" w:firstLine="5"/>
        <w:spacing w:after="0" w:line="291" w:lineRule="auto"/>
        <w:tabs>
          <w:tab w:leader="none" w:pos="70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39" w:name="page40"/>
    <w:bookmarkEnd w:id="39"/>
    <w:p>
      <w:pPr>
        <w:ind w:left="-5" w:firstLine="5"/>
        <w:spacing w:after="0" w:line="278" w:lineRule="auto"/>
        <w:tabs>
          <w:tab w:leader="none" w:pos="69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4" w:lineRule="exact"/>
        <w:rPr>
          <w:rFonts w:ascii="Arial" w:cs="Arial" w:eastAsia="Arial" w:hAnsi="Arial"/>
          <w:sz w:val="16"/>
          <w:szCs w:val="16"/>
          <w:color w:val="auto"/>
        </w:rPr>
      </w:pPr>
    </w:p>
    <w:p>
      <w:pPr>
        <w:ind w:left="-5" w:firstLine="5"/>
        <w:spacing w:after="0" w:line="278" w:lineRule="auto"/>
        <w:tabs>
          <w:tab w:leader="none" w:pos="69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387"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40" w:name="page41"/>
    <w:bookmarkEnd w:id="40"/>
    <w:p>
      <w:pPr>
        <w:ind w:left="700" w:hanging="695"/>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41" w:lineRule="exact"/>
        <w:rPr>
          <w:rFonts w:ascii="Arial" w:cs="Arial" w:eastAsia="Arial" w:hAnsi="Arial"/>
          <w:sz w:val="18"/>
          <w:szCs w:val="18"/>
          <w:color w:val="auto"/>
        </w:rPr>
      </w:pPr>
    </w:p>
    <w:p>
      <w:pPr>
        <w:ind w:left="700" w:hanging="695"/>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rFonts w:ascii="Arial" w:cs="Arial" w:eastAsia="Arial" w:hAnsi="Arial"/>
          <w:sz w:val="18"/>
          <w:szCs w:val="18"/>
          <w:color w:val="auto"/>
        </w:rPr>
      </w:pPr>
    </w:p>
    <w:p>
      <w:pPr>
        <w:ind w:right="20" w:firstLine="638"/>
        <w:spacing w:after="0" w:line="280" w:lineRule="auto"/>
        <w:tabs>
          <w:tab w:leader="none" w:pos="13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left="1380" w:hanging="742"/>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100" w:firstLine="638"/>
        <w:spacing w:after="0" w:line="269" w:lineRule="auto"/>
        <w:tabs>
          <w:tab w:leader="none" w:pos="1311"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65"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ind w:left="-20" w:right="320" w:firstLine="638"/>
        <w:spacing w:after="0" w:line="269" w:lineRule="auto"/>
        <w:tabs>
          <w:tab w:leader="none" w:pos="12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40" w:firstLine="638"/>
        <w:spacing w:after="0" w:line="333" w:lineRule="auto"/>
        <w:tabs>
          <w:tab w:leader="none" w:pos="1272"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600" w:firstLine="638"/>
        <w:spacing w:after="0" w:line="333" w:lineRule="auto"/>
        <w:tabs>
          <w:tab w:leader="none" w:pos="13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six (6) month anniversary of the Issuance Date or, if such date falls on a day other than a Business Day or on which trading does not take place on the Principal Market (a “Holiday”), the next date that is not a Holiday.</w:t>
      </w:r>
    </w:p>
    <w:p>
      <w:pPr>
        <w:spacing w:after="0" w:line="148" w:lineRule="exact"/>
        <w:rPr>
          <w:rFonts w:ascii="Arial" w:cs="Arial" w:eastAsia="Arial" w:hAnsi="Arial"/>
          <w:sz w:val="16"/>
          <w:szCs w:val="16"/>
          <w:color w:val="auto"/>
        </w:rPr>
      </w:pPr>
    </w:p>
    <w:p>
      <w:pPr>
        <w:ind w:left="-20" w:firstLine="638"/>
        <w:spacing w:after="0" w:line="278" w:lineRule="auto"/>
        <w:tabs>
          <w:tab w:leader="none" w:pos="12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42" w:name="page43"/>
    <w:bookmarkEnd w:id="42"/>
    <w:p>
      <w:pPr>
        <w:ind w:left="1240" w:hanging="642"/>
        <w:spacing w:after="0"/>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left="-40" w:right="40" w:firstLine="638"/>
        <w:spacing w:after="0" w:line="257" w:lineRule="auto"/>
        <w:tabs>
          <w:tab w:leader="none" w:pos="12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left="-40" w:right="20" w:firstLine="638"/>
        <w:spacing w:after="0" w:line="269" w:lineRule="auto"/>
        <w:tabs>
          <w:tab w:leader="none" w:pos="12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40" w:hanging="742"/>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40" w:right="40" w:firstLine="638"/>
        <w:spacing w:after="0" w:line="371" w:lineRule="auto"/>
        <w:tabs>
          <w:tab w:leader="none" w:pos="1325" w:val="left"/>
        </w:tabs>
        <w:numPr>
          <w:ilvl w:val="0"/>
          <w:numId w:val="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left="-40" w:right="60" w:firstLine="638"/>
        <w:spacing w:after="0" w:line="284" w:lineRule="auto"/>
        <w:tabs>
          <w:tab w:leader="none" w:pos="12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left="-40" w:firstLine="638"/>
        <w:spacing w:after="0" w:line="304" w:lineRule="auto"/>
        <w:tabs>
          <w:tab w:leader="none" w:pos="12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80" w:top="503" w:right="279" w:bottom="1440" w:gutter="0" w:footer="0" w:header="0"/>
        </w:sectPr>
      </w:pPr>
    </w:p>
    <w:bookmarkStart w:id="43" w:name="page44"/>
    <w:bookmarkEnd w:id="43"/>
    <w:p>
      <w:pPr>
        <w:ind w:firstLine="638"/>
        <w:spacing w:after="0" w:line="280" w:lineRule="auto"/>
        <w:tabs>
          <w:tab w:leader="none" w:pos="1321"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4" w:name="page45"/>
    <w:bookmarkEnd w:id="44"/>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4" w:right="6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20" w:type="dxa"/>
            <w:vAlign w:val="bottom"/>
            <w:gridSpan w:val="2"/>
          </w:tcPr>
          <w:p>
            <w:pPr>
              <w:ind w:left="960"/>
              <w:spacing w:after="0"/>
              <w:rPr>
                <w:sz w:val="20"/>
                <w:szCs w:val="20"/>
                <w:color w:val="auto"/>
              </w:rPr>
            </w:pPr>
            <w:r>
              <w:rPr>
                <w:rFonts w:ascii="Arial" w:cs="Arial" w:eastAsia="Arial" w:hAnsi="Arial"/>
                <w:sz w:val="18"/>
                <w:szCs w:val="18"/>
                <w:b w:val="1"/>
                <w:bCs w:val="1"/>
                <w:color w:val="auto"/>
              </w:rPr>
              <w:t>TAPIMMUNE INC.</w:t>
            </w:r>
          </w:p>
        </w:tc>
        <w:tc>
          <w:tcPr>
            <w:tcW w:w="1200" w:type="dxa"/>
            <w:vAlign w:val="bottom"/>
          </w:tcPr>
          <w:p>
            <w:pPr>
              <w:spacing w:after="0"/>
              <w:rPr>
                <w:sz w:val="19"/>
                <w:szCs w:val="19"/>
                <w:color w:val="auto"/>
              </w:rPr>
            </w:pPr>
          </w:p>
        </w:tc>
      </w:tr>
      <w:tr>
        <w:trPr>
          <w:trHeight w:val="431"/>
        </w:trPr>
        <w:tc>
          <w:tcPr>
            <w:tcW w:w="10020" w:type="dxa"/>
            <w:vAlign w:val="bottom"/>
            <w:gridSpan w:val="6"/>
          </w:tcPr>
          <w:p>
            <w:pPr>
              <w:ind w:left="640"/>
              <w:spacing w:after="0"/>
              <w:rPr>
                <w:sz w:val="20"/>
                <w:szCs w:val="20"/>
                <w:color w:val="auto"/>
              </w:rPr>
            </w:pPr>
            <w:r>
              <w:rPr>
                <w:rFonts w:ascii="Arial" w:cs="Arial" w:eastAsia="Arial" w:hAnsi="Arial"/>
                <w:sz w:val="18"/>
                <w:szCs w:val="18"/>
                <w:color w:val="auto"/>
              </w:rPr>
              <w:t>The undersigned holder hereby exercises the right to purchase</w:t>
            </w:r>
          </w:p>
        </w:tc>
        <w:tc>
          <w:tcPr>
            <w:tcW w:w="1200" w:type="dxa"/>
            <w:vAlign w:val="bottom"/>
          </w:tcPr>
          <w:p>
            <w:pPr>
              <w:ind w:left="120"/>
              <w:spacing w:after="0"/>
              <w:rPr>
                <w:sz w:val="20"/>
                <w:szCs w:val="20"/>
                <w:color w:val="auto"/>
              </w:rPr>
            </w:pPr>
            <w:r>
              <w:rPr>
                <w:rFonts w:ascii="Arial" w:cs="Arial" w:eastAsia="Arial" w:hAnsi="Arial"/>
                <w:sz w:val="18"/>
                <w:szCs w:val="18"/>
                <w:color w:val="auto"/>
                <w:w w:val="85"/>
              </w:rPr>
              <w:t>of the shares of</w:t>
            </w:r>
          </w:p>
        </w:tc>
      </w:tr>
      <w:tr>
        <w:trPr>
          <w:trHeight w:val="211"/>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Common Stock (“</w:t>
            </w:r>
            <w:r>
              <w:rPr>
                <w:rFonts w:ascii="Arial" w:cs="Arial" w:eastAsia="Arial" w:hAnsi="Arial"/>
                <w:sz w:val="18"/>
                <w:szCs w:val="18"/>
                <w:b w:val="1"/>
                <w:bCs w:val="1"/>
                <w:color w:val="auto"/>
                <w:w w:val="91"/>
              </w:rPr>
              <w:t>Warrant Shares</w:t>
            </w:r>
            <w:r>
              <w:rPr>
                <w:rFonts w:ascii="Arial" w:cs="Arial" w:eastAsia="Arial" w:hAnsi="Arial"/>
                <w:sz w:val="18"/>
                <w:szCs w:val="18"/>
                <w:color w:val="auto"/>
                <w:w w:val="91"/>
              </w:rPr>
              <w:t>”) of TapImmune Inc., a Nevada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evidenced by Series B Warrant No.  (the</w:t>
            </w:r>
          </w:p>
        </w:tc>
        <w:tc>
          <w:tcPr>
            <w:tcW w:w="1200" w:type="dxa"/>
            <w:vAlign w:val="bottom"/>
          </w:tcPr>
          <w:p>
            <w:pPr>
              <w:spacing w:after="0"/>
              <w:rPr>
                <w:sz w:val="18"/>
                <w:szCs w:val="18"/>
                <w:color w:val="auto"/>
              </w:rPr>
            </w:pPr>
          </w:p>
        </w:tc>
      </w:tr>
      <w:tr>
        <w:trPr>
          <w:trHeight w:val="229"/>
        </w:trPr>
        <w:tc>
          <w:tcPr>
            <w:tcW w:w="1002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Warrant</w:t>
            </w:r>
            <w:r>
              <w:rPr>
                <w:rFonts w:ascii="Arial" w:cs="Arial" w:eastAsia="Arial" w:hAnsi="Arial"/>
                <w:sz w:val="18"/>
                <w:szCs w:val="18"/>
                <w:color w:val="auto"/>
                <w:w w:val="97"/>
              </w:rPr>
              <w:t>”). Capitalized terms used herein and not otherwise defined shall have the respective meanings set forth in the Warrant.</w:t>
            </w:r>
          </w:p>
        </w:tc>
        <w:tc>
          <w:tcPr>
            <w:tcW w:w="1200" w:type="dxa"/>
            <w:vAlign w:val="bottom"/>
          </w:tcPr>
          <w:p>
            <w:pPr>
              <w:spacing w:after="0"/>
              <w:rPr>
                <w:sz w:val="19"/>
                <w:szCs w:val="19"/>
                <w:color w:val="auto"/>
              </w:rPr>
            </w:pPr>
          </w:p>
        </w:tc>
      </w:tr>
      <w:tr>
        <w:trPr>
          <w:trHeight w:val="409"/>
        </w:trPr>
        <w:tc>
          <w:tcPr>
            <w:tcW w:w="1260" w:type="dxa"/>
            <w:vAlign w:val="bottom"/>
          </w:tcPr>
          <w:p>
            <w:pPr>
              <w:ind w:left="640"/>
              <w:spacing w:after="0"/>
              <w:rPr>
                <w:sz w:val="20"/>
                <w:szCs w:val="20"/>
                <w:color w:val="auto"/>
              </w:rPr>
            </w:pPr>
            <w:r>
              <w:rPr>
                <w:rFonts w:ascii="Arial" w:cs="Arial" w:eastAsia="Arial" w:hAnsi="Arial"/>
                <w:sz w:val="18"/>
                <w:szCs w:val="18"/>
                <w:color w:val="auto"/>
              </w:rPr>
              <w:t>1.</w:t>
            </w:r>
          </w:p>
        </w:tc>
        <w:tc>
          <w:tcPr>
            <w:tcW w:w="8760" w:type="dxa"/>
            <w:vAlign w:val="bottom"/>
            <w:gridSpan w:val="5"/>
          </w:tcPr>
          <w:p>
            <w:pPr>
              <w:spacing w:after="0"/>
              <w:rPr>
                <w:sz w:val="20"/>
                <w:szCs w:val="20"/>
                <w:color w:val="auto"/>
              </w:rPr>
            </w:pPr>
            <w:r>
              <w:rPr>
                <w:rFonts w:ascii="Arial" w:cs="Arial" w:eastAsia="Arial" w:hAnsi="Arial"/>
                <w:sz w:val="18"/>
                <w:szCs w:val="18"/>
                <w:color w:val="auto"/>
              </w:rPr>
              <w:t>Form of Exercise Price. The Holder intends that payment of the Exercise Price shall be made as:</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1260" w:type="dxa"/>
            <w:vAlign w:val="bottom"/>
          </w:tcPr>
          <w:p>
            <w:pPr>
              <w:spacing w:after="0"/>
              <w:rPr>
                <w:sz w:val="24"/>
                <w:szCs w:val="24"/>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_____________________</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a “Cash Exercise” with respect to ______________ Warrant Shares; and/or</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_____________________</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a “Cashless Exercise” with respect to ___________ Warrant Shares.</w:t>
            </w:r>
          </w:p>
        </w:tc>
        <w:tc>
          <w:tcPr>
            <w:tcW w:w="1200" w:type="dxa"/>
            <w:vAlign w:val="bottom"/>
          </w:tcPr>
          <w:p>
            <w:pPr>
              <w:spacing w:after="0"/>
              <w:rPr>
                <w:sz w:val="24"/>
                <w:szCs w:val="24"/>
                <w:color w:val="auto"/>
              </w:rPr>
            </w:pP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6" w:name="page47"/>
    <w:bookmarkEnd w:id="46"/>
    <w:p>
      <w:pPr>
        <w:ind w:left="640"/>
        <w:spacing w:after="0"/>
        <w:rPr>
          <w:sz w:val="20"/>
          <w:szCs w:val="20"/>
          <w:color w:val="auto"/>
        </w:rPr>
      </w:pPr>
      <w:r>
        <w:rPr>
          <w:rFonts w:ascii="Arial" w:cs="Arial" w:eastAsia="Arial" w:hAnsi="Arial"/>
          <w:sz w:val="18"/>
          <w:szCs w:val="18"/>
          <w:color w:val="auto"/>
        </w:rPr>
        <w:t>Name of Registered Holder</w:t>
      </w:r>
    </w:p>
    <w:p>
      <w:pPr>
        <w:spacing w:after="0" w:line="200" w:lineRule="exact"/>
        <w:rPr>
          <w:sz w:val="20"/>
          <w:szCs w:val="20"/>
          <w:color w:val="auto"/>
        </w:rPr>
      </w:pPr>
    </w:p>
    <w:p>
      <w:pPr>
        <w:spacing w:after="0" w:line="27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C Warrants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Series C Warrant No.: 1-12-15 –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w:t>
      </w:r>
    </w:p>
    <w:p>
      <w:pPr>
        <w:spacing w:after="0" w:line="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5"/>
          <w:szCs w:val="15"/>
          <w:b w:val="1"/>
          <w:bCs w:val="1"/>
          <w:color w:val="auto"/>
        </w:rPr>
        <w:t>Warrant</w:t>
      </w:r>
      <w:r>
        <w:rPr>
          <w:rFonts w:ascii="Arial" w:cs="Arial" w:eastAsia="Arial" w:hAnsi="Arial"/>
          <w:sz w:val="15"/>
          <w:szCs w:val="15"/>
          <w:color w:val="auto"/>
        </w:rPr>
        <w:t xml:space="preserve">”), at any time or times on or after the Issuance Date but not after 11:59 p.m., New York time, on the Expiration Date (as defined below), </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adjustment as provided herein) fully paid and non-assessable shares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21" w:lineRule="exact"/>
        <w:rPr>
          <w:sz w:val="20"/>
          <w:szCs w:val="20"/>
          <w:color w:val="auto"/>
        </w:rPr>
      </w:pPr>
    </w:p>
    <w:p>
      <w:pPr>
        <w:ind w:left="620" w:hanging="615"/>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firstLine="638"/>
        <w:spacing w:after="0" w:line="279" w:lineRule="auto"/>
        <w:tabs>
          <w:tab w:leader="none" w:pos="131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 w:name="page50"/>
    <w:bookmarkEnd w:id="49"/>
    <w:p>
      <w:pPr>
        <w:ind w:right="140"/>
        <w:spacing w:after="0" w:line="298" w:lineRule="auto"/>
        <w:rPr>
          <w:sz w:val="20"/>
          <w:szCs w:val="20"/>
          <w:color w:val="auto"/>
        </w:rPr>
      </w:pPr>
      <w:r>
        <w:rPr>
          <w:rFonts w:ascii="Arial" w:cs="Arial" w:eastAsia="Arial" w:hAnsi="Arial"/>
          <w:sz w:val="15"/>
          <w:szCs w:val="15"/>
          <w:color w:val="auto"/>
        </w:rPr>
        <w:t xml:space="preserve">confirmation of receipt of such Exercise Notice, in the form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to the Holder and the Company’s transfer agent (the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On or before the third (3rd ) Trading Day following the date on which the Company has received such Exercise Notice, the Company shall (X)</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Transfer Agent is participating in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 w:lineRule="exact"/>
        <w:rPr>
          <w:sz w:val="20"/>
          <w:szCs w:val="20"/>
          <w:color w:val="auto"/>
        </w:rPr>
      </w:pPr>
    </w:p>
    <w:p>
      <w:pPr>
        <w:ind w:firstLine="5"/>
        <w:spacing w:after="0" w:line="277" w:lineRule="auto"/>
        <w:tabs>
          <w:tab w:leader="none" w:pos="2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9" w:lineRule="exact"/>
        <w:rPr>
          <w:rFonts w:ascii="Arial" w:cs="Arial" w:eastAsia="Arial" w:hAnsi="Arial"/>
          <w:sz w:val="16"/>
          <w:szCs w:val="16"/>
          <w:color w:val="auto"/>
        </w:rPr>
      </w:pPr>
    </w:p>
    <w:p>
      <w:pPr>
        <w:ind w:left="1320" w:hanging="682"/>
        <w:spacing w:after="0"/>
        <w:tabs>
          <w:tab w:leader="none" w:pos="132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$1.00 subject to adjustment as provided herein.</w:t>
      </w:r>
    </w:p>
    <w:p>
      <w:pPr>
        <w:spacing w:after="0" w:line="247" w:lineRule="exact"/>
        <w:rPr>
          <w:rFonts w:ascii="Arial" w:cs="Arial" w:eastAsia="Arial" w:hAnsi="Arial"/>
          <w:sz w:val="18"/>
          <w:szCs w:val="18"/>
          <w:color w:val="auto"/>
        </w:rPr>
      </w:pPr>
    </w:p>
    <w:p>
      <w:pPr>
        <w:ind w:right="120" w:firstLine="638"/>
        <w:spacing w:after="0" w:line="282" w:lineRule="auto"/>
        <w:tabs>
          <w:tab w:leader="none" w:pos="131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0" w:name="page51"/>
    <w:bookmarkEnd w:id="50"/>
    <w:p>
      <w:pPr>
        <w:ind w:right="20"/>
        <w:spacing w:after="0" w:line="276" w:lineRule="auto"/>
        <w:rPr>
          <w:sz w:val="20"/>
          <w:szCs w:val="20"/>
          <w:color w:val="auto"/>
        </w:rPr>
      </w:pPr>
      <w:r>
        <w:rPr>
          <w:rFonts w:ascii="Arial" w:cs="Arial" w:eastAsia="Arial" w:hAnsi="Arial"/>
          <w:sz w:val="16"/>
          <w:szCs w:val="16"/>
          <w:color w:val="auto"/>
        </w:rPr>
        <w:t>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w:t>
      </w:r>
    </w:p>
    <w:p>
      <w:pPr>
        <w:spacing w:after="0" w:line="4" w:lineRule="exact"/>
        <w:rPr>
          <w:sz w:val="20"/>
          <w:szCs w:val="20"/>
          <w:color w:val="auto"/>
        </w:rPr>
      </w:pPr>
    </w:p>
    <w:p>
      <w:pPr>
        <w:ind w:firstLine="5"/>
        <w:spacing w:after="0" w:line="246"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20" w:lineRule="exact"/>
        <w:rPr>
          <w:rFonts w:ascii="Arial" w:cs="Arial" w:eastAsia="Arial" w:hAnsi="Arial"/>
          <w:sz w:val="18"/>
          <w:szCs w:val="18"/>
          <w:color w:val="auto"/>
        </w:rPr>
      </w:pPr>
    </w:p>
    <w:p>
      <w:pPr>
        <w:ind w:right="140" w:firstLine="638"/>
        <w:spacing w:after="0" w:line="287" w:lineRule="auto"/>
        <w:tabs>
          <w:tab w:leader="none" w:pos="132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1" w:name="page52"/>
    <w:bookmarkEnd w:id="51"/>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42" w:lineRule="exact"/>
        <w:rPr>
          <w:sz w:val="20"/>
          <w:szCs w:val="20"/>
          <w:color w:val="auto"/>
        </w:rPr>
      </w:pPr>
    </w:p>
    <w:p>
      <w:pPr>
        <w:ind w:right="60" w:firstLine="638"/>
        <w:spacing w:after="0" w:line="300" w:lineRule="auto"/>
        <w:tabs>
          <w:tab w:leader="none" w:pos="131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80" w:lineRule="exact"/>
        <w:rPr>
          <w:rFonts w:ascii="Arial" w:cs="Arial" w:eastAsia="Arial" w:hAnsi="Arial"/>
          <w:sz w:val="16"/>
          <w:szCs w:val="16"/>
          <w:color w:val="auto"/>
        </w:rPr>
      </w:pPr>
    </w:p>
    <w:p>
      <w:pPr>
        <w:ind w:right="20" w:firstLine="638"/>
        <w:spacing w:after="0" w:line="279" w:lineRule="auto"/>
        <w:tabs>
          <w:tab w:leader="none" w:pos="129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2" w:name="page53"/>
    <w:bookmarkEnd w:id="52"/>
    <w:p>
      <w:pPr>
        <w:ind w:right="60"/>
        <w:spacing w:after="0" w:line="282" w:lineRule="auto"/>
        <w:rPr>
          <w:sz w:val="20"/>
          <w:szCs w:val="20"/>
          <w:color w:val="auto"/>
        </w:rPr>
      </w:pPr>
      <w:r>
        <w:rPr>
          <w:rFonts w:ascii="Arial" w:cs="Arial" w:eastAsia="Arial" w:hAnsi="Arial"/>
          <w:sz w:val="16"/>
          <w:szCs w:val="16"/>
          <w:color w:val="auto"/>
        </w:rPr>
        <w:t>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5" w:lineRule="exact"/>
        <w:rPr>
          <w:sz w:val="20"/>
          <w:szCs w:val="20"/>
          <w:color w:val="auto"/>
        </w:rPr>
      </w:pPr>
    </w:p>
    <w:p>
      <w:pPr>
        <w:ind w:firstLine="638"/>
        <w:spacing w:after="0" w:line="277" w:lineRule="auto"/>
        <w:tabs>
          <w:tab w:leader="none" w:pos="132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3" w:name="page54"/>
    <w:bookmarkEnd w:id="53"/>
    <w:p>
      <w:pPr>
        <w:ind w:left="-20" w:firstLine="638"/>
        <w:spacing w:after="0" w:line="279" w:lineRule="auto"/>
        <w:tabs>
          <w:tab w:leader="none" w:pos="129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9" w:lineRule="exact"/>
        <w:rPr>
          <w:rFonts w:ascii="Arial" w:cs="Arial" w:eastAsia="Arial" w:hAnsi="Arial"/>
          <w:sz w:val="16"/>
          <w:szCs w:val="16"/>
          <w:color w:val="auto"/>
        </w:rPr>
      </w:pPr>
    </w:p>
    <w:p>
      <w:pPr>
        <w:ind w:left="-20" w:right="60" w:firstLine="638"/>
        <w:spacing w:after="0" w:line="282" w:lineRule="auto"/>
        <w:tabs>
          <w:tab w:leader="none" w:pos="13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14 of this Warrant.</w:t>
      </w:r>
    </w:p>
    <w:p>
      <w:pPr>
        <w:spacing w:after="0" w:line="195" w:lineRule="exact"/>
        <w:rPr>
          <w:rFonts w:ascii="Arial" w:cs="Arial" w:eastAsia="Arial" w:hAnsi="Arial"/>
          <w:sz w:val="16"/>
          <w:szCs w:val="16"/>
          <w:color w:val="auto"/>
        </w:rPr>
      </w:pPr>
    </w:p>
    <w:p>
      <w:pPr>
        <w:ind w:left="-20" w:right="100" w:firstLine="638"/>
        <w:spacing w:after="0" w:line="253" w:lineRule="auto"/>
        <w:tabs>
          <w:tab w:leader="none" w:pos="129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41" w:lineRule="exact"/>
        <w:rPr>
          <w:rFonts w:ascii="Arial" w:cs="Arial" w:eastAsia="Arial" w:hAnsi="Arial"/>
          <w:sz w:val="18"/>
          <w:szCs w:val="18"/>
          <w:color w:val="auto"/>
        </w:rPr>
      </w:pPr>
    </w:p>
    <w:p>
      <w:pPr>
        <w:ind w:left="-20" w:right="220" w:firstLine="638"/>
        <w:spacing w:after="0" w:line="232" w:lineRule="auto"/>
        <w:tabs>
          <w:tab w:leader="none" w:pos="1332" w:val="left"/>
        </w:tabs>
        <w:numPr>
          <w:ilvl w:val="0"/>
          <w:numId w:val="57"/>
        </w:numPr>
        <w:rPr>
          <w:rFonts w:ascii="Arial" w:cs="Arial" w:eastAsia="Arial" w:hAnsi="Arial"/>
          <w:sz w:val="21"/>
          <w:szCs w:val="21"/>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9" w:right="239" w:bottom="1440" w:gutter="0" w:footer="0" w:header="0"/>
        </w:sectPr>
      </w:pPr>
    </w:p>
    <w:bookmarkStart w:id="54" w:name="page55"/>
    <w:bookmarkEnd w:id="54"/>
    <w:p>
      <w:pPr>
        <w:ind w:left="-5" w:firstLine="5"/>
        <w:spacing w:after="0" w:line="279" w:lineRule="auto"/>
        <w:tabs>
          <w:tab w:leader="none" w:pos="609"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1" w:lineRule="exact"/>
        <w:rPr>
          <w:rFonts w:ascii="Arial" w:cs="Arial" w:eastAsia="Arial" w:hAnsi="Arial"/>
          <w:sz w:val="16"/>
          <w:szCs w:val="16"/>
          <w:color w:val="auto"/>
        </w:rPr>
      </w:pPr>
    </w:p>
    <w:p>
      <w:pPr>
        <w:ind w:left="615" w:hanging="615"/>
        <w:spacing w:after="0"/>
        <w:tabs>
          <w:tab w:leader="none" w:pos="61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right="40" w:firstLine="638"/>
        <w:spacing w:after="0" w:line="280" w:lineRule="auto"/>
        <w:tabs>
          <w:tab w:leader="none" w:pos="130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sz w:val="20"/>
          <w:szCs w:val="20"/>
          <w:color w:val="auto"/>
        </w:rPr>
      </w:pPr>
    </w:p>
    <w:p>
      <w:pPr>
        <w:spacing w:after="0" w:line="383"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55" w:name="page56"/>
    <w:bookmarkEnd w:id="55"/>
    <w:p>
      <w:pPr>
        <w:ind w:firstLine="638"/>
        <w:spacing w:after="0" w:line="276" w:lineRule="auto"/>
        <w:tabs>
          <w:tab w:leader="none" w:pos="132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6" w:name="page57"/>
    <w:bookmarkEnd w:id="56"/>
    <w:p>
      <w:pPr>
        <w:ind w:firstLine="638"/>
        <w:spacing w:after="0" w:line="301" w:lineRule="auto"/>
        <w:tabs>
          <w:tab w:leader="none" w:pos="1311"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140" w:firstLine="5"/>
        <w:spacing w:after="0" w:line="320" w:lineRule="auto"/>
        <w:tabs>
          <w:tab w:leader="none" w:pos="239"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00" w:lineRule="exact"/>
        <w:rPr>
          <w:rFonts w:ascii="Arial" w:cs="Arial" w:eastAsia="Arial" w:hAnsi="Arial"/>
          <w:sz w:val="15"/>
          <w:szCs w:val="15"/>
          <w:color w:val="auto"/>
        </w:rPr>
      </w:pPr>
    </w:p>
    <w:p>
      <w:pPr>
        <w:spacing w:after="0" w:line="205" w:lineRule="exact"/>
        <w:rPr>
          <w:rFonts w:ascii="Arial" w:cs="Arial" w:eastAsia="Arial" w:hAnsi="Arial"/>
          <w:sz w:val="15"/>
          <w:szCs w:val="15"/>
          <w:color w:val="auto"/>
        </w:rPr>
      </w:pPr>
    </w:p>
    <w:p>
      <w:pPr>
        <w:ind w:right="100" w:firstLine="638"/>
        <w:spacing w:after="0" w:line="249" w:lineRule="auto"/>
        <w:tabs>
          <w:tab w:leader="none" w:pos="132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8" w:lineRule="exact"/>
        <w:rPr>
          <w:sz w:val="20"/>
          <w:szCs w:val="20"/>
          <w:color w:val="auto"/>
        </w:rPr>
      </w:pPr>
    </w:p>
    <w:p>
      <w:pPr>
        <w:ind w:left="620" w:hanging="615"/>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MANDATORY EXERCISE</w:t>
      </w:r>
    </w:p>
    <w:p>
      <w:pPr>
        <w:spacing w:after="0" w:line="241" w:lineRule="exact"/>
        <w:rPr>
          <w:rFonts w:ascii="Arial" w:cs="Arial" w:eastAsia="Arial" w:hAnsi="Arial"/>
          <w:sz w:val="18"/>
          <w:szCs w:val="18"/>
          <w:color w:val="auto"/>
        </w:rPr>
      </w:pPr>
    </w:p>
    <w:p>
      <w:pPr>
        <w:ind w:right="140" w:firstLine="638"/>
        <w:spacing w:after="0" w:line="280" w:lineRule="auto"/>
        <w:tabs>
          <w:tab w:leader="none" w:pos="1311"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Mandatory Exercise Right of the Company.</w:t>
      </w:r>
      <w:r>
        <w:rPr>
          <w:rFonts w:ascii="Arial" w:cs="Arial" w:eastAsia="Arial" w:hAnsi="Arial"/>
          <w:sz w:val="16"/>
          <w:szCs w:val="16"/>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(i) the last reported sale price of Common Stock on each of the twenty (20) consecutive Trading Days immediately prior to the Mandatory Exercise Notice Date exceeded $1.50 (the “</w:t>
      </w:r>
      <w:r>
        <w:rPr>
          <w:rFonts w:ascii="Arial" w:cs="Arial" w:eastAsia="Arial" w:hAnsi="Arial"/>
          <w:sz w:val="16"/>
          <w:szCs w:val="16"/>
          <w:b w:val="1"/>
          <w:bCs w:val="1"/>
          <w:color w:val="auto"/>
        </w:rPr>
        <w:t>Mandatory Notice Trading Price</w:t>
      </w:r>
      <w:r>
        <w:rPr>
          <w:rFonts w:ascii="Arial" w:cs="Arial" w:eastAsia="Arial" w:hAnsi="Arial"/>
          <w:sz w:val="16"/>
          <w:szCs w:val="16"/>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196" w:lineRule="exact"/>
        <w:rPr>
          <w:rFonts w:ascii="Arial" w:cs="Arial" w:eastAsia="Arial" w:hAnsi="Arial"/>
          <w:sz w:val="16"/>
          <w:szCs w:val="16"/>
          <w:color w:val="auto"/>
        </w:rPr>
      </w:pPr>
    </w:p>
    <w:p>
      <w:pPr>
        <w:jc w:val="both"/>
        <w:ind w:firstLine="638"/>
        <w:spacing w:after="0" w:line="285" w:lineRule="auto"/>
        <w:tabs>
          <w:tab w:leader="none" w:pos="1466"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Mandatory Exercise Procedure</w:t>
      </w:r>
      <w:r>
        <w:rPr>
          <w:rFonts w:ascii="Arial" w:cs="Arial" w:eastAsia="Arial" w:hAnsi="Arial"/>
          <w:sz w:val="16"/>
          <w:szCs w:val="16"/>
          <w:color w:val="auto"/>
        </w:rPr>
        <w:t>. In connection with any such mandatory exercise of the Warrant, the Company shall deliver an irrevocable written notice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Arial" w:cs="Arial" w:eastAsia="Arial" w:hAnsi="Arial"/>
          <w:sz w:val="16"/>
          <w:szCs w:val="16"/>
          <w:b w:val="1"/>
          <w:bCs w:val="1"/>
          <w:color w:val="auto"/>
        </w:rPr>
        <w:t>Mandatory Exercise Closing Date</w:t>
      </w:r>
      <w:r>
        <w:rPr>
          <w:rFonts w:ascii="Arial" w:cs="Arial" w:eastAsia="Arial" w:hAnsi="Arial"/>
          <w:sz w:val="16"/>
          <w:szCs w:val="16"/>
          <w:color w:val="auto"/>
        </w:rPr>
        <w:t>”). Subject to the terms and conditions of this Warrant, on any such Mandatory Exercise Closing Date, each Holder shall exercise its Warrants and acquire the underlying shares of Common Stock in accordance with the terms set forth in this Warrant and the Mandatory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7" w:name="page58"/>
    <w:bookmarkEnd w:id="57"/>
    <w:p>
      <w:pPr>
        <w:ind w:right="40" w:firstLine="5"/>
        <w:spacing w:after="0" w:line="280" w:lineRule="auto"/>
        <w:tabs>
          <w:tab w:leader="none" w:pos="61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8" w:name="page59"/>
    <w:bookmarkEnd w:id="58"/>
    <w:p>
      <w:pPr>
        <w:ind w:right="20" w:firstLine="638"/>
        <w:spacing w:after="0" w:line="287" w:lineRule="auto"/>
        <w:tabs>
          <w:tab w:leader="none" w:pos="132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9" w:name="page60"/>
    <w:bookmarkEnd w:id="59"/>
    <w:p>
      <w:pPr>
        <w:ind w:firstLine="5"/>
        <w:spacing w:after="0" w:line="249" w:lineRule="auto"/>
        <w:tabs>
          <w:tab w:leader="none" w:pos="70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60" w:firstLine="5"/>
        <w:spacing w:after="0" w:line="282" w:lineRule="auto"/>
        <w:tabs>
          <w:tab w:leader="none" w:pos="69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5" w:lineRule="exact"/>
        <w:rPr>
          <w:rFonts w:ascii="Arial" w:cs="Arial" w:eastAsia="Arial" w:hAnsi="Arial"/>
          <w:sz w:val="16"/>
          <w:szCs w:val="16"/>
          <w:color w:val="auto"/>
        </w:rPr>
      </w:pPr>
    </w:p>
    <w:p>
      <w:pPr>
        <w:ind w:right="20" w:firstLine="5"/>
        <w:spacing w:after="0" w:line="276" w:lineRule="auto"/>
        <w:tabs>
          <w:tab w:leader="none" w:pos="70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2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20" w:firstLine="5"/>
        <w:spacing w:after="0" w:line="291" w:lineRule="auto"/>
        <w:tabs>
          <w:tab w:leader="none" w:pos="70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0" w:name="page61"/>
    <w:bookmarkEnd w:id="60"/>
    <w:p>
      <w:pPr>
        <w:ind w:left="-5" w:firstLine="5"/>
        <w:spacing w:after="0" w:line="278" w:lineRule="auto"/>
        <w:tabs>
          <w:tab w:leader="none" w:pos="69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4" w:lineRule="exact"/>
        <w:rPr>
          <w:rFonts w:ascii="Arial" w:cs="Arial" w:eastAsia="Arial" w:hAnsi="Arial"/>
          <w:sz w:val="16"/>
          <w:szCs w:val="16"/>
          <w:color w:val="auto"/>
        </w:rPr>
      </w:pPr>
    </w:p>
    <w:p>
      <w:pPr>
        <w:ind w:left="-5" w:firstLine="5"/>
        <w:spacing w:after="0" w:line="278" w:lineRule="auto"/>
        <w:tabs>
          <w:tab w:leader="none" w:pos="69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387"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61" w:name="page62"/>
    <w:bookmarkEnd w:id="61"/>
    <w:p>
      <w:pPr>
        <w:ind w:left="695" w:hanging="695"/>
        <w:spacing w:after="0"/>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41" w:lineRule="exact"/>
        <w:rPr>
          <w:rFonts w:ascii="Arial" w:cs="Arial" w:eastAsia="Arial" w:hAnsi="Arial"/>
          <w:sz w:val="18"/>
          <w:szCs w:val="18"/>
          <w:color w:val="auto"/>
        </w:rPr>
      </w:pPr>
    </w:p>
    <w:p>
      <w:pPr>
        <w:ind w:left="695" w:hanging="695"/>
        <w:spacing w:after="0"/>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rFonts w:ascii="Arial" w:cs="Arial" w:eastAsia="Arial" w:hAnsi="Arial"/>
          <w:sz w:val="18"/>
          <w:szCs w:val="18"/>
          <w:color w:val="auto"/>
        </w:rPr>
      </w:pPr>
    </w:p>
    <w:p>
      <w:pPr>
        <w:ind w:left="-5" w:firstLine="638"/>
        <w:spacing w:after="0" w:line="280" w:lineRule="auto"/>
        <w:tabs>
          <w:tab w:leader="none" w:pos="1306"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left="-5" w:firstLine="638"/>
        <w:spacing w:after="0" w:line="279" w:lineRule="auto"/>
        <w:tabs>
          <w:tab w:leader="none" w:pos="1315"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62" w:name="page63"/>
    <w:bookmarkEnd w:id="62"/>
    <w:p>
      <w:pPr>
        <w:ind w:left="1360" w:hanging="722"/>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right="320" w:firstLine="638"/>
        <w:spacing w:after="0" w:line="269" w:lineRule="auto"/>
        <w:tabs>
          <w:tab w:leader="none" w:pos="12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right="220" w:firstLine="638"/>
        <w:spacing w:after="0" w:line="333" w:lineRule="auto"/>
        <w:tabs>
          <w:tab w:leader="none" w:pos="13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right="40" w:firstLine="638"/>
        <w:spacing w:after="0" w:line="269" w:lineRule="auto"/>
        <w:tabs>
          <w:tab w:leader="none" w:pos="1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right="280" w:firstLine="638"/>
        <w:spacing w:after="0" w:line="218" w:lineRule="auto"/>
        <w:tabs>
          <w:tab w:leader="none" w:pos="13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3" w:name="page64"/>
    <w:bookmarkEnd w:id="63"/>
    <w:p>
      <w:pPr>
        <w:ind w:left="-20" w:firstLine="638"/>
        <w:spacing w:after="0" w:line="278" w:lineRule="auto"/>
        <w:tabs>
          <w:tab w:leader="none" w:pos="12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rFonts w:ascii="Arial" w:cs="Arial" w:eastAsia="Arial" w:hAnsi="Arial"/>
          <w:sz w:val="16"/>
          <w:szCs w:val="16"/>
          <w:color w:val="auto"/>
        </w:rPr>
      </w:pPr>
    </w:p>
    <w:p>
      <w:pPr>
        <w:ind w:left="1300" w:hanging="682"/>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left="-20" w:right="120" w:firstLine="638"/>
        <w:spacing w:after="0" w:line="257" w:lineRule="auto"/>
        <w:tabs>
          <w:tab w:leader="none" w:pos="12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left="-20" w:right="940" w:firstLine="638"/>
        <w:spacing w:after="0" w:line="269" w:lineRule="auto"/>
        <w:tabs>
          <w:tab w:leader="none" w:pos="13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00" w:hanging="6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4" w:right="239" w:bottom="1440" w:gutter="0" w:footer="0" w:header="0"/>
        </w:sectPr>
      </w:pPr>
    </w:p>
    <w:bookmarkStart w:id="64" w:name="page65"/>
    <w:bookmarkEnd w:id="64"/>
    <w:p>
      <w:pPr>
        <w:ind w:right="80" w:firstLine="638"/>
        <w:spacing w:after="0" w:line="371" w:lineRule="auto"/>
        <w:tabs>
          <w:tab w:leader="none" w:pos="1365" w:val="left"/>
        </w:tabs>
        <w:numPr>
          <w:ilvl w:val="0"/>
          <w:numId w:val="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right="100" w:firstLine="638"/>
        <w:spacing w:after="0" w:line="284" w:lineRule="auto"/>
        <w:tabs>
          <w:tab w:leader="none" w:pos="1321"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21"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0" w:lineRule="exact"/>
        <w:rPr>
          <w:rFonts w:ascii="Arial" w:cs="Arial" w:eastAsia="Arial" w:hAnsi="Arial"/>
          <w:sz w:val="16"/>
          <w:szCs w:val="16"/>
          <w:color w:val="auto"/>
        </w:rPr>
      </w:pPr>
    </w:p>
    <w:p>
      <w:pPr>
        <w:ind w:firstLine="638"/>
        <w:spacing w:after="0" w:line="280" w:lineRule="auto"/>
        <w:tabs>
          <w:tab w:leader="none" w:pos="12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5" w:name="page66"/>
    <w:bookmarkEnd w:id="65"/>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20" w:type="dxa"/>
            <w:vAlign w:val="bottom"/>
            <w:gridSpan w:val="2"/>
          </w:tcPr>
          <w:p>
            <w:pPr>
              <w:ind w:left="960"/>
              <w:spacing w:after="0"/>
              <w:rPr>
                <w:sz w:val="20"/>
                <w:szCs w:val="20"/>
                <w:color w:val="auto"/>
              </w:rPr>
            </w:pPr>
            <w:r>
              <w:rPr>
                <w:rFonts w:ascii="Arial" w:cs="Arial" w:eastAsia="Arial" w:hAnsi="Arial"/>
                <w:sz w:val="18"/>
                <w:szCs w:val="18"/>
                <w:b w:val="1"/>
                <w:bCs w:val="1"/>
                <w:color w:val="auto"/>
              </w:rPr>
              <w:t>TAPIMMUNE INC.</w:t>
            </w:r>
          </w:p>
        </w:tc>
        <w:tc>
          <w:tcPr>
            <w:tcW w:w="1200" w:type="dxa"/>
            <w:vAlign w:val="bottom"/>
          </w:tcPr>
          <w:p>
            <w:pPr>
              <w:spacing w:after="0"/>
              <w:rPr>
                <w:sz w:val="19"/>
                <w:szCs w:val="19"/>
                <w:color w:val="auto"/>
              </w:rPr>
            </w:pPr>
          </w:p>
        </w:tc>
      </w:tr>
      <w:tr>
        <w:trPr>
          <w:trHeight w:val="431"/>
        </w:trPr>
        <w:tc>
          <w:tcPr>
            <w:tcW w:w="10020" w:type="dxa"/>
            <w:vAlign w:val="bottom"/>
            <w:gridSpan w:val="6"/>
          </w:tcPr>
          <w:p>
            <w:pPr>
              <w:ind w:left="640"/>
              <w:spacing w:after="0"/>
              <w:rPr>
                <w:sz w:val="20"/>
                <w:szCs w:val="20"/>
                <w:color w:val="auto"/>
              </w:rPr>
            </w:pPr>
            <w:r>
              <w:rPr>
                <w:rFonts w:ascii="Arial" w:cs="Arial" w:eastAsia="Arial" w:hAnsi="Arial"/>
                <w:sz w:val="18"/>
                <w:szCs w:val="18"/>
                <w:color w:val="auto"/>
              </w:rPr>
              <w:t>The undersigned holder hereby exercises the right to purchase</w:t>
            </w:r>
          </w:p>
        </w:tc>
        <w:tc>
          <w:tcPr>
            <w:tcW w:w="1200" w:type="dxa"/>
            <w:vAlign w:val="bottom"/>
          </w:tcPr>
          <w:p>
            <w:pPr>
              <w:ind w:left="120"/>
              <w:spacing w:after="0"/>
              <w:rPr>
                <w:sz w:val="20"/>
                <w:szCs w:val="20"/>
                <w:color w:val="auto"/>
              </w:rPr>
            </w:pPr>
            <w:r>
              <w:rPr>
                <w:rFonts w:ascii="Arial" w:cs="Arial" w:eastAsia="Arial" w:hAnsi="Arial"/>
                <w:sz w:val="18"/>
                <w:szCs w:val="18"/>
                <w:color w:val="auto"/>
                <w:w w:val="85"/>
              </w:rPr>
              <w:t>of the shares of</w:t>
            </w:r>
          </w:p>
        </w:tc>
      </w:tr>
      <w:tr>
        <w:trPr>
          <w:trHeight w:val="211"/>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Common Stock (“</w:t>
            </w:r>
            <w:r>
              <w:rPr>
                <w:rFonts w:ascii="Arial" w:cs="Arial" w:eastAsia="Arial" w:hAnsi="Arial"/>
                <w:sz w:val="18"/>
                <w:szCs w:val="18"/>
                <w:b w:val="1"/>
                <w:bCs w:val="1"/>
                <w:color w:val="auto"/>
                <w:w w:val="91"/>
              </w:rPr>
              <w:t>Warrant Shares</w:t>
            </w:r>
            <w:r>
              <w:rPr>
                <w:rFonts w:ascii="Arial" w:cs="Arial" w:eastAsia="Arial" w:hAnsi="Arial"/>
                <w:sz w:val="18"/>
                <w:szCs w:val="18"/>
                <w:color w:val="auto"/>
                <w:w w:val="91"/>
              </w:rPr>
              <w:t>”) of TapImmune Inc., a Nevada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evidenced by Series C Warrant No.  (the</w:t>
            </w:r>
          </w:p>
        </w:tc>
        <w:tc>
          <w:tcPr>
            <w:tcW w:w="1200" w:type="dxa"/>
            <w:vAlign w:val="bottom"/>
          </w:tcPr>
          <w:p>
            <w:pPr>
              <w:spacing w:after="0"/>
              <w:rPr>
                <w:sz w:val="18"/>
                <w:szCs w:val="18"/>
                <w:color w:val="auto"/>
              </w:rPr>
            </w:pPr>
          </w:p>
        </w:tc>
      </w:tr>
      <w:tr>
        <w:trPr>
          <w:trHeight w:val="229"/>
        </w:trPr>
        <w:tc>
          <w:tcPr>
            <w:tcW w:w="1002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Warrant</w:t>
            </w:r>
            <w:r>
              <w:rPr>
                <w:rFonts w:ascii="Arial" w:cs="Arial" w:eastAsia="Arial" w:hAnsi="Arial"/>
                <w:sz w:val="18"/>
                <w:szCs w:val="18"/>
                <w:color w:val="auto"/>
                <w:w w:val="97"/>
              </w:rPr>
              <w:t>”). Capitalized terms used herein and not otherwise defined shall have the respective meanings set forth in the Warrant.</w:t>
            </w:r>
          </w:p>
        </w:tc>
        <w:tc>
          <w:tcPr>
            <w:tcW w:w="1200" w:type="dxa"/>
            <w:vAlign w:val="bottom"/>
          </w:tcPr>
          <w:p>
            <w:pPr>
              <w:spacing w:after="0"/>
              <w:rPr>
                <w:sz w:val="19"/>
                <w:szCs w:val="19"/>
                <w:color w:val="auto"/>
              </w:rPr>
            </w:pPr>
          </w:p>
        </w:tc>
      </w:tr>
      <w:tr>
        <w:trPr>
          <w:trHeight w:val="409"/>
        </w:trPr>
        <w:tc>
          <w:tcPr>
            <w:tcW w:w="1260" w:type="dxa"/>
            <w:vAlign w:val="bottom"/>
          </w:tcPr>
          <w:p>
            <w:pPr>
              <w:ind w:left="640"/>
              <w:spacing w:after="0"/>
              <w:rPr>
                <w:sz w:val="20"/>
                <w:szCs w:val="20"/>
                <w:color w:val="auto"/>
              </w:rPr>
            </w:pPr>
            <w:r>
              <w:rPr>
                <w:rFonts w:ascii="Arial" w:cs="Arial" w:eastAsia="Arial" w:hAnsi="Arial"/>
                <w:sz w:val="18"/>
                <w:szCs w:val="18"/>
                <w:color w:val="auto"/>
              </w:rPr>
              <w:t>1.</w:t>
            </w:r>
          </w:p>
        </w:tc>
        <w:tc>
          <w:tcPr>
            <w:tcW w:w="8760" w:type="dxa"/>
            <w:vAlign w:val="bottom"/>
            <w:gridSpan w:val="5"/>
          </w:tcPr>
          <w:p>
            <w:pPr>
              <w:spacing w:after="0"/>
              <w:rPr>
                <w:sz w:val="20"/>
                <w:szCs w:val="20"/>
                <w:color w:val="auto"/>
              </w:rPr>
            </w:pPr>
            <w:r>
              <w:rPr>
                <w:rFonts w:ascii="Arial" w:cs="Arial" w:eastAsia="Arial" w:hAnsi="Arial"/>
                <w:sz w:val="18"/>
                <w:szCs w:val="18"/>
                <w:color w:val="auto"/>
              </w:rPr>
              <w:t>Form of Exercise Price. The Holder intends that payment of the Exercise Price shall be made as:</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1260" w:type="dxa"/>
            <w:vAlign w:val="bottom"/>
          </w:tcPr>
          <w:p>
            <w:pPr>
              <w:spacing w:after="0"/>
              <w:rPr>
                <w:sz w:val="24"/>
                <w:szCs w:val="24"/>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8"/>
                <w:szCs w:val="18"/>
                <w:color w:val="auto"/>
              </w:rPr>
              <w:t>______________________</w:t>
            </w:r>
          </w:p>
        </w:tc>
        <w:tc>
          <w:tcPr>
            <w:tcW w:w="6340" w:type="dxa"/>
            <w:vAlign w:val="bottom"/>
            <w:gridSpan w:val="3"/>
          </w:tcPr>
          <w:p>
            <w:pPr>
              <w:ind w:left="120"/>
              <w:spacing w:after="0"/>
              <w:rPr>
                <w:sz w:val="20"/>
                <w:szCs w:val="20"/>
                <w:color w:val="auto"/>
              </w:rPr>
            </w:pPr>
            <w:r>
              <w:rPr>
                <w:rFonts w:ascii="Arial" w:cs="Arial" w:eastAsia="Arial" w:hAnsi="Arial"/>
                <w:sz w:val="18"/>
                <w:szCs w:val="18"/>
                <w:color w:val="auto"/>
              </w:rPr>
              <w:t>a “Cash Exercise” with respect to ______________ Warrant Shares; and/or</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8"/>
                <w:szCs w:val="18"/>
                <w:color w:val="auto"/>
              </w:rPr>
              <w:t>______________________</w:t>
            </w:r>
          </w:p>
        </w:tc>
        <w:tc>
          <w:tcPr>
            <w:tcW w:w="6340" w:type="dxa"/>
            <w:vAlign w:val="bottom"/>
            <w:gridSpan w:val="3"/>
          </w:tcPr>
          <w:p>
            <w:pPr>
              <w:ind w:left="120"/>
              <w:spacing w:after="0"/>
              <w:rPr>
                <w:sz w:val="20"/>
                <w:szCs w:val="20"/>
                <w:color w:val="auto"/>
              </w:rPr>
            </w:pPr>
            <w:r>
              <w:rPr>
                <w:rFonts w:ascii="Arial" w:cs="Arial" w:eastAsia="Arial" w:hAnsi="Arial"/>
                <w:sz w:val="18"/>
                <w:szCs w:val="18"/>
                <w:color w:val="auto"/>
              </w:rPr>
              <w:t>a “Cashless Exercise” with respect to ___________ Warrant Shares.</w:t>
            </w:r>
          </w:p>
        </w:tc>
        <w:tc>
          <w:tcPr>
            <w:tcW w:w="1200" w:type="dxa"/>
            <w:vAlign w:val="bottom"/>
          </w:tcPr>
          <w:p>
            <w:pPr>
              <w:spacing w:after="0"/>
              <w:rPr>
                <w:sz w:val="24"/>
                <w:szCs w:val="24"/>
                <w:color w:val="auto"/>
              </w:rPr>
            </w:pP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7" w:name="page68"/>
    <w:bookmarkEnd w:id="67"/>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4.4</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D Warrants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Series D Warrant No.: 1-12-15 –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w:t>
      </w:r>
    </w:p>
    <w:p>
      <w:pPr>
        <w:spacing w:after="0" w:line="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5"/>
          <w:szCs w:val="15"/>
          <w:b w:val="1"/>
          <w:bCs w:val="1"/>
          <w:color w:val="auto"/>
        </w:rPr>
        <w:t>Warrant</w:t>
      </w:r>
      <w:r>
        <w:rPr>
          <w:rFonts w:ascii="Arial" w:cs="Arial" w:eastAsia="Arial" w:hAnsi="Arial"/>
          <w:sz w:val="15"/>
          <w:szCs w:val="15"/>
          <w:color w:val="auto"/>
        </w:rPr>
        <w:t xml:space="preserve">”), at any time or times on or after the Issuance Date but not after 11:59 p.m., New York time, on the Expiration Date (as defined below), </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adjustment as provided herein) fully paid and non-assessable shares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21" w:lineRule="exact"/>
        <w:rPr>
          <w:sz w:val="20"/>
          <w:szCs w:val="20"/>
          <w:color w:val="auto"/>
        </w:rPr>
      </w:pPr>
    </w:p>
    <w:p>
      <w:pPr>
        <w:ind w:left="620" w:hanging="615"/>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firstLine="638"/>
        <w:spacing w:after="0" w:line="280" w:lineRule="auto"/>
        <w:tabs>
          <w:tab w:leader="none" w:pos="1311"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0" w:name="page71"/>
    <w:bookmarkEnd w:id="70"/>
    <w:p>
      <w:pPr>
        <w:ind w:right="20"/>
        <w:spacing w:after="0" w:line="298" w:lineRule="auto"/>
        <w:rPr>
          <w:sz w:val="20"/>
          <w:szCs w:val="20"/>
          <w:color w:val="auto"/>
        </w:rPr>
      </w:pPr>
      <w:r>
        <w:rPr>
          <w:rFonts w:ascii="Arial" w:cs="Arial" w:eastAsia="Arial" w:hAnsi="Arial"/>
          <w:sz w:val="15"/>
          <w:szCs w:val="15"/>
          <w:color w:val="auto"/>
        </w:rPr>
        <w:t xml:space="preserve">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to the Holder and the Company’s transfer agent (the “</w:t>
      </w:r>
      <w:r>
        <w:rPr>
          <w:rFonts w:ascii="Arial" w:cs="Arial" w:eastAsia="Arial" w:hAnsi="Arial"/>
          <w:sz w:val="15"/>
          <w:szCs w:val="15"/>
          <w:b w:val="1"/>
          <w:bCs w:val="1"/>
          <w:color w:val="auto"/>
        </w:rPr>
        <w:t>Transfer Agent</w:t>
      </w:r>
      <w:r>
        <w:rPr>
          <w:rFonts w:ascii="Arial" w:cs="Arial" w:eastAsia="Arial" w:hAnsi="Arial"/>
          <w:sz w:val="15"/>
          <w:szCs w:val="15"/>
          <w:color w:val="auto"/>
        </w:rPr>
        <w:t>”). On or before the third (3rd ) Trading Day following the date on which the Company has received such Exercise Notice, the Company shall</w:t>
      </w:r>
    </w:p>
    <w:p>
      <w:pPr>
        <w:spacing w:after="0" w:line="2" w:lineRule="exact"/>
        <w:rPr>
          <w:sz w:val="20"/>
          <w:szCs w:val="20"/>
          <w:color w:val="auto"/>
        </w:rPr>
      </w:pPr>
    </w:p>
    <w:p>
      <w:pPr>
        <w:ind w:firstLine="5"/>
        <w:spacing w:after="0" w:line="277" w:lineRule="auto"/>
        <w:tabs>
          <w:tab w:leader="none" w:pos="288"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94" w:lineRule="exact"/>
        <w:rPr>
          <w:rFonts w:ascii="Arial" w:cs="Arial" w:eastAsia="Arial" w:hAnsi="Arial"/>
          <w:sz w:val="16"/>
          <w:szCs w:val="16"/>
          <w:color w:val="auto"/>
        </w:rPr>
      </w:pPr>
    </w:p>
    <w:p>
      <w:pPr>
        <w:ind w:left="1320" w:hanging="682"/>
        <w:spacing w:after="0"/>
        <w:tabs>
          <w:tab w:leader="none" w:pos="132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47" w:lineRule="exact"/>
        <w:rPr>
          <w:rFonts w:ascii="Arial" w:cs="Arial" w:eastAsia="Arial" w:hAnsi="Arial"/>
          <w:sz w:val="18"/>
          <w:szCs w:val="18"/>
          <w:color w:val="auto"/>
        </w:rPr>
      </w:pPr>
    </w:p>
    <w:p>
      <w:pPr>
        <w:ind w:right="160" w:firstLine="638"/>
        <w:spacing w:after="0" w:line="285" w:lineRule="auto"/>
        <w:tabs>
          <w:tab w:leader="none" w:pos="1311"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71" w:name="page72"/>
    <w:bookmarkEnd w:id="71"/>
    <w:p>
      <w:pPr>
        <w:spacing w:after="0" w:line="276" w:lineRule="auto"/>
        <w:rPr>
          <w:sz w:val="20"/>
          <w:szCs w:val="20"/>
          <w:color w:val="auto"/>
        </w:rPr>
      </w:pPr>
      <w:r>
        <w:rPr>
          <w:rFonts w:ascii="Arial" w:cs="Arial" w:eastAsia="Arial" w:hAnsi="Arial"/>
          <w:sz w:val="16"/>
          <w:szCs w:val="16"/>
          <w:color w:val="auto"/>
        </w:rPr>
        <w:t>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ind w:right="60" w:firstLine="638"/>
        <w:spacing w:after="0" w:line="283" w:lineRule="auto"/>
        <w:tabs>
          <w:tab w:leader="none" w:pos="132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72" w:name="page73"/>
    <w:bookmarkEnd w:id="72"/>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42" w:lineRule="exact"/>
        <w:rPr>
          <w:sz w:val="20"/>
          <w:szCs w:val="20"/>
          <w:color w:val="auto"/>
        </w:rPr>
      </w:pPr>
    </w:p>
    <w:p>
      <w:pPr>
        <w:ind w:right="60" w:firstLine="638"/>
        <w:spacing w:after="0" w:line="300" w:lineRule="auto"/>
        <w:tabs>
          <w:tab w:leader="none" w:pos="131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right="20" w:firstLine="638"/>
        <w:spacing w:after="0" w:line="279" w:lineRule="auto"/>
        <w:tabs>
          <w:tab w:leader="none" w:pos="129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73" w:name="page74"/>
    <w:bookmarkEnd w:id="73"/>
    <w:p>
      <w:pPr>
        <w:ind w:right="60"/>
        <w:spacing w:after="0" w:line="282" w:lineRule="auto"/>
        <w:rPr>
          <w:sz w:val="20"/>
          <w:szCs w:val="20"/>
          <w:color w:val="auto"/>
        </w:rPr>
      </w:pPr>
      <w:r>
        <w:rPr>
          <w:rFonts w:ascii="Arial" w:cs="Arial" w:eastAsia="Arial" w:hAnsi="Arial"/>
          <w:sz w:val="16"/>
          <w:szCs w:val="16"/>
          <w:color w:val="auto"/>
        </w:rPr>
        <w:t>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5" w:lineRule="exact"/>
        <w:rPr>
          <w:sz w:val="20"/>
          <w:szCs w:val="20"/>
          <w:color w:val="auto"/>
        </w:rPr>
      </w:pPr>
    </w:p>
    <w:p>
      <w:pPr>
        <w:ind w:firstLine="638"/>
        <w:spacing w:after="0" w:line="277" w:lineRule="auto"/>
        <w:tabs>
          <w:tab w:leader="none" w:pos="132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4" w:name="page75"/>
    <w:bookmarkEnd w:id="74"/>
    <w:p>
      <w:pPr>
        <w:ind w:left="-20" w:firstLine="638"/>
        <w:spacing w:after="0" w:line="279" w:lineRule="auto"/>
        <w:tabs>
          <w:tab w:leader="none" w:pos="129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9" w:lineRule="exact"/>
        <w:rPr>
          <w:rFonts w:ascii="Arial" w:cs="Arial" w:eastAsia="Arial" w:hAnsi="Arial"/>
          <w:sz w:val="16"/>
          <w:szCs w:val="16"/>
          <w:color w:val="auto"/>
        </w:rPr>
      </w:pPr>
    </w:p>
    <w:p>
      <w:pPr>
        <w:ind w:left="-20" w:right="60" w:firstLine="638"/>
        <w:spacing w:after="0" w:line="282" w:lineRule="auto"/>
        <w:tabs>
          <w:tab w:leader="none" w:pos="130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20" w:right="100" w:firstLine="638"/>
        <w:spacing w:after="0" w:line="253" w:lineRule="auto"/>
        <w:tabs>
          <w:tab w:leader="none" w:pos="129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10" w:right="239" w:bottom="1440" w:gutter="0" w:footer="0" w:header="0"/>
        </w:sectPr>
      </w:pPr>
    </w:p>
    <w:bookmarkStart w:id="75" w:name="page76"/>
    <w:bookmarkEnd w:id="75"/>
    <w:p>
      <w:pPr>
        <w:ind w:left="-5" w:firstLine="5"/>
        <w:spacing w:after="0" w:line="279" w:lineRule="auto"/>
        <w:tabs>
          <w:tab w:leader="none" w:pos="609"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1" w:lineRule="exact"/>
        <w:rPr>
          <w:rFonts w:ascii="Arial" w:cs="Arial" w:eastAsia="Arial" w:hAnsi="Arial"/>
          <w:sz w:val="16"/>
          <w:szCs w:val="16"/>
          <w:color w:val="auto"/>
        </w:rPr>
      </w:pPr>
    </w:p>
    <w:p>
      <w:pPr>
        <w:ind w:left="615" w:hanging="615"/>
        <w:spacing w:after="0"/>
        <w:tabs>
          <w:tab w:leader="none" w:pos="61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right="40" w:firstLine="638"/>
        <w:spacing w:after="0" w:line="280" w:lineRule="auto"/>
        <w:tabs>
          <w:tab w:leader="none" w:pos="866"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sz w:val="20"/>
          <w:szCs w:val="20"/>
          <w:color w:val="auto"/>
        </w:rPr>
      </w:pPr>
    </w:p>
    <w:p>
      <w:pPr>
        <w:spacing w:after="0" w:line="383"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76" w:name="page77"/>
    <w:bookmarkEnd w:id="76"/>
    <w:p>
      <w:pPr>
        <w:ind w:firstLine="638"/>
        <w:spacing w:after="0" w:line="276" w:lineRule="auto"/>
        <w:tabs>
          <w:tab w:leader="none" w:pos="88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7" w:name="page78"/>
    <w:bookmarkEnd w:id="77"/>
    <w:p>
      <w:pPr>
        <w:ind w:right="40" w:firstLine="638"/>
        <w:spacing w:after="0" w:line="287" w:lineRule="auto"/>
        <w:tabs>
          <w:tab w:leader="none" w:pos="916"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Black Scholes Value</w:t>
      </w:r>
      <w:r>
        <w:rPr>
          <w:rFonts w:ascii="Arial" w:cs="Arial" w:eastAsia="Arial" w:hAnsi="Arial"/>
          <w:sz w:val="16"/>
          <w:szCs w:val="16"/>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91" w:lineRule="exact"/>
        <w:rPr>
          <w:rFonts w:ascii="Arial" w:cs="Arial" w:eastAsia="Arial" w:hAnsi="Arial"/>
          <w:sz w:val="16"/>
          <w:szCs w:val="16"/>
          <w:color w:val="auto"/>
        </w:rPr>
      </w:pPr>
    </w:p>
    <w:p>
      <w:pPr>
        <w:jc w:val="both"/>
        <w:ind w:firstLine="638"/>
        <w:spacing w:after="0" w:line="249" w:lineRule="auto"/>
        <w:tabs>
          <w:tab w:leader="none" w:pos="93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8" w:lineRule="exact"/>
        <w:rPr>
          <w:rFonts w:ascii="Arial" w:cs="Arial" w:eastAsia="Arial" w:hAnsi="Arial"/>
          <w:sz w:val="18"/>
          <w:szCs w:val="18"/>
          <w:color w:val="auto"/>
        </w:rPr>
      </w:pPr>
    </w:p>
    <w:p>
      <w:pPr>
        <w:ind w:right="40" w:firstLine="5"/>
        <w:spacing w:after="0" w:line="280" w:lineRule="auto"/>
        <w:tabs>
          <w:tab w:leader="none" w:pos="61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78" w:name="page79"/>
    <w:bookmarkEnd w:id="78"/>
    <w:p>
      <w:pPr>
        <w:ind w:firstLine="5"/>
        <w:spacing w:after="0" w:line="280" w:lineRule="auto"/>
        <w:tabs>
          <w:tab w:leader="none" w:pos="61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right="20" w:firstLine="638"/>
        <w:spacing w:after="0" w:line="287" w:lineRule="auto"/>
        <w:tabs>
          <w:tab w:leader="none" w:pos="132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9" w:name="page80"/>
    <w:bookmarkEnd w:id="79"/>
    <w:p>
      <w:pPr>
        <w:ind w:left="1320" w:hanging="682"/>
        <w:spacing w:after="0"/>
        <w:tabs>
          <w:tab w:leader="none" w:pos="1320"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1" w:lineRule="exact"/>
        <w:rPr>
          <w:rFonts w:ascii="Arial" w:cs="Arial" w:eastAsia="Arial" w:hAnsi="Arial"/>
          <w:sz w:val="16"/>
          <w:szCs w:val="16"/>
          <w:color w:val="auto"/>
        </w:rPr>
      </w:pPr>
    </w:p>
    <w:p>
      <w:pPr>
        <w:ind w:firstLine="5"/>
        <w:spacing w:after="0" w:line="249" w:lineRule="auto"/>
        <w:tabs>
          <w:tab w:leader="none" w:pos="61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40" w:firstLine="5"/>
        <w:spacing w:after="0" w:line="282" w:lineRule="auto"/>
        <w:tabs>
          <w:tab w:leader="none" w:pos="70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80" w:name="page81"/>
    <w:bookmarkEnd w:id="80"/>
    <w:p>
      <w:pPr>
        <w:ind w:right="20" w:firstLine="5"/>
        <w:spacing w:after="0" w:line="276" w:lineRule="auto"/>
        <w:tabs>
          <w:tab w:leader="none" w:pos="696"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81" w:name="page82"/>
    <w:bookmarkEnd w:id="81"/>
    <w:p>
      <w:pPr>
        <w:ind w:left="-5" w:firstLine="5"/>
        <w:spacing w:after="0" w:line="278" w:lineRule="auto"/>
        <w:tabs>
          <w:tab w:leader="none" w:pos="69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695" w:hanging="695"/>
        <w:spacing w:after="0"/>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41" w:lineRule="exact"/>
        <w:rPr>
          <w:rFonts w:ascii="Arial" w:cs="Arial" w:eastAsia="Arial" w:hAnsi="Arial"/>
          <w:sz w:val="18"/>
          <w:szCs w:val="18"/>
          <w:color w:val="auto"/>
        </w:rPr>
      </w:pPr>
    </w:p>
    <w:p>
      <w:pPr>
        <w:ind w:left="695" w:hanging="695"/>
        <w:spacing w:after="0"/>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rFonts w:ascii="Arial" w:cs="Arial" w:eastAsia="Arial" w:hAnsi="Arial"/>
          <w:sz w:val="18"/>
          <w:szCs w:val="18"/>
          <w:color w:val="auto"/>
        </w:rPr>
      </w:pPr>
    </w:p>
    <w:p>
      <w:pPr>
        <w:ind w:left="-5" w:firstLine="638"/>
        <w:spacing w:after="0" w:line="280" w:lineRule="auto"/>
        <w:tabs>
          <w:tab w:leader="none" w:pos="1306" w:val="left"/>
        </w:tabs>
        <w:numPr>
          <w:ilvl w:val="1"/>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82" w:name="page83"/>
    <w:bookmarkEnd w:id="82"/>
    <w:p>
      <w:pPr>
        <w:ind w:right="20" w:firstLine="638"/>
        <w:spacing w:after="0" w:line="279" w:lineRule="auto"/>
        <w:tabs>
          <w:tab w:leader="none" w:pos="1321"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20" w:hanging="682"/>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3" w:name="page84"/>
    <w:bookmarkEnd w:id="83"/>
    <w:p>
      <w:pPr>
        <w:ind w:left="-20" w:right="320" w:firstLine="638"/>
        <w:spacing w:after="0" w:line="269" w:lineRule="auto"/>
        <w:tabs>
          <w:tab w:leader="none" w:pos="12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200" w:firstLine="638"/>
        <w:spacing w:after="0" w:line="333" w:lineRule="auto"/>
        <w:tabs>
          <w:tab w:leader="none" w:pos="1306"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48" w:lineRule="exact"/>
        <w:rPr>
          <w:rFonts w:ascii="Arial" w:cs="Arial" w:eastAsia="Arial" w:hAnsi="Arial"/>
          <w:sz w:val="16"/>
          <w:szCs w:val="16"/>
          <w:color w:val="auto"/>
        </w:rPr>
      </w:pPr>
    </w:p>
    <w:p>
      <w:pPr>
        <w:ind w:left="-20" w:firstLine="638"/>
        <w:spacing w:after="0" w:line="278" w:lineRule="auto"/>
        <w:tabs>
          <w:tab w:leader="none" w:pos="12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4" w:right="239" w:bottom="1440" w:gutter="0" w:footer="0" w:header="0"/>
        </w:sectPr>
      </w:pPr>
    </w:p>
    <w:bookmarkStart w:id="84" w:name="page85"/>
    <w:bookmarkEnd w:id="84"/>
    <w:p>
      <w:pPr>
        <w:ind w:right="40" w:firstLine="638"/>
        <w:spacing w:after="0" w:line="257" w:lineRule="auto"/>
        <w:tabs>
          <w:tab w:leader="none" w:pos="13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205" w:lineRule="exact"/>
        <w:rPr>
          <w:rFonts w:ascii="Arial" w:cs="Arial" w:eastAsia="Arial" w:hAnsi="Arial"/>
          <w:sz w:val="18"/>
          <w:szCs w:val="18"/>
          <w:color w:val="auto"/>
        </w:rPr>
      </w:pPr>
    </w:p>
    <w:p>
      <w:pPr>
        <w:ind w:left="1280" w:hanging="642"/>
        <w:spacing w:after="0"/>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right="40" w:firstLine="638"/>
        <w:spacing w:after="0" w:line="257" w:lineRule="auto"/>
        <w:tabs>
          <w:tab w:leader="none" w:pos="13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right="20" w:firstLine="638"/>
        <w:spacing w:after="0" w:line="269" w:lineRule="auto"/>
        <w:tabs>
          <w:tab w:leader="none" w:pos="13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20" w:hanging="682"/>
        <w:spacing w:after="0"/>
        <w:tabs>
          <w:tab w:leader="none" w:pos="1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1320" w:hanging="682"/>
        <w:spacing w:after="0"/>
        <w:tabs>
          <w:tab w:leader="none" w:pos="1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Warrant</w:t>
      </w:r>
      <w:r>
        <w:rPr>
          <w:rFonts w:ascii="Arial" w:cs="Arial" w:eastAsia="Arial" w:hAnsi="Arial"/>
          <w:sz w:val="16"/>
          <w:szCs w:val="16"/>
          <w:color w:val="auto"/>
        </w:rPr>
        <w:t>” means the Series B Warrant to Purchase Common Stock issued pursuant to the Securities Purchase Agreement.</w:t>
      </w:r>
    </w:p>
    <w:p>
      <w:pPr>
        <w:spacing w:after="0" w:line="264" w:lineRule="exact"/>
        <w:rPr>
          <w:rFonts w:ascii="Arial" w:cs="Arial" w:eastAsia="Arial" w:hAnsi="Arial"/>
          <w:sz w:val="16"/>
          <w:szCs w:val="16"/>
          <w:color w:val="auto"/>
        </w:rPr>
      </w:pPr>
    </w:p>
    <w:p>
      <w:pPr>
        <w:ind w:right="80" w:firstLine="638"/>
        <w:spacing w:after="0" w:line="371" w:lineRule="auto"/>
        <w:tabs>
          <w:tab w:leader="none" w:pos="1321" w:val="left"/>
        </w:tabs>
        <w:numPr>
          <w:ilvl w:val="0"/>
          <w:numId w:val="9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firstLine="638"/>
        <w:spacing w:after="0" w:line="284" w:lineRule="auto"/>
        <w:tabs>
          <w:tab w:leader="none" w:pos="1292"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5" w:name="page86"/>
    <w:bookmarkEnd w:id="85"/>
    <w:p>
      <w:pPr>
        <w:ind w:firstLine="638"/>
        <w:spacing w:after="0" w:line="280" w:lineRule="auto"/>
        <w:tabs>
          <w:tab w:leader="none" w:pos="128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6" w:name="page87"/>
    <w:bookmarkEnd w:id="86"/>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20" w:type="dxa"/>
            <w:vAlign w:val="bottom"/>
            <w:gridSpan w:val="2"/>
          </w:tcPr>
          <w:p>
            <w:pPr>
              <w:ind w:left="960"/>
              <w:spacing w:after="0"/>
              <w:rPr>
                <w:sz w:val="20"/>
                <w:szCs w:val="20"/>
                <w:color w:val="auto"/>
              </w:rPr>
            </w:pPr>
            <w:r>
              <w:rPr>
                <w:rFonts w:ascii="Arial" w:cs="Arial" w:eastAsia="Arial" w:hAnsi="Arial"/>
                <w:sz w:val="18"/>
                <w:szCs w:val="18"/>
                <w:b w:val="1"/>
                <w:bCs w:val="1"/>
                <w:color w:val="auto"/>
              </w:rPr>
              <w:t>TAPIMMUNE INC.</w:t>
            </w:r>
          </w:p>
        </w:tc>
        <w:tc>
          <w:tcPr>
            <w:tcW w:w="1200" w:type="dxa"/>
            <w:vAlign w:val="bottom"/>
          </w:tcPr>
          <w:p>
            <w:pPr>
              <w:spacing w:after="0"/>
              <w:rPr>
                <w:sz w:val="19"/>
                <w:szCs w:val="19"/>
                <w:color w:val="auto"/>
              </w:rPr>
            </w:pPr>
          </w:p>
        </w:tc>
      </w:tr>
      <w:tr>
        <w:trPr>
          <w:trHeight w:val="431"/>
        </w:trPr>
        <w:tc>
          <w:tcPr>
            <w:tcW w:w="10020" w:type="dxa"/>
            <w:vAlign w:val="bottom"/>
            <w:gridSpan w:val="6"/>
          </w:tcPr>
          <w:p>
            <w:pPr>
              <w:jc w:val="center"/>
              <w:ind w:right="4380"/>
              <w:spacing w:after="0"/>
              <w:rPr>
                <w:sz w:val="20"/>
                <w:szCs w:val="20"/>
                <w:color w:val="auto"/>
              </w:rPr>
            </w:pPr>
            <w:r>
              <w:rPr>
                <w:rFonts w:ascii="Arial" w:cs="Arial" w:eastAsia="Arial" w:hAnsi="Arial"/>
                <w:sz w:val="18"/>
                <w:szCs w:val="18"/>
                <w:color w:val="auto"/>
                <w:w w:val="87"/>
              </w:rPr>
              <w:t>The undersigned holder hereby exercises the right to purchase</w:t>
            </w:r>
          </w:p>
        </w:tc>
        <w:tc>
          <w:tcPr>
            <w:tcW w:w="1200" w:type="dxa"/>
            <w:vAlign w:val="bottom"/>
          </w:tcPr>
          <w:p>
            <w:pPr>
              <w:ind w:left="120"/>
              <w:spacing w:after="0"/>
              <w:rPr>
                <w:sz w:val="20"/>
                <w:szCs w:val="20"/>
                <w:color w:val="auto"/>
              </w:rPr>
            </w:pPr>
            <w:r>
              <w:rPr>
                <w:rFonts w:ascii="Arial" w:cs="Arial" w:eastAsia="Arial" w:hAnsi="Arial"/>
                <w:sz w:val="18"/>
                <w:szCs w:val="18"/>
                <w:color w:val="auto"/>
                <w:w w:val="85"/>
              </w:rPr>
              <w:t>of the shares of</w:t>
            </w:r>
          </w:p>
        </w:tc>
      </w:tr>
      <w:tr>
        <w:trPr>
          <w:trHeight w:val="211"/>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Common Stock (“</w:t>
            </w:r>
            <w:r>
              <w:rPr>
                <w:rFonts w:ascii="Arial" w:cs="Arial" w:eastAsia="Arial" w:hAnsi="Arial"/>
                <w:sz w:val="18"/>
                <w:szCs w:val="18"/>
                <w:b w:val="1"/>
                <w:bCs w:val="1"/>
                <w:color w:val="auto"/>
                <w:w w:val="91"/>
              </w:rPr>
              <w:t>Warrant Shares</w:t>
            </w:r>
            <w:r>
              <w:rPr>
                <w:rFonts w:ascii="Arial" w:cs="Arial" w:eastAsia="Arial" w:hAnsi="Arial"/>
                <w:sz w:val="18"/>
                <w:szCs w:val="18"/>
                <w:color w:val="auto"/>
                <w:w w:val="91"/>
              </w:rPr>
              <w:t>”) of TapImmune Inc., a Nevada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evidenced by Series D Warrant No.  (the</w:t>
            </w:r>
          </w:p>
        </w:tc>
        <w:tc>
          <w:tcPr>
            <w:tcW w:w="1200" w:type="dxa"/>
            <w:vAlign w:val="bottom"/>
          </w:tcPr>
          <w:p>
            <w:pPr>
              <w:spacing w:after="0"/>
              <w:rPr>
                <w:sz w:val="18"/>
                <w:szCs w:val="18"/>
                <w:color w:val="auto"/>
              </w:rPr>
            </w:pPr>
          </w:p>
        </w:tc>
      </w:tr>
      <w:tr>
        <w:trPr>
          <w:trHeight w:val="229"/>
        </w:trPr>
        <w:tc>
          <w:tcPr>
            <w:tcW w:w="1002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Warrant</w:t>
            </w:r>
            <w:r>
              <w:rPr>
                <w:rFonts w:ascii="Arial" w:cs="Arial" w:eastAsia="Arial" w:hAnsi="Arial"/>
                <w:sz w:val="18"/>
                <w:szCs w:val="18"/>
                <w:color w:val="auto"/>
                <w:w w:val="97"/>
              </w:rPr>
              <w:t>”). Capitalized terms used herein and not otherwise defined shall have the respective meanings set forth in the Warrant.</w:t>
            </w:r>
          </w:p>
        </w:tc>
        <w:tc>
          <w:tcPr>
            <w:tcW w:w="1200" w:type="dxa"/>
            <w:vAlign w:val="bottom"/>
          </w:tcPr>
          <w:p>
            <w:pPr>
              <w:spacing w:after="0"/>
              <w:rPr>
                <w:sz w:val="19"/>
                <w:szCs w:val="19"/>
                <w:color w:val="auto"/>
              </w:rPr>
            </w:pPr>
          </w:p>
        </w:tc>
      </w:tr>
      <w:tr>
        <w:trPr>
          <w:trHeight w:val="409"/>
        </w:trPr>
        <w:tc>
          <w:tcPr>
            <w:tcW w:w="126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8760" w:type="dxa"/>
            <w:vAlign w:val="bottom"/>
            <w:gridSpan w:val="5"/>
          </w:tcPr>
          <w:p>
            <w:pPr>
              <w:spacing w:after="0"/>
              <w:rPr>
                <w:sz w:val="20"/>
                <w:szCs w:val="20"/>
                <w:color w:val="auto"/>
              </w:rPr>
            </w:pPr>
            <w:r>
              <w:rPr>
                <w:rFonts w:ascii="Arial" w:cs="Arial" w:eastAsia="Arial" w:hAnsi="Arial"/>
                <w:sz w:val="18"/>
                <w:szCs w:val="18"/>
                <w:color w:val="auto"/>
              </w:rPr>
              <w:t>Form of Exercise Price. The Holder intends that payment of the Exercise Price shall be made as:</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1260" w:type="dxa"/>
            <w:vAlign w:val="bottom"/>
          </w:tcPr>
          <w:p>
            <w:pPr>
              <w:spacing w:after="0"/>
              <w:rPr>
                <w:sz w:val="24"/>
                <w:szCs w:val="24"/>
                <w:color w:val="auto"/>
              </w:rPr>
            </w:pPr>
          </w:p>
        </w:tc>
        <w:tc>
          <w:tcPr>
            <w:tcW w:w="2480" w:type="dxa"/>
            <w:vAlign w:val="bottom"/>
            <w:gridSpan w:val="2"/>
          </w:tcPr>
          <w:p>
            <w:pPr>
              <w:jc w:val="center"/>
              <w:ind w:left="592"/>
              <w:spacing w:after="0"/>
              <w:rPr>
                <w:sz w:val="20"/>
                <w:szCs w:val="20"/>
                <w:color w:val="auto"/>
              </w:rPr>
            </w:pPr>
            <w:r>
              <w:rPr>
                <w:rFonts w:ascii="Arial" w:cs="Arial" w:eastAsia="Arial" w:hAnsi="Arial"/>
                <w:sz w:val="18"/>
                <w:szCs w:val="18"/>
                <w:color w:val="auto"/>
                <w:w w:val="88"/>
              </w:rPr>
              <w:t>___________________</w:t>
            </w:r>
          </w:p>
        </w:tc>
        <w:tc>
          <w:tcPr>
            <w:tcW w:w="6280" w:type="dxa"/>
            <w:vAlign w:val="bottom"/>
            <w:gridSpan w:val="3"/>
          </w:tcPr>
          <w:p>
            <w:pPr>
              <w:ind w:left="60"/>
              <w:spacing w:after="0"/>
              <w:rPr>
                <w:sz w:val="20"/>
                <w:szCs w:val="20"/>
                <w:color w:val="auto"/>
              </w:rPr>
            </w:pPr>
            <w:r>
              <w:rPr>
                <w:rFonts w:ascii="Arial" w:cs="Arial" w:eastAsia="Arial" w:hAnsi="Arial"/>
                <w:sz w:val="18"/>
                <w:szCs w:val="18"/>
                <w:color w:val="auto"/>
              </w:rPr>
              <w:t>a “Cash Exercise” with respect to ______________ Warrant Shares; and/or</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480" w:type="dxa"/>
            <w:vAlign w:val="bottom"/>
            <w:gridSpan w:val="2"/>
          </w:tcPr>
          <w:p>
            <w:pPr>
              <w:jc w:val="center"/>
              <w:ind w:left="592"/>
              <w:spacing w:after="0"/>
              <w:rPr>
                <w:sz w:val="20"/>
                <w:szCs w:val="20"/>
                <w:color w:val="auto"/>
              </w:rPr>
            </w:pPr>
            <w:r>
              <w:rPr>
                <w:rFonts w:ascii="Arial" w:cs="Arial" w:eastAsia="Arial" w:hAnsi="Arial"/>
                <w:sz w:val="18"/>
                <w:szCs w:val="18"/>
                <w:color w:val="auto"/>
                <w:w w:val="88"/>
              </w:rPr>
              <w:t>___________________</w:t>
            </w:r>
          </w:p>
        </w:tc>
        <w:tc>
          <w:tcPr>
            <w:tcW w:w="6280" w:type="dxa"/>
            <w:vAlign w:val="bottom"/>
            <w:gridSpan w:val="3"/>
          </w:tcPr>
          <w:p>
            <w:pPr>
              <w:ind w:left="60"/>
              <w:spacing w:after="0"/>
              <w:rPr>
                <w:sz w:val="20"/>
                <w:szCs w:val="20"/>
                <w:color w:val="auto"/>
              </w:rPr>
            </w:pPr>
            <w:r>
              <w:rPr>
                <w:rFonts w:ascii="Arial" w:cs="Arial" w:eastAsia="Arial" w:hAnsi="Arial"/>
                <w:sz w:val="18"/>
                <w:szCs w:val="18"/>
                <w:color w:val="auto"/>
              </w:rPr>
              <w:t>a “Cashless Exercise” with respect to ___________ Warrant Shares.</w:t>
            </w:r>
          </w:p>
        </w:tc>
        <w:tc>
          <w:tcPr>
            <w:tcW w:w="1200" w:type="dxa"/>
            <w:vAlign w:val="bottom"/>
          </w:tcPr>
          <w:p>
            <w:pPr>
              <w:spacing w:after="0"/>
              <w:rPr>
                <w:sz w:val="24"/>
                <w:szCs w:val="24"/>
                <w:color w:val="auto"/>
              </w:rPr>
            </w:pP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_____________________________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3089910</wp:posOffset>
            </wp:positionV>
            <wp:extent cx="7254240" cy="43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E Warrant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Series E Warrant No.: 1-12-15 –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w:t>
      </w:r>
    </w:p>
    <w:p>
      <w:pPr>
        <w:spacing w:after="0" w:line="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5"/>
          <w:szCs w:val="15"/>
          <w:b w:val="1"/>
          <w:bCs w:val="1"/>
          <w:color w:val="auto"/>
        </w:rPr>
        <w:t>Warrant</w:t>
      </w:r>
      <w:r>
        <w:rPr>
          <w:rFonts w:ascii="Arial" w:cs="Arial" w:eastAsia="Arial" w:hAnsi="Arial"/>
          <w:sz w:val="15"/>
          <w:szCs w:val="15"/>
          <w:color w:val="auto"/>
        </w:rPr>
        <w:t xml:space="preserve">”), at any time or times on or after the Issuance Date but not after 11:59 p.m., New York time, on the Expiration Date (as defined below), </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adjustment as provided herein) fully paid and non-assessable shares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221" w:lineRule="exact"/>
        <w:rPr>
          <w:sz w:val="20"/>
          <w:szCs w:val="20"/>
          <w:color w:val="auto"/>
        </w:rPr>
      </w:pPr>
    </w:p>
    <w:p>
      <w:pPr>
        <w:ind w:left="620" w:hanging="615"/>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firstLine="638"/>
        <w:spacing w:after="0" w:line="279" w:lineRule="auto"/>
        <w:tabs>
          <w:tab w:leader="none" w:pos="1311"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90" w:name="page91"/>
    <w:bookmarkEnd w:id="90"/>
    <w:p>
      <w:pPr>
        <w:ind w:right="140"/>
        <w:spacing w:after="0" w:line="298" w:lineRule="auto"/>
        <w:rPr>
          <w:sz w:val="20"/>
          <w:szCs w:val="20"/>
          <w:color w:val="auto"/>
        </w:rPr>
      </w:pPr>
      <w:r>
        <w:rPr>
          <w:rFonts w:ascii="Arial" w:cs="Arial" w:eastAsia="Arial" w:hAnsi="Arial"/>
          <w:sz w:val="15"/>
          <w:szCs w:val="15"/>
          <w:color w:val="auto"/>
        </w:rPr>
        <w:t xml:space="preserve">confirmation of receipt of such Exercise Notice, in the form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to the Holder and the Company’s transfer agent (the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On or before the third (3rd ) Trading Day following the date on which the Company has received such Exercise Notice, the Company shall (X)</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Transfer Agent is participating in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 w:lineRule="exact"/>
        <w:rPr>
          <w:sz w:val="20"/>
          <w:szCs w:val="20"/>
          <w:color w:val="auto"/>
        </w:rPr>
      </w:pPr>
    </w:p>
    <w:p>
      <w:pPr>
        <w:ind w:firstLine="5"/>
        <w:spacing w:after="0" w:line="277" w:lineRule="auto"/>
        <w:tabs>
          <w:tab w:leader="none" w:pos="288"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98" w:lineRule="exact"/>
        <w:rPr>
          <w:rFonts w:ascii="Arial" w:cs="Arial" w:eastAsia="Arial" w:hAnsi="Arial"/>
          <w:sz w:val="16"/>
          <w:szCs w:val="16"/>
          <w:color w:val="auto"/>
        </w:rPr>
      </w:pPr>
    </w:p>
    <w:p>
      <w:pPr>
        <w:ind w:left="1320" w:hanging="682"/>
        <w:spacing w:after="0"/>
        <w:tabs>
          <w:tab w:leader="none" w:pos="132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47" w:lineRule="exact"/>
        <w:rPr>
          <w:rFonts w:ascii="Arial" w:cs="Arial" w:eastAsia="Arial" w:hAnsi="Arial"/>
          <w:sz w:val="18"/>
          <w:szCs w:val="18"/>
          <w:color w:val="auto"/>
        </w:rPr>
      </w:pPr>
    </w:p>
    <w:p>
      <w:pPr>
        <w:ind w:right="120" w:firstLine="638"/>
        <w:spacing w:after="0" w:line="247" w:lineRule="auto"/>
        <w:tabs>
          <w:tab w:leader="none" w:pos="131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Company’s Failure to Timely Deliver Securities</w:t>
      </w:r>
      <w:r>
        <w:rPr>
          <w:rFonts w:ascii="Arial" w:cs="Arial" w:eastAsia="Arial" w:hAnsi="Arial"/>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1" w:name="page92"/>
    <w:bookmarkEnd w:id="91"/>
    <w:p>
      <w:pPr>
        <w:spacing w:after="0" w:line="278" w:lineRule="auto"/>
        <w:rPr>
          <w:sz w:val="20"/>
          <w:szCs w:val="20"/>
          <w:color w:val="auto"/>
        </w:rPr>
      </w:pPr>
      <w:r>
        <w:rPr>
          <w:rFonts w:ascii="Arial" w:cs="Arial" w:eastAsia="Arial" w:hAnsi="Arial"/>
          <w:sz w:val="16"/>
          <w:szCs w:val="16"/>
          <w:color w:val="auto"/>
        </w:rPr>
        <w:t>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02" w:lineRule="exact"/>
        <w:rPr>
          <w:sz w:val="20"/>
          <w:szCs w:val="20"/>
          <w:color w:val="auto"/>
        </w:rPr>
      </w:pPr>
    </w:p>
    <w:p>
      <w:pPr>
        <w:ind w:right="120" w:firstLine="638"/>
        <w:spacing w:after="0" w:line="287" w:lineRule="auto"/>
        <w:tabs>
          <w:tab w:leader="none" w:pos="132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92" w:name="page93"/>
    <w:bookmarkEnd w:id="92"/>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42" w:lineRule="exact"/>
        <w:rPr>
          <w:sz w:val="20"/>
          <w:szCs w:val="20"/>
          <w:color w:val="auto"/>
        </w:rPr>
      </w:pPr>
    </w:p>
    <w:p>
      <w:pPr>
        <w:ind w:right="60" w:firstLine="638"/>
        <w:spacing w:after="0" w:line="300" w:lineRule="auto"/>
        <w:tabs>
          <w:tab w:leader="none" w:pos="131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right="20" w:firstLine="638"/>
        <w:spacing w:after="0" w:line="279" w:lineRule="auto"/>
        <w:tabs>
          <w:tab w:leader="none" w:pos="129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3" w:name="page94"/>
    <w:bookmarkEnd w:id="93"/>
    <w:p>
      <w:pPr>
        <w:ind w:right="60"/>
        <w:spacing w:after="0" w:line="282" w:lineRule="auto"/>
        <w:rPr>
          <w:sz w:val="20"/>
          <w:szCs w:val="20"/>
          <w:color w:val="auto"/>
        </w:rPr>
      </w:pPr>
      <w:r>
        <w:rPr>
          <w:rFonts w:ascii="Arial" w:cs="Arial" w:eastAsia="Arial" w:hAnsi="Arial"/>
          <w:sz w:val="16"/>
          <w:szCs w:val="16"/>
          <w:color w:val="auto"/>
        </w:rPr>
        <w:t>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5" w:lineRule="exact"/>
        <w:rPr>
          <w:sz w:val="20"/>
          <w:szCs w:val="20"/>
          <w:color w:val="auto"/>
        </w:rPr>
      </w:pPr>
    </w:p>
    <w:p>
      <w:pPr>
        <w:ind w:firstLine="638"/>
        <w:spacing w:after="0" w:line="277" w:lineRule="auto"/>
        <w:tabs>
          <w:tab w:leader="none" w:pos="1321"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4" w:name="page95"/>
    <w:bookmarkEnd w:id="94"/>
    <w:p>
      <w:pPr>
        <w:ind w:left="-20" w:firstLine="638"/>
        <w:spacing w:after="0" w:line="279" w:lineRule="auto"/>
        <w:tabs>
          <w:tab w:leader="none" w:pos="129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9" w:lineRule="exact"/>
        <w:rPr>
          <w:rFonts w:ascii="Arial" w:cs="Arial" w:eastAsia="Arial" w:hAnsi="Arial"/>
          <w:sz w:val="16"/>
          <w:szCs w:val="16"/>
          <w:color w:val="auto"/>
        </w:rPr>
      </w:pPr>
    </w:p>
    <w:p>
      <w:pPr>
        <w:ind w:left="-20" w:right="60" w:firstLine="638"/>
        <w:spacing w:after="0" w:line="282" w:lineRule="auto"/>
        <w:tabs>
          <w:tab w:leader="none" w:pos="130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20" w:right="100" w:firstLine="638"/>
        <w:spacing w:after="0" w:line="253" w:lineRule="auto"/>
        <w:tabs>
          <w:tab w:leader="none" w:pos="129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9" w:right="239" w:bottom="1440" w:gutter="0" w:footer="0" w:header="0"/>
        </w:sectPr>
      </w:pPr>
    </w:p>
    <w:bookmarkStart w:id="95" w:name="page96"/>
    <w:bookmarkEnd w:id="95"/>
    <w:p>
      <w:pPr>
        <w:ind w:left="-5" w:firstLine="5"/>
        <w:spacing w:after="0" w:line="279" w:lineRule="auto"/>
        <w:tabs>
          <w:tab w:leader="none" w:pos="60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1" w:lineRule="exact"/>
        <w:rPr>
          <w:rFonts w:ascii="Arial" w:cs="Arial" w:eastAsia="Arial" w:hAnsi="Arial"/>
          <w:sz w:val="16"/>
          <w:szCs w:val="16"/>
          <w:color w:val="auto"/>
        </w:rPr>
      </w:pPr>
    </w:p>
    <w:p>
      <w:pPr>
        <w:ind w:left="615" w:hanging="615"/>
        <w:spacing w:after="0"/>
        <w:tabs>
          <w:tab w:leader="none" w:pos="61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right="40" w:firstLine="638"/>
        <w:spacing w:after="0" w:line="280" w:lineRule="auto"/>
        <w:tabs>
          <w:tab w:leader="none" w:pos="130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sz w:val="20"/>
          <w:szCs w:val="20"/>
          <w:color w:val="auto"/>
        </w:rPr>
      </w:pPr>
    </w:p>
    <w:p>
      <w:pPr>
        <w:spacing w:after="0" w:line="383"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96" w:name="page97"/>
    <w:bookmarkEnd w:id="96"/>
    <w:p>
      <w:pPr>
        <w:ind w:firstLine="638"/>
        <w:spacing w:after="0" w:line="276" w:lineRule="auto"/>
        <w:tabs>
          <w:tab w:leader="none" w:pos="1321"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7" w:name="page98"/>
    <w:bookmarkEnd w:id="97"/>
    <w:p>
      <w:pPr>
        <w:ind w:firstLine="638"/>
        <w:spacing w:after="0" w:line="301" w:lineRule="auto"/>
        <w:tabs>
          <w:tab w:leader="none" w:pos="1311"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140" w:firstLine="5"/>
        <w:spacing w:after="0" w:line="320" w:lineRule="auto"/>
        <w:tabs>
          <w:tab w:leader="none" w:pos="23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5"/>
          <w:szCs w:val="15"/>
          <w:color w:val="auto"/>
        </w:rPr>
      </w:pPr>
    </w:p>
    <w:p>
      <w:pPr>
        <w:ind w:right="100" w:firstLine="638"/>
        <w:spacing w:after="0" w:line="249" w:lineRule="auto"/>
        <w:tabs>
          <w:tab w:leader="none" w:pos="1321"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8" w:lineRule="exact"/>
        <w:rPr>
          <w:sz w:val="20"/>
          <w:szCs w:val="20"/>
          <w:color w:val="auto"/>
        </w:rPr>
      </w:pPr>
    </w:p>
    <w:p>
      <w:pPr>
        <w:ind w:right="40" w:firstLine="5"/>
        <w:spacing w:after="0" w:line="280" w:lineRule="auto"/>
        <w:tabs>
          <w:tab w:leader="none" w:pos="61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8" w:name="page99"/>
    <w:bookmarkEnd w:id="98"/>
    <w:p>
      <w:pPr>
        <w:ind w:left="620" w:hanging="615"/>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40" w:firstLine="638"/>
        <w:spacing w:after="0" w:line="287" w:lineRule="auto"/>
        <w:tabs>
          <w:tab w:leader="none" w:pos="131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firstLine="638"/>
        <w:spacing w:after="0" w:line="287" w:lineRule="auto"/>
        <w:tabs>
          <w:tab w:leader="none" w:pos="132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40" w:firstLine="638"/>
        <w:spacing w:after="0" w:line="291" w:lineRule="auto"/>
        <w:tabs>
          <w:tab w:leader="none" w:pos="131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60"/>
        <w:spacing w:after="0" w:line="283" w:lineRule="auto"/>
        <w:rPr>
          <w:rFonts w:ascii="Arial" w:cs="Arial" w:eastAsia="Arial" w:hAnsi="Arial"/>
          <w:sz w:val="15"/>
          <w:szCs w:val="15"/>
          <w:color w:val="auto"/>
        </w:rPr>
      </w:pPr>
      <w:r>
        <w:rPr>
          <w:rFonts w:ascii="Arial" w:cs="Arial" w:eastAsia="Arial" w:hAnsi="Arial"/>
          <w:sz w:val="16"/>
          <w:szCs w:val="16"/>
          <w:color w:val="auto"/>
        </w:rPr>
        <w:t>(i)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99" w:name="page100"/>
    <w:bookmarkEnd w:id="99"/>
    <w:p>
      <w:pPr>
        <w:ind w:firstLine="5"/>
        <w:spacing w:after="0" w:line="279" w:lineRule="auto"/>
        <w:tabs>
          <w:tab w:leader="none" w:pos="61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1" w:lineRule="exact"/>
        <w:rPr>
          <w:rFonts w:ascii="Arial" w:cs="Arial" w:eastAsia="Arial" w:hAnsi="Arial"/>
          <w:sz w:val="16"/>
          <w:szCs w:val="16"/>
          <w:color w:val="auto"/>
        </w:rPr>
      </w:pPr>
    </w:p>
    <w:p>
      <w:pPr>
        <w:ind w:firstLine="5"/>
        <w:spacing w:after="0" w:line="249" w:lineRule="auto"/>
        <w:tabs>
          <w:tab w:leader="none" w:pos="61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40" w:firstLine="5"/>
        <w:spacing w:after="0" w:line="282" w:lineRule="auto"/>
        <w:tabs>
          <w:tab w:leader="none" w:pos="70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0" w:name="page101"/>
    <w:bookmarkEnd w:id="100"/>
    <w:p>
      <w:pPr>
        <w:ind w:right="20" w:firstLine="5"/>
        <w:spacing w:after="0" w:line="276" w:lineRule="auto"/>
        <w:tabs>
          <w:tab w:leader="none" w:pos="69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01" w:name="page102"/>
    <w:bookmarkEnd w:id="101"/>
    <w:p>
      <w:pPr>
        <w:ind w:left="-5" w:firstLine="5"/>
        <w:spacing w:after="0" w:line="278" w:lineRule="auto"/>
        <w:tabs>
          <w:tab w:leader="none" w:pos="69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695" w:hanging="695"/>
        <w:spacing w:after="0"/>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41" w:lineRule="exact"/>
        <w:rPr>
          <w:rFonts w:ascii="Arial" w:cs="Arial" w:eastAsia="Arial" w:hAnsi="Arial"/>
          <w:sz w:val="18"/>
          <w:szCs w:val="18"/>
          <w:color w:val="auto"/>
        </w:rPr>
      </w:pPr>
    </w:p>
    <w:p>
      <w:pPr>
        <w:ind w:left="695" w:hanging="695"/>
        <w:spacing w:after="0"/>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rFonts w:ascii="Arial" w:cs="Arial" w:eastAsia="Arial" w:hAnsi="Arial"/>
          <w:sz w:val="18"/>
          <w:szCs w:val="18"/>
          <w:color w:val="auto"/>
        </w:rPr>
      </w:pPr>
    </w:p>
    <w:p>
      <w:pPr>
        <w:ind w:left="-5" w:firstLine="638"/>
        <w:spacing w:after="0" w:line="280" w:lineRule="auto"/>
        <w:tabs>
          <w:tab w:leader="none" w:pos="130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102" w:name="page103"/>
    <w:bookmarkEnd w:id="102"/>
    <w:p>
      <w:pPr>
        <w:ind w:right="20" w:firstLine="638"/>
        <w:spacing w:after="0" w:line="279" w:lineRule="auto"/>
        <w:tabs>
          <w:tab w:leader="none" w:pos="132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60" w:hanging="722"/>
        <w:spacing w:after="0"/>
        <w:tabs>
          <w:tab w:leader="none" w:pos="1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3" w:name="page104"/>
    <w:bookmarkEnd w:id="103"/>
    <w:p>
      <w:pPr>
        <w:ind w:left="-20" w:right="320" w:firstLine="638"/>
        <w:spacing w:after="0" w:line="269" w:lineRule="auto"/>
        <w:tabs>
          <w:tab w:leader="none" w:pos="127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240" w:firstLine="638"/>
        <w:spacing w:after="0" w:line="333" w:lineRule="auto"/>
        <w:tabs>
          <w:tab w:leader="none" w:pos="130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148" w:lineRule="exact"/>
        <w:rPr>
          <w:rFonts w:ascii="Arial" w:cs="Arial" w:eastAsia="Arial" w:hAnsi="Arial"/>
          <w:sz w:val="16"/>
          <w:szCs w:val="16"/>
          <w:color w:val="auto"/>
        </w:rPr>
      </w:pPr>
    </w:p>
    <w:p>
      <w:pPr>
        <w:ind w:left="-20" w:firstLine="638"/>
        <w:spacing w:after="0" w:line="278" w:lineRule="auto"/>
        <w:tabs>
          <w:tab w:leader="none" w:pos="126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104" w:name="page105"/>
    <w:bookmarkEnd w:id="104"/>
    <w:p>
      <w:pPr>
        <w:ind w:right="40" w:firstLine="638"/>
        <w:spacing w:after="0" w:line="257" w:lineRule="auto"/>
        <w:tabs>
          <w:tab w:leader="none" w:pos="132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205" w:lineRule="exact"/>
        <w:rPr>
          <w:rFonts w:ascii="Arial" w:cs="Arial" w:eastAsia="Arial" w:hAnsi="Arial"/>
          <w:sz w:val="18"/>
          <w:szCs w:val="18"/>
          <w:color w:val="auto"/>
        </w:rPr>
      </w:pPr>
    </w:p>
    <w:p>
      <w:pPr>
        <w:ind w:left="1280" w:hanging="642"/>
        <w:spacing w:after="0"/>
        <w:tabs>
          <w:tab w:leader="none" w:pos="12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right="40" w:firstLine="638"/>
        <w:spacing w:after="0" w:line="257" w:lineRule="auto"/>
        <w:tabs>
          <w:tab w:leader="none" w:pos="13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right="20" w:firstLine="638"/>
        <w:spacing w:after="0" w:line="269" w:lineRule="auto"/>
        <w:tabs>
          <w:tab w:leader="none" w:pos="132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20" w:hanging="682"/>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1380" w:hanging="742"/>
        <w:spacing w:after="0"/>
        <w:tabs>
          <w:tab w:leader="none" w:pos="13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Warrant</w:t>
      </w:r>
      <w:r>
        <w:rPr>
          <w:rFonts w:ascii="Arial" w:cs="Arial" w:eastAsia="Arial" w:hAnsi="Arial"/>
          <w:sz w:val="16"/>
          <w:szCs w:val="16"/>
          <w:color w:val="auto"/>
        </w:rPr>
        <w:t>” means the Series C Warrant to Purchase Common Stock issued pursuant to the Securities Purchase Agreement.</w:t>
      </w:r>
    </w:p>
    <w:p>
      <w:pPr>
        <w:spacing w:after="0" w:line="264" w:lineRule="exact"/>
        <w:rPr>
          <w:rFonts w:ascii="Arial" w:cs="Arial" w:eastAsia="Arial" w:hAnsi="Arial"/>
          <w:sz w:val="16"/>
          <w:szCs w:val="16"/>
          <w:color w:val="auto"/>
        </w:rPr>
      </w:pPr>
    </w:p>
    <w:p>
      <w:pPr>
        <w:ind w:right="80" w:firstLine="638"/>
        <w:spacing w:after="0" w:line="371" w:lineRule="auto"/>
        <w:tabs>
          <w:tab w:leader="none" w:pos="1321" w:val="left"/>
        </w:tabs>
        <w:numPr>
          <w:ilvl w:val="0"/>
          <w:numId w:val="1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firstLine="638"/>
        <w:spacing w:after="0" w:line="284" w:lineRule="auto"/>
        <w:tabs>
          <w:tab w:leader="none" w:pos="129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5" w:name="page106"/>
    <w:bookmarkEnd w:id="105"/>
    <w:p>
      <w:pPr>
        <w:ind w:firstLine="638"/>
        <w:spacing w:after="0" w:line="280" w:lineRule="auto"/>
        <w:tabs>
          <w:tab w:leader="none" w:pos="12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6" w:name="page107"/>
    <w:bookmarkEnd w:id="106"/>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gridSpan w:val="2"/>
          </w:tcPr>
          <w:p>
            <w:pPr>
              <w:ind w:left="960"/>
              <w:spacing w:after="0"/>
              <w:rPr>
                <w:sz w:val="20"/>
                <w:szCs w:val="20"/>
                <w:color w:val="auto"/>
              </w:rPr>
            </w:pPr>
            <w:r>
              <w:rPr>
                <w:rFonts w:ascii="Arial" w:cs="Arial" w:eastAsia="Arial" w:hAnsi="Arial"/>
                <w:sz w:val="18"/>
                <w:szCs w:val="18"/>
                <w:b w:val="1"/>
                <w:bCs w:val="1"/>
                <w:color w:val="auto"/>
              </w:rPr>
              <w:t>TAPIMMUNE INC.</w:t>
            </w:r>
          </w:p>
        </w:tc>
        <w:tc>
          <w:tcPr>
            <w:tcW w:w="1200" w:type="dxa"/>
            <w:vAlign w:val="bottom"/>
          </w:tcPr>
          <w:p>
            <w:pPr>
              <w:spacing w:after="0"/>
              <w:rPr>
                <w:sz w:val="19"/>
                <w:szCs w:val="19"/>
                <w:color w:val="auto"/>
              </w:rPr>
            </w:pPr>
          </w:p>
        </w:tc>
      </w:tr>
      <w:tr>
        <w:trPr>
          <w:trHeight w:val="431"/>
        </w:trPr>
        <w:tc>
          <w:tcPr>
            <w:tcW w:w="10020" w:type="dxa"/>
            <w:vAlign w:val="bottom"/>
            <w:gridSpan w:val="6"/>
          </w:tcPr>
          <w:p>
            <w:pPr>
              <w:ind w:left="640"/>
              <w:spacing w:after="0"/>
              <w:rPr>
                <w:sz w:val="20"/>
                <w:szCs w:val="20"/>
                <w:color w:val="auto"/>
              </w:rPr>
            </w:pPr>
            <w:r>
              <w:rPr>
                <w:rFonts w:ascii="Arial" w:cs="Arial" w:eastAsia="Arial" w:hAnsi="Arial"/>
                <w:sz w:val="18"/>
                <w:szCs w:val="18"/>
                <w:color w:val="auto"/>
              </w:rPr>
              <w:t>The undersigned holder hereby exercises the right to purchase</w:t>
            </w:r>
          </w:p>
        </w:tc>
        <w:tc>
          <w:tcPr>
            <w:tcW w:w="1200" w:type="dxa"/>
            <w:vAlign w:val="bottom"/>
          </w:tcPr>
          <w:p>
            <w:pPr>
              <w:ind w:left="120"/>
              <w:spacing w:after="0"/>
              <w:rPr>
                <w:sz w:val="20"/>
                <w:szCs w:val="20"/>
                <w:color w:val="auto"/>
              </w:rPr>
            </w:pPr>
            <w:r>
              <w:rPr>
                <w:rFonts w:ascii="Arial" w:cs="Arial" w:eastAsia="Arial" w:hAnsi="Arial"/>
                <w:sz w:val="18"/>
                <w:szCs w:val="18"/>
                <w:color w:val="auto"/>
                <w:w w:val="85"/>
              </w:rPr>
              <w:t>of the shares of</w:t>
            </w:r>
          </w:p>
        </w:tc>
      </w:tr>
      <w:tr>
        <w:trPr>
          <w:trHeight w:val="211"/>
        </w:trPr>
        <w:tc>
          <w:tcPr>
            <w:tcW w:w="10020" w:type="dxa"/>
            <w:vAlign w:val="bottom"/>
            <w:gridSpan w:val="6"/>
          </w:tcPr>
          <w:p>
            <w:pPr>
              <w:spacing w:after="0"/>
              <w:rPr>
                <w:sz w:val="20"/>
                <w:szCs w:val="20"/>
                <w:color w:val="auto"/>
              </w:rPr>
            </w:pPr>
            <w:r>
              <w:rPr>
                <w:rFonts w:ascii="Arial" w:cs="Arial" w:eastAsia="Arial" w:hAnsi="Arial"/>
                <w:sz w:val="18"/>
                <w:szCs w:val="18"/>
                <w:color w:val="auto"/>
                <w:w w:val="91"/>
              </w:rPr>
              <w:t>Common Stock (“</w:t>
            </w:r>
            <w:r>
              <w:rPr>
                <w:rFonts w:ascii="Arial" w:cs="Arial" w:eastAsia="Arial" w:hAnsi="Arial"/>
                <w:sz w:val="18"/>
                <w:szCs w:val="18"/>
                <w:b w:val="1"/>
                <w:bCs w:val="1"/>
                <w:color w:val="auto"/>
                <w:w w:val="91"/>
              </w:rPr>
              <w:t>Warrant Shares</w:t>
            </w:r>
            <w:r>
              <w:rPr>
                <w:rFonts w:ascii="Arial" w:cs="Arial" w:eastAsia="Arial" w:hAnsi="Arial"/>
                <w:sz w:val="18"/>
                <w:szCs w:val="18"/>
                <w:color w:val="auto"/>
                <w:w w:val="91"/>
              </w:rPr>
              <w:t>”) of TapImmune Inc., a Nevada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evidenced by Series E Warrant No.  (the</w:t>
            </w:r>
          </w:p>
        </w:tc>
        <w:tc>
          <w:tcPr>
            <w:tcW w:w="1200" w:type="dxa"/>
            <w:vAlign w:val="bottom"/>
          </w:tcPr>
          <w:p>
            <w:pPr>
              <w:spacing w:after="0"/>
              <w:rPr>
                <w:sz w:val="18"/>
                <w:szCs w:val="18"/>
                <w:color w:val="auto"/>
              </w:rPr>
            </w:pPr>
          </w:p>
        </w:tc>
      </w:tr>
      <w:tr>
        <w:trPr>
          <w:trHeight w:val="229"/>
        </w:trPr>
        <w:tc>
          <w:tcPr>
            <w:tcW w:w="1002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Warrant</w:t>
            </w:r>
            <w:r>
              <w:rPr>
                <w:rFonts w:ascii="Arial" w:cs="Arial" w:eastAsia="Arial" w:hAnsi="Arial"/>
                <w:sz w:val="18"/>
                <w:szCs w:val="18"/>
                <w:color w:val="auto"/>
                <w:w w:val="97"/>
              </w:rPr>
              <w:t>”). Capitalized terms used herein and not otherwise defined shall have the respective meanings set forth in the Warrant.</w:t>
            </w:r>
          </w:p>
        </w:tc>
        <w:tc>
          <w:tcPr>
            <w:tcW w:w="1200" w:type="dxa"/>
            <w:vAlign w:val="bottom"/>
          </w:tcPr>
          <w:p>
            <w:pPr>
              <w:spacing w:after="0"/>
              <w:rPr>
                <w:sz w:val="19"/>
                <w:szCs w:val="19"/>
                <w:color w:val="auto"/>
              </w:rPr>
            </w:pPr>
          </w:p>
        </w:tc>
      </w:tr>
      <w:tr>
        <w:trPr>
          <w:trHeight w:val="409"/>
        </w:trPr>
        <w:tc>
          <w:tcPr>
            <w:tcW w:w="1260" w:type="dxa"/>
            <w:vAlign w:val="bottom"/>
          </w:tcPr>
          <w:p>
            <w:pPr>
              <w:ind w:left="640"/>
              <w:spacing w:after="0"/>
              <w:rPr>
                <w:sz w:val="20"/>
                <w:szCs w:val="20"/>
                <w:color w:val="auto"/>
              </w:rPr>
            </w:pPr>
            <w:r>
              <w:rPr>
                <w:rFonts w:ascii="Arial" w:cs="Arial" w:eastAsia="Arial" w:hAnsi="Arial"/>
                <w:sz w:val="18"/>
                <w:szCs w:val="18"/>
                <w:color w:val="auto"/>
              </w:rPr>
              <w:t>1.</w:t>
            </w:r>
          </w:p>
        </w:tc>
        <w:tc>
          <w:tcPr>
            <w:tcW w:w="8760" w:type="dxa"/>
            <w:vAlign w:val="bottom"/>
            <w:gridSpan w:val="5"/>
          </w:tcPr>
          <w:p>
            <w:pPr>
              <w:spacing w:after="0"/>
              <w:rPr>
                <w:sz w:val="20"/>
                <w:szCs w:val="20"/>
                <w:color w:val="auto"/>
              </w:rPr>
            </w:pPr>
            <w:r>
              <w:rPr>
                <w:rFonts w:ascii="Arial" w:cs="Arial" w:eastAsia="Arial" w:hAnsi="Arial"/>
                <w:sz w:val="18"/>
                <w:szCs w:val="18"/>
                <w:color w:val="auto"/>
              </w:rPr>
              <w:t>Form of Exercise Price. The Holder intends that payment of the Exercise Price shall be made as:</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1260" w:type="dxa"/>
            <w:vAlign w:val="bottom"/>
          </w:tcPr>
          <w:p>
            <w:pPr>
              <w:spacing w:after="0"/>
              <w:rPr>
                <w:sz w:val="24"/>
                <w:szCs w:val="24"/>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___________________</w:t>
            </w:r>
          </w:p>
        </w:tc>
        <w:tc>
          <w:tcPr>
            <w:tcW w:w="6320" w:type="dxa"/>
            <w:vAlign w:val="bottom"/>
            <w:gridSpan w:val="3"/>
          </w:tcPr>
          <w:p>
            <w:pPr>
              <w:ind w:left="100"/>
              <w:spacing w:after="0"/>
              <w:rPr>
                <w:sz w:val="20"/>
                <w:szCs w:val="20"/>
                <w:color w:val="auto"/>
              </w:rPr>
            </w:pPr>
            <w:r>
              <w:rPr>
                <w:rFonts w:ascii="Arial" w:cs="Arial" w:eastAsia="Arial" w:hAnsi="Arial"/>
                <w:sz w:val="18"/>
                <w:szCs w:val="18"/>
                <w:color w:val="auto"/>
              </w:rPr>
              <w:t>a “Cash Exercise” with respect to ______________ Warrant Shares; and/or</w:t>
            </w:r>
          </w:p>
        </w:tc>
        <w:tc>
          <w:tcPr>
            <w:tcW w:w="120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___________________</w:t>
            </w:r>
          </w:p>
        </w:tc>
        <w:tc>
          <w:tcPr>
            <w:tcW w:w="6320" w:type="dxa"/>
            <w:vAlign w:val="bottom"/>
            <w:gridSpan w:val="3"/>
          </w:tcPr>
          <w:p>
            <w:pPr>
              <w:ind w:left="100"/>
              <w:spacing w:after="0"/>
              <w:rPr>
                <w:sz w:val="20"/>
                <w:szCs w:val="20"/>
                <w:color w:val="auto"/>
              </w:rPr>
            </w:pPr>
            <w:r>
              <w:rPr>
                <w:rFonts w:ascii="Arial" w:cs="Arial" w:eastAsia="Arial" w:hAnsi="Arial"/>
                <w:sz w:val="18"/>
                <w:szCs w:val="18"/>
                <w:color w:val="auto"/>
              </w:rPr>
              <w:t>a “Cashless Exercise” with respect to ___________ Warrant Shares.</w:t>
            </w:r>
          </w:p>
        </w:tc>
        <w:tc>
          <w:tcPr>
            <w:tcW w:w="1200" w:type="dxa"/>
            <w:vAlign w:val="bottom"/>
          </w:tcPr>
          <w:p>
            <w:pPr>
              <w:spacing w:after="0"/>
              <w:rPr>
                <w:sz w:val="24"/>
                <w:szCs w:val="24"/>
                <w:color w:val="auto"/>
              </w:rPr>
            </w:pP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8" w:name="page109"/>
    <w:bookmarkEnd w:id="108"/>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Placement Agent Series A Warrant</w:t>
      </w:r>
    </w:p>
    <w:p>
      <w:pPr>
        <w:spacing w:after="0" w:line="238"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Placement Agent Series A Warrant 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firstLine="633"/>
        <w:spacing w:after="0" w:line="280"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at any time or times on or after the Issuance Date but not after 11:59 p.m., New York time, on the Expiration Date (as defined below),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January 12,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This Warrant is issued by the Company as of the date hereof pursuant to the [Engagement Agreement], dated as of January __, 2015, between the Company and [Placement Agent] and Section 4(a)(2) of the Securities Act of 1933, as amended (the “Securities Act”), and Rule 506 promulgated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11" w:name="page112"/>
    <w:bookmarkEnd w:id="111"/>
    <w:p>
      <w:pPr>
        <w:ind w:left="615" w:hanging="615"/>
        <w:spacing w:after="0"/>
        <w:tabs>
          <w:tab w:leader="none" w:pos="6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41" w:lineRule="exact"/>
        <w:rPr>
          <w:rFonts w:ascii="Arial" w:cs="Arial" w:eastAsia="Arial" w:hAnsi="Arial"/>
          <w:sz w:val="18"/>
          <w:szCs w:val="18"/>
          <w:color w:val="auto"/>
        </w:rPr>
      </w:pPr>
    </w:p>
    <w:p>
      <w:pPr>
        <w:ind w:left="-5" w:firstLine="638"/>
        <w:spacing w:after="0" w:line="279" w:lineRule="auto"/>
        <w:tabs>
          <w:tab w:leader="none" w:pos="130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Mechanics of Exercise.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w:t>
      </w:r>
    </w:p>
    <w:p>
      <w:pPr>
        <w:spacing w:after="0" w:line="187" w:lineRule="exact"/>
        <w:rPr>
          <w:rFonts w:ascii="Arial" w:cs="Arial" w:eastAsia="Arial" w:hAnsi="Arial"/>
          <w:sz w:val="16"/>
          <w:szCs w:val="16"/>
          <w:color w:val="auto"/>
        </w:rPr>
      </w:pPr>
    </w:p>
    <w:p>
      <w:pPr>
        <w:ind w:left="1035" w:hanging="349"/>
        <w:spacing w:after="0"/>
        <w:tabs>
          <w:tab w:leader="none" w:pos="1035" w:val="left"/>
        </w:tabs>
        <w:numPr>
          <w:ilvl w:val="2"/>
          <w:numId w:val="117"/>
        </w:numPr>
        <w:rPr>
          <w:rFonts w:ascii="Arial" w:cs="Arial" w:eastAsia="Arial" w:hAnsi="Arial"/>
          <w:sz w:val="19"/>
          <w:szCs w:val="19"/>
          <w:color w:val="auto"/>
        </w:rPr>
      </w:pPr>
      <w:r>
        <w:rPr>
          <w:rFonts w:ascii="Arial" w:cs="Arial" w:eastAsia="Arial" w:hAnsi="Arial"/>
          <w:sz w:val="19"/>
          <w:szCs w:val="19"/>
          <w:color w:val="auto"/>
        </w:rPr>
        <w:t>provided that (i) either (a) the Warrant Shares are registered with the US Securities and Exchange Commission on an</w:t>
      </w:r>
    </w:p>
    <w:p>
      <w:pPr>
        <w:spacing w:after="0" w:line="36" w:lineRule="exact"/>
        <w:rPr>
          <w:rFonts w:ascii="Arial" w:cs="Arial" w:eastAsia="Arial" w:hAnsi="Arial"/>
          <w:sz w:val="19"/>
          <w:szCs w:val="19"/>
          <w:color w:val="auto"/>
        </w:rPr>
      </w:pPr>
    </w:p>
    <w:p>
      <w:pPr>
        <w:ind w:left="635" w:right="140"/>
        <w:spacing w:after="0" w:line="250" w:lineRule="auto"/>
        <w:rPr>
          <w:rFonts w:ascii="Arial" w:cs="Arial" w:eastAsia="Arial" w:hAnsi="Arial"/>
          <w:sz w:val="19"/>
          <w:szCs w:val="19"/>
          <w:color w:val="auto"/>
        </w:rPr>
      </w:pPr>
      <w:r>
        <w:rPr>
          <w:rFonts w:ascii="Arial" w:cs="Arial" w:eastAsia="Arial" w:hAnsi="Arial"/>
          <w:sz w:val="20"/>
          <w:szCs w:val="20"/>
          <w:color w:val="auto"/>
        </w:rPr>
        <w:t>effective registration statement under the Securities Act or (b) the Company has provided an opinion of counsel, backed up by a letter from the Holder representing reasonable and usual representations for such an opinion, to the Transfer Agent (“</w:t>
      </w:r>
      <w:r>
        <w:rPr>
          <w:rFonts w:ascii="Arial" w:cs="Arial" w:eastAsia="Arial" w:hAnsi="Arial"/>
          <w:sz w:val="20"/>
          <w:szCs w:val="20"/>
          <w:b w:val="1"/>
          <w:bCs w:val="1"/>
          <w:color w:val="auto"/>
        </w:rPr>
        <w:t>Exemption Opinion</w:t>
      </w:r>
      <w:r>
        <w:rPr>
          <w:rFonts w:ascii="Arial" w:cs="Arial" w:eastAsia="Arial" w:hAnsi="Arial"/>
          <w:sz w:val="20"/>
          <w:szCs w:val="20"/>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Arial" w:cs="Arial" w:eastAsia="Arial" w:hAnsi="Arial"/>
          <w:sz w:val="20"/>
          <w:szCs w:val="20"/>
          <w:b w:val="1"/>
          <w:bCs w:val="1"/>
          <w:color w:val="auto"/>
        </w:rPr>
        <w:t>DTC</w:t>
      </w:r>
      <w:r>
        <w:rPr>
          <w:rFonts w:ascii="Arial" w:cs="Arial" w:eastAsia="Arial" w:hAnsi="Arial"/>
          <w:sz w:val="20"/>
          <w:szCs w:val="20"/>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01" w:lineRule="exact"/>
        <w:rPr>
          <w:sz w:val="20"/>
          <w:szCs w:val="20"/>
          <w:color w:val="auto"/>
        </w:rPr>
      </w:pPr>
    </w:p>
    <w:p>
      <w:pPr>
        <w:ind w:left="635" w:right="80" w:hanging="2"/>
        <w:spacing w:after="0" w:line="239" w:lineRule="auto"/>
        <w:tabs>
          <w:tab w:leader="none" w:pos="9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10" w:right="239" w:bottom="1440" w:gutter="0" w:footer="0" w:header="0"/>
        </w:sectPr>
      </w:pPr>
    </w:p>
    <w:bookmarkStart w:id="112" w:name="page113"/>
    <w:bookmarkEnd w:id="112"/>
    <w:p>
      <w:pPr>
        <w:ind w:right="40"/>
        <w:spacing w:after="0" w:line="280" w:lineRule="auto"/>
        <w:rPr>
          <w:sz w:val="20"/>
          <w:szCs w:val="20"/>
          <w:color w:val="auto"/>
        </w:rPr>
      </w:pPr>
      <w:r>
        <w:rPr>
          <w:rFonts w:ascii="Arial" w:cs="Arial" w:eastAsia="Arial" w:hAnsi="Arial"/>
          <w:sz w:val="16"/>
          <w:szCs w:val="16"/>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4" w:lineRule="exact"/>
        <w:rPr>
          <w:sz w:val="20"/>
          <w:szCs w:val="20"/>
          <w:color w:val="auto"/>
        </w:rPr>
      </w:pPr>
    </w:p>
    <w:p>
      <w:pPr>
        <w:ind w:left="1320" w:hanging="682"/>
        <w:spacing w:after="0"/>
        <w:tabs>
          <w:tab w:leader="none" w:pos="13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Exercise Price.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$1.50 subject to adjustment as provided herein.</w:t>
      </w:r>
    </w:p>
    <w:p>
      <w:pPr>
        <w:spacing w:after="0" w:line="247" w:lineRule="exact"/>
        <w:rPr>
          <w:rFonts w:ascii="Arial" w:cs="Arial" w:eastAsia="Arial" w:hAnsi="Arial"/>
          <w:sz w:val="18"/>
          <w:szCs w:val="18"/>
          <w:color w:val="auto"/>
        </w:rPr>
      </w:pPr>
    </w:p>
    <w:p>
      <w:pPr>
        <w:ind w:firstLine="638"/>
        <w:spacing w:after="0" w:line="294" w:lineRule="auto"/>
        <w:tabs>
          <w:tab w:leader="none" w:pos="1311" w:val="left"/>
        </w:tabs>
        <w:numPr>
          <w:ilvl w:val="1"/>
          <w:numId w:val="119"/>
        </w:numPr>
        <w:rPr>
          <w:rFonts w:ascii="Arial" w:cs="Arial" w:eastAsia="Arial" w:hAnsi="Arial"/>
          <w:sz w:val="15"/>
          <w:szCs w:val="15"/>
          <w:color w:val="auto"/>
        </w:rPr>
      </w:pPr>
      <w:r>
        <w:rPr>
          <w:rFonts w:ascii="Arial" w:cs="Arial" w:eastAsia="Arial" w:hAnsi="Arial"/>
          <w:sz w:val="15"/>
          <w:szCs w:val="15"/>
          <w:color w:val="auto"/>
        </w:rPr>
        <w:t>Company’s Failure to Timely Deliver Securities.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w:t>
      </w:r>
    </w:p>
    <w:p>
      <w:pPr>
        <w:spacing w:after="0" w:line="7" w:lineRule="exact"/>
        <w:rPr>
          <w:rFonts w:ascii="Arial" w:cs="Arial" w:eastAsia="Arial" w:hAnsi="Arial"/>
          <w:sz w:val="15"/>
          <w:szCs w:val="15"/>
          <w:color w:val="auto"/>
        </w:rPr>
      </w:pPr>
    </w:p>
    <w:p>
      <w:pPr>
        <w:ind w:firstLine="5"/>
        <w:spacing w:after="0" w:line="245" w:lineRule="auto"/>
        <w:tabs>
          <w:tab w:leader="none" w:pos="25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13" w:name="page114"/>
    <w:bookmarkEnd w:id="113"/>
    <w:p>
      <w:pPr>
        <w:ind w:right="20"/>
        <w:spacing w:after="0" w:line="280" w:lineRule="auto"/>
        <w:rPr>
          <w:sz w:val="20"/>
          <w:szCs w:val="20"/>
          <w:color w:val="auto"/>
        </w:rPr>
      </w:pPr>
      <w:r>
        <w:rPr>
          <w:rFonts w:ascii="Arial" w:cs="Arial" w:eastAsia="Arial" w:hAnsi="Arial"/>
          <w:sz w:val="16"/>
          <w:szCs w:val="16"/>
          <w:color w:val="auto"/>
        </w:rPr>
        <w:t>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196" w:lineRule="exact"/>
        <w:rPr>
          <w:sz w:val="20"/>
          <w:szCs w:val="20"/>
          <w:color w:val="auto"/>
        </w:rPr>
      </w:pPr>
    </w:p>
    <w:p>
      <w:pPr>
        <w:ind w:right="140" w:firstLine="638"/>
        <w:spacing w:after="0" w:line="287" w:lineRule="auto"/>
        <w:tabs>
          <w:tab w:leader="none" w:pos="132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Cashless Exercise. Notwithstanding anything contained herein to the contrary (other than Section 1(f)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41" w:lineRule="exact"/>
        <w:rPr>
          <w:sz w:val="20"/>
          <w:szCs w:val="20"/>
          <w:color w:val="auto"/>
        </w:rPr>
      </w:pPr>
    </w:p>
    <w:p>
      <w:pPr>
        <w:jc w:val="both"/>
        <w:ind w:left="1280"/>
        <w:spacing w:after="0" w:line="282"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4" w:name="page115"/>
    <w:bookmarkEnd w:id="114"/>
    <w:p>
      <w:pPr>
        <w:ind w:left="-20" w:right="40" w:firstLine="638"/>
        <w:spacing w:after="0" w:line="300" w:lineRule="auto"/>
        <w:tabs>
          <w:tab w:leader="none" w:pos="129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Disputes.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left="-20" w:firstLine="638"/>
        <w:spacing w:after="0" w:line="277" w:lineRule="auto"/>
        <w:tabs>
          <w:tab w:leader="none" w:pos="12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Limitations on Exercises.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115" w:name="page116"/>
    <w:bookmarkEnd w:id="115"/>
    <w:p>
      <w:pPr>
        <w:ind w:firstLine="638"/>
        <w:spacing w:after="0" w:line="277" w:lineRule="auto"/>
        <w:tabs>
          <w:tab w:leader="none" w:pos="132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Insufficient Authorized Shares.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200" w:firstLine="5"/>
        <w:spacing w:after="0" w:line="262" w:lineRule="auto"/>
        <w:tabs>
          <w:tab w:leader="none" w:pos="6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ADJUSTMENT OF EXERCISE PRICE AND NUMBER OF WARRANT SHARES. The Exercise Price and number of Warrant Shares issuable upon exercise of this Warrant are subject to adjustment from time to time as set forth in this Section 2.</w:t>
      </w:r>
    </w:p>
    <w:p>
      <w:pPr>
        <w:spacing w:after="0" w:line="207" w:lineRule="exact"/>
        <w:rPr>
          <w:rFonts w:ascii="Arial" w:cs="Arial" w:eastAsia="Arial" w:hAnsi="Arial"/>
          <w:sz w:val="18"/>
          <w:szCs w:val="18"/>
          <w:color w:val="auto"/>
        </w:rPr>
      </w:pPr>
    </w:p>
    <w:p>
      <w:pPr>
        <w:ind w:firstLine="638"/>
        <w:spacing w:after="0" w:line="279" w:lineRule="auto"/>
        <w:tabs>
          <w:tab w:leader="none" w:pos="131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Stock Dividends and Splits.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6" w:name="page117"/>
    <w:bookmarkEnd w:id="116"/>
    <w:p>
      <w:pPr>
        <w:ind w:firstLine="638"/>
        <w:spacing w:after="0" w:line="282" w:lineRule="auto"/>
        <w:tabs>
          <w:tab w:leader="none" w:pos="131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Adjustment Upon Issuance of Shares of Common Stock. Except in the event of an Excluded Issuance,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equal to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 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Exercise Price then in effect shall be reduced to an amount equal to the New Issuance Price. For all purposes of the foregoing (including, without limitation, determining the adjusted Exercise Price and consideration per share under this Section 2(b), the following shall be applicable:</w:t>
      </w:r>
    </w:p>
    <w:p>
      <w:pPr>
        <w:spacing w:after="0" w:line="195" w:lineRule="exact"/>
        <w:rPr>
          <w:rFonts w:ascii="Arial" w:cs="Arial" w:eastAsia="Arial" w:hAnsi="Arial"/>
          <w:sz w:val="16"/>
          <w:szCs w:val="16"/>
          <w:color w:val="auto"/>
        </w:rPr>
      </w:pPr>
    </w:p>
    <w:p>
      <w:pPr>
        <w:jc w:val="both"/>
        <w:ind w:left="640" w:firstLine="631"/>
        <w:spacing w:after="0" w:line="279" w:lineRule="auto"/>
        <w:tabs>
          <w:tab w:leader="none" w:pos="19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Issuance of Options.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7" w:name="page118"/>
    <w:bookmarkEnd w:id="117"/>
    <w:p>
      <w:pPr>
        <w:jc w:val="both"/>
        <w:ind w:left="-560" w:firstLine="789"/>
        <w:spacing w:after="0" w:line="279" w:lineRule="auto"/>
        <w:tabs>
          <w:tab w:leader="none" w:pos="92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Issuance of Convertible Securities.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99" w:lineRule="exact"/>
        <w:rPr>
          <w:rFonts w:ascii="Arial" w:cs="Arial" w:eastAsia="Arial" w:hAnsi="Arial"/>
          <w:sz w:val="16"/>
          <w:szCs w:val="16"/>
          <w:color w:val="auto"/>
        </w:rPr>
      </w:pPr>
    </w:p>
    <w:p>
      <w:pPr>
        <w:jc w:val="both"/>
        <w:ind w:left="-560" w:firstLine="789"/>
        <w:spacing w:after="0" w:line="280" w:lineRule="auto"/>
        <w:tabs>
          <w:tab w:leader="none" w:pos="119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Change in Option Price or Rate of Conversion.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200" w:lineRule="exact"/>
        <w:rPr>
          <w:sz w:val="20"/>
          <w:szCs w:val="20"/>
          <w:color w:val="auto"/>
        </w:rPr>
      </w:pPr>
    </w:p>
    <w:p>
      <w:pPr>
        <w:spacing w:after="0" w:line="38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20"/>
          </w:cols>
          <w:pgMar w:left="1440" w:top="509" w:right="239" w:bottom="1440" w:gutter="0" w:footer="0" w:header="0"/>
        </w:sectPr>
      </w:pPr>
    </w:p>
    <w:bookmarkStart w:id="118" w:name="page119"/>
    <w:bookmarkEnd w:id="118"/>
    <w:p>
      <w:pPr>
        <w:jc w:val="both"/>
        <w:ind w:left="-560" w:firstLine="789"/>
        <w:spacing w:after="0" w:line="291" w:lineRule="auto"/>
        <w:tabs>
          <w:tab w:leader="none" w:pos="104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Calculation of Consideration Received.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5"/>
          <w:szCs w:val="15"/>
          <w:b w:val="1"/>
          <w:bCs w:val="1"/>
          <w:color w:val="auto"/>
        </w:rPr>
        <w:t>Valuation Event</w:t>
      </w:r>
      <w:r>
        <w:rPr>
          <w:rFonts w:ascii="Arial" w:cs="Arial" w:eastAsia="Arial" w:hAnsi="Arial"/>
          <w:sz w:val="15"/>
          <w:szCs w:val="15"/>
          <w:color w:val="auto"/>
        </w:rPr>
        <w:t>”), the fair value of such consideration will be determined within five (5) Trading Days after the tenth (10</w:t>
      </w:r>
      <w:r>
        <w:rPr>
          <w:rFonts w:ascii="Arial" w:cs="Arial" w:eastAsia="Arial" w:hAnsi="Arial"/>
          <w:sz w:val="20"/>
          <w:szCs w:val="20"/>
          <w:color w:val="auto"/>
          <w:vertAlign w:val="superscript"/>
        </w:rPr>
        <w:t>th</w:t>
      </w:r>
      <w:r>
        <w:rPr>
          <w:rFonts w:ascii="Arial" w:cs="Arial" w:eastAsia="Arial" w:hAnsi="Arial"/>
          <w:sz w:val="15"/>
          <w:szCs w:val="15"/>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rFonts w:ascii="Arial" w:cs="Arial" w:eastAsia="Arial" w:hAnsi="Arial"/>
          <w:sz w:val="15"/>
          <w:szCs w:val="15"/>
          <w:color w:val="auto"/>
        </w:rPr>
      </w:pPr>
    </w:p>
    <w:p>
      <w:pPr>
        <w:jc w:val="both"/>
        <w:ind w:left="-560" w:firstLine="789"/>
        <w:spacing w:after="0" w:line="249" w:lineRule="auto"/>
        <w:tabs>
          <w:tab w:leader="none" w:pos="10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Record Date.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119" w:name="page120"/>
    <w:bookmarkEnd w:id="119"/>
    <w:p>
      <w:pPr>
        <w:ind w:left="-5" w:right="40" w:firstLine="638"/>
        <w:spacing w:after="0" w:line="282" w:lineRule="auto"/>
        <w:tabs>
          <w:tab w:leader="none" w:pos="130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Other Events.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2(c)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1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Calculations.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15" w:lineRule="exact"/>
        <w:rPr>
          <w:rFonts w:ascii="Arial" w:cs="Arial" w:eastAsia="Arial" w:hAnsi="Arial"/>
          <w:sz w:val="18"/>
          <w:szCs w:val="18"/>
          <w:color w:val="auto"/>
        </w:rPr>
      </w:pPr>
    </w:p>
    <w:p>
      <w:pPr>
        <w:ind w:left="-5" w:firstLine="5"/>
        <w:spacing w:after="0" w:line="279" w:lineRule="auto"/>
        <w:tabs>
          <w:tab w:leader="none" w:pos="6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RIGHTS UPON DISTRIBUTION OF ASSETS.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120" w:name="page121"/>
    <w:bookmarkEnd w:id="120"/>
    <w:p>
      <w:pPr>
        <w:ind w:left="620" w:hanging="615"/>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PURCHASE RIGHTS; FUNDAMENTAL TRANSACTIONS.</w:t>
      </w:r>
    </w:p>
    <w:p>
      <w:pPr>
        <w:spacing w:after="0" w:line="241" w:lineRule="exact"/>
        <w:rPr>
          <w:rFonts w:ascii="Arial" w:cs="Arial" w:eastAsia="Arial" w:hAnsi="Arial"/>
          <w:sz w:val="18"/>
          <w:szCs w:val="18"/>
          <w:color w:val="auto"/>
        </w:rPr>
      </w:pPr>
    </w:p>
    <w:p>
      <w:pPr>
        <w:ind w:right="60" w:firstLine="638"/>
        <w:spacing w:after="0" w:line="280" w:lineRule="auto"/>
        <w:tabs>
          <w:tab w:leader="none" w:pos="131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Purchase Rights.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jc w:val="both"/>
        <w:ind w:firstLine="638"/>
        <w:spacing w:after="0" w:line="278" w:lineRule="auto"/>
        <w:tabs>
          <w:tab w:leader="none" w:pos="132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Fundamental Transactions.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1" w:name="page122"/>
    <w:bookmarkEnd w:id="121"/>
    <w:p>
      <w:pPr>
        <w:jc w:val="both"/>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3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jc w:val="both"/>
        <w:ind w:firstLine="638"/>
        <w:spacing w:after="0" w:line="301" w:lineRule="auto"/>
        <w:tabs>
          <w:tab w:leader="none" w:pos="143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 xml:space="preserve">Black Scholes Value. Notwithstanding the foregoing and the provisions of Section </w:t>
      </w:r>
      <w:r>
        <w:rPr>
          <w:rFonts w:ascii="Arial" w:cs="Arial" w:eastAsia="Arial" w:hAnsi="Arial"/>
          <w:sz w:val="15"/>
          <w:szCs w:val="15"/>
          <w:u w:val="single" w:color="auto"/>
          <w:color w:val="0000EE"/>
        </w:rPr>
        <w:t>4(b)</w:t>
      </w:r>
      <w:r>
        <w:rPr>
          <w:rFonts w:ascii="Arial" w:cs="Arial" w:eastAsia="Arial" w:hAnsi="Arial"/>
          <w:sz w:val="15"/>
          <w:szCs w:val="15"/>
          <w:color w:val="auto"/>
        </w:rPr>
        <w:t xml:space="preserve"> above, at the request of the Holder delivered at any time commencing on the earliest to occur of (x) the public disclosure of any Fundamental Transaction, (y) the consummation of any Fundamental Transaction and</w:t>
      </w:r>
    </w:p>
    <w:p>
      <w:pPr>
        <w:jc w:val="both"/>
        <w:ind w:firstLine="5"/>
        <w:spacing w:after="0" w:line="292" w:lineRule="auto"/>
        <w:tabs>
          <w:tab w:leader="none" w:pos="24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86" w:lineRule="exact"/>
        <w:rPr>
          <w:rFonts w:ascii="Arial" w:cs="Arial" w:eastAsia="Arial" w:hAnsi="Arial"/>
          <w:sz w:val="16"/>
          <w:szCs w:val="16"/>
          <w:color w:val="auto"/>
        </w:rPr>
      </w:pPr>
    </w:p>
    <w:p>
      <w:pPr>
        <w:jc w:val="both"/>
        <w:ind w:firstLine="638"/>
        <w:spacing w:after="0" w:line="249" w:lineRule="auto"/>
        <w:tabs>
          <w:tab w:leader="none" w:pos="13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Application.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2" w:name="page123"/>
    <w:bookmarkEnd w:id="122"/>
    <w:p>
      <w:pPr>
        <w:ind w:right="40" w:firstLine="5"/>
        <w:spacing w:after="0" w:line="280" w:lineRule="auto"/>
        <w:tabs>
          <w:tab w:leader="none" w:pos="6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NONCIRCUMVENTION.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WARRANT HOLDER NOT DEEMED A SHAREHOLDER.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provided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3" w:name="page124"/>
    <w:bookmarkEnd w:id="123"/>
    <w:p>
      <w:pPr>
        <w:ind w:left="620" w:hanging="615"/>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REISSUANCE OF WARRANTS.</w:t>
      </w:r>
    </w:p>
    <w:p>
      <w:pPr>
        <w:spacing w:after="0" w:line="241" w:lineRule="exact"/>
        <w:rPr>
          <w:rFonts w:ascii="Arial" w:cs="Arial" w:eastAsia="Arial" w:hAnsi="Arial"/>
          <w:sz w:val="18"/>
          <w:szCs w:val="18"/>
          <w:color w:val="auto"/>
        </w:rPr>
      </w:pPr>
    </w:p>
    <w:p>
      <w:pPr>
        <w:ind w:right="40" w:firstLine="638"/>
        <w:spacing w:after="0" w:line="287" w:lineRule="auto"/>
        <w:tabs>
          <w:tab w:leader="none" w:pos="130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Transfer of Warrant.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firstLine="638"/>
        <w:spacing w:after="0" w:line="287" w:lineRule="auto"/>
        <w:tabs>
          <w:tab w:leader="none" w:pos="132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Lost, Stolen or Mutilated Warrant.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40" w:firstLine="638"/>
        <w:spacing w:after="0" w:line="291" w:lineRule="auto"/>
        <w:tabs>
          <w:tab w:leader="none" w:pos="131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Exchangeable for Multiple Warrants.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Issuance of New Warrants.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60"/>
        <w:spacing w:after="0" w:line="283" w:lineRule="auto"/>
        <w:rPr>
          <w:rFonts w:ascii="Arial" w:cs="Arial" w:eastAsia="Arial" w:hAnsi="Arial"/>
          <w:sz w:val="15"/>
          <w:szCs w:val="15"/>
          <w:color w:val="auto"/>
        </w:rPr>
      </w:pPr>
      <w:r>
        <w:rPr>
          <w:rFonts w:ascii="Arial" w:cs="Arial" w:eastAsia="Arial" w:hAnsi="Arial"/>
          <w:sz w:val="16"/>
          <w:szCs w:val="16"/>
          <w:color w:val="auto"/>
        </w:rPr>
        <w:t>(i)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24" w:name="page125"/>
    <w:bookmarkEnd w:id="124"/>
    <w:p>
      <w:pPr>
        <w:ind w:firstLine="5"/>
        <w:spacing w:after="0" w:line="279" w:lineRule="auto"/>
        <w:tabs>
          <w:tab w:leader="none" w:pos="61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NOTICES.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1" w:lineRule="exact"/>
        <w:rPr>
          <w:rFonts w:ascii="Arial" w:cs="Arial" w:eastAsia="Arial" w:hAnsi="Arial"/>
          <w:sz w:val="16"/>
          <w:szCs w:val="16"/>
          <w:color w:val="auto"/>
        </w:rPr>
      </w:pPr>
    </w:p>
    <w:p>
      <w:pPr>
        <w:ind w:firstLine="5"/>
        <w:spacing w:after="0" w:line="249" w:lineRule="auto"/>
        <w:tabs>
          <w:tab w:leader="none" w:pos="6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AMENDMENT AND WAIVER.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60" w:firstLine="5"/>
        <w:spacing w:after="0" w:line="282" w:lineRule="auto"/>
        <w:tabs>
          <w:tab w:leader="none" w:pos="70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SEVERABILITY.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5" w:name="page126"/>
    <w:bookmarkEnd w:id="125"/>
    <w:p>
      <w:pPr>
        <w:ind w:right="40" w:firstLine="5"/>
        <w:spacing w:after="0" w:line="276" w:lineRule="auto"/>
        <w:tabs>
          <w:tab w:leader="none" w:pos="69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GOVERNING LAW.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CONSTRUCTION; HEADINGS.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DISPUTE RESOLUTION.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26" w:name="page127"/>
    <w:bookmarkEnd w:id="126"/>
    <w:p>
      <w:pPr>
        <w:ind w:right="20" w:firstLine="5"/>
        <w:spacing w:after="0" w:line="278" w:lineRule="auto"/>
        <w:tabs>
          <w:tab w:leader="none" w:pos="70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REMEDIES, CHARACTERIZATION, OTHER OBLIGATIONS, BREACHES AND INJUNCTIVE RELIEF.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700" w:hanging="695"/>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TRANSFER.</w:t>
      </w:r>
    </w:p>
    <w:p>
      <w:pPr>
        <w:spacing w:after="0" w:line="241" w:lineRule="exact"/>
        <w:rPr>
          <w:rFonts w:ascii="Arial" w:cs="Arial" w:eastAsia="Arial" w:hAnsi="Arial"/>
          <w:sz w:val="18"/>
          <w:szCs w:val="18"/>
          <w:color w:val="auto"/>
        </w:rPr>
      </w:pPr>
    </w:p>
    <w:p>
      <w:pPr>
        <w:jc w:val="both"/>
        <w:ind w:firstLine="638"/>
        <w:spacing w:after="0" w:line="250" w:lineRule="auto"/>
        <w:tabs>
          <w:tab w:leader="none" w:pos="128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Arial" w:cs="Arial" w:eastAsia="Arial" w:hAnsi="Arial"/>
          <w:sz w:val="18"/>
          <w:szCs w:val="18"/>
          <w:b w:val="1"/>
          <w:bCs w:val="1"/>
          <w:color w:val="auto"/>
        </w:rPr>
        <w:t>Lock-Up Period</w:t>
      </w:r>
      <w:r>
        <w:rPr>
          <w:rFonts w:ascii="Arial" w:cs="Arial" w:eastAsia="Arial" w:hAnsi="Arial"/>
          <w:sz w:val="18"/>
          <w:szCs w:val="18"/>
          <w:color w:val="auto"/>
        </w:rPr>
        <w:t>”), except the transfer of any security:</w:t>
      </w:r>
    </w:p>
    <w:p>
      <w:pPr>
        <w:spacing w:after="0" w:line="218" w:lineRule="exact"/>
        <w:rPr>
          <w:rFonts w:ascii="Arial" w:cs="Arial" w:eastAsia="Arial" w:hAnsi="Arial"/>
          <w:sz w:val="18"/>
          <w:szCs w:val="18"/>
          <w:color w:val="auto"/>
        </w:rPr>
      </w:pPr>
    </w:p>
    <w:p>
      <w:pPr>
        <w:ind w:left="1900" w:hanging="629"/>
        <w:spacing w:after="0"/>
        <w:tabs>
          <w:tab w:leader="none" w:pos="19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41"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207"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 or</w:t>
      </w:r>
    </w:p>
    <w:p>
      <w:pPr>
        <w:spacing w:after="0" w:line="207" w:lineRule="exact"/>
        <w:rPr>
          <w:rFonts w:ascii="Arial" w:cs="Arial" w:eastAsia="Arial" w:hAnsi="Arial"/>
          <w:sz w:val="18"/>
          <w:szCs w:val="18"/>
          <w:color w:val="auto"/>
        </w:rPr>
      </w:pPr>
    </w:p>
    <w:p>
      <w:pPr>
        <w:jc w:val="both"/>
        <w:ind w:left="1900" w:hanging="629"/>
        <w:spacing w:after="0" w:line="253" w:lineRule="auto"/>
        <w:tabs>
          <w:tab w:leader="none" w:pos="19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7" w:name="page128"/>
    <w:bookmarkEnd w:id="127"/>
    <w:p>
      <w:pPr>
        <w:ind w:firstLine="638"/>
        <w:spacing w:after="0"/>
        <w:tabs>
          <w:tab w:leader="none" w:pos="1385"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08" w:lineRule="exact"/>
        <w:rPr>
          <w:rFonts w:ascii="Arial" w:cs="Arial" w:eastAsia="Arial" w:hAnsi="Arial"/>
          <w:sz w:val="21"/>
          <w:szCs w:val="21"/>
          <w:color w:val="auto"/>
        </w:rPr>
      </w:pPr>
    </w:p>
    <w:p>
      <w:pPr>
        <w:jc w:val="both"/>
        <w:ind w:firstLine="638"/>
        <w:spacing w:after="0" w:line="241" w:lineRule="auto"/>
        <w:tabs>
          <w:tab w:leader="none" w:pos="1457" w:val="left"/>
        </w:tabs>
        <w:numPr>
          <w:ilvl w:val="1"/>
          <w:numId w:val="138"/>
        </w:numPr>
        <w:rPr>
          <w:rFonts w:ascii="Arial" w:cs="Arial" w:eastAsia="Arial" w:hAnsi="Arial"/>
          <w:sz w:val="21"/>
          <w:szCs w:val="21"/>
          <w:color w:val="auto"/>
        </w:rPr>
      </w:pPr>
      <w:r>
        <w:rPr>
          <w:rFonts w:ascii="Arial" w:cs="Arial" w:eastAsia="Arial" w:hAnsi="Arial"/>
          <w:sz w:val="21"/>
          <w:szCs w:val="21"/>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15" w:lineRule="exact"/>
        <w:rPr>
          <w:rFonts w:ascii="Arial" w:cs="Arial" w:eastAsia="Arial" w:hAnsi="Arial"/>
          <w:sz w:val="21"/>
          <w:szCs w:val="21"/>
          <w:color w:val="auto"/>
        </w:rPr>
      </w:pPr>
    </w:p>
    <w:p>
      <w:pPr>
        <w:ind w:left="700" w:hanging="695"/>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DEFINITIONS. For purposes of this Warrant, the following terms shall have the following meanings:</w:t>
      </w:r>
    </w:p>
    <w:p>
      <w:pPr>
        <w:spacing w:after="0" w:line="235" w:lineRule="exact"/>
        <w:rPr>
          <w:sz w:val="20"/>
          <w:szCs w:val="20"/>
          <w:color w:val="auto"/>
        </w:rPr>
      </w:pPr>
    </w:p>
    <w:p>
      <w:pPr>
        <w:ind w:right="20" w:firstLine="638"/>
        <w:spacing w:after="0" w:line="280" w:lineRule="auto"/>
        <w:tabs>
          <w:tab w:leader="none" w:pos="131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28" w:name="page129"/>
    <w:bookmarkEnd w:id="128"/>
    <w:p>
      <w:pPr>
        <w:ind w:left="-20" w:right="60" w:firstLine="638"/>
        <w:spacing w:after="0" w:line="283" w:lineRule="auto"/>
        <w:tabs>
          <w:tab w:leader="none" w:pos="130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189" w:lineRule="exact"/>
        <w:rPr>
          <w:rFonts w:ascii="Arial" w:cs="Arial" w:eastAsia="Arial" w:hAnsi="Arial"/>
          <w:sz w:val="16"/>
          <w:szCs w:val="16"/>
          <w:color w:val="auto"/>
        </w:rPr>
      </w:pPr>
    </w:p>
    <w:p>
      <w:pPr>
        <w:ind w:left="-20" w:firstLine="638"/>
        <w:spacing w:after="0" w:line="279" w:lineRule="auto"/>
        <w:tabs>
          <w:tab w:leader="none" w:pos="129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xml:space="preserve">”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w:t>
      </w:r>
      <w:r>
        <w:rPr>
          <w:rFonts w:ascii="Arial" w:cs="Arial" w:eastAsia="Arial" w:hAnsi="Arial"/>
          <w:sz w:val="16"/>
          <w:szCs w:val="16"/>
          <w:u w:val="single" w:color="auto"/>
          <w:color w:val="0000EE"/>
        </w:rPr>
        <w:t>(c)</w:t>
      </w:r>
      <w:r>
        <w:rPr>
          <w:rFonts w:ascii="Arial" w:cs="Arial" w:eastAsia="Arial" w:hAnsi="Arial"/>
          <w:sz w:val="16"/>
          <w:szCs w:val="16"/>
          <w:color w:val="auto"/>
        </w:rPr>
        <w:t>4(a)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xml:space="preserve">, (iii) a risk-free interest rate corresponding to the U.S. Treasury rate for a period equal to the greater of (1) the remaining term of this Warrant as of the date of the Holder’s request pursuant to Section 4(c) </w:t>
      </w:r>
      <w:r>
        <w:rPr>
          <w:rFonts w:ascii="Arial" w:cs="Arial" w:eastAsia="Arial" w:hAnsi="Arial"/>
          <w:sz w:val="16"/>
          <w:szCs w:val="16"/>
          <w:u w:val="single" w:color="auto"/>
          <w:color w:val="0000EE"/>
        </w:rPr>
        <w:t>(c)</w:t>
      </w:r>
      <w:r>
        <w:rPr>
          <w:rFonts w:ascii="Arial" w:cs="Arial" w:eastAsia="Arial" w:hAnsi="Arial"/>
          <w:sz w:val="16"/>
          <w:szCs w:val="16"/>
          <w:color w:val="auto"/>
        </w:rPr>
        <w:t>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00" w:hanging="682"/>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left="-20" w:right="80" w:firstLine="638"/>
        <w:spacing w:after="0" w:line="269" w:lineRule="auto"/>
        <w:tabs>
          <w:tab w:leader="none" w:pos="129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04" w:right="259" w:bottom="1440" w:gutter="0" w:footer="0" w:header="0"/>
        </w:sectPr>
      </w:pPr>
    </w:p>
    <w:bookmarkStart w:id="129" w:name="page130"/>
    <w:bookmarkEnd w:id="129"/>
    <w:p>
      <w:pPr>
        <w:ind w:firstLine="638"/>
        <w:spacing w:after="0" w:line="280" w:lineRule="auto"/>
        <w:tabs>
          <w:tab w:leader="none" w:pos="133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right="300" w:firstLine="638"/>
        <w:spacing w:after="0" w:line="269" w:lineRule="auto"/>
        <w:tabs>
          <w:tab w:leader="none" w:pos="13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right="220" w:firstLine="638"/>
        <w:spacing w:after="0" w:line="333" w:lineRule="auto"/>
        <w:tabs>
          <w:tab w:leader="none" w:pos="132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right="80" w:firstLine="638"/>
        <w:spacing w:after="0" w:line="269" w:lineRule="auto"/>
        <w:tabs>
          <w:tab w:leader="none" w:pos="128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right="40" w:firstLine="638"/>
        <w:spacing w:after="0" w:line="250" w:lineRule="auto"/>
        <w:tabs>
          <w:tab w:leader="none" w:pos="128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Issuance</w:t>
      </w:r>
      <w:r>
        <w:rPr>
          <w:rFonts w:ascii="Arial" w:cs="Arial" w:eastAsia="Arial" w:hAnsi="Arial"/>
          <w:sz w:val="18"/>
          <w:szCs w:val="18"/>
          <w:color w:val="auto"/>
        </w:rPr>
        <w:t>” means (i) any issuance of Common Stock or Convertible Securities prior to March 1, 2015 to Dart Asset Management (or any affiliate thereof) on terms that are materially similar to (or less advantageous to Dart Asset Management (or an affiliate thereof) than) those under which the Buyer purchased the Securities, (ii) any issuance of Common Stock or Convertible Securities pursuant to the Company’s Omnibus Stock Option Plan and (iii) any issuance of Common Stock or Convertible Securities for assets, the conversion of existing debt or any other consideration other than cash or a cash equivalent.</w:t>
      </w:r>
    </w:p>
    <w:p>
      <w:pPr>
        <w:spacing w:after="0" w:line="213" w:lineRule="exact"/>
        <w:rPr>
          <w:rFonts w:ascii="Arial" w:cs="Arial" w:eastAsia="Arial" w:hAnsi="Arial"/>
          <w:sz w:val="18"/>
          <w:szCs w:val="18"/>
          <w:color w:val="auto"/>
        </w:rPr>
      </w:pPr>
    </w:p>
    <w:p>
      <w:pPr>
        <w:ind w:right="240" w:firstLine="638"/>
        <w:spacing w:after="0" w:line="269" w:lineRule="auto"/>
        <w:tabs>
          <w:tab w:leader="none" w:pos="13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30" w:name="page131"/>
    <w:bookmarkEnd w:id="130"/>
    <w:p>
      <w:pPr>
        <w:ind w:left="-20" w:firstLine="638"/>
        <w:spacing w:after="0" w:line="278" w:lineRule="auto"/>
        <w:tabs>
          <w:tab w:leader="none" w:pos="126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rFonts w:ascii="Arial" w:cs="Arial" w:eastAsia="Arial" w:hAnsi="Arial"/>
          <w:sz w:val="16"/>
          <w:szCs w:val="16"/>
          <w:color w:val="auto"/>
        </w:rPr>
      </w:pPr>
    </w:p>
    <w:p>
      <w:pPr>
        <w:ind w:left="1360" w:hanging="742"/>
        <w:spacing w:after="0"/>
        <w:tabs>
          <w:tab w:leader="none" w:pos="13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left="-20" w:right="80" w:firstLine="638"/>
        <w:spacing w:after="0" w:line="257" w:lineRule="auto"/>
        <w:tabs>
          <w:tab w:leader="none" w:pos="130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left="-20" w:right="20" w:firstLine="638"/>
        <w:spacing w:after="0" w:line="269" w:lineRule="auto"/>
        <w:tabs>
          <w:tab w:leader="none" w:pos="130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00" w:hanging="682"/>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20" w:right="80" w:firstLine="638"/>
        <w:spacing w:after="0" w:line="371" w:lineRule="auto"/>
        <w:tabs>
          <w:tab w:leader="none" w:pos="130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131" w:name="page132"/>
    <w:bookmarkEnd w:id="131"/>
    <w:p>
      <w:pPr>
        <w:ind w:firstLine="638"/>
        <w:spacing w:after="0" w:line="284" w:lineRule="auto"/>
        <w:tabs>
          <w:tab w:leader="none" w:pos="129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0" w:lineRule="exact"/>
        <w:rPr>
          <w:rFonts w:ascii="Arial" w:cs="Arial" w:eastAsia="Arial" w:hAnsi="Arial"/>
          <w:sz w:val="16"/>
          <w:szCs w:val="16"/>
          <w:color w:val="auto"/>
        </w:rPr>
      </w:pPr>
    </w:p>
    <w:p>
      <w:pPr>
        <w:ind w:firstLine="638"/>
        <w:spacing w:after="0" w:line="280" w:lineRule="auto"/>
        <w:tabs>
          <w:tab w:leader="none" w:pos="128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2" w:name="page133"/>
    <w:bookmarkEnd w:id="132"/>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133" w:name="page134"/>
    <w:bookmarkEnd w:id="133"/>
    <w:tbl>
      <w:tblPr>
        <w:tblLayout w:type="fixed"/>
        <w:tblInd w:w="640" w:type="dxa"/>
        <w:tblCellMar>
          <w:top w:w="0" w:type="dxa"/>
          <w:left w:w="0" w:type="dxa"/>
          <w:bottom w:w="0" w:type="dxa"/>
          <w:right w:w="0" w:type="dxa"/>
        </w:tblCellMar>
      </w:tblPr>
      <w:tr>
        <w:trPr>
          <w:trHeight w:val="229"/>
        </w:trPr>
        <w:tc>
          <w:tcPr>
            <w:tcW w:w="8780" w:type="dxa"/>
            <w:vAlign w:val="bottom"/>
            <w:vMerge w:val="restart"/>
          </w:tcPr>
          <w:p>
            <w:pPr>
              <w:jc w:val="center"/>
              <w:ind w:left="1292"/>
              <w:spacing w:after="0"/>
              <w:rPr>
                <w:sz w:val="20"/>
                <w:szCs w:val="20"/>
                <w:color w:val="auto"/>
              </w:rPr>
            </w:pPr>
            <w:r>
              <w:rPr>
                <w:rFonts w:ascii="Arial" w:cs="Arial" w:eastAsia="Arial" w:hAnsi="Arial"/>
                <w:sz w:val="18"/>
                <w:szCs w:val="18"/>
                <w:b w:val="1"/>
                <w:bCs w:val="1"/>
                <w:color w:val="auto"/>
                <w:w w:val="99"/>
              </w:rPr>
              <w:t>EXERCISE NOTICE</w:t>
            </w: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11"/>
        </w:trPr>
        <w:tc>
          <w:tcPr>
            <w:tcW w:w="87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TO BE EXECUTED BY THE REGISTERED HOLDER TO EXERCISE THIS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80" w:type="dxa"/>
            <w:vAlign w:val="bottom"/>
          </w:tcPr>
          <w:p>
            <w:pPr>
              <w:jc w:val="center"/>
              <w:ind w:left="1272"/>
              <w:spacing w:after="0"/>
              <w:rPr>
                <w:sz w:val="20"/>
                <w:szCs w:val="20"/>
                <w:color w:val="auto"/>
              </w:rPr>
            </w:pPr>
            <w:r>
              <w:rPr>
                <w:rFonts w:ascii="Arial" w:cs="Arial" w:eastAsia="Arial" w:hAnsi="Arial"/>
                <w:sz w:val="18"/>
                <w:szCs w:val="18"/>
                <w:b w:val="1"/>
                <w:bCs w:val="1"/>
                <w:color w:val="auto"/>
                <w:w w:val="97"/>
              </w:rPr>
              <w:t>WARRANT TO PURCHASE COMMON STOCK</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rPr>
              <w:t>TAPIMMUNE INC.</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780" w:type="dxa"/>
            <w:vAlign w:val="bottom"/>
          </w:tcPr>
          <w:p>
            <w:pPr>
              <w:spacing w:after="0"/>
              <w:rPr>
                <w:sz w:val="20"/>
                <w:szCs w:val="20"/>
                <w:color w:val="auto"/>
              </w:rPr>
            </w:pPr>
            <w:r>
              <w:rPr>
                <w:rFonts w:ascii="Arial" w:cs="Arial" w:eastAsia="Arial" w:hAnsi="Arial"/>
                <w:sz w:val="18"/>
                <w:szCs w:val="18"/>
                <w:color w:val="auto"/>
              </w:rPr>
              <w:t>The undersigned holder hereby exercises the right to purchase</w:t>
            </w:r>
          </w:p>
        </w:tc>
        <w:tc>
          <w:tcPr>
            <w:tcW w:w="2000" w:type="dxa"/>
            <w:vAlign w:val="bottom"/>
          </w:tcPr>
          <w:p>
            <w:pPr>
              <w:ind w:left="720"/>
              <w:spacing w:after="0"/>
              <w:rPr>
                <w:sz w:val="20"/>
                <w:szCs w:val="20"/>
                <w:color w:val="auto"/>
              </w:rPr>
            </w:pPr>
            <w:r>
              <w:rPr>
                <w:rFonts w:ascii="Arial" w:cs="Arial" w:eastAsia="Arial" w:hAnsi="Arial"/>
                <w:sz w:val="18"/>
                <w:szCs w:val="18"/>
                <w:color w:val="auto"/>
              </w:rPr>
              <w:t>of the shares of</w:t>
            </w:r>
          </w:p>
        </w:tc>
        <w:tc>
          <w:tcPr>
            <w:tcW w:w="0" w:type="dxa"/>
            <w:vAlign w:val="bottom"/>
          </w:tcPr>
          <w:p>
            <w:pPr>
              <w:spacing w:after="0"/>
              <w:rPr>
                <w:sz w:val="1"/>
                <w:szCs w:val="1"/>
                <w:color w:val="auto"/>
              </w:rPr>
            </w:pPr>
          </w:p>
        </w:tc>
      </w:tr>
    </w:tbl>
    <w:p>
      <w:pPr>
        <w:ind w:right="260"/>
        <w:spacing w:after="0" w:line="310" w:lineRule="auto"/>
        <w:rPr>
          <w:sz w:val="20"/>
          <w:szCs w:val="20"/>
          <w:color w:val="auto"/>
        </w:rPr>
      </w:pPr>
      <w:r>
        <w:rPr>
          <w:rFonts w:ascii="Arial" w:cs="Arial" w:eastAsia="Arial" w:hAnsi="Arial"/>
          <w:sz w:val="16"/>
          <w:szCs w:val="16"/>
          <w:color w:val="auto"/>
        </w:rPr>
        <w:t>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Placement Agent Series A Warrant No.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72" w:lineRule="exact"/>
        <w:rPr>
          <w:sz w:val="20"/>
          <w:szCs w:val="20"/>
          <w:color w:val="auto"/>
        </w:rPr>
      </w:pPr>
    </w:p>
    <w:p>
      <w:pPr>
        <w:ind w:left="1260" w:hanging="622"/>
        <w:spacing w:after="0"/>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 “Cash Exercise” with respect to ______________ Warrant Shares; and/or</w:t>
      </w: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 “Cashless Exercise” with respect to ___________ Warrant Shares.</w:t>
      </w:r>
    </w:p>
    <w:p>
      <w:pPr>
        <w:spacing w:after="0" w:line="241"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left="1260" w:hanging="622"/>
        <w:spacing w:after="0"/>
        <w:tabs>
          <w:tab w:leader="none" w:pos="12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Payment of Exercise Price. In the event that the Holder has elected a Cash Exercise with respect to some or all of the Warrant Shares, the</w:t>
      </w:r>
    </w:p>
    <w:p>
      <w:pPr>
        <w:spacing w:after="0" w:line="39"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Holder shall pay the Aggregate Exercise Price in the sum of $</w:t>
      </w:r>
      <w:r>
        <w:rPr>
          <w:sz w:val="20"/>
          <w:szCs w:val="20"/>
          <w:color w:val="auto"/>
        </w:rPr>
        <w:tab/>
      </w:r>
      <w:r>
        <w:rPr>
          <w:rFonts w:ascii="Arial" w:cs="Arial" w:eastAsia="Arial" w:hAnsi="Arial"/>
          <w:sz w:val="15"/>
          <w:szCs w:val="15"/>
          <w:color w:val="auto"/>
        </w:rPr>
        <w:t>to the Company in accordance with the terms of the Warrant.</w:t>
      </w:r>
    </w:p>
    <w:p>
      <w:pPr>
        <w:spacing w:after="0" w:line="230" w:lineRule="exact"/>
        <w:rPr>
          <w:sz w:val="20"/>
          <w:szCs w:val="20"/>
          <w:color w:val="auto"/>
        </w:rPr>
      </w:pPr>
    </w:p>
    <w:p>
      <w:pPr>
        <w:ind w:left="1260" w:hanging="622"/>
        <w:spacing w:after="0"/>
        <w:tabs>
          <w:tab w:leader="none" w:pos="1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Delivery of Warrant Shares and Net Number of shares of Common Stock. The Company shall deliver to Holder, or its designee or agent as</w:t>
      </w:r>
    </w:p>
    <w:p>
      <w:pPr>
        <w:spacing w:after="0" w:line="39"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specified below, shares of Common Stock in respect of the exercise contemplated hereby. Delivery shall be made to Holder, or for its benefit, to the following address:</w:t>
      </w:r>
    </w:p>
    <w:p>
      <w:pPr>
        <w:spacing w:after="0" w:line="209"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__________________</w:t>
      </w:r>
    </w:p>
    <w:p>
      <w:pPr>
        <w:spacing w:after="0" w:line="23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__________________</w:t>
      </w:r>
    </w:p>
    <w:p>
      <w:pPr>
        <w:spacing w:after="0" w:line="23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4" w:name="page135"/>
    <w:bookmarkEnd w:id="134"/>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09"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36082917v.7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54240" cy="43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Placement Agent Series B Warrant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Placement Agent Series B Warrant 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firstLine="633"/>
        <w:spacing w:after="0" w:line="280"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at any time or times on or after the Issuance Date but not after 11:59 p.m., New York time, on the Expiration Date (as defined below),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January 12,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This Warrant is issued by the Company as of the date hereof pursuant to the [Engagement Agreement], dated as of January __, 2015, between the Company and [Placement Agent] and Section 4(a)(2) of the Securities Act of 1933, as amended (the “Securities Act”), and Rule 506 promulgated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37" w:name="page138"/>
    <w:bookmarkEnd w:id="137"/>
    <w:p>
      <w:pPr>
        <w:ind w:left="615" w:hanging="615"/>
        <w:spacing w:after="0"/>
        <w:tabs>
          <w:tab w:leader="none" w:pos="61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firstLine="638"/>
        <w:spacing w:after="0" w:line="279" w:lineRule="auto"/>
        <w:tabs>
          <w:tab w:leader="none" w:pos="1305"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w:t>
      </w:r>
    </w:p>
    <w:p>
      <w:pPr>
        <w:spacing w:after="0" w:line="187" w:lineRule="exact"/>
        <w:rPr>
          <w:rFonts w:ascii="Arial" w:cs="Arial" w:eastAsia="Arial" w:hAnsi="Arial"/>
          <w:sz w:val="16"/>
          <w:szCs w:val="16"/>
          <w:color w:val="auto"/>
        </w:rPr>
      </w:pPr>
    </w:p>
    <w:p>
      <w:pPr>
        <w:ind w:left="1035" w:hanging="349"/>
        <w:spacing w:after="0"/>
        <w:tabs>
          <w:tab w:leader="none" w:pos="1035" w:val="left"/>
        </w:tabs>
        <w:numPr>
          <w:ilvl w:val="2"/>
          <w:numId w:val="148"/>
        </w:numPr>
        <w:rPr>
          <w:rFonts w:ascii="Arial" w:cs="Arial" w:eastAsia="Arial" w:hAnsi="Arial"/>
          <w:sz w:val="19"/>
          <w:szCs w:val="19"/>
          <w:color w:val="auto"/>
        </w:rPr>
      </w:pPr>
      <w:r>
        <w:rPr>
          <w:rFonts w:ascii="Arial" w:cs="Arial" w:eastAsia="Arial" w:hAnsi="Arial"/>
          <w:sz w:val="19"/>
          <w:szCs w:val="19"/>
          <w:color w:val="auto"/>
        </w:rPr>
        <w:t>provided that (i) either (a) the Warrant Shares are registered with the US Securities and Exchange Commission on an</w:t>
      </w:r>
    </w:p>
    <w:p>
      <w:pPr>
        <w:spacing w:after="0" w:line="36" w:lineRule="exact"/>
        <w:rPr>
          <w:rFonts w:ascii="Arial" w:cs="Arial" w:eastAsia="Arial" w:hAnsi="Arial"/>
          <w:sz w:val="19"/>
          <w:szCs w:val="19"/>
          <w:color w:val="auto"/>
        </w:rPr>
      </w:pPr>
    </w:p>
    <w:p>
      <w:pPr>
        <w:ind w:left="635" w:right="140"/>
        <w:spacing w:after="0" w:line="250" w:lineRule="auto"/>
        <w:rPr>
          <w:rFonts w:ascii="Arial" w:cs="Arial" w:eastAsia="Arial" w:hAnsi="Arial"/>
          <w:sz w:val="19"/>
          <w:szCs w:val="19"/>
          <w:color w:val="auto"/>
        </w:rPr>
      </w:pPr>
      <w:r>
        <w:rPr>
          <w:rFonts w:ascii="Arial" w:cs="Arial" w:eastAsia="Arial" w:hAnsi="Arial"/>
          <w:sz w:val="20"/>
          <w:szCs w:val="20"/>
          <w:color w:val="auto"/>
        </w:rPr>
        <w:t>effective registration statement under the Securities Act or (b) the Company has provided an opinion of counsel, backed up by a letter from the Holder representing reasonable and usual representations for such an opinion, to the Transfer Agent (“</w:t>
      </w:r>
      <w:r>
        <w:rPr>
          <w:rFonts w:ascii="Arial" w:cs="Arial" w:eastAsia="Arial" w:hAnsi="Arial"/>
          <w:sz w:val="20"/>
          <w:szCs w:val="20"/>
          <w:b w:val="1"/>
          <w:bCs w:val="1"/>
          <w:color w:val="auto"/>
        </w:rPr>
        <w:t>Exemption Opinion</w:t>
      </w:r>
      <w:r>
        <w:rPr>
          <w:rFonts w:ascii="Arial" w:cs="Arial" w:eastAsia="Arial" w:hAnsi="Arial"/>
          <w:sz w:val="20"/>
          <w:szCs w:val="20"/>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Arial" w:cs="Arial" w:eastAsia="Arial" w:hAnsi="Arial"/>
          <w:sz w:val="20"/>
          <w:szCs w:val="20"/>
          <w:b w:val="1"/>
          <w:bCs w:val="1"/>
          <w:color w:val="auto"/>
        </w:rPr>
        <w:t>DTC</w:t>
      </w:r>
      <w:r>
        <w:rPr>
          <w:rFonts w:ascii="Arial" w:cs="Arial" w:eastAsia="Arial" w:hAnsi="Arial"/>
          <w:sz w:val="20"/>
          <w:szCs w:val="20"/>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01" w:lineRule="exact"/>
        <w:rPr>
          <w:sz w:val="20"/>
          <w:szCs w:val="20"/>
          <w:color w:val="auto"/>
        </w:rPr>
      </w:pPr>
    </w:p>
    <w:p>
      <w:pPr>
        <w:ind w:left="635" w:right="80" w:hanging="2"/>
        <w:spacing w:after="0" w:line="239" w:lineRule="auto"/>
        <w:tabs>
          <w:tab w:leader="none" w:pos="98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09" w:right="239" w:bottom="1440" w:gutter="0" w:footer="0" w:header="0"/>
        </w:sectPr>
      </w:pPr>
    </w:p>
    <w:bookmarkStart w:id="138" w:name="page139"/>
    <w:bookmarkEnd w:id="138"/>
    <w:p>
      <w:pPr>
        <w:ind w:right="40"/>
        <w:spacing w:after="0" w:line="280" w:lineRule="auto"/>
        <w:rPr>
          <w:sz w:val="20"/>
          <w:szCs w:val="20"/>
          <w:color w:val="auto"/>
        </w:rPr>
      </w:pPr>
      <w:r>
        <w:rPr>
          <w:rFonts w:ascii="Arial" w:cs="Arial" w:eastAsia="Arial" w:hAnsi="Arial"/>
          <w:sz w:val="16"/>
          <w:szCs w:val="16"/>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4" w:lineRule="exact"/>
        <w:rPr>
          <w:sz w:val="20"/>
          <w:szCs w:val="20"/>
          <w:color w:val="auto"/>
        </w:rPr>
      </w:pPr>
    </w:p>
    <w:p>
      <w:pPr>
        <w:ind w:left="1320" w:hanging="682"/>
        <w:spacing w:after="0"/>
        <w:tabs>
          <w:tab w:leader="none" w:pos="132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$0.40 subject to adjustment as provided herein.</w:t>
      </w:r>
    </w:p>
    <w:p>
      <w:pPr>
        <w:spacing w:after="0" w:line="247" w:lineRule="exact"/>
        <w:rPr>
          <w:rFonts w:ascii="Arial" w:cs="Arial" w:eastAsia="Arial" w:hAnsi="Arial"/>
          <w:sz w:val="18"/>
          <w:szCs w:val="18"/>
          <w:color w:val="auto"/>
        </w:rPr>
      </w:pPr>
    </w:p>
    <w:p>
      <w:pPr>
        <w:ind w:right="40" w:firstLine="638"/>
        <w:spacing w:after="0" w:line="294" w:lineRule="auto"/>
        <w:tabs>
          <w:tab w:leader="none" w:pos="1311" w:val="left"/>
        </w:tabs>
        <w:numPr>
          <w:ilvl w:val="1"/>
          <w:numId w:val="150"/>
        </w:numPr>
        <w:rPr>
          <w:rFonts w:ascii="Arial" w:cs="Arial" w:eastAsia="Arial" w:hAnsi="Arial"/>
          <w:sz w:val="15"/>
          <w:szCs w:val="15"/>
          <w:color w:val="auto"/>
        </w:rPr>
      </w:pPr>
      <w:r>
        <w:rPr>
          <w:rFonts w:ascii="Arial" w:cs="Arial" w:eastAsia="Arial" w:hAnsi="Arial"/>
          <w:sz w:val="15"/>
          <w:szCs w:val="15"/>
          <w:u w:val="single" w:color="auto"/>
          <w:color w:val="auto"/>
        </w:rPr>
        <w:t>Company’s Failure to Timely Deliver Securities</w:t>
      </w:r>
      <w:r>
        <w:rPr>
          <w:rFonts w:ascii="Arial" w:cs="Arial" w:eastAsia="Arial" w:hAnsi="Arial"/>
          <w:sz w:val="15"/>
          <w:szCs w:val="15"/>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w:t>
      </w:r>
    </w:p>
    <w:p>
      <w:pPr>
        <w:spacing w:after="0" w:line="7" w:lineRule="exact"/>
        <w:rPr>
          <w:rFonts w:ascii="Arial" w:cs="Arial" w:eastAsia="Arial" w:hAnsi="Arial"/>
          <w:sz w:val="15"/>
          <w:szCs w:val="15"/>
          <w:color w:val="auto"/>
        </w:rPr>
      </w:pPr>
    </w:p>
    <w:p>
      <w:pPr>
        <w:ind w:firstLine="5"/>
        <w:spacing w:after="0" w:line="245" w:lineRule="auto"/>
        <w:tabs>
          <w:tab w:leader="none" w:pos="25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139" w:name="page140"/>
    <w:bookmarkEnd w:id="139"/>
    <w:p>
      <w:pPr>
        <w:ind w:right="20"/>
        <w:spacing w:after="0" w:line="276" w:lineRule="auto"/>
        <w:rPr>
          <w:sz w:val="20"/>
          <w:szCs w:val="20"/>
          <w:color w:val="auto"/>
        </w:rPr>
      </w:pPr>
      <w:r>
        <w:rPr>
          <w:rFonts w:ascii="Arial" w:cs="Arial" w:eastAsia="Arial" w:hAnsi="Arial"/>
          <w:sz w:val="16"/>
          <w:szCs w:val="16"/>
          <w:color w:val="auto"/>
        </w:rPr>
        <w:t>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5" w:lineRule="exact"/>
        <w:rPr>
          <w:sz w:val="20"/>
          <w:szCs w:val="20"/>
          <w:color w:val="auto"/>
        </w:rPr>
      </w:pPr>
    </w:p>
    <w:p>
      <w:pPr>
        <w:ind w:right="140" w:firstLine="638"/>
        <w:spacing w:after="0" w:line="283" w:lineRule="auto"/>
        <w:tabs>
          <w:tab w:leader="none" w:pos="132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41" w:lineRule="exact"/>
        <w:rPr>
          <w:sz w:val="20"/>
          <w:szCs w:val="20"/>
          <w:color w:val="auto"/>
        </w:rPr>
      </w:pPr>
    </w:p>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40" w:name="page141"/>
    <w:bookmarkEnd w:id="140"/>
    <w:p>
      <w:pPr>
        <w:ind w:left="-20" w:right="40" w:firstLine="638"/>
        <w:spacing w:after="0" w:line="300" w:lineRule="auto"/>
        <w:tabs>
          <w:tab w:leader="none" w:pos="129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80" w:lineRule="exact"/>
        <w:rPr>
          <w:rFonts w:ascii="Arial" w:cs="Arial" w:eastAsia="Arial" w:hAnsi="Arial"/>
          <w:sz w:val="16"/>
          <w:szCs w:val="16"/>
          <w:color w:val="auto"/>
        </w:rPr>
      </w:pPr>
    </w:p>
    <w:p>
      <w:pPr>
        <w:ind w:left="-20" w:firstLine="638"/>
        <w:spacing w:after="0" w:line="277" w:lineRule="auto"/>
        <w:tabs>
          <w:tab w:leader="none" w:pos="127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141" w:name="page142"/>
    <w:bookmarkEnd w:id="141"/>
    <w:p>
      <w:pPr>
        <w:ind w:firstLine="638"/>
        <w:spacing w:after="0" w:line="277" w:lineRule="auto"/>
        <w:tabs>
          <w:tab w:leader="none" w:pos="1321"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7" w:lineRule="exact"/>
        <w:rPr>
          <w:rFonts w:ascii="Arial" w:cs="Arial" w:eastAsia="Arial" w:hAnsi="Arial"/>
          <w:sz w:val="18"/>
          <w:szCs w:val="18"/>
          <w:color w:val="auto"/>
        </w:rPr>
      </w:pPr>
    </w:p>
    <w:p>
      <w:pPr>
        <w:ind w:firstLine="638"/>
        <w:spacing w:after="0" w:line="279" w:lineRule="auto"/>
        <w:tabs>
          <w:tab w:leader="none" w:pos="1311"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2" w:name="page143"/>
    <w:bookmarkEnd w:id="142"/>
    <w:p>
      <w:pPr>
        <w:ind w:left="-5" w:right="40" w:firstLine="638"/>
        <w:spacing w:after="0" w:line="282" w:lineRule="auto"/>
        <w:tabs>
          <w:tab w:leader="none" w:pos="1315"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05"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41" w:lineRule="exact"/>
        <w:rPr>
          <w:rFonts w:ascii="Arial" w:cs="Arial" w:eastAsia="Arial" w:hAnsi="Arial"/>
          <w:sz w:val="18"/>
          <w:szCs w:val="18"/>
          <w:color w:val="auto"/>
        </w:rPr>
      </w:pPr>
    </w:p>
    <w:p>
      <w:pPr>
        <w:ind w:left="-5" w:right="200" w:firstLine="638"/>
        <w:spacing w:after="0" w:line="232" w:lineRule="auto"/>
        <w:tabs>
          <w:tab w:leader="none" w:pos="1347" w:val="left"/>
        </w:tabs>
        <w:numPr>
          <w:ilvl w:val="1"/>
          <w:numId w:val="156"/>
        </w:numPr>
        <w:rPr>
          <w:rFonts w:ascii="Arial" w:cs="Arial" w:eastAsia="Arial" w:hAnsi="Arial"/>
          <w:sz w:val="21"/>
          <w:szCs w:val="21"/>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225" w:lineRule="exact"/>
        <w:rPr>
          <w:rFonts w:ascii="Arial" w:cs="Arial" w:eastAsia="Arial" w:hAnsi="Arial"/>
          <w:sz w:val="21"/>
          <w:szCs w:val="21"/>
          <w:color w:val="auto"/>
        </w:rPr>
      </w:pPr>
    </w:p>
    <w:p>
      <w:pPr>
        <w:ind w:left="-5" w:firstLine="5"/>
        <w:spacing w:after="0" w:line="279" w:lineRule="auto"/>
        <w:tabs>
          <w:tab w:leader="none" w:pos="609"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143" w:name="page144"/>
    <w:bookmarkEnd w:id="143"/>
    <w:p>
      <w:pPr>
        <w:ind w:left="620" w:hanging="615"/>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0" w:lineRule="auto"/>
        <w:tabs>
          <w:tab w:leader="none" w:pos="131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ind w:firstLine="638"/>
        <w:spacing w:after="0" w:line="278" w:lineRule="auto"/>
        <w:tabs>
          <w:tab w:leader="none" w:pos="132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4" w:name="page145"/>
    <w:bookmarkEnd w:id="144"/>
    <w:p>
      <w:pPr>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ind w:right="100" w:firstLine="638"/>
        <w:spacing w:after="0" w:line="249" w:lineRule="auto"/>
        <w:tabs>
          <w:tab w:leader="none" w:pos="131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8" w:lineRule="exact"/>
        <w:rPr>
          <w:rFonts w:ascii="Arial" w:cs="Arial" w:eastAsia="Arial" w:hAnsi="Arial"/>
          <w:sz w:val="18"/>
          <w:szCs w:val="18"/>
          <w:color w:val="auto"/>
        </w:rPr>
      </w:pPr>
    </w:p>
    <w:p>
      <w:pPr>
        <w:ind w:left="620" w:hanging="615"/>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MANDATORY EXERCISE</w:t>
      </w:r>
    </w:p>
    <w:p>
      <w:pPr>
        <w:spacing w:after="0" w:line="241" w:lineRule="exact"/>
        <w:rPr>
          <w:rFonts w:ascii="Arial" w:cs="Arial" w:eastAsia="Arial" w:hAnsi="Arial"/>
          <w:sz w:val="18"/>
          <w:szCs w:val="18"/>
          <w:color w:val="auto"/>
        </w:rPr>
      </w:pPr>
    </w:p>
    <w:p>
      <w:pPr>
        <w:ind w:right="140" w:firstLine="638"/>
        <w:spacing w:after="0" w:line="280" w:lineRule="auto"/>
        <w:tabs>
          <w:tab w:leader="none" w:pos="1311"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Mandatory Exercise Right of the Company.</w:t>
      </w:r>
      <w:r>
        <w:rPr>
          <w:rFonts w:ascii="Arial" w:cs="Arial" w:eastAsia="Arial" w:hAnsi="Arial"/>
          <w:sz w:val="16"/>
          <w:szCs w:val="16"/>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(i) the last reported sale price of Common Stock on each of the twenty (20) consecutive Trading Days immediately prior to the Mandatory Exercise Notice Date exceeded $0.70 (the “</w:t>
      </w:r>
      <w:r>
        <w:rPr>
          <w:rFonts w:ascii="Arial" w:cs="Arial" w:eastAsia="Arial" w:hAnsi="Arial"/>
          <w:sz w:val="16"/>
          <w:szCs w:val="16"/>
          <w:b w:val="1"/>
          <w:bCs w:val="1"/>
          <w:color w:val="auto"/>
        </w:rPr>
        <w:t>Mandatory Notice Trading Price</w:t>
      </w:r>
      <w:r>
        <w:rPr>
          <w:rFonts w:ascii="Arial" w:cs="Arial" w:eastAsia="Arial" w:hAnsi="Arial"/>
          <w:sz w:val="16"/>
          <w:szCs w:val="16"/>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5" w:name="page146"/>
    <w:bookmarkEnd w:id="145"/>
    <w:p>
      <w:pPr>
        <w:jc w:val="both"/>
        <w:ind w:firstLine="638"/>
        <w:spacing w:after="0" w:line="285" w:lineRule="auto"/>
        <w:tabs>
          <w:tab w:leader="none" w:pos="146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Mandatory Exercise Procedure</w:t>
      </w:r>
      <w:r>
        <w:rPr>
          <w:rFonts w:ascii="Arial" w:cs="Arial" w:eastAsia="Arial" w:hAnsi="Arial"/>
          <w:sz w:val="16"/>
          <w:szCs w:val="16"/>
          <w:color w:val="auto"/>
        </w:rPr>
        <w:t>. In connection with any such mandatory exercise of the Warrant, the Company shall deliver an irrevocable written notice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Arial" w:cs="Arial" w:eastAsia="Arial" w:hAnsi="Arial"/>
          <w:sz w:val="16"/>
          <w:szCs w:val="16"/>
          <w:b w:val="1"/>
          <w:bCs w:val="1"/>
          <w:color w:val="auto"/>
        </w:rPr>
        <w:t>Mandatory Exercise Closing Date</w:t>
      </w:r>
      <w:r>
        <w:rPr>
          <w:rFonts w:ascii="Arial" w:cs="Arial" w:eastAsia="Arial" w:hAnsi="Arial"/>
          <w:sz w:val="16"/>
          <w:szCs w:val="16"/>
          <w:color w:val="auto"/>
        </w:rPr>
        <w:t>”). Subject to the terms and conditions of this Warrant, on any such Mandatory Exercise Closing Date, each Holder shall exercise its Warrants and acquire the underlying shares of Common Stock in accordance with the terms set forth in this Warrant and the Mandatory Exercise Notice.</w:t>
      </w:r>
    </w:p>
    <w:p>
      <w:pPr>
        <w:spacing w:after="0" w:line="192" w:lineRule="exact"/>
        <w:rPr>
          <w:rFonts w:ascii="Arial" w:cs="Arial" w:eastAsia="Arial" w:hAnsi="Arial"/>
          <w:sz w:val="16"/>
          <w:szCs w:val="16"/>
          <w:color w:val="auto"/>
        </w:rPr>
      </w:pPr>
    </w:p>
    <w:p>
      <w:pPr>
        <w:ind w:right="40" w:firstLine="5"/>
        <w:spacing w:after="0" w:line="280" w:lineRule="auto"/>
        <w:tabs>
          <w:tab w:leader="none" w:pos="61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46" w:name="page147"/>
    <w:bookmarkEnd w:id="146"/>
    <w:p>
      <w:pPr>
        <w:ind w:left="620" w:hanging="615"/>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40" w:firstLine="638"/>
        <w:spacing w:after="0" w:line="287" w:lineRule="auto"/>
        <w:tabs>
          <w:tab w:leader="none" w:pos="1311"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firstLine="638"/>
        <w:spacing w:after="0" w:line="287" w:lineRule="auto"/>
        <w:tabs>
          <w:tab w:leader="none" w:pos="1321"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91" w:lineRule="exact"/>
        <w:rPr>
          <w:rFonts w:ascii="Arial" w:cs="Arial" w:eastAsia="Arial" w:hAnsi="Arial"/>
          <w:sz w:val="16"/>
          <w:szCs w:val="16"/>
          <w:color w:val="auto"/>
        </w:rPr>
      </w:pPr>
    </w:p>
    <w:p>
      <w:pPr>
        <w:ind w:right="40" w:firstLine="638"/>
        <w:spacing w:after="0" w:line="291" w:lineRule="auto"/>
        <w:tabs>
          <w:tab w:leader="none" w:pos="1311"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163"/>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60"/>
        <w:spacing w:after="0" w:line="283" w:lineRule="auto"/>
        <w:rPr>
          <w:rFonts w:ascii="Arial" w:cs="Arial" w:eastAsia="Arial" w:hAnsi="Arial"/>
          <w:sz w:val="15"/>
          <w:szCs w:val="15"/>
          <w:color w:val="auto"/>
        </w:rPr>
      </w:pPr>
      <w:r>
        <w:rPr>
          <w:rFonts w:ascii="Arial" w:cs="Arial" w:eastAsia="Arial" w:hAnsi="Arial"/>
          <w:sz w:val="16"/>
          <w:szCs w:val="16"/>
          <w:color w:val="auto"/>
        </w:rPr>
        <w:t>(i)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47" w:name="page148"/>
    <w:bookmarkEnd w:id="147"/>
    <w:p>
      <w:pPr>
        <w:ind w:firstLine="5"/>
        <w:spacing w:after="0" w:line="279" w:lineRule="auto"/>
        <w:tabs>
          <w:tab w:leader="none" w:pos="61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01" w:lineRule="exact"/>
        <w:rPr>
          <w:rFonts w:ascii="Arial" w:cs="Arial" w:eastAsia="Arial" w:hAnsi="Arial"/>
          <w:sz w:val="16"/>
          <w:szCs w:val="16"/>
          <w:color w:val="auto"/>
        </w:rPr>
      </w:pPr>
    </w:p>
    <w:p>
      <w:pPr>
        <w:ind w:firstLine="5"/>
        <w:spacing w:after="0" w:line="249" w:lineRule="auto"/>
        <w:tabs>
          <w:tab w:leader="none" w:pos="70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60" w:firstLine="5"/>
        <w:spacing w:after="0" w:line="282" w:lineRule="auto"/>
        <w:tabs>
          <w:tab w:leader="none" w:pos="696"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8" w:name="page149"/>
    <w:bookmarkEnd w:id="148"/>
    <w:p>
      <w:pPr>
        <w:ind w:firstLine="5"/>
        <w:spacing w:after="0" w:line="276" w:lineRule="auto"/>
        <w:tabs>
          <w:tab w:leader="none" w:pos="70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49" w:name="page150"/>
    <w:bookmarkEnd w:id="149"/>
    <w:p>
      <w:pPr>
        <w:ind w:right="20" w:firstLine="5"/>
        <w:spacing w:after="0" w:line="278" w:lineRule="auto"/>
        <w:tabs>
          <w:tab w:leader="none" w:pos="70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700" w:hanging="695"/>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firstLine="638"/>
        <w:spacing w:after="0" w:line="250" w:lineRule="auto"/>
        <w:tabs>
          <w:tab w:leader="none" w:pos="128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Arial" w:cs="Arial" w:eastAsia="Arial" w:hAnsi="Arial"/>
          <w:sz w:val="18"/>
          <w:szCs w:val="18"/>
          <w:b w:val="1"/>
          <w:bCs w:val="1"/>
          <w:color w:val="auto"/>
        </w:rPr>
        <w:t>Lock-Up Period</w:t>
      </w:r>
      <w:r>
        <w:rPr>
          <w:rFonts w:ascii="Arial" w:cs="Arial" w:eastAsia="Arial" w:hAnsi="Arial"/>
          <w:sz w:val="18"/>
          <w:szCs w:val="18"/>
          <w:color w:val="auto"/>
        </w:rPr>
        <w:t>”), except the transfer of any security:</w:t>
      </w:r>
    </w:p>
    <w:p>
      <w:pPr>
        <w:spacing w:after="0" w:line="218" w:lineRule="exact"/>
        <w:rPr>
          <w:rFonts w:ascii="Arial" w:cs="Arial" w:eastAsia="Arial" w:hAnsi="Arial"/>
          <w:sz w:val="18"/>
          <w:szCs w:val="18"/>
          <w:color w:val="auto"/>
        </w:rPr>
      </w:pPr>
    </w:p>
    <w:p>
      <w:pPr>
        <w:ind w:left="1900" w:hanging="629"/>
        <w:spacing w:after="0"/>
        <w:tabs>
          <w:tab w:leader="none" w:pos="19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41"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207"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 or</w:t>
      </w:r>
    </w:p>
    <w:p>
      <w:pPr>
        <w:spacing w:after="0" w:line="207" w:lineRule="exact"/>
        <w:rPr>
          <w:rFonts w:ascii="Arial" w:cs="Arial" w:eastAsia="Arial" w:hAnsi="Arial"/>
          <w:sz w:val="18"/>
          <w:szCs w:val="18"/>
          <w:color w:val="auto"/>
        </w:rPr>
      </w:pPr>
    </w:p>
    <w:p>
      <w:pPr>
        <w:jc w:val="both"/>
        <w:ind w:left="1900" w:hanging="629"/>
        <w:spacing w:after="0" w:line="253" w:lineRule="auto"/>
        <w:tabs>
          <w:tab w:leader="none" w:pos="19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0" w:name="page151"/>
    <w:bookmarkEnd w:id="150"/>
    <w:p>
      <w:pPr>
        <w:jc w:val="both"/>
        <w:ind w:firstLine="638"/>
        <w:spacing w:after="0"/>
        <w:tabs>
          <w:tab w:leader="none" w:pos="1398"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08" w:lineRule="exact"/>
        <w:rPr>
          <w:rFonts w:ascii="Arial" w:cs="Arial" w:eastAsia="Arial" w:hAnsi="Arial"/>
          <w:sz w:val="21"/>
          <w:szCs w:val="21"/>
          <w:color w:val="auto"/>
        </w:rPr>
      </w:pPr>
    </w:p>
    <w:p>
      <w:pPr>
        <w:jc w:val="both"/>
        <w:ind w:firstLine="638"/>
        <w:spacing w:after="0" w:line="241" w:lineRule="auto"/>
        <w:tabs>
          <w:tab w:leader="none" w:pos="1457" w:val="left"/>
        </w:tabs>
        <w:numPr>
          <w:ilvl w:val="1"/>
          <w:numId w:val="167"/>
        </w:numPr>
        <w:rPr>
          <w:rFonts w:ascii="Arial" w:cs="Arial" w:eastAsia="Arial" w:hAnsi="Arial"/>
          <w:sz w:val="21"/>
          <w:szCs w:val="21"/>
          <w:color w:val="auto"/>
        </w:rPr>
      </w:pPr>
      <w:r>
        <w:rPr>
          <w:rFonts w:ascii="Arial" w:cs="Arial" w:eastAsia="Arial" w:hAnsi="Arial"/>
          <w:sz w:val="21"/>
          <w:szCs w:val="21"/>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15" w:lineRule="exact"/>
        <w:rPr>
          <w:rFonts w:ascii="Arial" w:cs="Arial" w:eastAsia="Arial" w:hAnsi="Arial"/>
          <w:sz w:val="21"/>
          <w:szCs w:val="21"/>
          <w:color w:val="auto"/>
        </w:rPr>
      </w:pPr>
    </w:p>
    <w:p>
      <w:pPr>
        <w:ind w:left="700" w:hanging="695"/>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sz w:val="20"/>
          <w:szCs w:val="20"/>
          <w:color w:val="auto"/>
        </w:rPr>
      </w:pPr>
    </w:p>
    <w:p>
      <w:pPr>
        <w:ind w:right="20" w:firstLine="638"/>
        <w:spacing w:after="0" w:line="280" w:lineRule="auto"/>
        <w:tabs>
          <w:tab w:leader="none" w:pos="131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51" w:name="page152"/>
    <w:bookmarkEnd w:id="151"/>
    <w:p>
      <w:pPr>
        <w:ind w:left="1380" w:hanging="742"/>
        <w:spacing w:after="0"/>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100" w:firstLine="638"/>
        <w:spacing w:after="0" w:line="269" w:lineRule="auto"/>
        <w:tabs>
          <w:tab w:leader="none" w:pos="131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6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96" w:lineRule="exact"/>
        <w:rPr>
          <w:rFonts w:ascii="Arial" w:cs="Arial" w:eastAsia="Arial" w:hAnsi="Arial"/>
          <w:sz w:val="16"/>
          <w:szCs w:val="16"/>
          <w:color w:val="auto"/>
        </w:rPr>
      </w:pPr>
    </w:p>
    <w:p>
      <w:pPr>
        <w:ind w:right="320" w:firstLine="638"/>
        <w:spacing w:after="0" w:line="269" w:lineRule="auto"/>
        <w:tabs>
          <w:tab w:leader="none" w:pos="131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right="240" w:firstLine="638"/>
        <w:spacing w:after="0" w:line="333" w:lineRule="auto"/>
        <w:tabs>
          <w:tab w:leader="none" w:pos="129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right="40" w:firstLine="638"/>
        <w:spacing w:after="0" w:line="269" w:lineRule="auto"/>
        <w:tabs>
          <w:tab w:leader="none" w:pos="132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right="600" w:firstLine="638"/>
        <w:spacing w:after="0" w:line="333" w:lineRule="auto"/>
        <w:tabs>
          <w:tab w:leader="none" w:pos="136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six (6) month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52" w:name="page153"/>
    <w:bookmarkEnd w:id="152"/>
    <w:p>
      <w:pPr>
        <w:ind w:left="-20" w:firstLine="638"/>
        <w:spacing w:after="0" w:line="278" w:lineRule="auto"/>
        <w:tabs>
          <w:tab w:leader="none" w:pos="126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rFonts w:ascii="Arial" w:cs="Arial" w:eastAsia="Arial" w:hAnsi="Arial"/>
          <w:sz w:val="16"/>
          <w:szCs w:val="16"/>
          <w:color w:val="auto"/>
        </w:rPr>
      </w:pPr>
    </w:p>
    <w:p>
      <w:pPr>
        <w:ind w:left="1260" w:hanging="642"/>
        <w:spacing w:after="0"/>
        <w:tabs>
          <w:tab w:leader="none" w:pos="12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left="-20" w:right="80" w:firstLine="638"/>
        <w:spacing w:after="0" w:line="257" w:lineRule="auto"/>
        <w:tabs>
          <w:tab w:leader="none" w:pos="13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left="-20" w:right="60" w:firstLine="638"/>
        <w:spacing w:after="0" w:line="269" w:lineRule="auto"/>
        <w:tabs>
          <w:tab w:leader="none" w:pos="12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20" w:hanging="702"/>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20" w:right="80" w:firstLine="638"/>
        <w:spacing w:after="0" w:line="371" w:lineRule="auto"/>
        <w:tabs>
          <w:tab w:leader="none" w:pos="130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4" w:right="239" w:bottom="1440" w:gutter="0" w:footer="0" w:header="0"/>
        </w:sectPr>
      </w:pPr>
    </w:p>
    <w:bookmarkStart w:id="153" w:name="page154"/>
    <w:bookmarkEnd w:id="153"/>
    <w:p>
      <w:pPr>
        <w:ind w:right="100" w:firstLine="638"/>
        <w:spacing w:after="0" w:line="284" w:lineRule="auto"/>
        <w:tabs>
          <w:tab w:leader="none" w:pos="132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2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0" w:lineRule="exact"/>
        <w:rPr>
          <w:rFonts w:ascii="Arial" w:cs="Arial" w:eastAsia="Arial" w:hAnsi="Arial"/>
          <w:sz w:val="16"/>
          <w:szCs w:val="16"/>
          <w:color w:val="auto"/>
        </w:rPr>
      </w:pPr>
    </w:p>
    <w:p>
      <w:pPr>
        <w:ind w:firstLine="638"/>
        <w:spacing w:after="0" w:line="280" w:lineRule="auto"/>
        <w:tabs>
          <w:tab w:leader="none" w:pos="132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4" w:name="page155"/>
    <w:bookmarkEnd w:id="154"/>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4" w:right="699" w:bottom="1440" w:gutter="0" w:footer="0" w:header="0"/>
        </w:sectPr>
      </w:pPr>
    </w:p>
    <w:bookmarkStart w:id="155" w:name="page156"/>
    <w:bookmarkEnd w:id="155"/>
    <w:tbl>
      <w:tblPr>
        <w:tblLayout w:type="fixed"/>
        <w:tblInd w:w="640" w:type="dxa"/>
        <w:tblCellMar>
          <w:top w:w="0" w:type="dxa"/>
          <w:left w:w="0" w:type="dxa"/>
          <w:bottom w:w="0" w:type="dxa"/>
          <w:right w:w="0" w:type="dxa"/>
        </w:tblCellMar>
      </w:tblPr>
      <w:tr>
        <w:trPr>
          <w:trHeight w:val="229"/>
        </w:trPr>
        <w:tc>
          <w:tcPr>
            <w:tcW w:w="8780" w:type="dxa"/>
            <w:vAlign w:val="bottom"/>
            <w:vMerge w:val="restart"/>
          </w:tcPr>
          <w:p>
            <w:pPr>
              <w:jc w:val="center"/>
              <w:ind w:left="1292"/>
              <w:spacing w:after="0"/>
              <w:rPr>
                <w:sz w:val="20"/>
                <w:szCs w:val="20"/>
                <w:color w:val="auto"/>
              </w:rPr>
            </w:pPr>
            <w:r>
              <w:rPr>
                <w:rFonts w:ascii="Arial" w:cs="Arial" w:eastAsia="Arial" w:hAnsi="Arial"/>
                <w:sz w:val="18"/>
                <w:szCs w:val="18"/>
                <w:b w:val="1"/>
                <w:bCs w:val="1"/>
                <w:color w:val="auto"/>
                <w:w w:val="99"/>
              </w:rPr>
              <w:t>EXERCISE NOTICE</w:t>
            </w: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11"/>
        </w:trPr>
        <w:tc>
          <w:tcPr>
            <w:tcW w:w="87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TO BE EXECUTED BY THE REGISTERED HOLDER TO EXERCISE THIS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80" w:type="dxa"/>
            <w:vAlign w:val="bottom"/>
          </w:tcPr>
          <w:p>
            <w:pPr>
              <w:jc w:val="center"/>
              <w:ind w:left="1272"/>
              <w:spacing w:after="0"/>
              <w:rPr>
                <w:sz w:val="20"/>
                <w:szCs w:val="20"/>
                <w:color w:val="auto"/>
              </w:rPr>
            </w:pPr>
            <w:r>
              <w:rPr>
                <w:rFonts w:ascii="Arial" w:cs="Arial" w:eastAsia="Arial" w:hAnsi="Arial"/>
                <w:sz w:val="18"/>
                <w:szCs w:val="18"/>
                <w:b w:val="1"/>
                <w:bCs w:val="1"/>
                <w:color w:val="auto"/>
                <w:w w:val="97"/>
              </w:rPr>
              <w:t>WARRANT TO PURCHASE COMMON STOCK</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rPr>
              <w:t>TAPIMMUNE INC.</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780" w:type="dxa"/>
            <w:vAlign w:val="bottom"/>
          </w:tcPr>
          <w:p>
            <w:pPr>
              <w:spacing w:after="0"/>
              <w:rPr>
                <w:sz w:val="20"/>
                <w:szCs w:val="20"/>
                <w:color w:val="auto"/>
              </w:rPr>
            </w:pPr>
            <w:r>
              <w:rPr>
                <w:rFonts w:ascii="Arial" w:cs="Arial" w:eastAsia="Arial" w:hAnsi="Arial"/>
                <w:sz w:val="18"/>
                <w:szCs w:val="18"/>
                <w:color w:val="auto"/>
              </w:rPr>
              <w:t>The undersigned holder hereby exercises the right to purchase</w:t>
            </w:r>
          </w:p>
        </w:tc>
        <w:tc>
          <w:tcPr>
            <w:tcW w:w="2000" w:type="dxa"/>
            <w:vAlign w:val="bottom"/>
          </w:tcPr>
          <w:p>
            <w:pPr>
              <w:ind w:left="720"/>
              <w:spacing w:after="0"/>
              <w:rPr>
                <w:sz w:val="20"/>
                <w:szCs w:val="20"/>
                <w:color w:val="auto"/>
              </w:rPr>
            </w:pPr>
            <w:r>
              <w:rPr>
                <w:rFonts w:ascii="Arial" w:cs="Arial" w:eastAsia="Arial" w:hAnsi="Arial"/>
                <w:sz w:val="18"/>
                <w:szCs w:val="18"/>
                <w:color w:val="auto"/>
              </w:rPr>
              <w:t>of the shares of</w:t>
            </w:r>
          </w:p>
        </w:tc>
        <w:tc>
          <w:tcPr>
            <w:tcW w:w="0" w:type="dxa"/>
            <w:vAlign w:val="bottom"/>
          </w:tcPr>
          <w:p>
            <w:pPr>
              <w:spacing w:after="0"/>
              <w:rPr>
                <w:sz w:val="1"/>
                <w:szCs w:val="1"/>
                <w:color w:val="auto"/>
              </w:rPr>
            </w:pPr>
          </w:p>
        </w:tc>
      </w:tr>
    </w:tbl>
    <w:p>
      <w:pPr>
        <w:ind w:right="280"/>
        <w:spacing w:after="0" w:line="310" w:lineRule="auto"/>
        <w:rPr>
          <w:sz w:val="20"/>
          <w:szCs w:val="20"/>
          <w:color w:val="auto"/>
        </w:rPr>
      </w:pPr>
      <w:r>
        <w:rPr>
          <w:rFonts w:ascii="Arial" w:cs="Arial" w:eastAsia="Arial" w:hAnsi="Arial"/>
          <w:sz w:val="16"/>
          <w:szCs w:val="16"/>
          <w:color w:val="auto"/>
        </w:rPr>
        <w:t>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Placement Agent Series B Warrant No.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72" w:lineRule="exact"/>
        <w:rPr>
          <w:sz w:val="20"/>
          <w:szCs w:val="20"/>
          <w:color w:val="auto"/>
        </w:rPr>
      </w:pPr>
    </w:p>
    <w:p>
      <w:pPr>
        <w:ind w:left="1260" w:hanging="622"/>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18"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87"/>
              </w:rPr>
              <w:t>a “Cash Exercise” with respect to ______________ Warrant Shares; and/or</w:t>
            </w: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6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6"/>
              </w:rPr>
              <w:t>a “Cashless Exercise” with respect to ___________ Warrant Shares.</w:t>
            </w: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6" w:name="page157"/>
    <w:bookmarkEnd w:id="156"/>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_____________________________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36349640v.4</w:t>
      </w:r>
    </w:p>
    <w:p>
      <w:pPr>
        <w:spacing w:after="0" w:line="13" w:lineRule="exact"/>
        <w:rPr>
          <w:sz w:val="20"/>
          <w:szCs w:val="20"/>
          <w:color w:val="auto"/>
        </w:rPr>
      </w:pPr>
    </w:p>
    <w:p>
      <w:pPr>
        <w:ind w:left="5920"/>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54240" cy="438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346710</wp:posOffset>
            </wp:positionV>
            <wp:extent cx="725424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EXHIBIT4.8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Placement Agent Series C Warrant</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Placement Agent Series C Warrant 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firstLine="633"/>
        <w:spacing w:after="0" w:line="280"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at any time or times on or after the Issuance Date but not after 11:59 p.m., New York time, on the Expiration Date (as defined below),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January 12,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This Warrant is issued by the Company as of the date hereof pursuant to the [Engagement Agreement], dated as of January __, 2015, between the Company and [Placement Agent] and Section 4(a)(2) of the Securities Act of 1933, as amended (the “Securities Act”), and Rule 506 promulgated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9" w:name="page160"/>
    <w:bookmarkEnd w:id="159"/>
    <w:p>
      <w:pPr>
        <w:ind w:left="615" w:hanging="615"/>
        <w:spacing w:after="0"/>
        <w:tabs>
          <w:tab w:leader="none" w:pos="61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firstLine="638"/>
        <w:spacing w:after="0" w:line="279" w:lineRule="auto"/>
        <w:tabs>
          <w:tab w:leader="none" w:pos="1305"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w:t>
      </w:r>
    </w:p>
    <w:p>
      <w:pPr>
        <w:spacing w:after="0" w:line="187" w:lineRule="exact"/>
        <w:rPr>
          <w:sz w:val="20"/>
          <w:szCs w:val="20"/>
          <w:color w:val="auto"/>
        </w:rPr>
      </w:pPr>
    </w:p>
    <w:p>
      <w:pPr>
        <w:ind w:left="635" w:right="140" w:hanging="2"/>
        <w:spacing w:after="0" w:line="252" w:lineRule="auto"/>
        <w:tabs>
          <w:tab w:leader="none" w:pos="9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w:t>
      </w:r>
      <w:r>
        <w:rPr>
          <w:rFonts w:ascii="Arial" w:cs="Arial" w:eastAsia="Arial" w:hAnsi="Arial"/>
          <w:sz w:val="20"/>
          <w:szCs w:val="20"/>
          <w:b w:val="1"/>
          <w:bCs w:val="1"/>
          <w:color w:val="auto"/>
        </w:rPr>
        <w:t>Exemption Opinion</w:t>
      </w:r>
      <w:r>
        <w:rPr>
          <w:rFonts w:ascii="Arial" w:cs="Arial" w:eastAsia="Arial" w:hAnsi="Arial"/>
          <w:sz w:val="20"/>
          <w:szCs w:val="20"/>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Arial" w:cs="Arial" w:eastAsia="Arial" w:hAnsi="Arial"/>
          <w:sz w:val="20"/>
          <w:szCs w:val="20"/>
          <w:b w:val="1"/>
          <w:bCs w:val="1"/>
          <w:color w:val="auto"/>
        </w:rPr>
        <w:t>DTC</w:t>
      </w:r>
      <w:r>
        <w:rPr>
          <w:rFonts w:ascii="Arial" w:cs="Arial" w:eastAsia="Arial" w:hAnsi="Arial"/>
          <w:sz w:val="20"/>
          <w:szCs w:val="20"/>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199" w:lineRule="exact"/>
        <w:rPr>
          <w:rFonts w:ascii="Arial" w:cs="Arial" w:eastAsia="Arial" w:hAnsi="Arial"/>
          <w:sz w:val="20"/>
          <w:szCs w:val="20"/>
          <w:color w:val="auto"/>
        </w:rPr>
      </w:pPr>
    </w:p>
    <w:p>
      <w:pPr>
        <w:ind w:left="635" w:right="80" w:hanging="2"/>
        <w:spacing w:after="0" w:line="239"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09" w:right="239" w:bottom="1440" w:gutter="0" w:footer="0" w:header="0"/>
        </w:sectPr>
      </w:pPr>
    </w:p>
    <w:bookmarkStart w:id="160" w:name="page161"/>
    <w:bookmarkEnd w:id="160"/>
    <w:p>
      <w:pPr>
        <w:ind w:right="40"/>
        <w:spacing w:after="0" w:line="280" w:lineRule="auto"/>
        <w:rPr>
          <w:sz w:val="20"/>
          <w:szCs w:val="20"/>
          <w:color w:val="auto"/>
        </w:rPr>
      </w:pPr>
      <w:r>
        <w:rPr>
          <w:rFonts w:ascii="Arial" w:cs="Arial" w:eastAsia="Arial" w:hAnsi="Arial"/>
          <w:sz w:val="16"/>
          <w:szCs w:val="16"/>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94" w:lineRule="exact"/>
        <w:rPr>
          <w:sz w:val="20"/>
          <w:szCs w:val="20"/>
          <w:color w:val="auto"/>
        </w:rPr>
      </w:pPr>
    </w:p>
    <w:p>
      <w:pPr>
        <w:ind w:left="1320" w:hanging="682"/>
        <w:spacing w:after="0"/>
        <w:tabs>
          <w:tab w:leader="none" w:pos="132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$1.00 subject to adjustment as provided herein.</w:t>
      </w:r>
    </w:p>
    <w:p>
      <w:pPr>
        <w:spacing w:after="0" w:line="247" w:lineRule="exact"/>
        <w:rPr>
          <w:rFonts w:ascii="Arial" w:cs="Arial" w:eastAsia="Arial" w:hAnsi="Arial"/>
          <w:sz w:val="18"/>
          <w:szCs w:val="18"/>
          <w:color w:val="auto"/>
        </w:rPr>
      </w:pPr>
    </w:p>
    <w:p>
      <w:pPr>
        <w:ind w:right="40" w:firstLine="638"/>
        <w:spacing w:after="0" w:line="294" w:lineRule="auto"/>
        <w:tabs>
          <w:tab w:leader="none" w:pos="1311" w:val="left"/>
        </w:tabs>
        <w:numPr>
          <w:ilvl w:val="1"/>
          <w:numId w:val="177"/>
        </w:numPr>
        <w:rPr>
          <w:rFonts w:ascii="Arial" w:cs="Arial" w:eastAsia="Arial" w:hAnsi="Arial"/>
          <w:sz w:val="15"/>
          <w:szCs w:val="15"/>
          <w:color w:val="auto"/>
        </w:rPr>
      </w:pPr>
      <w:r>
        <w:rPr>
          <w:rFonts w:ascii="Arial" w:cs="Arial" w:eastAsia="Arial" w:hAnsi="Arial"/>
          <w:sz w:val="15"/>
          <w:szCs w:val="15"/>
          <w:u w:val="single" w:color="auto"/>
          <w:color w:val="auto"/>
        </w:rPr>
        <w:t>Company’s Failure to Timely Deliver Securities</w:t>
      </w:r>
      <w:r>
        <w:rPr>
          <w:rFonts w:ascii="Arial" w:cs="Arial" w:eastAsia="Arial" w:hAnsi="Arial"/>
          <w:sz w:val="15"/>
          <w:szCs w:val="15"/>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(i)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w:t>
      </w:r>
    </w:p>
    <w:p>
      <w:pPr>
        <w:spacing w:after="0" w:line="7" w:lineRule="exact"/>
        <w:rPr>
          <w:rFonts w:ascii="Arial" w:cs="Arial" w:eastAsia="Arial" w:hAnsi="Arial"/>
          <w:sz w:val="15"/>
          <w:szCs w:val="15"/>
          <w:color w:val="auto"/>
        </w:rPr>
      </w:pPr>
    </w:p>
    <w:p>
      <w:pPr>
        <w:ind w:firstLine="5"/>
        <w:spacing w:after="0" w:line="245" w:lineRule="auto"/>
        <w:tabs>
          <w:tab w:leader="none" w:pos="25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61" w:name="page162"/>
    <w:bookmarkEnd w:id="161"/>
    <w:p>
      <w:pPr>
        <w:ind w:right="20"/>
        <w:spacing w:after="0" w:line="280" w:lineRule="auto"/>
        <w:rPr>
          <w:sz w:val="20"/>
          <w:szCs w:val="20"/>
          <w:color w:val="auto"/>
        </w:rPr>
      </w:pPr>
      <w:r>
        <w:rPr>
          <w:rFonts w:ascii="Arial" w:cs="Arial" w:eastAsia="Arial" w:hAnsi="Arial"/>
          <w:sz w:val="16"/>
          <w:szCs w:val="16"/>
          <w:color w:val="auto"/>
        </w:rPr>
        <w:t>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196" w:lineRule="exact"/>
        <w:rPr>
          <w:sz w:val="20"/>
          <w:szCs w:val="20"/>
          <w:color w:val="auto"/>
        </w:rPr>
      </w:pPr>
    </w:p>
    <w:p>
      <w:pPr>
        <w:ind w:right="140" w:firstLine="638"/>
        <w:spacing w:after="0" w:line="287" w:lineRule="auto"/>
        <w:tabs>
          <w:tab w:leader="none" w:pos="132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41" w:lineRule="exact"/>
        <w:rPr>
          <w:sz w:val="20"/>
          <w:szCs w:val="20"/>
          <w:color w:val="auto"/>
        </w:rPr>
      </w:pPr>
    </w:p>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2" w:name="page163"/>
    <w:bookmarkEnd w:id="162"/>
    <w:p>
      <w:pPr>
        <w:ind w:left="-20" w:right="40" w:firstLine="638"/>
        <w:spacing w:after="0" w:line="300" w:lineRule="auto"/>
        <w:tabs>
          <w:tab w:leader="none" w:pos="129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80" w:lineRule="exact"/>
        <w:rPr>
          <w:rFonts w:ascii="Arial" w:cs="Arial" w:eastAsia="Arial" w:hAnsi="Arial"/>
          <w:sz w:val="16"/>
          <w:szCs w:val="16"/>
          <w:color w:val="auto"/>
        </w:rPr>
      </w:pPr>
    </w:p>
    <w:p>
      <w:pPr>
        <w:ind w:left="-20" w:firstLine="638"/>
        <w:spacing w:after="0" w:line="277" w:lineRule="auto"/>
        <w:tabs>
          <w:tab w:leader="none" w:pos="127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163" w:name="page164"/>
    <w:bookmarkEnd w:id="163"/>
    <w:p>
      <w:pPr>
        <w:ind w:firstLine="638"/>
        <w:spacing w:after="0" w:line="277" w:lineRule="auto"/>
        <w:tabs>
          <w:tab w:leader="none" w:pos="1321"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7" w:lineRule="exact"/>
        <w:rPr>
          <w:rFonts w:ascii="Arial" w:cs="Arial" w:eastAsia="Arial" w:hAnsi="Arial"/>
          <w:sz w:val="18"/>
          <w:szCs w:val="18"/>
          <w:color w:val="auto"/>
        </w:rPr>
      </w:pPr>
    </w:p>
    <w:p>
      <w:pPr>
        <w:ind w:firstLine="638"/>
        <w:spacing w:after="0" w:line="279" w:lineRule="auto"/>
        <w:tabs>
          <w:tab w:leader="none" w:pos="1311"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4" w:name="page165"/>
    <w:bookmarkEnd w:id="164"/>
    <w:p>
      <w:pPr>
        <w:ind w:left="-5" w:right="40" w:firstLine="638"/>
        <w:spacing w:after="0" w:line="282" w:lineRule="auto"/>
        <w:tabs>
          <w:tab w:leader="none" w:pos="1315"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05"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15" w:lineRule="exact"/>
        <w:rPr>
          <w:rFonts w:ascii="Arial" w:cs="Arial" w:eastAsia="Arial" w:hAnsi="Arial"/>
          <w:sz w:val="18"/>
          <w:szCs w:val="18"/>
          <w:color w:val="auto"/>
        </w:rPr>
      </w:pPr>
    </w:p>
    <w:p>
      <w:pPr>
        <w:ind w:left="-5" w:right="220" w:firstLine="5"/>
        <w:spacing w:after="0" w:line="262" w:lineRule="auto"/>
        <w:tabs>
          <w:tab w:leader="none" w:pos="67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207" w:lineRule="exact"/>
        <w:rPr>
          <w:sz w:val="20"/>
          <w:szCs w:val="20"/>
          <w:color w:val="auto"/>
        </w:rPr>
      </w:pPr>
    </w:p>
    <w:p>
      <w:pPr>
        <w:ind w:left="-5" w:firstLine="5"/>
        <w:spacing w:after="0" w:line="279" w:lineRule="auto"/>
        <w:tabs>
          <w:tab w:leader="none" w:pos="609"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09" w:right="259" w:bottom="1440" w:gutter="0" w:footer="0" w:header="0"/>
        </w:sectPr>
      </w:pPr>
    </w:p>
    <w:bookmarkStart w:id="165" w:name="page166"/>
    <w:bookmarkEnd w:id="165"/>
    <w:p>
      <w:pPr>
        <w:ind w:left="620" w:hanging="615"/>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0" w:lineRule="auto"/>
        <w:tabs>
          <w:tab w:leader="none" w:pos="1311"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ind w:firstLine="638"/>
        <w:spacing w:after="0" w:line="278" w:lineRule="auto"/>
        <w:tabs>
          <w:tab w:leader="none" w:pos="1321"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6" w:name="page167"/>
    <w:bookmarkEnd w:id="166"/>
    <w:p>
      <w:pPr>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ind w:firstLine="638"/>
        <w:spacing w:after="0" w:line="301" w:lineRule="auto"/>
        <w:tabs>
          <w:tab w:leader="none" w:pos="1311" w:val="left"/>
        </w:tabs>
        <w:numPr>
          <w:ilvl w:val="1"/>
          <w:numId w:val="187"/>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140" w:firstLine="5"/>
        <w:spacing w:after="0" w:line="320" w:lineRule="auto"/>
        <w:tabs>
          <w:tab w:leader="none" w:pos="23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5"/>
          <w:szCs w:val="15"/>
          <w:color w:val="auto"/>
        </w:rPr>
      </w:pPr>
    </w:p>
    <w:p>
      <w:pPr>
        <w:ind w:right="100" w:firstLine="638"/>
        <w:spacing w:after="0" w:line="249" w:lineRule="auto"/>
        <w:tabs>
          <w:tab w:leader="none" w:pos="1321"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7" w:name="page168"/>
    <w:bookmarkEnd w:id="167"/>
    <w:p>
      <w:pPr>
        <w:ind w:left="620" w:hanging="615"/>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MANDATORY EXERCISE</w:t>
      </w:r>
    </w:p>
    <w:p>
      <w:pPr>
        <w:spacing w:after="0" w:line="241" w:lineRule="exact"/>
        <w:rPr>
          <w:rFonts w:ascii="Arial" w:cs="Arial" w:eastAsia="Arial" w:hAnsi="Arial"/>
          <w:sz w:val="18"/>
          <w:szCs w:val="18"/>
          <w:color w:val="auto"/>
        </w:rPr>
      </w:pPr>
    </w:p>
    <w:p>
      <w:pPr>
        <w:ind w:right="140" w:firstLine="638"/>
        <w:spacing w:after="0" w:line="280" w:lineRule="auto"/>
        <w:tabs>
          <w:tab w:leader="none" w:pos="1311"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Mandatory Exercise Right of the Company.</w:t>
      </w:r>
      <w:r>
        <w:rPr>
          <w:rFonts w:ascii="Arial" w:cs="Arial" w:eastAsia="Arial" w:hAnsi="Arial"/>
          <w:sz w:val="16"/>
          <w:szCs w:val="16"/>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(i) the last reported sale price of Common Stock on each of the twenty (20) consecutive Trading Days immediately prior to the Mandatory Exercise Notice Date exceeded $1.50 (the “</w:t>
      </w:r>
      <w:r>
        <w:rPr>
          <w:rFonts w:ascii="Arial" w:cs="Arial" w:eastAsia="Arial" w:hAnsi="Arial"/>
          <w:sz w:val="16"/>
          <w:szCs w:val="16"/>
          <w:b w:val="1"/>
          <w:bCs w:val="1"/>
          <w:color w:val="auto"/>
        </w:rPr>
        <w:t>Mandatory Notice Trading Price</w:t>
      </w:r>
      <w:r>
        <w:rPr>
          <w:rFonts w:ascii="Arial" w:cs="Arial" w:eastAsia="Arial" w:hAnsi="Arial"/>
          <w:sz w:val="16"/>
          <w:szCs w:val="16"/>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196" w:lineRule="exact"/>
        <w:rPr>
          <w:rFonts w:ascii="Arial" w:cs="Arial" w:eastAsia="Arial" w:hAnsi="Arial"/>
          <w:sz w:val="16"/>
          <w:szCs w:val="16"/>
          <w:color w:val="auto"/>
        </w:rPr>
      </w:pPr>
    </w:p>
    <w:p>
      <w:pPr>
        <w:jc w:val="both"/>
        <w:ind w:firstLine="638"/>
        <w:spacing w:after="0" w:line="285" w:lineRule="auto"/>
        <w:tabs>
          <w:tab w:leader="none" w:pos="1466"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Mandatory Exercise Procedure</w:t>
      </w:r>
      <w:r>
        <w:rPr>
          <w:rFonts w:ascii="Arial" w:cs="Arial" w:eastAsia="Arial" w:hAnsi="Arial"/>
          <w:sz w:val="16"/>
          <w:szCs w:val="16"/>
          <w:color w:val="auto"/>
        </w:rPr>
        <w:t>. In connection with any such mandatory exercise of the Warrant, the Company shall deliver an irrevocable written notice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Arial" w:cs="Arial" w:eastAsia="Arial" w:hAnsi="Arial"/>
          <w:sz w:val="16"/>
          <w:szCs w:val="16"/>
          <w:b w:val="1"/>
          <w:bCs w:val="1"/>
          <w:color w:val="auto"/>
        </w:rPr>
        <w:t>Mandatory Exercise Closing Date</w:t>
      </w:r>
      <w:r>
        <w:rPr>
          <w:rFonts w:ascii="Arial" w:cs="Arial" w:eastAsia="Arial" w:hAnsi="Arial"/>
          <w:sz w:val="16"/>
          <w:szCs w:val="16"/>
          <w:color w:val="auto"/>
        </w:rPr>
        <w:t>”). Subject to the terms and conditions of this Warrant, on any such Mandatory Exercise Closing Date, each Holder shall exercise its Warrants and acquire the underlying shares of Common Stock in accordance with the terms set forth in this Warrant and the Mandatory Exercise Notice.</w:t>
      </w:r>
    </w:p>
    <w:p>
      <w:pPr>
        <w:spacing w:after="0" w:line="192" w:lineRule="exact"/>
        <w:rPr>
          <w:rFonts w:ascii="Arial" w:cs="Arial" w:eastAsia="Arial" w:hAnsi="Arial"/>
          <w:sz w:val="16"/>
          <w:szCs w:val="16"/>
          <w:color w:val="auto"/>
        </w:rPr>
      </w:pPr>
    </w:p>
    <w:p>
      <w:pPr>
        <w:ind w:right="40" w:firstLine="5"/>
        <w:spacing w:after="0" w:line="280" w:lineRule="auto"/>
        <w:tabs>
          <w:tab w:leader="none" w:pos="61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8" w:name="page169"/>
    <w:bookmarkEnd w:id="168"/>
    <w:p>
      <w:pPr>
        <w:ind w:firstLine="5"/>
        <w:spacing w:after="0" w:line="280" w:lineRule="auto"/>
        <w:tabs>
          <w:tab w:leader="none" w:pos="615"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right="20" w:firstLine="638"/>
        <w:spacing w:after="0" w:line="287" w:lineRule="auto"/>
        <w:tabs>
          <w:tab w:leader="none" w:pos="1321"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9" w:name="page170"/>
    <w:bookmarkEnd w:id="169"/>
    <w:p>
      <w:pPr>
        <w:ind w:left="1320" w:hanging="682"/>
        <w:spacing w:after="0"/>
        <w:tabs>
          <w:tab w:leader="none" w:pos="1320"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01" w:lineRule="exact"/>
        <w:rPr>
          <w:rFonts w:ascii="Arial" w:cs="Arial" w:eastAsia="Arial" w:hAnsi="Arial"/>
          <w:sz w:val="16"/>
          <w:szCs w:val="16"/>
          <w:color w:val="auto"/>
        </w:rPr>
      </w:pPr>
    </w:p>
    <w:p>
      <w:pPr>
        <w:ind w:firstLine="5"/>
        <w:spacing w:after="0" w:line="249" w:lineRule="auto"/>
        <w:tabs>
          <w:tab w:leader="none" w:pos="70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60" w:firstLine="5"/>
        <w:spacing w:after="0" w:line="282" w:lineRule="auto"/>
        <w:tabs>
          <w:tab w:leader="none" w:pos="696"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0" w:name="page171"/>
    <w:bookmarkEnd w:id="170"/>
    <w:p>
      <w:pPr>
        <w:ind w:firstLine="5"/>
        <w:spacing w:after="0" w:line="276" w:lineRule="auto"/>
        <w:tabs>
          <w:tab w:leader="none" w:pos="70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1" w:name="page172"/>
    <w:bookmarkEnd w:id="171"/>
    <w:p>
      <w:pPr>
        <w:ind w:right="20" w:firstLine="5"/>
        <w:spacing w:after="0" w:line="278" w:lineRule="auto"/>
        <w:tabs>
          <w:tab w:leader="none" w:pos="703"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700" w:hanging="695"/>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firstLine="638"/>
        <w:spacing w:after="0" w:line="250" w:lineRule="auto"/>
        <w:tabs>
          <w:tab w:leader="none" w:pos="128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Arial" w:cs="Arial" w:eastAsia="Arial" w:hAnsi="Arial"/>
          <w:sz w:val="18"/>
          <w:szCs w:val="18"/>
          <w:b w:val="1"/>
          <w:bCs w:val="1"/>
          <w:color w:val="auto"/>
        </w:rPr>
        <w:t>Lock-Up Period</w:t>
      </w:r>
      <w:r>
        <w:rPr>
          <w:rFonts w:ascii="Arial" w:cs="Arial" w:eastAsia="Arial" w:hAnsi="Arial"/>
          <w:sz w:val="18"/>
          <w:szCs w:val="18"/>
          <w:color w:val="auto"/>
        </w:rPr>
        <w:t>”), except the transfer of any security:</w:t>
      </w:r>
    </w:p>
    <w:p>
      <w:pPr>
        <w:spacing w:after="0" w:line="218" w:lineRule="exact"/>
        <w:rPr>
          <w:rFonts w:ascii="Arial" w:cs="Arial" w:eastAsia="Arial" w:hAnsi="Arial"/>
          <w:sz w:val="18"/>
          <w:szCs w:val="18"/>
          <w:color w:val="auto"/>
        </w:rPr>
      </w:pPr>
    </w:p>
    <w:p>
      <w:pPr>
        <w:ind w:left="1900" w:hanging="629"/>
        <w:spacing w:after="0"/>
        <w:tabs>
          <w:tab w:leader="none" w:pos="19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41"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207"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 or</w:t>
      </w:r>
    </w:p>
    <w:p>
      <w:pPr>
        <w:spacing w:after="0" w:line="207" w:lineRule="exact"/>
        <w:rPr>
          <w:rFonts w:ascii="Arial" w:cs="Arial" w:eastAsia="Arial" w:hAnsi="Arial"/>
          <w:sz w:val="18"/>
          <w:szCs w:val="18"/>
          <w:color w:val="auto"/>
        </w:rPr>
      </w:pPr>
    </w:p>
    <w:p>
      <w:pPr>
        <w:jc w:val="both"/>
        <w:ind w:left="1900" w:hanging="629"/>
        <w:spacing w:after="0" w:line="253" w:lineRule="auto"/>
        <w:tabs>
          <w:tab w:leader="none" w:pos="19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2" w:name="page173"/>
    <w:bookmarkEnd w:id="172"/>
    <w:p>
      <w:pPr>
        <w:jc w:val="both"/>
        <w:ind w:firstLine="638"/>
        <w:spacing w:after="0"/>
        <w:tabs>
          <w:tab w:leader="none" w:pos="1398" w:val="left"/>
        </w:tabs>
        <w:numPr>
          <w:ilvl w:val="1"/>
          <w:numId w:val="196"/>
        </w:numPr>
        <w:rPr>
          <w:rFonts w:ascii="Arial" w:cs="Arial" w:eastAsia="Arial" w:hAnsi="Arial"/>
          <w:sz w:val="21"/>
          <w:szCs w:val="21"/>
          <w:color w:val="auto"/>
        </w:rPr>
      </w:pPr>
      <w:r>
        <w:rPr>
          <w:rFonts w:ascii="Arial" w:cs="Arial" w:eastAsia="Arial" w:hAnsi="Arial"/>
          <w:sz w:val="21"/>
          <w:szCs w:val="21"/>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08" w:lineRule="exact"/>
        <w:rPr>
          <w:rFonts w:ascii="Arial" w:cs="Arial" w:eastAsia="Arial" w:hAnsi="Arial"/>
          <w:sz w:val="21"/>
          <w:szCs w:val="21"/>
          <w:color w:val="auto"/>
        </w:rPr>
      </w:pPr>
    </w:p>
    <w:p>
      <w:pPr>
        <w:jc w:val="both"/>
        <w:ind w:firstLine="638"/>
        <w:spacing w:after="0" w:line="241" w:lineRule="auto"/>
        <w:tabs>
          <w:tab w:leader="none" w:pos="1457" w:val="left"/>
        </w:tabs>
        <w:numPr>
          <w:ilvl w:val="1"/>
          <w:numId w:val="196"/>
        </w:numPr>
        <w:rPr>
          <w:rFonts w:ascii="Arial" w:cs="Arial" w:eastAsia="Arial" w:hAnsi="Arial"/>
          <w:sz w:val="21"/>
          <w:szCs w:val="21"/>
          <w:color w:val="auto"/>
        </w:rPr>
      </w:pPr>
      <w:r>
        <w:rPr>
          <w:rFonts w:ascii="Arial" w:cs="Arial" w:eastAsia="Arial" w:hAnsi="Arial"/>
          <w:sz w:val="21"/>
          <w:szCs w:val="21"/>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15" w:lineRule="exact"/>
        <w:rPr>
          <w:rFonts w:ascii="Arial" w:cs="Arial" w:eastAsia="Arial" w:hAnsi="Arial"/>
          <w:sz w:val="21"/>
          <w:szCs w:val="21"/>
          <w:color w:val="auto"/>
        </w:rPr>
      </w:pPr>
    </w:p>
    <w:p>
      <w:pPr>
        <w:ind w:left="700" w:hanging="695"/>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sz w:val="20"/>
          <w:szCs w:val="20"/>
          <w:color w:val="auto"/>
        </w:rPr>
      </w:pPr>
    </w:p>
    <w:p>
      <w:pPr>
        <w:ind w:right="20" w:firstLine="638"/>
        <w:spacing w:after="0" w:line="280" w:lineRule="auto"/>
        <w:tabs>
          <w:tab w:leader="none" w:pos="13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73" w:name="page174"/>
    <w:bookmarkEnd w:id="173"/>
    <w:p>
      <w:pPr>
        <w:ind w:right="20" w:firstLine="638"/>
        <w:spacing w:after="0" w:line="279" w:lineRule="auto"/>
        <w:tabs>
          <w:tab w:leader="none" w:pos="132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60" w:hanging="722"/>
        <w:spacing w:after="0"/>
        <w:tabs>
          <w:tab w:leader="none" w:pos="13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74" w:name="page175"/>
    <w:bookmarkEnd w:id="174"/>
    <w:p>
      <w:pPr>
        <w:ind w:left="-20" w:right="320" w:firstLine="638"/>
        <w:spacing w:after="0" w:line="269" w:lineRule="auto"/>
        <w:tabs>
          <w:tab w:leader="none" w:pos="12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280" w:firstLine="638"/>
        <w:spacing w:after="0" w:line="218" w:lineRule="auto"/>
        <w:tabs>
          <w:tab w:leader="none" w:pos="130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Issuance Date or, if such date falls on a day other than a Business Day or on which trading does not take place on the Principal Market (a “Holiday”), the next date that is not a Holiday.</w:t>
      </w:r>
    </w:p>
    <w:p>
      <w:pPr>
        <w:spacing w:after="0" w:line="220" w:lineRule="exact"/>
        <w:rPr>
          <w:rFonts w:ascii="Arial" w:cs="Arial" w:eastAsia="Arial" w:hAnsi="Arial"/>
          <w:sz w:val="18"/>
          <w:szCs w:val="18"/>
          <w:color w:val="auto"/>
        </w:rPr>
      </w:pPr>
    </w:p>
    <w:p>
      <w:pPr>
        <w:ind w:left="-20" w:firstLine="638"/>
        <w:spacing w:after="0" w:line="278" w:lineRule="auto"/>
        <w:tabs>
          <w:tab w:leader="none" w:pos="126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4" w:right="239" w:bottom="1440" w:gutter="0" w:footer="0" w:header="0"/>
        </w:sectPr>
      </w:pPr>
    </w:p>
    <w:bookmarkStart w:id="175" w:name="page176"/>
    <w:bookmarkEnd w:id="175"/>
    <w:p>
      <w:pPr>
        <w:ind w:left="1280" w:hanging="682"/>
        <w:spacing w:after="0"/>
        <w:tabs>
          <w:tab w:leader="none" w:pos="12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left="-40" w:right="80" w:firstLine="638"/>
        <w:spacing w:after="0" w:line="257" w:lineRule="auto"/>
        <w:tabs>
          <w:tab w:leader="none" w:pos="124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left="-40" w:right="900" w:firstLine="638"/>
        <w:spacing w:after="0" w:line="269" w:lineRule="auto"/>
        <w:tabs>
          <w:tab w:leader="none" w:pos="133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280" w:hanging="682"/>
        <w:spacing w:after="0"/>
        <w:tabs>
          <w:tab w:leader="none" w:pos="12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left="-40" w:right="40" w:firstLine="638"/>
        <w:spacing w:after="0" w:line="371" w:lineRule="auto"/>
        <w:tabs>
          <w:tab w:leader="none" w:pos="1325" w:val="left"/>
        </w:tabs>
        <w:numPr>
          <w:ilvl w:val="0"/>
          <w:numId w:val="2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left="-40" w:right="60" w:firstLine="638"/>
        <w:spacing w:after="0" w:line="284" w:lineRule="auto"/>
        <w:tabs>
          <w:tab w:leader="none" w:pos="12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left="-40" w:firstLine="638"/>
        <w:spacing w:after="0" w:line="304" w:lineRule="auto"/>
        <w:tabs>
          <w:tab w:leader="none" w:pos="12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80" w:top="504" w:right="279" w:bottom="1440" w:gutter="0" w:footer="0" w:header="0"/>
        </w:sectPr>
      </w:pPr>
    </w:p>
    <w:bookmarkStart w:id="176" w:name="page177"/>
    <w:bookmarkEnd w:id="176"/>
    <w:p>
      <w:pPr>
        <w:ind w:firstLine="638"/>
        <w:spacing w:after="0" w:line="280" w:lineRule="auto"/>
        <w:tabs>
          <w:tab w:leader="none" w:pos="129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7" w:name="page178"/>
    <w:bookmarkEnd w:id="177"/>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4" w:right="699" w:bottom="1440" w:gutter="0" w:footer="0" w:header="0"/>
        </w:sectPr>
      </w:pPr>
    </w:p>
    <w:bookmarkStart w:id="178" w:name="page179"/>
    <w:bookmarkEnd w:id="178"/>
    <w:tbl>
      <w:tblPr>
        <w:tblLayout w:type="fixed"/>
        <w:tblInd w:w="640" w:type="dxa"/>
        <w:tblCellMar>
          <w:top w:w="0" w:type="dxa"/>
          <w:left w:w="0" w:type="dxa"/>
          <w:bottom w:w="0" w:type="dxa"/>
          <w:right w:w="0" w:type="dxa"/>
        </w:tblCellMar>
      </w:tblPr>
      <w:tr>
        <w:trPr>
          <w:trHeight w:val="229"/>
        </w:trPr>
        <w:tc>
          <w:tcPr>
            <w:tcW w:w="8780" w:type="dxa"/>
            <w:vAlign w:val="bottom"/>
            <w:vMerge w:val="restart"/>
          </w:tcPr>
          <w:p>
            <w:pPr>
              <w:jc w:val="center"/>
              <w:ind w:left="1292"/>
              <w:spacing w:after="0"/>
              <w:rPr>
                <w:sz w:val="20"/>
                <w:szCs w:val="20"/>
                <w:color w:val="auto"/>
              </w:rPr>
            </w:pPr>
            <w:r>
              <w:rPr>
                <w:rFonts w:ascii="Arial" w:cs="Arial" w:eastAsia="Arial" w:hAnsi="Arial"/>
                <w:sz w:val="18"/>
                <w:szCs w:val="18"/>
                <w:b w:val="1"/>
                <w:bCs w:val="1"/>
                <w:color w:val="auto"/>
                <w:w w:val="99"/>
              </w:rPr>
              <w:t>EXERCISE NOTICE</w:t>
            </w: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11"/>
        </w:trPr>
        <w:tc>
          <w:tcPr>
            <w:tcW w:w="87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TO BE EXECUTED BY THE REGISTERED HOLDER TO EXERCISE THIS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80" w:type="dxa"/>
            <w:vAlign w:val="bottom"/>
          </w:tcPr>
          <w:p>
            <w:pPr>
              <w:jc w:val="center"/>
              <w:ind w:left="1272"/>
              <w:spacing w:after="0"/>
              <w:rPr>
                <w:sz w:val="20"/>
                <w:szCs w:val="20"/>
                <w:color w:val="auto"/>
              </w:rPr>
            </w:pPr>
            <w:r>
              <w:rPr>
                <w:rFonts w:ascii="Arial" w:cs="Arial" w:eastAsia="Arial" w:hAnsi="Arial"/>
                <w:sz w:val="18"/>
                <w:szCs w:val="18"/>
                <w:b w:val="1"/>
                <w:bCs w:val="1"/>
                <w:color w:val="auto"/>
                <w:w w:val="97"/>
              </w:rPr>
              <w:t>WARRANT TO PURCHASE COMMON STOCK</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rPr>
              <w:t>TAPIMMUNE INC.</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780" w:type="dxa"/>
            <w:vAlign w:val="bottom"/>
          </w:tcPr>
          <w:p>
            <w:pPr>
              <w:spacing w:after="0"/>
              <w:rPr>
                <w:sz w:val="20"/>
                <w:szCs w:val="20"/>
                <w:color w:val="auto"/>
              </w:rPr>
            </w:pPr>
            <w:r>
              <w:rPr>
                <w:rFonts w:ascii="Arial" w:cs="Arial" w:eastAsia="Arial" w:hAnsi="Arial"/>
                <w:sz w:val="18"/>
                <w:szCs w:val="18"/>
                <w:color w:val="auto"/>
              </w:rPr>
              <w:t>The undersigned holder hereby exercises the right to purchase</w:t>
            </w:r>
          </w:p>
        </w:tc>
        <w:tc>
          <w:tcPr>
            <w:tcW w:w="2000" w:type="dxa"/>
            <w:vAlign w:val="bottom"/>
          </w:tcPr>
          <w:p>
            <w:pPr>
              <w:ind w:left="720"/>
              <w:spacing w:after="0"/>
              <w:rPr>
                <w:sz w:val="20"/>
                <w:szCs w:val="20"/>
                <w:color w:val="auto"/>
              </w:rPr>
            </w:pPr>
            <w:r>
              <w:rPr>
                <w:rFonts w:ascii="Arial" w:cs="Arial" w:eastAsia="Arial" w:hAnsi="Arial"/>
                <w:sz w:val="18"/>
                <w:szCs w:val="18"/>
                <w:color w:val="auto"/>
              </w:rPr>
              <w:t>of the shares of</w:t>
            </w:r>
          </w:p>
        </w:tc>
        <w:tc>
          <w:tcPr>
            <w:tcW w:w="0" w:type="dxa"/>
            <w:vAlign w:val="bottom"/>
          </w:tcPr>
          <w:p>
            <w:pPr>
              <w:spacing w:after="0"/>
              <w:rPr>
                <w:sz w:val="1"/>
                <w:szCs w:val="1"/>
                <w:color w:val="auto"/>
              </w:rPr>
            </w:pPr>
          </w:p>
        </w:tc>
      </w:tr>
    </w:tbl>
    <w:p>
      <w:pPr>
        <w:ind w:right="280"/>
        <w:spacing w:after="0" w:line="310" w:lineRule="auto"/>
        <w:rPr>
          <w:sz w:val="20"/>
          <w:szCs w:val="20"/>
          <w:color w:val="auto"/>
        </w:rPr>
      </w:pPr>
      <w:r>
        <w:rPr>
          <w:rFonts w:ascii="Arial" w:cs="Arial" w:eastAsia="Arial" w:hAnsi="Arial"/>
          <w:sz w:val="16"/>
          <w:szCs w:val="16"/>
          <w:color w:val="auto"/>
        </w:rPr>
        <w:t>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Placement Agent Series C Warrant No.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72" w:lineRule="exact"/>
        <w:rPr>
          <w:sz w:val="20"/>
          <w:szCs w:val="20"/>
          <w:color w:val="auto"/>
        </w:rPr>
      </w:pPr>
    </w:p>
    <w:p>
      <w:pPr>
        <w:ind w:left="1260" w:hanging="622"/>
        <w:spacing w:after="0"/>
        <w:tabs>
          <w:tab w:leader="none" w:pos="12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18"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87"/>
              </w:rPr>
              <w:t>a “Cash Exercise” with respect to ______________ Warrant Shares; and/or</w:t>
            </w: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6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6"/>
              </w:rPr>
              <w:t>a “Cashless Exercise” with respect to ___________ Warrant Shares.</w:t>
            </w: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w:t>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9" w:name="page180"/>
    <w:bookmarkEnd w:id="179"/>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272"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36349790v.4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54240" cy="438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Placement Agent Series D Warrant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Placement Agent Series D Warrant 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firstLine="633"/>
        <w:spacing w:after="0" w:line="280"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at any time or times on or after the Issuance Date but not after 11:59 p.m., New York time, on the Expiration Date (as defined below),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January 12,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This Warrant is issued by the Company as of the date hereof pursuant to the [Engagement Agreement], dated as of January __, 2015, between the Company and [Placement Agent] and Section 4(a)(2) of the Securities Act of 1933, as amended (the “Securities Act”), and Rule 506 promulgated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82" w:name="page183"/>
    <w:bookmarkEnd w:id="182"/>
    <w:p>
      <w:pPr>
        <w:ind w:left="615" w:hanging="615"/>
        <w:spacing w:after="0"/>
        <w:tabs>
          <w:tab w:leader="none" w:pos="61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firstLine="638"/>
        <w:spacing w:after="0" w:line="279" w:lineRule="auto"/>
        <w:tabs>
          <w:tab w:leader="none" w:pos="1305"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w:t>
      </w:r>
    </w:p>
    <w:p>
      <w:pPr>
        <w:spacing w:after="0" w:line="196" w:lineRule="exact"/>
        <w:rPr>
          <w:sz w:val="20"/>
          <w:szCs w:val="20"/>
          <w:color w:val="auto"/>
        </w:rPr>
      </w:pPr>
    </w:p>
    <w:p>
      <w:pPr>
        <w:ind w:left="635" w:hanging="2"/>
        <w:spacing w:after="0" w:line="283" w:lineRule="auto"/>
        <w:tabs>
          <w:tab w:leader="none" w:pos="92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w:t>
      </w:r>
      <w:r>
        <w:rPr>
          <w:rFonts w:ascii="Arial" w:cs="Arial" w:eastAsia="Arial" w:hAnsi="Arial"/>
          <w:sz w:val="16"/>
          <w:szCs w:val="16"/>
          <w:b w:val="1"/>
          <w:bCs w:val="1"/>
          <w:u w:val="single" w:color="auto"/>
          <w:color w:val="auto"/>
        </w:rPr>
        <w:t>Exemption Opinion</w:t>
      </w:r>
      <w:r>
        <w:rPr>
          <w:rFonts w:ascii="Arial" w:cs="Arial" w:eastAsia="Arial" w:hAnsi="Arial"/>
          <w:sz w:val="16"/>
          <w:szCs w:val="16"/>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195" w:lineRule="exact"/>
        <w:rPr>
          <w:rFonts w:ascii="Arial" w:cs="Arial" w:eastAsia="Arial" w:hAnsi="Arial"/>
          <w:sz w:val="16"/>
          <w:szCs w:val="16"/>
          <w:color w:val="auto"/>
        </w:rPr>
      </w:pPr>
    </w:p>
    <w:p>
      <w:pPr>
        <w:ind w:left="635" w:hanging="2"/>
        <w:spacing w:after="0" w:line="285" w:lineRule="auto"/>
        <w:tabs>
          <w:tab w:leader="none" w:pos="92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374"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10" w:right="239" w:bottom="1440" w:gutter="0" w:footer="0" w:header="0"/>
        </w:sectPr>
      </w:pPr>
    </w:p>
    <w:bookmarkStart w:id="183" w:name="page184"/>
    <w:bookmarkEnd w:id="183"/>
    <w:p>
      <w:pPr>
        <w:ind w:right="40"/>
        <w:spacing w:after="0" w:line="280" w:lineRule="auto"/>
        <w:rPr>
          <w:sz w:val="20"/>
          <w:szCs w:val="20"/>
          <w:color w:val="auto"/>
        </w:rPr>
      </w:pPr>
      <w:r>
        <w:rPr>
          <w:rFonts w:ascii="Arial" w:cs="Arial" w:eastAsia="Arial" w:hAnsi="Arial"/>
          <w:sz w:val="16"/>
          <w:szCs w:val="16"/>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90" w:lineRule="exact"/>
        <w:rPr>
          <w:sz w:val="20"/>
          <w:szCs w:val="20"/>
          <w:color w:val="auto"/>
        </w:rPr>
      </w:pPr>
    </w:p>
    <w:p>
      <w:pPr>
        <w:ind w:left="1320" w:hanging="682"/>
        <w:spacing w:after="0"/>
        <w:tabs>
          <w:tab w:leader="none" w:pos="132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47" w:lineRule="exact"/>
        <w:rPr>
          <w:rFonts w:ascii="Arial" w:cs="Arial" w:eastAsia="Arial" w:hAnsi="Arial"/>
          <w:sz w:val="18"/>
          <w:szCs w:val="18"/>
          <w:color w:val="auto"/>
        </w:rPr>
      </w:pPr>
    </w:p>
    <w:p>
      <w:pPr>
        <w:ind w:right="40" w:firstLine="638"/>
        <w:spacing w:after="0" w:line="294" w:lineRule="auto"/>
        <w:tabs>
          <w:tab w:leader="none" w:pos="1311"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Company’s Failure to Timely Deliver Securities</w:t>
      </w:r>
      <w:r>
        <w:rPr>
          <w:rFonts w:ascii="Arial" w:cs="Arial" w:eastAsia="Arial" w:hAnsi="Arial"/>
          <w:sz w:val="15"/>
          <w:szCs w:val="15"/>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without restrictive legend to the Holder if the Warrant Shares that are the subject of the Exercise Notice are (a) registered with the US Securities and Exchange Commission on an effective registration statement under the Securities Act or (b) the subject of an Exemption Opinion or</w:t>
      </w:r>
    </w:p>
    <w:p>
      <w:pPr>
        <w:spacing w:after="0" w:line="7" w:lineRule="exact"/>
        <w:rPr>
          <w:rFonts w:ascii="Arial" w:cs="Arial" w:eastAsia="Arial" w:hAnsi="Arial"/>
          <w:sz w:val="15"/>
          <w:szCs w:val="15"/>
          <w:color w:val="auto"/>
        </w:rPr>
      </w:pPr>
    </w:p>
    <w:p>
      <w:pPr>
        <w:ind w:firstLine="5"/>
        <w:spacing w:after="0" w:line="286" w:lineRule="auto"/>
        <w:tabs>
          <w:tab w:leader="none" w:pos="25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84" w:name="page185"/>
    <w:bookmarkEnd w:id="184"/>
    <w:p>
      <w:pPr>
        <w:ind w:right="20"/>
        <w:spacing w:after="0" w:line="279" w:lineRule="auto"/>
        <w:rPr>
          <w:sz w:val="20"/>
          <w:szCs w:val="20"/>
          <w:color w:val="auto"/>
        </w:rPr>
      </w:pPr>
      <w:r>
        <w:rPr>
          <w:rFonts w:ascii="Arial" w:cs="Arial" w:eastAsia="Arial" w:hAnsi="Arial"/>
          <w:sz w:val="16"/>
          <w:szCs w:val="16"/>
          <w:color w:val="auto"/>
        </w:rPr>
        <w:t>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176" w:lineRule="exact"/>
        <w:rPr>
          <w:sz w:val="20"/>
          <w:szCs w:val="20"/>
          <w:color w:val="auto"/>
        </w:rPr>
      </w:pPr>
    </w:p>
    <w:p>
      <w:pPr>
        <w:ind w:right="80" w:firstLine="638"/>
        <w:spacing w:after="0" w:line="287" w:lineRule="auto"/>
        <w:tabs>
          <w:tab w:leader="none" w:pos="1321"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41" w:lineRule="exact"/>
        <w:rPr>
          <w:sz w:val="20"/>
          <w:szCs w:val="20"/>
          <w:color w:val="auto"/>
        </w:rPr>
      </w:pPr>
    </w:p>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5" w:name="page186"/>
    <w:bookmarkEnd w:id="185"/>
    <w:p>
      <w:pPr>
        <w:ind w:left="-20" w:right="40" w:firstLine="638"/>
        <w:spacing w:after="0" w:line="300" w:lineRule="auto"/>
        <w:tabs>
          <w:tab w:leader="none" w:pos="1291"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left="-20" w:firstLine="638"/>
        <w:spacing w:after="0" w:line="277" w:lineRule="auto"/>
        <w:tabs>
          <w:tab w:leader="none" w:pos="1271"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186" w:name="page187"/>
    <w:bookmarkEnd w:id="186"/>
    <w:p>
      <w:pPr>
        <w:ind w:firstLine="638"/>
        <w:spacing w:after="0" w:line="277" w:lineRule="auto"/>
        <w:tabs>
          <w:tab w:leader="none" w:pos="1321"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7" w:lineRule="exact"/>
        <w:rPr>
          <w:rFonts w:ascii="Arial" w:cs="Arial" w:eastAsia="Arial" w:hAnsi="Arial"/>
          <w:sz w:val="18"/>
          <w:szCs w:val="18"/>
          <w:color w:val="auto"/>
        </w:rPr>
      </w:pPr>
    </w:p>
    <w:p>
      <w:pPr>
        <w:ind w:firstLine="638"/>
        <w:spacing w:after="0" w:line="279" w:lineRule="auto"/>
        <w:tabs>
          <w:tab w:leader="none" w:pos="1311"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7" w:name="page188"/>
    <w:bookmarkEnd w:id="187"/>
    <w:p>
      <w:pPr>
        <w:ind w:left="-5" w:right="40" w:firstLine="638"/>
        <w:spacing w:after="0" w:line="282" w:lineRule="auto"/>
        <w:tabs>
          <w:tab w:leader="none" w:pos="1315"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0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15" w:lineRule="exact"/>
        <w:rPr>
          <w:rFonts w:ascii="Arial" w:cs="Arial" w:eastAsia="Arial" w:hAnsi="Arial"/>
          <w:sz w:val="18"/>
          <w:szCs w:val="18"/>
          <w:color w:val="auto"/>
        </w:rPr>
      </w:pPr>
    </w:p>
    <w:p>
      <w:pPr>
        <w:ind w:left="-5" w:firstLine="5"/>
        <w:spacing w:after="0" w:line="279" w:lineRule="auto"/>
        <w:tabs>
          <w:tab w:leader="none" w:pos="609"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188" w:name="page189"/>
    <w:bookmarkEnd w:id="188"/>
    <w:p>
      <w:pPr>
        <w:ind w:left="620" w:hanging="615"/>
        <w:spacing w:after="0"/>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0" w:lineRule="auto"/>
        <w:tabs>
          <w:tab w:leader="none" w:pos="872"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ind w:firstLine="638"/>
        <w:spacing w:after="0" w:line="278" w:lineRule="auto"/>
        <w:tabs>
          <w:tab w:leader="none" w:pos="882"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9" w:name="page190"/>
    <w:bookmarkEnd w:id="189"/>
    <w:p>
      <w:pPr>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ind w:right="40" w:firstLine="638"/>
        <w:spacing w:after="0" w:line="287" w:lineRule="auto"/>
        <w:tabs>
          <w:tab w:leader="none" w:pos="91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Black Scholes Value</w:t>
      </w:r>
      <w:r>
        <w:rPr>
          <w:rFonts w:ascii="Arial" w:cs="Arial" w:eastAsia="Arial" w:hAnsi="Arial"/>
          <w:sz w:val="16"/>
          <w:szCs w:val="16"/>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91" w:lineRule="exact"/>
        <w:rPr>
          <w:rFonts w:ascii="Arial" w:cs="Arial" w:eastAsia="Arial" w:hAnsi="Arial"/>
          <w:sz w:val="16"/>
          <w:szCs w:val="16"/>
          <w:color w:val="auto"/>
        </w:rPr>
      </w:pPr>
    </w:p>
    <w:p>
      <w:pPr>
        <w:jc w:val="both"/>
        <w:ind w:firstLine="638"/>
        <w:spacing w:after="0" w:line="249" w:lineRule="auto"/>
        <w:tabs>
          <w:tab w:leader="none" w:pos="93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0" w:name="page191"/>
    <w:bookmarkEnd w:id="190"/>
    <w:p>
      <w:pPr>
        <w:ind w:right="40" w:firstLine="5"/>
        <w:spacing w:after="0" w:line="280" w:lineRule="auto"/>
        <w:tabs>
          <w:tab w:leader="none" w:pos="61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1" w:name="page192"/>
    <w:bookmarkEnd w:id="191"/>
    <w:p>
      <w:pPr>
        <w:ind w:left="620" w:hanging="615"/>
        <w:spacing w:after="0"/>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40" w:firstLine="638"/>
        <w:spacing w:after="0" w:line="287" w:lineRule="auto"/>
        <w:tabs>
          <w:tab w:leader="none" w:pos="1311"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1" w:lineRule="exact"/>
        <w:rPr>
          <w:rFonts w:ascii="Arial" w:cs="Arial" w:eastAsia="Arial" w:hAnsi="Arial"/>
          <w:sz w:val="16"/>
          <w:szCs w:val="16"/>
          <w:color w:val="auto"/>
        </w:rPr>
      </w:pPr>
    </w:p>
    <w:p>
      <w:pPr>
        <w:ind w:firstLine="638"/>
        <w:spacing w:after="0" w:line="287" w:lineRule="auto"/>
        <w:tabs>
          <w:tab w:leader="none" w:pos="1321"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40" w:firstLine="638"/>
        <w:spacing w:after="0" w:line="291" w:lineRule="auto"/>
        <w:tabs>
          <w:tab w:leader="none" w:pos="1311"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218"/>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60"/>
        <w:spacing w:after="0" w:line="283" w:lineRule="auto"/>
        <w:rPr>
          <w:rFonts w:ascii="Arial" w:cs="Arial" w:eastAsia="Arial" w:hAnsi="Arial"/>
          <w:sz w:val="15"/>
          <w:szCs w:val="15"/>
          <w:color w:val="auto"/>
        </w:rPr>
      </w:pPr>
      <w:r>
        <w:rPr>
          <w:rFonts w:ascii="Arial" w:cs="Arial" w:eastAsia="Arial" w:hAnsi="Arial"/>
          <w:sz w:val="16"/>
          <w:szCs w:val="16"/>
          <w:color w:val="auto"/>
        </w:rPr>
        <w:t>(i)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2" w:name="page193"/>
    <w:bookmarkEnd w:id="192"/>
    <w:p>
      <w:pPr>
        <w:ind w:firstLine="5"/>
        <w:spacing w:after="0" w:line="279" w:lineRule="auto"/>
        <w:tabs>
          <w:tab w:leader="none" w:pos="61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1" w:lineRule="exact"/>
        <w:rPr>
          <w:rFonts w:ascii="Arial" w:cs="Arial" w:eastAsia="Arial" w:hAnsi="Arial"/>
          <w:sz w:val="16"/>
          <w:szCs w:val="16"/>
          <w:color w:val="auto"/>
        </w:rPr>
      </w:pPr>
    </w:p>
    <w:p>
      <w:pPr>
        <w:ind w:firstLine="5"/>
        <w:spacing w:after="0" w:line="249" w:lineRule="auto"/>
        <w:tabs>
          <w:tab w:leader="none" w:pos="61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40" w:firstLine="5"/>
        <w:spacing w:after="0" w:line="282" w:lineRule="auto"/>
        <w:tabs>
          <w:tab w:leader="none" w:pos="703"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3" w:name="page194"/>
    <w:bookmarkEnd w:id="193"/>
    <w:p>
      <w:pPr>
        <w:ind w:right="20" w:firstLine="5"/>
        <w:spacing w:after="0" w:line="276" w:lineRule="auto"/>
        <w:tabs>
          <w:tab w:leader="none" w:pos="696"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0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18" w:lineRule="exact"/>
        <w:rPr>
          <w:rFonts w:ascii="Arial" w:cs="Arial" w:eastAsia="Arial" w:hAnsi="Arial"/>
          <w:sz w:val="16"/>
          <w:szCs w:val="16"/>
          <w:color w:val="auto"/>
        </w:rPr>
      </w:pPr>
    </w:p>
    <w:p>
      <w:pPr>
        <w:ind w:right="100" w:firstLine="5"/>
        <w:spacing w:after="0" w:line="291" w:lineRule="auto"/>
        <w:tabs>
          <w:tab w:leader="none" w:pos="703"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firstLine="5"/>
        <w:spacing w:after="0" w:line="278" w:lineRule="auto"/>
        <w:tabs>
          <w:tab w:leader="none" w:pos="703"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4" w:name="page195"/>
    <w:bookmarkEnd w:id="194"/>
    <w:p>
      <w:pPr>
        <w:ind w:right="20" w:firstLine="5"/>
        <w:spacing w:after="0" w:line="278" w:lineRule="auto"/>
        <w:tabs>
          <w:tab w:leader="none" w:pos="703"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4" w:lineRule="exact"/>
        <w:rPr>
          <w:rFonts w:ascii="Arial" w:cs="Arial" w:eastAsia="Arial" w:hAnsi="Arial"/>
          <w:sz w:val="16"/>
          <w:szCs w:val="16"/>
          <w:color w:val="auto"/>
        </w:rPr>
      </w:pPr>
    </w:p>
    <w:p>
      <w:pPr>
        <w:ind w:left="700" w:hanging="695"/>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firstLine="638"/>
        <w:spacing w:after="0" w:line="250" w:lineRule="auto"/>
        <w:tabs>
          <w:tab w:leader="none" w:pos="128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Arial" w:cs="Arial" w:eastAsia="Arial" w:hAnsi="Arial"/>
          <w:sz w:val="18"/>
          <w:szCs w:val="18"/>
          <w:b w:val="1"/>
          <w:bCs w:val="1"/>
          <w:color w:val="auto"/>
        </w:rPr>
        <w:t>Lock-Up Period</w:t>
      </w:r>
      <w:r>
        <w:rPr>
          <w:rFonts w:ascii="Arial" w:cs="Arial" w:eastAsia="Arial" w:hAnsi="Arial"/>
          <w:sz w:val="18"/>
          <w:szCs w:val="18"/>
          <w:color w:val="auto"/>
        </w:rPr>
        <w:t>”), except the transfer of any security:</w:t>
      </w:r>
    </w:p>
    <w:p>
      <w:pPr>
        <w:spacing w:after="0" w:line="218" w:lineRule="exact"/>
        <w:rPr>
          <w:rFonts w:ascii="Arial" w:cs="Arial" w:eastAsia="Arial" w:hAnsi="Arial"/>
          <w:sz w:val="18"/>
          <w:szCs w:val="18"/>
          <w:color w:val="auto"/>
        </w:rPr>
      </w:pPr>
    </w:p>
    <w:p>
      <w:pPr>
        <w:ind w:left="1900" w:hanging="629"/>
        <w:spacing w:after="0"/>
        <w:tabs>
          <w:tab w:leader="none" w:pos="190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41"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207"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 or</w:t>
      </w:r>
    </w:p>
    <w:p>
      <w:pPr>
        <w:spacing w:after="0" w:line="207" w:lineRule="exact"/>
        <w:rPr>
          <w:rFonts w:ascii="Arial" w:cs="Arial" w:eastAsia="Arial" w:hAnsi="Arial"/>
          <w:sz w:val="18"/>
          <w:szCs w:val="18"/>
          <w:color w:val="auto"/>
        </w:rPr>
      </w:pPr>
    </w:p>
    <w:p>
      <w:pPr>
        <w:jc w:val="both"/>
        <w:ind w:left="1900" w:hanging="629"/>
        <w:spacing w:after="0" w:line="253" w:lineRule="auto"/>
        <w:tabs>
          <w:tab w:leader="none" w:pos="190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5" w:name="page196"/>
    <w:bookmarkEnd w:id="195"/>
    <w:p>
      <w:pPr>
        <w:jc w:val="both"/>
        <w:ind w:firstLine="638"/>
        <w:spacing w:after="0" w:line="248" w:lineRule="auto"/>
        <w:tabs>
          <w:tab w:leader="none" w:pos="14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19" w:lineRule="exact"/>
        <w:rPr>
          <w:rFonts w:ascii="Arial" w:cs="Arial" w:eastAsia="Arial" w:hAnsi="Arial"/>
          <w:sz w:val="18"/>
          <w:szCs w:val="18"/>
          <w:color w:val="auto"/>
        </w:rPr>
      </w:pPr>
    </w:p>
    <w:p>
      <w:pPr>
        <w:jc w:val="both"/>
        <w:ind w:firstLine="638"/>
        <w:spacing w:after="0" w:line="287" w:lineRule="auto"/>
        <w:tabs>
          <w:tab w:leader="none" w:pos="126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191" w:lineRule="exact"/>
        <w:rPr>
          <w:rFonts w:ascii="Arial" w:cs="Arial" w:eastAsia="Arial" w:hAnsi="Arial"/>
          <w:sz w:val="16"/>
          <w:szCs w:val="16"/>
          <w:color w:val="auto"/>
        </w:rPr>
      </w:pPr>
    </w:p>
    <w:p>
      <w:pPr>
        <w:ind w:left="700" w:hanging="695"/>
        <w:spacing w:after="0"/>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sz w:val="20"/>
          <w:szCs w:val="20"/>
          <w:color w:val="auto"/>
        </w:rPr>
      </w:pPr>
    </w:p>
    <w:p>
      <w:pPr>
        <w:ind w:right="20" w:firstLine="638"/>
        <w:spacing w:after="0" w:line="280" w:lineRule="auto"/>
        <w:tabs>
          <w:tab w:leader="none" w:pos="131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6" w:name="page197"/>
    <w:bookmarkEnd w:id="196"/>
    <w:p>
      <w:pPr>
        <w:ind w:right="20" w:firstLine="638"/>
        <w:spacing w:after="0" w:line="279" w:lineRule="auto"/>
        <w:tabs>
          <w:tab w:leader="none" w:pos="132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20" w:hanging="682"/>
        <w:spacing w:after="0"/>
        <w:tabs>
          <w:tab w:leader="none" w:pos="13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7" w:name="page198"/>
    <w:bookmarkEnd w:id="197"/>
    <w:p>
      <w:pPr>
        <w:ind w:left="-20" w:right="320" w:firstLine="638"/>
        <w:spacing w:after="0" w:line="269" w:lineRule="auto"/>
        <w:tabs>
          <w:tab w:leader="none" w:pos="12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40" w:firstLine="638"/>
        <w:spacing w:after="0" w:line="257" w:lineRule="auto"/>
        <w:tabs>
          <w:tab w:leader="none" w:pos="130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date of the initial exercise of the Placement Agent Series B Warrant or, if such date falls on a day other than a Business Day or on which trading does not take place on the Principal Market (a “Holiday”), the next date that is not a Holiday.</w:t>
      </w:r>
    </w:p>
    <w:p>
      <w:pPr>
        <w:spacing w:after="0" w:line="205" w:lineRule="exact"/>
        <w:rPr>
          <w:rFonts w:ascii="Arial" w:cs="Arial" w:eastAsia="Arial" w:hAnsi="Arial"/>
          <w:sz w:val="18"/>
          <w:szCs w:val="18"/>
          <w:color w:val="auto"/>
        </w:rPr>
      </w:pPr>
    </w:p>
    <w:p>
      <w:pPr>
        <w:ind w:left="-20" w:firstLine="638"/>
        <w:spacing w:after="0" w:line="278" w:lineRule="auto"/>
        <w:tabs>
          <w:tab w:leader="none" w:pos="126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4" w:right="239" w:bottom="1440" w:gutter="0" w:footer="0" w:header="0"/>
        </w:sectPr>
      </w:pPr>
    </w:p>
    <w:bookmarkStart w:id="198" w:name="page199"/>
    <w:bookmarkEnd w:id="198"/>
    <w:p>
      <w:pPr>
        <w:ind w:right="20" w:firstLine="638"/>
        <w:spacing w:after="0" w:line="304" w:lineRule="auto"/>
        <w:tabs>
          <w:tab w:leader="none" w:pos="132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Eligibility Number</w:t>
      </w:r>
      <w:r>
        <w:rPr>
          <w:rFonts w:ascii="Arial" w:cs="Arial" w:eastAsia="Arial" w:hAnsi="Arial"/>
          <w:sz w:val="16"/>
          <w:szCs w:val="16"/>
          <w:color w:val="auto"/>
        </w:rPr>
        <w:t>” means initially zero and shall be increased upon each exercise of the Placement Agent Series B Warrant held by the Holder by such aggregate number of shares of Common Stock equal to 100% of the number of shares of Common Stock issued upon any such exercise of such Placement Agent Series B Warrant (as adjusted for stock splits, stock distributions, recapitalizations and similar events).</w:t>
      </w:r>
    </w:p>
    <w:p>
      <w:pPr>
        <w:spacing w:after="0" w:line="170" w:lineRule="exact"/>
        <w:rPr>
          <w:rFonts w:ascii="Arial" w:cs="Arial" w:eastAsia="Arial" w:hAnsi="Arial"/>
          <w:sz w:val="16"/>
          <w:szCs w:val="16"/>
          <w:color w:val="auto"/>
        </w:rPr>
      </w:pPr>
    </w:p>
    <w:p>
      <w:pPr>
        <w:ind w:left="1280" w:hanging="642"/>
        <w:spacing w:after="0"/>
        <w:tabs>
          <w:tab w:leader="none" w:pos="12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right="40" w:firstLine="638"/>
        <w:spacing w:after="0" w:line="257" w:lineRule="auto"/>
        <w:tabs>
          <w:tab w:leader="none" w:pos="137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right="20" w:firstLine="638"/>
        <w:spacing w:after="0" w:line="269" w:lineRule="auto"/>
        <w:tabs>
          <w:tab w:leader="none" w:pos="132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left="1320" w:hanging="682"/>
        <w:spacing w:after="0"/>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“Placement Agent </w:t>
      </w:r>
      <w:r>
        <w:rPr>
          <w:rFonts w:ascii="Arial" w:cs="Arial" w:eastAsia="Arial" w:hAnsi="Arial"/>
          <w:sz w:val="16"/>
          <w:szCs w:val="16"/>
          <w:b w:val="1"/>
          <w:bCs w:val="1"/>
          <w:color w:val="auto"/>
        </w:rPr>
        <w:t>Series B Warrant</w:t>
      </w:r>
      <w:r>
        <w:rPr>
          <w:rFonts w:ascii="Arial" w:cs="Arial" w:eastAsia="Arial" w:hAnsi="Arial"/>
          <w:sz w:val="16"/>
          <w:szCs w:val="16"/>
          <w:color w:val="auto"/>
        </w:rPr>
        <w:t>” means the Series B Warrant to Purchase Common Stock issued pursuant to the Securities Purchase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23" w:lineRule="exact"/>
        <w:rPr>
          <w:rFonts w:ascii="Arial" w:cs="Arial" w:eastAsia="Arial" w:hAnsi="Arial"/>
          <w:sz w:val="16"/>
          <w:szCs w:val="16"/>
          <w:color w:val="auto"/>
        </w:rPr>
      </w:pPr>
    </w:p>
    <w:p>
      <w:pPr>
        <w:ind w:left="1320" w:hanging="682"/>
        <w:spacing w:after="0"/>
        <w:tabs>
          <w:tab w:leader="none" w:pos="13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right="80" w:firstLine="638"/>
        <w:spacing w:after="0" w:line="371" w:lineRule="auto"/>
        <w:tabs>
          <w:tab w:leader="none" w:pos="132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firstLine="638"/>
        <w:spacing w:after="0" w:line="284" w:lineRule="auto"/>
        <w:tabs>
          <w:tab w:leader="none" w:pos="129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99" w:name="page200"/>
    <w:bookmarkEnd w:id="199"/>
    <w:p>
      <w:pPr>
        <w:ind w:firstLine="638"/>
        <w:spacing w:after="0" w:line="280" w:lineRule="auto"/>
        <w:tabs>
          <w:tab w:leader="none" w:pos="128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00" w:name="page201"/>
    <w:bookmarkEnd w:id="200"/>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4" w:right="699" w:bottom="1440" w:gutter="0" w:footer="0" w:header="0"/>
        </w:sectPr>
      </w:pPr>
    </w:p>
    <w:bookmarkStart w:id="201" w:name="page202"/>
    <w:bookmarkEnd w:id="201"/>
    <w:tbl>
      <w:tblPr>
        <w:tblLayout w:type="fixed"/>
        <w:tblInd w:w="640" w:type="dxa"/>
        <w:tblCellMar>
          <w:top w:w="0" w:type="dxa"/>
          <w:left w:w="0" w:type="dxa"/>
          <w:bottom w:w="0" w:type="dxa"/>
          <w:right w:w="0" w:type="dxa"/>
        </w:tblCellMar>
      </w:tblPr>
      <w:tr>
        <w:trPr>
          <w:trHeight w:val="229"/>
        </w:trPr>
        <w:tc>
          <w:tcPr>
            <w:tcW w:w="8780" w:type="dxa"/>
            <w:vAlign w:val="bottom"/>
            <w:vMerge w:val="restart"/>
          </w:tcPr>
          <w:p>
            <w:pPr>
              <w:jc w:val="center"/>
              <w:ind w:left="1292"/>
              <w:spacing w:after="0"/>
              <w:rPr>
                <w:sz w:val="20"/>
                <w:szCs w:val="20"/>
                <w:color w:val="auto"/>
              </w:rPr>
            </w:pPr>
            <w:r>
              <w:rPr>
                <w:rFonts w:ascii="Arial" w:cs="Arial" w:eastAsia="Arial" w:hAnsi="Arial"/>
                <w:sz w:val="18"/>
                <w:szCs w:val="18"/>
                <w:b w:val="1"/>
                <w:bCs w:val="1"/>
                <w:color w:val="auto"/>
                <w:w w:val="99"/>
              </w:rPr>
              <w:t>EXERCISE NOTICE</w:t>
            </w: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11"/>
        </w:trPr>
        <w:tc>
          <w:tcPr>
            <w:tcW w:w="87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TO BE EXECUTED BY THE REGISTERED HOLDER TO EXERCISE THIS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80" w:type="dxa"/>
            <w:vAlign w:val="bottom"/>
          </w:tcPr>
          <w:p>
            <w:pPr>
              <w:jc w:val="center"/>
              <w:ind w:left="1272"/>
              <w:spacing w:after="0"/>
              <w:rPr>
                <w:sz w:val="20"/>
                <w:szCs w:val="20"/>
                <w:color w:val="auto"/>
              </w:rPr>
            </w:pPr>
            <w:r>
              <w:rPr>
                <w:rFonts w:ascii="Arial" w:cs="Arial" w:eastAsia="Arial" w:hAnsi="Arial"/>
                <w:sz w:val="18"/>
                <w:szCs w:val="18"/>
                <w:b w:val="1"/>
                <w:bCs w:val="1"/>
                <w:color w:val="auto"/>
                <w:w w:val="97"/>
              </w:rPr>
              <w:t>WARRANT TO PURCHASE COMMON STOCK</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rPr>
              <w:t>TAPIMMUNE INC.</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780" w:type="dxa"/>
            <w:vAlign w:val="bottom"/>
          </w:tcPr>
          <w:p>
            <w:pPr>
              <w:spacing w:after="0"/>
              <w:rPr>
                <w:sz w:val="20"/>
                <w:szCs w:val="20"/>
                <w:color w:val="auto"/>
              </w:rPr>
            </w:pPr>
            <w:r>
              <w:rPr>
                <w:rFonts w:ascii="Arial" w:cs="Arial" w:eastAsia="Arial" w:hAnsi="Arial"/>
                <w:sz w:val="18"/>
                <w:szCs w:val="18"/>
                <w:color w:val="auto"/>
              </w:rPr>
              <w:t>The undersigned holder hereby exercises the right to purchase</w:t>
            </w:r>
          </w:p>
        </w:tc>
        <w:tc>
          <w:tcPr>
            <w:tcW w:w="2000" w:type="dxa"/>
            <w:vAlign w:val="bottom"/>
          </w:tcPr>
          <w:p>
            <w:pPr>
              <w:ind w:left="720"/>
              <w:spacing w:after="0"/>
              <w:rPr>
                <w:sz w:val="20"/>
                <w:szCs w:val="20"/>
                <w:color w:val="auto"/>
              </w:rPr>
            </w:pPr>
            <w:r>
              <w:rPr>
                <w:rFonts w:ascii="Arial" w:cs="Arial" w:eastAsia="Arial" w:hAnsi="Arial"/>
                <w:sz w:val="18"/>
                <w:szCs w:val="18"/>
                <w:color w:val="auto"/>
              </w:rPr>
              <w:t>of the shares of</w:t>
            </w:r>
          </w:p>
        </w:tc>
        <w:tc>
          <w:tcPr>
            <w:tcW w:w="0" w:type="dxa"/>
            <w:vAlign w:val="bottom"/>
          </w:tcPr>
          <w:p>
            <w:pPr>
              <w:spacing w:after="0"/>
              <w:rPr>
                <w:sz w:val="1"/>
                <w:szCs w:val="1"/>
                <w:color w:val="auto"/>
              </w:rPr>
            </w:pPr>
          </w:p>
        </w:tc>
      </w:tr>
    </w:tbl>
    <w:p>
      <w:pPr>
        <w:ind w:right="260"/>
        <w:spacing w:after="0" w:line="310" w:lineRule="auto"/>
        <w:rPr>
          <w:sz w:val="20"/>
          <w:szCs w:val="20"/>
          <w:color w:val="auto"/>
        </w:rPr>
      </w:pPr>
      <w:r>
        <w:rPr>
          <w:rFonts w:ascii="Arial" w:cs="Arial" w:eastAsia="Arial" w:hAnsi="Arial"/>
          <w:sz w:val="16"/>
          <w:szCs w:val="16"/>
          <w:color w:val="auto"/>
        </w:rPr>
        <w:t>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Placement Agent Series D Warrant No.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72" w:lineRule="exact"/>
        <w:rPr>
          <w:sz w:val="20"/>
          <w:szCs w:val="20"/>
          <w:color w:val="auto"/>
        </w:rPr>
      </w:pPr>
    </w:p>
    <w:p>
      <w:pPr>
        <w:ind w:left="1260" w:hanging="622"/>
        <w:spacing w:after="0"/>
        <w:tabs>
          <w:tab w:leader="none" w:pos="12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18"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87"/>
              </w:rPr>
              <w:t>a “Cash Exercise” with respect to ______________ Warrant Shares; and/or</w:t>
            </w: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6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6"/>
              </w:rPr>
              <w:t>a “Cashless Exercise” with respect to ___________ Warrant Shares.</w:t>
            </w: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02" w:name="page203"/>
    <w:bookmarkEnd w:id="202"/>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694"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36118318v.6</w:t>
      </w:r>
    </w:p>
    <w:p>
      <w:pPr>
        <w:spacing w:after="0" w:line="13" w:lineRule="exact"/>
        <w:rPr>
          <w:sz w:val="20"/>
          <w:szCs w:val="20"/>
          <w:color w:val="auto"/>
        </w:rPr>
      </w:pPr>
    </w:p>
    <w:p>
      <w:pPr>
        <w:ind w:left="592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54240" cy="438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346075</wp:posOffset>
            </wp:positionV>
            <wp:extent cx="725424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4.10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Placement Agent Series E Warrant</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Placement Agent Series E Warrant 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41" w:lineRule="exact"/>
        <w:rPr>
          <w:sz w:val="20"/>
          <w:szCs w:val="20"/>
          <w:color w:val="auto"/>
        </w:rPr>
      </w:pPr>
    </w:p>
    <w:p>
      <w:pPr>
        <w:ind w:firstLine="633"/>
        <w:spacing w:after="0" w:line="280" w:lineRule="auto"/>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hereby certifies that, for good and valuable consideration, the receipt and sufficiency of which are 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at any time or times on or after the Issuance Date but not after 11:59 p.m., New York time, on the Expiration Date (as defined below),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January 12,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This Warrant is issued by the Company as of the date hereof pursuant to the [Engagement Agreement], dated as of January __, 2015, between the Company and [Placement Agent] and Section 4(a)(2) of the Securities Act of 1933, as amended (the “Securities Act”), and Rule 506 promulgated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05" w:name="page206"/>
    <w:bookmarkEnd w:id="205"/>
    <w:p>
      <w:pPr>
        <w:ind w:left="615" w:hanging="615"/>
        <w:spacing w:after="0"/>
        <w:tabs>
          <w:tab w:leader="none" w:pos="61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firstLine="638"/>
        <w:spacing w:after="0" w:line="279" w:lineRule="auto"/>
        <w:tabs>
          <w:tab w:leader="none" w:pos="1305"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w:t>
      </w:r>
    </w:p>
    <w:p>
      <w:pPr>
        <w:spacing w:after="0" w:line="196" w:lineRule="exact"/>
        <w:rPr>
          <w:sz w:val="20"/>
          <w:szCs w:val="20"/>
          <w:color w:val="auto"/>
        </w:rPr>
      </w:pPr>
    </w:p>
    <w:p>
      <w:pPr>
        <w:ind w:left="635" w:hanging="2"/>
        <w:spacing w:after="0" w:line="283" w:lineRule="auto"/>
        <w:tabs>
          <w:tab w:leader="none" w:pos="92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w:t>
      </w:r>
      <w:r>
        <w:rPr>
          <w:rFonts w:ascii="Arial" w:cs="Arial" w:eastAsia="Arial" w:hAnsi="Arial"/>
          <w:sz w:val="16"/>
          <w:szCs w:val="16"/>
          <w:b w:val="1"/>
          <w:bCs w:val="1"/>
          <w:u w:val="single" w:color="auto"/>
          <w:color w:val="auto"/>
        </w:rPr>
        <w:t>Exemption Opinion</w:t>
      </w:r>
      <w:r>
        <w:rPr>
          <w:rFonts w:ascii="Arial" w:cs="Arial" w:eastAsia="Arial" w:hAnsi="Arial"/>
          <w:sz w:val="16"/>
          <w:szCs w:val="16"/>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195" w:lineRule="exact"/>
        <w:rPr>
          <w:rFonts w:ascii="Arial" w:cs="Arial" w:eastAsia="Arial" w:hAnsi="Arial"/>
          <w:sz w:val="16"/>
          <w:szCs w:val="16"/>
          <w:color w:val="auto"/>
        </w:rPr>
      </w:pPr>
    </w:p>
    <w:p>
      <w:pPr>
        <w:ind w:left="635" w:hanging="2"/>
        <w:spacing w:after="0" w:line="285" w:lineRule="auto"/>
        <w:tabs>
          <w:tab w:leader="none" w:pos="92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374"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10" w:right="239" w:bottom="1440" w:gutter="0" w:footer="0" w:header="0"/>
        </w:sectPr>
      </w:pPr>
    </w:p>
    <w:bookmarkStart w:id="206" w:name="page207"/>
    <w:bookmarkEnd w:id="206"/>
    <w:p>
      <w:pPr>
        <w:ind w:right="40"/>
        <w:spacing w:after="0" w:line="280" w:lineRule="auto"/>
        <w:rPr>
          <w:sz w:val="20"/>
          <w:szCs w:val="20"/>
          <w:color w:val="auto"/>
        </w:rPr>
      </w:pPr>
      <w:r>
        <w:rPr>
          <w:rFonts w:ascii="Arial" w:cs="Arial" w:eastAsia="Arial" w:hAnsi="Arial"/>
          <w:sz w:val="16"/>
          <w:szCs w:val="16"/>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90" w:lineRule="exact"/>
        <w:rPr>
          <w:sz w:val="20"/>
          <w:szCs w:val="20"/>
          <w:color w:val="auto"/>
        </w:rPr>
      </w:pPr>
    </w:p>
    <w:p>
      <w:pPr>
        <w:ind w:left="1320" w:hanging="682"/>
        <w:spacing w:after="0"/>
        <w:tabs>
          <w:tab w:leader="none" w:pos="132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47" w:lineRule="exact"/>
        <w:rPr>
          <w:rFonts w:ascii="Arial" w:cs="Arial" w:eastAsia="Arial" w:hAnsi="Arial"/>
          <w:sz w:val="18"/>
          <w:szCs w:val="18"/>
          <w:color w:val="auto"/>
        </w:rPr>
      </w:pPr>
    </w:p>
    <w:p>
      <w:pPr>
        <w:ind w:right="40" w:firstLine="638"/>
        <w:spacing w:after="0" w:line="294" w:lineRule="auto"/>
        <w:tabs>
          <w:tab w:leader="none" w:pos="1311" w:val="left"/>
        </w:tabs>
        <w:numPr>
          <w:ilvl w:val="1"/>
          <w:numId w:val="233"/>
        </w:numPr>
        <w:rPr>
          <w:rFonts w:ascii="Arial" w:cs="Arial" w:eastAsia="Arial" w:hAnsi="Arial"/>
          <w:sz w:val="15"/>
          <w:szCs w:val="15"/>
          <w:color w:val="auto"/>
        </w:rPr>
      </w:pPr>
      <w:r>
        <w:rPr>
          <w:rFonts w:ascii="Arial" w:cs="Arial" w:eastAsia="Arial" w:hAnsi="Arial"/>
          <w:sz w:val="15"/>
          <w:szCs w:val="15"/>
          <w:u w:val="single" w:color="auto"/>
          <w:color w:val="auto"/>
        </w:rPr>
        <w:t>Company’s Failure to Timely Deliver Securities</w:t>
      </w:r>
      <w:r>
        <w:rPr>
          <w:rFonts w:ascii="Arial" w:cs="Arial" w:eastAsia="Arial" w:hAnsi="Arial"/>
          <w:sz w:val="15"/>
          <w:szCs w:val="15"/>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w:t>
      </w:r>
    </w:p>
    <w:p>
      <w:pPr>
        <w:spacing w:after="0" w:line="7" w:lineRule="exact"/>
        <w:rPr>
          <w:rFonts w:ascii="Arial" w:cs="Arial" w:eastAsia="Arial" w:hAnsi="Arial"/>
          <w:sz w:val="15"/>
          <w:szCs w:val="15"/>
          <w:color w:val="auto"/>
        </w:rPr>
      </w:pPr>
    </w:p>
    <w:p>
      <w:pPr>
        <w:ind w:firstLine="5"/>
        <w:spacing w:after="0" w:line="286" w:lineRule="auto"/>
        <w:tabs>
          <w:tab w:leader="none" w:pos="25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07" w:name="page208"/>
    <w:bookmarkEnd w:id="207"/>
    <w:p>
      <w:pPr>
        <w:ind w:right="20"/>
        <w:spacing w:after="0" w:line="279" w:lineRule="auto"/>
        <w:rPr>
          <w:sz w:val="20"/>
          <w:szCs w:val="20"/>
          <w:color w:val="auto"/>
        </w:rPr>
      </w:pPr>
      <w:r>
        <w:rPr>
          <w:rFonts w:ascii="Arial" w:cs="Arial" w:eastAsia="Arial" w:hAnsi="Arial"/>
          <w:sz w:val="16"/>
          <w:szCs w:val="16"/>
          <w:color w:val="auto"/>
        </w:rPr>
        <w:t>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02" w:lineRule="exact"/>
        <w:rPr>
          <w:sz w:val="20"/>
          <w:szCs w:val="20"/>
          <w:color w:val="auto"/>
        </w:rPr>
      </w:pPr>
    </w:p>
    <w:p>
      <w:pPr>
        <w:ind w:right="140" w:firstLine="638"/>
        <w:spacing w:after="0" w:line="287" w:lineRule="auto"/>
        <w:tabs>
          <w:tab w:leader="none" w:pos="1321"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contained herein to the contrary (other than Section </w:t>
      </w:r>
      <w:r>
        <w:rPr>
          <w:rFonts w:ascii="Arial" w:cs="Arial" w:eastAsia="Arial" w:hAnsi="Arial"/>
          <w:sz w:val="16"/>
          <w:szCs w:val="16"/>
          <w:u w:val="single" w:color="auto"/>
          <w:color w:val="0000EE"/>
        </w:rPr>
        <w:t>1(f)</w:t>
      </w:r>
      <w:r>
        <w:rPr>
          <w:rFonts w:ascii="Arial" w:cs="Arial" w:eastAsia="Arial" w:hAnsi="Arial"/>
          <w:sz w:val="16"/>
          <w:szCs w:val="16"/>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19"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B</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the foregoing formula:</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41" w:lineRule="exact"/>
        <w:rPr>
          <w:sz w:val="20"/>
          <w:szCs w:val="20"/>
          <w:color w:val="auto"/>
        </w:rPr>
      </w:pPr>
    </w:p>
    <w:p>
      <w:pPr>
        <w:jc w:val="both"/>
        <w:ind w:left="1280"/>
        <w:spacing w:after="0" w:line="282" w:lineRule="auto"/>
        <w:rPr>
          <w:sz w:val="20"/>
          <w:szCs w:val="20"/>
          <w:color w:val="auto"/>
        </w:rPr>
      </w:pPr>
      <w:r>
        <w:rPr>
          <w:rFonts w:ascii="Arial" w:cs="Arial" w:eastAsia="Arial" w:hAnsi="Arial"/>
          <w:sz w:val="16"/>
          <w:szCs w:val="16"/>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day that is not a Trading Day or (2)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Arial" w:cs="Arial" w:eastAsia="Arial" w:hAnsi="Arial"/>
          <w:sz w:val="16"/>
          <w:szCs w:val="16"/>
          <w:u w:val="single" w:color="auto"/>
          <w:color w:val="0000EE"/>
        </w:rPr>
        <w:t>1(a)</w:t>
      </w:r>
      <w:r>
        <w:rPr>
          <w:rFonts w:ascii="Arial" w:cs="Arial" w:eastAsia="Arial" w:hAnsi="Arial"/>
          <w:sz w:val="16"/>
          <w:szCs w:val="16"/>
          <w:color w:val="auto"/>
        </w:rPr>
        <w:t xml:space="preserve"> hereof after the close of “regular trading hours” on such Trading Day.</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 the Exercise Price then in effect for the applicable Warrant Shares at the time of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8" w:name="page209"/>
    <w:bookmarkEnd w:id="208"/>
    <w:p>
      <w:pPr>
        <w:ind w:left="-20" w:right="40" w:firstLine="638"/>
        <w:spacing w:after="0" w:line="300" w:lineRule="auto"/>
        <w:tabs>
          <w:tab w:leader="none" w:pos="1291"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80" w:lineRule="exact"/>
        <w:rPr>
          <w:rFonts w:ascii="Arial" w:cs="Arial" w:eastAsia="Arial" w:hAnsi="Arial"/>
          <w:sz w:val="16"/>
          <w:szCs w:val="16"/>
          <w:color w:val="auto"/>
        </w:rPr>
      </w:pPr>
    </w:p>
    <w:p>
      <w:pPr>
        <w:ind w:left="-20" w:firstLine="638"/>
        <w:spacing w:after="0" w:line="277" w:lineRule="auto"/>
        <w:tabs>
          <w:tab w:leader="none" w:pos="1271"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09" w:name="page210"/>
    <w:bookmarkEnd w:id="209"/>
    <w:p>
      <w:pPr>
        <w:ind w:firstLine="638"/>
        <w:spacing w:after="0" w:line="277" w:lineRule="auto"/>
        <w:tabs>
          <w:tab w:leader="none" w:pos="1321"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to an amount sufficient to allow the Company to reserve the Required Reserve Amount for all the SPA Warrants then</w:t>
      </w: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3" w:lineRule="exact"/>
        <w:rPr>
          <w:rFonts w:ascii="Arial" w:cs="Arial" w:eastAsia="Arial" w:hAnsi="Arial"/>
          <w:sz w:val="16"/>
          <w:szCs w:val="16"/>
          <w:color w:val="auto"/>
        </w:rPr>
      </w:pPr>
    </w:p>
    <w:p>
      <w:pPr>
        <w:ind w:right="180" w:firstLine="5"/>
        <w:spacing w:after="0" w:line="262" w:lineRule="auto"/>
        <w:tabs>
          <w:tab w:leader="none" w:pos="61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7" w:lineRule="exact"/>
        <w:rPr>
          <w:rFonts w:ascii="Arial" w:cs="Arial" w:eastAsia="Arial" w:hAnsi="Arial"/>
          <w:sz w:val="18"/>
          <w:szCs w:val="18"/>
          <w:color w:val="auto"/>
        </w:rPr>
      </w:pPr>
    </w:p>
    <w:p>
      <w:pPr>
        <w:ind w:firstLine="638"/>
        <w:spacing w:after="0" w:line="279" w:lineRule="auto"/>
        <w:tabs>
          <w:tab w:leader="none" w:pos="1311"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0" w:name="page211"/>
    <w:bookmarkEnd w:id="210"/>
    <w:p>
      <w:pPr>
        <w:ind w:left="-5" w:right="40" w:firstLine="638"/>
        <w:spacing w:after="0" w:line="282" w:lineRule="auto"/>
        <w:tabs>
          <w:tab w:leader="none" w:pos="1315"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Arial" w:cs="Arial" w:eastAsia="Arial" w:hAnsi="Arial"/>
          <w:sz w:val="16"/>
          <w:szCs w:val="16"/>
          <w:u w:val="single" w:color="auto"/>
          <w:color w:val="0000EE"/>
        </w:rPr>
        <w:t>2(b)</w:t>
      </w:r>
      <w:r>
        <w:rPr>
          <w:rFonts w:ascii="Arial" w:cs="Arial" w:eastAsia="Arial" w:hAnsi="Arial"/>
          <w:sz w:val="16"/>
          <w:szCs w:val="16"/>
          <w:color w:val="auto"/>
        </w:rPr>
        <w:t xml:space="preserve"> will increase the Exercise Price or decrease the number of Warrant Shares as otherwise determined pursuant to this Section </w:t>
      </w:r>
      <w:r>
        <w:rPr>
          <w:rFonts w:ascii="Arial" w:cs="Arial" w:eastAsia="Arial" w:hAnsi="Arial"/>
          <w:sz w:val="16"/>
          <w:szCs w:val="16"/>
          <w:u w:val="single" w:color="auto"/>
          <w:color w:val="0000EE"/>
        </w:rPr>
        <w:t>2</w:t>
      </w:r>
      <w:r>
        <w:rPr>
          <w:rFonts w:ascii="Arial" w:cs="Arial" w:eastAsia="Arial" w:hAnsi="Arial"/>
          <w:sz w:val="16"/>
          <w:szCs w:val="16"/>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195" w:lineRule="exact"/>
        <w:rPr>
          <w:rFonts w:ascii="Arial" w:cs="Arial" w:eastAsia="Arial" w:hAnsi="Arial"/>
          <w:sz w:val="16"/>
          <w:szCs w:val="16"/>
          <w:color w:val="auto"/>
        </w:rPr>
      </w:pPr>
    </w:p>
    <w:p>
      <w:pPr>
        <w:ind w:left="-5" w:right="80" w:firstLine="638"/>
        <w:spacing w:after="0" w:line="253" w:lineRule="auto"/>
        <w:tabs>
          <w:tab w:leader="none" w:pos="1305"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15" w:lineRule="exact"/>
        <w:rPr>
          <w:rFonts w:ascii="Arial" w:cs="Arial" w:eastAsia="Arial" w:hAnsi="Arial"/>
          <w:sz w:val="18"/>
          <w:szCs w:val="18"/>
          <w:color w:val="auto"/>
        </w:rPr>
      </w:pPr>
    </w:p>
    <w:p>
      <w:pPr>
        <w:ind w:left="-5" w:firstLine="5"/>
        <w:spacing w:after="0" w:line="279" w:lineRule="auto"/>
        <w:tabs>
          <w:tab w:leader="none" w:pos="609"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384"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211" w:name="page212"/>
    <w:bookmarkEnd w:id="211"/>
    <w:p>
      <w:pPr>
        <w:ind w:left="620" w:hanging="615"/>
        <w:spacing w:after="0"/>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0" w:lineRule="auto"/>
        <w:tabs>
          <w:tab w:leader="none" w:pos="1311"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EE"/>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6"/>
          <w:szCs w:val="16"/>
          <w:color w:val="auto"/>
        </w:rPr>
      </w:pPr>
    </w:p>
    <w:p>
      <w:pPr>
        <w:ind w:firstLine="638"/>
        <w:spacing w:after="0" w:line="278" w:lineRule="auto"/>
        <w:tabs>
          <w:tab w:leader="none" w:pos="1321"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Arial" w:cs="Arial" w:eastAsia="Arial" w:hAnsi="Arial"/>
          <w:sz w:val="16"/>
          <w:szCs w:val="16"/>
          <w:u w:val="single" w:color="auto"/>
          <w:color w:val="0000EE"/>
        </w:rPr>
        <w:t>4(b)</w:t>
      </w:r>
      <w:r>
        <w:rPr>
          <w:rFonts w:ascii="Arial" w:cs="Arial" w:eastAsia="Arial" w:hAnsi="Arial"/>
          <w:sz w:val="16"/>
          <w:szCs w:val="16"/>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2" w:name="page213"/>
    <w:bookmarkEnd w:id="212"/>
    <w:p>
      <w:pPr>
        <w:spacing w:after="0" w:line="279" w:lineRule="auto"/>
        <w:rPr>
          <w:sz w:val="20"/>
          <w:szCs w:val="20"/>
          <w:color w:val="auto"/>
        </w:rPr>
      </w:pPr>
      <w:r>
        <w:rPr>
          <w:rFonts w:ascii="Arial" w:cs="Arial" w:eastAsia="Arial" w:hAnsi="Arial"/>
          <w:sz w:val="16"/>
          <w:szCs w:val="16"/>
          <w:color w:val="auto"/>
        </w:rPr>
        <w:t xml:space="preserve">of the shares of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Arial" w:cs="Arial" w:eastAsia="Arial" w:hAnsi="Arial"/>
          <w:sz w:val="16"/>
          <w:szCs w:val="16"/>
          <w:u w:val="single" w:color="auto"/>
          <w:color w:val="0000EE"/>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4(a)</w:t>
      </w:r>
      <w:r>
        <w:rPr>
          <w:rFonts w:ascii="Arial" w:cs="Arial" w:eastAsia="Arial" w:hAnsi="Arial"/>
          <w:sz w:val="16"/>
          <w:szCs w:val="16"/>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6" w:lineRule="exact"/>
        <w:rPr>
          <w:sz w:val="20"/>
          <w:szCs w:val="20"/>
          <w:color w:val="auto"/>
        </w:rPr>
      </w:pPr>
    </w:p>
    <w:p>
      <w:pPr>
        <w:ind w:firstLine="638"/>
        <w:spacing w:after="0" w:line="301" w:lineRule="auto"/>
        <w:tabs>
          <w:tab w:leader="none" w:pos="1311"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140" w:firstLine="5"/>
        <w:spacing w:after="0" w:line="320" w:lineRule="auto"/>
        <w:tabs>
          <w:tab w:leader="none" w:pos="23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68" w:lineRule="exact"/>
        <w:rPr>
          <w:rFonts w:ascii="Arial" w:cs="Arial" w:eastAsia="Arial" w:hAnsi="Arial"/>
          <w:sz w:val="15"/>
          <w:szCs w:val="15"/>
          <w:color w:val="auto"/>
        </w:rPr>
      </w:pPr>
    </w:p>
    <w:p>
      <w:pPr>
        <w:ind w:right="100" w:firstLine="638"/>
        <w:spacing w:after="0" w:line="249" w:lineRule="auto"/>
        <w:tabs>
          <w:tab w:leader="none" w:pos="1321"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3" w:name="page214"/>
    <w:bookmarkEnd w:id="213"/>
    <w:p>
      <w:pPr>
        <w:ind w:right="40" w:firstLine="5"/>
        <w:spacing w:after="0" w:line="280" w:lineRule="auto"/>
        <w:tabs>
          <w:tab w:leader="none" w:pos="61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96" w:lineRule="exact"/>
        <w:rPr>
          <w:rFonts w:ascii="Arial" w:cs="Arial" w:eastAsia="Arial" w:hAnsi="Arial"/>
          <w:sz w:val="16"/>
          <w:szCs w:val="16"/>
          <w:color w:val="auto"/>
        </w:rPr>
      </w:pPr>
    </w:p>
    <w:p>
      <w:pPr>
        <w:ind w:firstLine="5"/>
        <w:spacing w:after="0" w:line="280" w:lineRule="auto"/>
        <w:tabs>
          <w:tab w:leader="none" w:pos="61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SHAREHOLDER</w:t>
      </w:r>
      <w:r>
        <w:rPr>
          <w:rFonts w:ascii="Arial" w:cs="Arial" w:eastAsia="Arial" w:hAnsi="Arial"/>
          <w:sz w:val="16"/>
          <w:szCs w:val="16"/>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96" w:lineRule="exact"/>
        <w:rPr>
          <w:rFonts w:ascii="Arial" w:cs="Arial" w:eastAsia="Arial" w:hAnsi="Arial"/>
          <w:sz w:val="16"/>
          <w:szCs w:val="16"/>
          <w:color w:val="auto"/>
        </w:rPr>
      </w:pPr>
    </w:p>
    <w:p>
      <w:pPr>
        <w:ind w:left="620" w:hanging="615"/>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right="60" w:firstLine="638"/>
        <w:spacing w:after="0" w:line="287" w:lineRule="auto"/>
        <w:tabs>
          <w:tab w:leader="none" w:pos="1311"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4" w:name="page215"/>
    <w:bookmarkEnd w:id="214"/>
    <w:p>
      <w:pPr>
        <w:ind w:right="20" w:firstLine="638"/>
        <w:spacing w:after="0" w:line="287" w:lineRule="auto"/>
        <w:tabs>
          <w:tab w:leader="none" w:pos="1321"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91" w:lineRule="exact"/>
        <w:rPr>
          <w:rFonts w:ascii="Arial" w:cs="Arial" w:eastAsia="Arial" w:hAnsi="Arial"/>
          <w:sz w:val="16"/>
          <w:szCs w:val="16"/>
          <w:color w:val="auto"/>
        </w:rPr>
      </w:pPr>
    </w:p>
    <w:p>
      <w:pPr>
        <w:ind w:right="60" w:firstLine="638"/>
        <w:spacing w:after="0" w:line="291" w:lineRule="auto"/>
        <w:tabs>
          <w:tab w:leader="none" w:pos="1311"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8" w:lineRule="exact"/>
        <w:rPr>
          <w:rFonts w:ascii="Arial" w:cs="Arial" w:eastAsia="Arial" w:hAnsi="Arial"/>
          <w:sz w:val="16"/>
          <w:szCs w:val="16"/>
          <w:color w:val="auto"/>
        </w:rPr>
      </w:pPr>
    </w:p>
    <w:p>
      <w:pPr>
        <w:ind w:left="1320" w:hanging="682"/>
        <w:spacing w:after="0"/>
        <w:tabs>
          <w:tab w:leader="none" w:pos="1320" w:val="left"/>
        </w:tabs>
        <w:numPr>
          <w:ilvl w:val="1"/>
          <w:numId w:val="245"/>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w:t>
      </w:r>
    </w:p>
    <w:p>
      <w:pPr>
        <w:spacing w:after="0" w:line="50" w:lineRule="exact"/>
        <w:rPr>
          <w:rFonts w:ascii="Arial" w:cs="Arial" w:eastAsia="Arial" w:hAnsi="Arial"/>
          <w:sz w:val="15"/>
          <w:szCs w:val="15"/>
          <w:color w:val="auto"/>
        </w:rPr>
      </w:pPr>
    </w:p>
    <w:p>
      <w:pPr>
        <w:ind w:right="180" w:firstLine="5"/>
        <w:spacing w:after="0" w:line="283" w:lineRule="auto"/>
        <w:tabs>
          <w:tab w:leader="none" w:pos="21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6" w:lineRule="exact"/>
        <w:rPr>
          <w:sz w:val="20"/>
          <w:szCs w:val="20"/>
          <w:color w:val="auto"/>
        </w:rPr>
      </w:pPr>
    </w:p>
    <w:p>
      <w:pPr>
        <w:ind w:firstLine="5"/>
        <w:spacing w:after="0" w:line="279" w:lineRule="auto"/>
        <w:tabs>
          <w:tab w:leader="none" w:pos="615"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5" w:name="page216"/>
    <w:bookmarkEnd w:id="215"/>
    <w:p>
      <w:pPr>
        <w:ind w:firstLine="5"/>
        <w:spacing w:after="0" w:line="249" w:lineRule="auto"/>
        <w:tabs>
          <w:tab w:leader="none" w:pos="615"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8" w:lineRule="exact"/>
        <w:rPr>
          <w:rFonts w:ascii="Arial" w:cs="Arial" w:eastAsia="Arial" w:hAnsi="Arial"/>
          <w:sz w:val="18"/>
          <w:szCs w:val="18"/>
          <w:color w:val="auto"/>
        </w:rPr>
      </w:pPr>
    </w:p>
    <w:p>
      <w:pPr>
        <w:ind w:right="40" w:firstLine="5"/>
        <w:spacing w:after="0" w:line="282" w:lineRule="auto"/>
        <w:tabs>
          <w:tab w:leader="none" w:pos="703"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5" w:lineRule="exact"/>
        <w:rPr>
          <w:rFonts w:ascii="Arial" w:cs="Arial" w:eastAsia="Arial" w:hAnsi="Arial"/>
          <w:sz w:val="16"/>
          <w:szCs w:val="16"/>
          <w:color w:val="auto"/>
        </w:rPr>
      </w:pPr>
    </w:p>
    <w:p>
      <w:pPr>
        <w:ind w:right="40" w:firstLine="5"/>
        <w:spacing w:after="0" w:line="276" w:lineRule="auto"/>
        <w:tabs>
          <w:tab w:leader="none" w:pos="696"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w:t>
      </w:r>
    </w:p>
    <w:p>
      <w:pPr>
        <w:spacing w:after="0" w:line="5" w:lineRule="exact"/>
        <w:rPr>
          <w:rFonts w:ascii="Arial" w:cs="Arial" w:eastAsia="Arial" w:hAnsi="Arial"/>
          <w:sz w:val="16"/>
          <w:szCs w:val="16"/>
          <w:color w:val="auto"/>
        </w:rPr>
      </w:pPr>
    </w:p>
    <w:p>
      <w:pPr>
        <w:ind w:right="82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6" w:name="page217"/>
    <w:bookmarkEnd w:id="216"/>
    <w:p>
      <w:pPr>
        <w:ind w:left="-5" w:right="100" w:firstLine="5"/>
        <w:spacing w:after="0" w:line="291" w:lineRule="auto"/>
        <w:tabs>
          <w:tab w:leader="none" w:pos="697"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8" w:lineRule="exact"/>
        <w:rPr>
          <w:rFonts w:ascii="Arial" w:cs="Arial" w:eastAsia="Arial" w:hAnsi="Arial"/>
          <w:sz w:val="16"/>
          <w:szCs w:val="16"/>
          <w:color w:val="auto"/>
        </w:rPr>
      </w:pPr>
    </w:p>
    <w:p>
      <w:pPr>
        <w:ind w:left="-5" w:firstLine="5"/>
        <w:spacing w:after="0" w:line="278" w:lineRule="auto"/>
        <w:tabs>
          <w:tab w:leader="none" w:pos="697"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4" w:lineRule="exact"/>
        <w:rPr>
          <w:rFonts w:ascii="Arial" w:cs="Arial" w:eastAsia="Arial" w:hAnsi="Arial"/>
          <w:sz w:val="16"/>
          <w:szCs w:val="16"/>
          <w:color w:val="auto"/>
        </w:rPr>
      </w:pPr>
    </w:p>
    <w:p>
      <w:pPr>
        <w:ind w:left="-5" w:firstLine="5"/>
        <w:spacing w:after="0" w:line="282" w:lineRule="auto"/>
        <w:tabs>
          <w:tab w:leader="none" w:pos="697"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w:t>
      </w:r>
    </w:p>
    <w:p>
      <w:pPr>
        <w:spacing w:after="0" w:line="200" w:lineRule="exact"/>
        <w:rPr>
          <w:sz w:val="20"/>
          <w:szCs w:val="20"/>
          <w:color w:val="auto"/>
        </w:rPr>
      </w:pPr>
    </w:p>
    <w:p>
      <w:pPr>
        <w:spacing w:after="0" w:line="378"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217" w:name="page218"/>
    <w:bookmarkEnd w:id="217"/>
    <w:p>
      <w:pPr>
        <w:spacing w:after="0" w:line="283" w:lineRule="auto"/>
        <w:rPr>
          <w:sz w:val="20"/>
          <w:szCs w:val="20"/>
          <w:color w:val="auto"/>
        </w:rPr>
      </w:pPr>
      <w:r>
        <w:rPr>
          <w:rFonts w:ascii="Arial" w:cs="Arial" w:eastAsia="Arial" w:hAnsi="Arial"/>
          <w:sz w:val="16"/>
          <w:szCs w:val="16"/>
          <w:color w:val="auto"/>
        </w:rPr>
        <w:t>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5" w:lineRule="exact"/>
        <w:rPr>
          <w:sz w:val="20"/>
          <w:szCs w:val="20"/>
          <w:color w:val="auto"/>
        </w:rPr>
      </w:pPr>
    </w:p>
    <w:p>
      <w:pPr>
        <w:ind w:left="700" w:hanging="695"/>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firstLine="638"/>
        <w:spacing w:after="0" w:line="250" w:lineRule="auto"/>
        <w:tabs>
          <w:tab w:leader="none" w:pos="1281"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Arial" w:cs="Arial" w:eastAsia="Arial" w:hAnsi="Arial"/>
          <w:sz w:val="18"/>
          <w:szCs w:val="18"/>
          <w:b w:val="1"/>
          <w:bCs w:val="1"/>
          <w:color w:val="auto"/>
        </w:rPr>
        <w:t>Lock-Up Period</w:t>
      </w:r>
      <w:r>
        <w:rPr>
          <w:rFonts w:ascii="Arial" w:cs="Arial" w:eastAsia="Arial" w:hAnsi="Arial"/>
          <w:sz w:val="18"/>
          <w:szCs w:val="18"/>
          <w:color w:val="auto"/>
        </w:rPr>
        <w:t>”), except the transfer of any security:</w:t>
      </w:r>
    </w:p>
    <w:p>
      <w:pPr>
        <w:spacing w:after="0" w:line="218" w:lineRule="exact"/>
        <w:rPr>
          <w:rFonts w:ascii="Arial" w:cs="Arial" w:eastAsia="Arial" w:hAnsi="Arial"/>
          <w:sz w:val="18"/>
          <w:szCs w:val="18"/>
          <w:color w:val="auto"/>
        </w:rPr>
      </w:pPr>
    </w:p>
    <w:p>
      <w:pPr>
        <w:ind w:left="1900" w:hanging="629"/>
        <w:spacing w:after="0"/>
        <w:tabs>
          <w:tab w:leader="none" w:pos="190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41"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207" w:lineRule="exact"/>
        <w:rPr>
          <w:rFonts w:ascii="Arial" w:cs="Arial" w:eastAsia="Arial" w:hAnsi="Arial"/>
          <w:sz w:val="18"/>
          <w:szCs w:val="18"/>
          <w:color w:val="auto"/>
        </w:rPr>
      </w:pPr>
    </w:p>
    <w:p>
      <w:pPr>
        <w:ind w:left="1900" w:hanging="629"/>
        <w:spacing w:after="0" w:line="262" w:lineRule="auto"/>
        <w:tabs>
          <w:tab w:leader="none" w:pos="190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 or</w:t>
      </w:r>
    </w:p>
    <w:p>
      <w:pPr>
        <w:spacing w:after="0" w:line="207" w:lineRule="exact"/>
        <w:rPr>
          <w:rFonts w:ascii="Arial" w:cs="Arial" w:eastAsia="Arial" w:hAnsi="Arial"/>
          <w:sz w:val="18"/>
          <w:szCs w:val="18"/>
          <w:color w:val="auto"/>
        </w:rPr>
      </w:pPr>
    </w:p>
    <w:p>
      <w:pPr>
        <w:jc w:val="both"/>
        <w:ind w:left="1900" w:hanging="629"/>
        <w:spacing w:after="0" w:line="253" w:lineRule="auto"/>
        <w:tabs>
          <w:tab w:leader="none" w:pos="190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8" w:name="page219"/>
    <w:bookmarkEnd w:id="218"/>
    <w:p>
      <w:pPr>
        <w:jc w:val="both"/>
        <w:ind w:firstLine="638"/>
        <w:spacing w:after="0" w:line="248" w:lineRule="auto"/>
        <w:tabs>
          <w:tab w:leader="none" w:pos="14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19" w:lineRule="exact"/>
        <w:rPr>
          <w:rFonts w:ascii="Arial" w:cs="Arial" w:eastAsia="Arial" w:hAnsi="Arial"/>
          <w:sz w:val="18"/>
          <w:szCs w:val="18"/>
          <w:color w:val="auto"/>
        </w:rPr>
      </w:pPr>
    </w:p>
    <w:p>
      <w:pPr>
        <w:jc w:val="both"/>
        <w:ind w:firstLine="638"/>
        <w:spacing w:after="0" w:line="287" w:lineRule="auto"/>
        <w:tabs>
          <w:tab w:leader="none" w:pos="126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191" w:lineRule="exact"/>
        <w:rPr>
          <w:rFonts w:ascii="Arial" w:cs="Arial" w:eastAsia="Arial" w:hAnsi="Arial"/>
          <w:sz w:val="16"/>
          <w:szCs w:val="16"/>
          <w:color w:val="auto"/>
        </w:rPr>
      </w:pPr>
    </w:p>
    <w:p>
      <w:pPr>
        <w:ind w:left="700" w:hanging="695"/>
        <w:spacing w:after="0"/>
        <w:tabs>
          <w:tab w:leader="none" w:pos="7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35" w:lineRule="exact"/>
        <w:rPr>
          <w:sz w:val="20"/>
          <w:szCs w:val="20"/>
          <w:color w:val="auto"/>
        </w:rPr>
      </w:pPr>
    </w:p>
    <w:p>
      <w:pPr>
        <w:ind w:right="20" w:firstLine="638"/>
        <w:spacing w:after="0" w:line="280" w:lineRule="auto"/>
        <w:tabs>
          <w:tab w:leader="none" w:pos="131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9" w:name="page220"/>
    <w:bookmarkEnd w:id="219"/>
    <w:p>
      <w:pPr>
        <w:ind w:right="20" w:firstLine="638"/>
        <w:spacing w:after="0" w:line="279" w:lineRule="auto"/>
        <w:tabs>
          <w:tab w:leader="none" w:pos="132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Arial" w:cs="Arial" w:eastAsia="Arial" w:hAnsi="Arial"/>
          <w:sz w:val="16"/>
          <w:szCs w:val="16"/>
          <w:u w:val="single" w:color="auto"/>
          <w:color w:val="0000EE"/>
        </w:rPr>
        <w:t>(c)</w:t>
      </w:r>
      <w:r>
        <w:rPr>
          <w:rFonts w:ascii="Arial" w:cs="Arial" w:eastAsia="Arial" w:hAnsi="Arial"/>
          <w:sz w:val="16"/>
          <w:szCs w:val="16"/>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96" w:lineRule="exact"/>
        <w:rPr>
          <w:rFonts w:ascii="Arial" w:cs="Arial" w:eastAsia="Arial" w:hAnsi="Arial"/>
          <w:sz w:val="16"/>
          <w:szCs w:val="16"/>
          <w:color w:val="auto"/>
        </w:rPr>
      </w:pPr>
    </w:p>
    <w:p>
      <w:pPr>
        <w:ind w:left="1360" w:hanging="722"/>
        <w:spacing w:after="0"/>
        <w:tabs>
          <w:tab w:leader="none" w:pos="13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41" w:lineRule="exact"/>
        <w:rPr>
          <w:rFonts w:ascii="Arial" w:cs="Arial" w:eastAsia="Arial" w:hAnsi="Arial"/>
          <w:sz w:val="18"/>
          <w:szCs w:val="18"/>
          <w:color w:val="auto"/>
        </w:rPr>
      </w:pPr>
    </w:p>
    <w:p>
      <w:pPr>
        <w:ind w:right="80" w:firstLine="638"/>
        <w:spacing w:after="0" w:line="269" w:lineRule="auto"/>
        <w:tabs>
          <w:tab w:leader="none" w:pos="132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95" w:lineRule="exact"/>
        <w:rPr>
          <w:rFonts w:ascii="Arial" w:cs="Arial" w:eastAsia="Arial" w:hAnsi="Arial"/>
          <w:sz w:val="18"/>
          <w:szCs w:val="18"/>
          <w:color w:val="auto"/>
        </w:rPr>
      </w:pPr>
    </w:p>
    <w:p>
      <w:pPr>
        <w:ind w:firstLine="638"/>
        <w:spacing w:after="0" w:line="280" w:lineRule="auto"/>
        <w:tabs>
          <w:tab w:leader="none" w:pos="135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0" w:name="page221"/>
    <w:bookmarkEnd w:id="220"/>
    <w:p>
      <w:pPr>
        <w:ind w:left="-20" w:right="320" w:firstLine="638"/>
        <w:spacing w:after="0" w:line="269" w:lineRule="auto"/>
        <w:tabs>
          <w:tab w:leader="none" w:pos="1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95" w:lineRule="exact"/>
        <w:rPr>
          <w:rFonts w:ascii="Arial" w:cs="Arial" w:eastAsia="Arial" w:hAnsi="Arial"/>
          <w:sz w:val="18"/>
          <w:szCs w:val="18"/>
          <w:color w:val="auto"/>
        </w:rPr>
      </w:pPr>
    </w:p>
    <w:p>
      <w:pPr>
        <w:ind w:left="-20" w:right="220" w:firstLine="638"/>
        <w:spacing w:after="0" w:line="333" w:lineRule="auto"/>
        <w:tabs>
          <w:tab w:leader="none" w:pos="130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48" w:lineRule="exact"/>
        <w:rPr>
          <w:rFonts w:ascii="Arial" w:cs="Arial" w:eastAsia="Arial" w:hAnsi="Arial"/>
          <w:sz w:val="16"/>
          <w:szCs w:val="16"/>
          <w:color w:val="auto"/>
        </w:rPr>
      </w:pPr>
    </w:p>
    <w:p>
      <w:pPr>
        <w:ind w:left="-20" w:right="40" w:firstLine="638"/>
        <w:spacing w:after="0" w:line="269" w:lineRule="auto"/>
        <w:tabs>
          <w:tab w:leader="none" w:pos="13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95" w:lineRule="exact"/>
        <w:rPr>
          <w:rFonts w:ascii="Arial" w:cs="Arial" w:eastAsia="Arial" w:hAnsi="Arial"/>
          <w:sz w:val="18"/>
          <w:szCs w:val="18"/>
          <w:color w:val="auto"/>
        </w:rPr>
      </w:pPr>
    </w:p>
    <w:p>
      <w:pPr>
        <w:ind w:left="-20" w:right="80" w:firstLine="638"/>
        <w:spacing w:after="0" w:line="257" w:lineRule="auto"/>
        <w:tabs>
          <w:tab w:leader="none" w:pos="130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date of the initial exercise of the Placement Agent Series C Warrant or, if such date falls on a day other than a Business Day or on which trading does not take place on the Principal Market (a “Holiday”), the next date that is not a Holiday.</w:t>
      </w:r>
    </w:p>
    <w:p>
      <w:pPr>
        <w:spacing w:after="0" w:line="205" w:lineRule="exact"/>
        <w:rPr>
          <w:rFonts w:ascii="Arial" w:cs="Arial" w:eastAsia="Arial" w:hAnsi="Arial"/>
          <w:sz w:val="18"/>
          <w:szCs w:val="18"/>
          <w:color w:val="auto"/>
        </w:rPr>
      </w:pPr>
    </w:p>
    <w:p>
      <w:pPr>
        <w:ind w:left="-20" w:firstLine="638"/>
        <w:spacing w:after="0" w:line="278" w:lineRule="auto"/>
        <w:tabs>
          <w:tab w:leader="none" w:pos="126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 (2) 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221" w:name="page222"/>
    <w:bookmarkEnd w:id="221"/>
    <w:p>
      <w:pPr>
        <w:ind w:right="20" w:firstLine="638"/>
        <w:spacing w:after="0" w:line="304" w:lineRule="auto"/>
        <w:tabs>
          <w:tab w:leader="none" w:pos="132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Eligibility Number</w:t>
      </w:r>
      <w:r>
        <w:rPr>
          <w:rFonts w:ascii="Arial" w:cs="Arial" w:eastAsia="Arial" w:hAnsi="Arial"/>
          <w:sz w:val="16"/>
          <w:szCs w:val="16"/>
          <w:color w:val="auto"/>
        </w:rPr>
        <w:t>” means initially zero and shall be increased upon each exercise of the Placement Agent Series C Warrant held by the Holder by such aggregate number of shares of Common Stock equal to 100% of the number of shares of Common Stock issued upon any such exercise of such Placement Agent Series C Warrant (as adjusted for stock splits, stock distributions, recapitalizations and similar events).</w:t>
      </w:r>
    </w:p>
    <w:p>
      <w:pPr>
        <w:spacing w:after="0" w:line="170" w:lineRule="exact"/>
        <w:rPr>
          <w:rFonts w:ascii="Arial" w:cs="Arial" w:eastAsia="Arial" w:hAnsi="Arial"/>
          <w:sz w:val="16"/>
          <w:szCs w:val="16"/>
          <w:color w:val="auto"/>
        </w:rPr>
      </w:pPr>
    </w:p>
    <w:p>
      <w:pPr>
        <w:ind w:left="1280" w:hanging="642"/>
        <w:spacing w:after="0"/>
        <w:tabs>
          <w:tab w:leader="none" w:pos="12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64" w:lineRule="exact"/>
        <w:rPr>
          <w:rFonts w:ascii="Arial" w:cs="Arial" w:eastAsia="Arial" w:hAnsi="Arial"/>
          <w:sz w:val="16"/>
          <w:szCs w:val="16"/>
          <w:color w:val="auto"/>
        </w:rPr>
      </w:pPr>
    </w:p>
    <w:p>
      <w:pPr>
        <w:ind w:right="40" w:firstLine="638"/>
        <w:spacing w:after="0" w:line="257" w:lineRule="auto"/>
        <w:tabs>
          <w:tab w:leader="none" w:pos="137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5" w:lineRule="exact"/>
        <w:rPr>
          <w:rFonts w:ascii="Arial" w:cs="Arial" w:eastAsia="Arial" w:hAnsi="Arial"/>
          <w:sz w:val="18"/>
          <w:szCs w:val="18"/>
          <w:color w:val="auto"/>
        </w:rPr>
      </w:pPr>
    </w:p>
    <w:p>
      <w:pPr>
        <w:ind w:right="20" w:firstLine="638"/>
        <w:spacing w:after="0" w:line="269" w:lineRule="auto"/>
        <w:tabs>
          <w:tab w:leader="none" w:pos="132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95" w:lineRule="exact"/>
        <w:rPr>
          <w:rFonts w:ascii="Arial" w:cs="Arial" w:eastAsia="Arial" w:hAnsi="Arial"/>
          <w:sz w:val="18"/>
          <w:szCs w:val="18"/>
          <w:color w:val="auto"/>
        </w:rPr>
      </w:pPr>
    </w:p>
    <w:p>
      <w:pPr>
        <w:ind w:right="580" w:firstLine="638"/>
        <w:spacing w:after="0" w:line="269" w:lineRule="auto"/>
        <w:tabs>
          <w:tab w:leader="none" w:pos="132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“Placement Agent Series </w:t>
      </w:r>
      <w:r>
        <w:rPr>
          <w:rFonts w:ascii="Arial" w:cs="Arial" w:eastAsia="Arial" w:hAnsi="Arial"/>
          <w:sz w:val="18"/>
          <w:szCs w:val="18"/>
          <w:b w:val="1"/>
          <w:bCs w:val="1"/>
          <w:color w:val="auto"/>
        </w:rPr>
        <w:t>C Warrant</w:t>
      </w:r>
      <w:r>
        <w:rPr>
          <w:rFonts w:ascii="Arial" w:cs="Arial" w:eastAsia="Arial" w:hAnsi="Arial"/>
          <w:sz w:val="18"/>
          <w:szCs w:val="18"/>
          <w:color w:val="auto"/>
        </w:rPr>
        <w:t>” means the Placement Agent Series C Warrant to Purchase Common Stock issued pursuant to the Securities Purchase Agreement.</w:t>
      </w:r>
    </w:p>
    <w:p>
      <w:pPr>
        <w:spacing w:after="0" w:line="195" w:lineRule="exact"/>
        <w:rPr>
          <w:rFonts w:ascii="Arial" w:cs="Arial" w:eastAsia="Arial" w:hAnsi="Arial"/>
          <w:sz w:val="18"/>
          <w:szCs w:val="18"/>
          <w:color w:val="auto"/>
        </w:rPr>
      </w:pPr>
    </w:p>
    <w:p>
      <w:pPr>
        <w:ind w:left="1320" w:hanging="682"/>
        <w:spacing w:after="0"/>
        <w:tabs>
          <w:tab w:leader="none" w:pos="13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41" w:lineRule="exact"/>
        <w:rPr>
          <w:rFonts w:ascii="Arial" w:cs="Arial" w:eastAsia="Arial" w:hAnsi="Arial"/>
          <w:sz w:val="18"/>
          <w:szCs w:val="18"/>
          <w:color w:val="auto"/>
        </w:rPr>
      </w:pPr>
    </w:p>
    <w:p>
      <w:pPr>
        <w:ind w:right="80" w:firstLine="638"/>
        <w:spacing w:after="0" w:line="371" w:lineRule="auto"/>
        <w:tabs>
          <w:tab w:leader="none" w:pos="1321" w:val="left"/>
        </w:tabs>
        <w:numPr>
          <w:ilvl w:val="0"/>
          <w:numId w:val="2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25" w:lineRule="exact"/>
        <w:rPr>
          <w:rFonts w:ascii="Arial" w:cs="Arial" w:eastAsia="Arial" w:hAnsi="Arial"/>
          <w:sz w:val="15"/>
          <w:szCs w:val="15"/>
          <w:color w:val="auto"/>
        </w:rPr>
      </w:pPr>
    </w:p>
    <w:p>
      <w:pPr>
        <w:ind w:firstLine="638"/>
        <w:spacing w:after="0" w:line="284" w:lineRule="auto"/>
        <w:tabs>
          <w:tab w:leader="none" w:pos="129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9" w:lineRule="exact"/>
        <w:rPr>
          <w:rFonts w:ascii="Arial" w:cs="Arial" w:eastAsia="Arial" w:hAnsi="Arial"/>
          <w:sz w:val="16"/>
          <w:szCs w:val="16"/>
          <w:color w:val="auto"/>
        </w:rPr>
      </w:pPr>
    </w:p>
    <w:p>
      <w:pPr>
        <w:ind w:right="40" w:firstLine="638"/>
        <w:spacing w:after="0" w:line="304" w:lineRule="auto"/>
        <w:tabs>
          <w:tab w:leader="none" w:pos="130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2" w:name="page223"/>
    <w:bookmarkEnd w:id="222"/>
    <w:p>
      <w:pPr>
        <w:ind w:firstLine="638"/>
        <w:spacing w:after="0" w:line="280" w:lineRule="auto"/>
        <w:tabs>
          <w:tab w:leader="none" w:pos="128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Arial" w:cs="Arial" w:eastAsia="Arial" w:hAnsi="Arial"/>
          <w:sz w:val="16"/>
          <w:szCs w:val="16"/>
          <w:u w:val="single" w:color="auto"/>
          <w:color w:val="0000EE"/>
        </w:rPr>
        <w:t>13</w:t>
      </w:r>
      <w:r>
        <w:rPr>
          <w:rFonts w:ascii="Arial" w:cs="Arial" w:eastAsia="Arial" w:hAnsi="Arial"/>
          <w:sz w:val="16"/>
          <w:szCs w:val="16"/>
          <w:color w:val="auto"/>
        </w:rPr>
        <w:t>. All such determinations shall be appropriately adjusted for any stock dividend, stock split, stock combination or other similar transaction during such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3" w:name="page224"/>
    <w:bookmarkEnd w:id="223"/>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Purchase Common Stock to be duly executed as of the Issuance Date set out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TAPIMMUNE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960"/>
          </w:cols>
          <w:pgMar w:left="240" w:top="504" w:right="699" w:bottom="1440" w:gutter="0" w:footer="0" w:header="0"/>
        </w:sectPr>
      </w:pPr>
    </w:p>
    <w:bookmarkStart w:id="224" w:name="page225"/>
    <w:bookmarkEnd w:id="224"/>
    <w:tbl>
      <w:tblPr>
        <w:tblLayout w:type="fixed"/>
        <w:tblInd w:w="640" w:type="dxa"/>
        <w:tblCellMar>
          <w:top w:w="0" w:type="dxa"/>
          <w:left w:w="0" w:type="dxa"/>
          <w:bottom w:w="0" w:type="dxa"/>
          <w:right w:w="0" w:type="dxa"/>
        </w:tblCellMar>
      </w:tblPr>
      <w:tr>
        <w:trPr>
          <w:trHeight w:val="229"/>
        </w:trPr>
        <w:tc>
          <w:tcPr>
            <w:tcW w:w="8780" w:type="dxa"/>
            <w:vAlign w:val="bottom"/>
            <w:vMerge w:val="restart"/>
          </w:tcPr>
          <w:p>
            <w:pPr>
              <w:jc w:val="center"/>
              <w:ind w:left="1292"/>
              <w:spacing w:after="0"/>
              <w:rPr>
                <w:sz w:val="20"/>
                <w:szCs w:val="20"/>
                <w:color w:val="auto"/>
              </w:rPr>
            </w:pPr>
            <w:r>
              <w:rPr>
                <w:rFonts w:ascii="Arial" w:cs="Arial" w:eastAsia="Arial" w:hAnsi="Arial"/>
                <w:sz w:val="18"/>
                <w:szCs w:val="18"/>
                <w:b w:val="1"/>
                <w:bCs w:val="1"/>
                <w:color w:val="auto"/>
                <w:w w:val="99"/>
              </w:rPr>
              <w:t>EXERCISE NOTICE</w:t>
            </w:r>
          </w:p>
        </w:tc>
        <w:tc>
          <w:tcPr>
            <w:tcW w:w="2000" w:type="dxa"/>
            <w:vAlign w:val="bottom"/>
          </w:tcPr>
          <w:p>
            <w:pPr>
              <w:ind w:left="108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211"/>
        </w:trPr>
        <w:tc>
          <w:tcPr>
            <w:tcW w:w="87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TO BE EXECUTED BY THE REGISTERED HOLDER TO EXERCISE THIS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80" w:type="dxa"/>
            <w:vAlign w:val="bottom"/>
          </w:tcPr>
          <w:p>
            <w:pPr>
              <w:jc w:val="center"/>
              <w:ind w:left="1272"/>
              <w:spacing w:after="0"/>
              <w:rPr>
                <w:sz w:val="20"/>
                <w:szCs w:val="20"/>
                <w:color w:val="auto"/>
              </w:rPr>
            </w:pPr>
            <w:r>
              <w:rPr>
                <w:rFonts w:ascii="Arial" w:cs="Arial" w:eastAsia="Arial" w:hAnsi="Arial"/>
                <w:sz w:val="18"/>
                <w:szCs w:val="18"/>
                <w:b w:val="1"/>
                <w:bCs w:val="1"/>
                <w:color w:val="auto"/>
                <w:w w:val="97"/>
              </w:rPr>
              <w:t>WARRANT TO PURCHASE COMMON STOCK</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780" w:type="dxa"/>
            <w:vAlign w:val="bottom"/>
          </w:tcPr>
          <w:p>
            <w:pPr>
              <w:jc w:val="center"/>
              <w:ind w:left="1292"/>
              <w:spacing w:after="0"/>
              <w:rPr>
                <w:sz w:val="20"/>
                <w:szCs w:val="20"/>
                <w:color w:val="auto"/>
              </w:rPr>
            </w:pPr>
            <w:r>
              <w:rPr>
                <w:rFonts w:ascii="Arial" w:cs="Arial" w:eastAsia="Arial" w:hAnsi="Arial"/>
                <w:sz w:val="18"/>
                <w:szCs w:val="18"/>
                <w:b w:val="1"/>
                <w:bCs w:val="1"/>
                <w:color w:val="auto"/>
              </w:rPr>
              <w:t>TAPIMMUNE INC.</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780" w:type="dxa"/>
            <w:vAlign w:val="bottom"/>
          </w:tcPr>
          <w:p>
            <w:pPr>
              <w:spacing w:after="0"/>
              <w:rPr>
                <w:sz w:val="20"/>
                <w:szCs w:val="20"/>
                <w:color w:val="auto"/>
              </w:rPr>
            </w:pPr>
            <w:r>
              <w:rPr>
                <w:rFonts w:ascii="Arial" w:cs="Arial" w:eastAsia="Arial" w:hAnsi="Arial"/>
                <w:sz w:val="18"/>
                <w:szCs w:val="18"/>
                <w:color w:val="auto"/>
              </w:rPr>
              <w:t>The undersigned holder hereby exercises the right to purchase</w:t>
            </w:r>
          </w:p>
        </w:tc>
        <w:tc>
          <w:tcPr>
            <w:tcW w:w="2000" w:type="dxa"/>
            <w:vAlign w:val="bottom"/>
          </w:tcPr>
          <w:p>
            <w:pPr>
              <w:ind w:left="720"/>
              <w:spacing w:after="0"/>
              <w:rPr>
                <w:sz w:val="20"/>
                <w:szCs w:val="20"/>
                <w:color w:val="auto"/>
              </w:rPr>
            </w:pPr>
            <w:r>
              <w:rPr>
                <w:rFonts w:ascii="Arial" w:cs="Arial" w:eastAsia="Arial" w:hAnsi="Arial"/>
                <w:sz w:val="18"/>
                <w:szCs w:val="18"/>
                <w:color w:val="auto"/>
              </w:rPr>
              <w:t>of the shares of</w:t>
            </w:r>
          </w:p>
        </w:tc>
        <w:tc>
          <w:tcPr>
            <w:tcW w:w="0" w:type="dxa"/>
            <w:vAlign w:val="bottom"/>
          </w:tcPr>
          <w:p>
            <w:pPr>
              <w:spacing w:after="0"/>
              <w:rPr>
                <w:sz w:val="1"/>
                <w:szCs w:val="1"/>
                <w:color w:val="auto"/>
              </w:rPr>
            </w:pPr>
          </w:p>
        </w:tc>
      </w:tr>
    </w:tbl>
    <w:p>
      <w:pPr>
        <w:ind w:right="280"/>
        <w:spacing w:after="0" w:line="310" w:lineRule="auto"/>
        <w:rPr>
          <w:sz w:val="20"/>
          <w:szCs w:val="20"/>
          <w:color w:val="auto"/>
        </w:rPr>
      </w:pPr>
      <w:r>
        <w:rPr>
          <w:rFonts w:ascii="Arial" w:cs="Arial" w:eastAsia="Arial" w:hAnsi="Arial"/>
          <w:sz w:val="16"/>
          <w:szCs w:val="16"/>
          <w:color w:val="auto"/>
        </w:rPr>
        <w:t>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Placement Agent Series E Warrant No.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72" w:lineRule="exact"/>
        <w:rPr>
          <w:sz w:val="20"/>
          <w:szCs w:val="20"/>
          <w:color w:val="auto"/>
        </w:rPr>
      </w:pPr>
    </w:p>
    <w:p>
      <w:pPr>
        <w:ind w:left="1260" w:hanging="622"/>
        <w:spacing w:after="0"/>
        <w:tabs>
          <w:tab w:leader="none" w:pos="12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18"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87"/>
              </w:rPr>
              <w:t>a “Cash Exercise” with respect to ______________ Warrant Shares; and/or</w:t>
            </w: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67"/>
        </w:trPr>
        <w:tc>
          <w:tcPr>
            <w:tcW w:w="1760" w:type="dxa"/>
            <w:vAlign w:val="bottom"/>
          </w:tcPr>
          <w:p>
            <w:pPr>
              <w:jc w:val="right"/>
              <w:ind w:right="12"/>
              <w:spacing w:after="0"/>
              <w:rPr>
                <w:sz w:val="20"/>
                <w:szCs w:val="20"/>
                <w:color w:val="auto"/>
              </w:rPr>
            </w:pPr>
            <w:r>
              <w:rPr>
                <w:rFonts w:ascii="Arial" w:cs="Arial" w:eastAsia="Arial" w:hAnsi="Arial"/>
                <w:sz w:val="18"/>
                <w:szCs w:val="18"/>
                <w:color w:val="auto"/>
                <w:w w:val="86"/>
              </w:rPr>
              <w:t>___________________</w:t>
            </w:r>
          </w:p>
        </w:tc>
        <w:tc>
          <w:tcPr>
            <w:tcW w:w="5380" w:type="dxa"/>
            <w:vAlign w:val="bottom"/>
            <w:gridSpan w:val="3"/>
          </w:tcPr>
          <w:p>
            <w:pPr>
              <w:ind w:left="80"/>
              <w:spacing w:after="0"/>
              <w:rPr>
                <w:sz w:val="20"/>
                <w:szCs w:val="20"/>
                <w:color w:val="auto"/>
              </w:rPr>
            </w:pPr>
            <w:r>
              <w:rPr>
                <w:rFonts w:ascii="Arial" w:cs="Arial" w:eastAsia="Arial" w:hAnsi="Arial"/>
                <w:sz w:val="18"/>
                <w:szCs w:val="18"/>
                <w:color w:val="auto"/>
                <w:w w:val="96"/>
              </w:rPr>
              <w:t>a “Cashless Exercise” with respect to ___________ Warrant Shares.</w:t>
            </w:r>
          </w:p>
        </w:tc>
      </w:tr>
    </w:tbl>
    <w:p>
      <w:pPr>
        <w:spacing w:after="0" w:line="226" w:lineRule="exact"/>
        <w:rPr>
          <w:sz w:val="20"/>
          <w:szCs w:val="20"/>
          <w:color w:val="auto"/>
        </w:rPr>
      </w:pPr>
    </w:p>
    <w:p>
      <w:pPr>
        <w:ind w:right="40" w:firstLine="633"/>
        <w:spacing w:after="0" w:line="253"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16" w:lineRule="exact"/>
        <w:rPr>
          <w:sz w:val="20"/>
          <w:szCs w:val="20"/>
          <w:color w:val="auto"/>
        </w:rPr>
      </w:pPr>
    </w:p>
    <w:p>
      <w:pPr>
        <w:ind w:right="500" w:firstLine="638"/>
        <w:spacing w:after="0" w:line="325" w:lineRule="auto"/>
        <w:tabs>
          <w:tab w:leader="none" w:pos="1248"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60" w:lineRule="exact"/>
        <w:rPr>
          <w:rFonts w:ascii="Arial" w:cs="Arial" w:eastAsia="Arial" w:hAnsi="Arial"/>
          <w:sz w:val="16"/>
          <w:szCs w:val="16"/>
          <w:color w:val="auto"/>
        </w:rPr>
      </w:pPr>
    </w:p>
    <w:p>
      <w:pPr>
        <w:ind w:right="220" w:firstLine="638"/>
        <w:spacing w:after="0" w:line="253" w:lineRule="auto"/>
        <w:tabs>
          <w:tab w:leader="none" w:pos="124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and Net Number of shares of Common Stock</w:t>
      </w:r>
      <w:r>
        <w:rPr>
          <w:rFonts w:ascii="Arial" w:cs="Arial" w:eastAsia="Arial" w:hAnsi="Arial"/>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__________________________</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__________________________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5" w:name="page226"/>
    <w:bookmarkEnd w:id="225"/>
    <w:p>
      <w:pPr>
        <w:ind w:left="640"/>
        <w:spacing w:after="0"/>
        <w:rPr>
          <w:sz w:val="20"/>
          <w:szCs w:val="20"/>
          <w:color w:val="auto"/>
        </w:rPr>
      </w:pPr>
      <w:r>
        <w:rPr>
          <w:rFonts w:ascii="Arial" w:cs="Arial" w:eastAsia="Arial" w:hAnsi="Arial"/>
          <w:sz w:val="18"/>
          <w:szCs w:val="18"/>
          <w:color w:val="auto"/>
        </w:rPr>
        <w:t>Name of Registered Holder</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__________________________</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1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___________________________________________</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hereby acknowledges this Exercise Notice and hereby directs ______________ to issue the above indicated number of shares of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in accordance with the Transfer Agent Instructions dated _________, 20__, from the Company and acknowledged and agreed to by _______________.</w:t>
      </w:r>
    </w:p>
    <w:p>
      <w:pPr>
        <w:spacing w:after="0" w:line="24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By:____________________________________</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36119873v.6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978"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153670</wp:posOffset>
            </wp:positionH>
            <wp:positionV relativeFrom="page">
              <wp:posOffset>346710</wp:posOffset>
            </wp:positionV>
            <wp:extent cx="725424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5.1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Sanders Ortoli Vaughn-Flam Rosenstadt LLP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January 12, 2015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1551 Eastlake Avenue East,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Suite 100, Seattle, WA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5"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We have acted as counsel to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issuance and sale by the Company of 7,320,000</w:t>
      </w:r>
    </w:p>
    <w:p>
      <w:pPr>
        <w:spacing w:after="0" w:line="207" w:lineRule="exact"/>
        <w:rPr>
          <w:sz w:val="20"/>
          <w:szCs w:val="20"/>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shares of the Company’s common stock, par value $0.001, (the “Common Stock Shares”),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Series A warrants to purchase up to 7,320,000 shares of common stock (“Series A Warrants”),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7,320,000shares of common stock to be issued upon the exercise of the Series A Warrants (“Series A Warrant Shares”),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Series B warrants to purchase up to 7,320,000 shares of common stock (“Series B Warrants”),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shares of common stock to be issued upon the exercise of the Series B Warrants (“Series B Warrant Shares”),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Series C warrants to purchase up to 7,320,000 shares of common stock (“Series C Warrants”),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shares of common stock to be issued upon the exercise of the Series C Warrants (“Series C Warrant Shares”),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Series D warrants to purchase up to 7,320,000 shares of common stock (“Series D Warrants”),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shares of common stock to be issued upon the exercise of the Series D Warrants (“Series D Warrant Shares”),</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Series E warrants to purchase up to 7,320,000 shares of common stock (“Series E Warrants”) and</w:t>
      </w:r>
    </w:p>
    <w:p>
      <w:pPr>
        <w:spacing w:after="0" w:line="241" w:lineRule="exact"/>
        <w:rPr>
          <w:rFonts w:ascii="Arial" w:cs="Arial" w:eastAsia="Arial" w:hAnsi="Arial"/>
          <w:sz w:val="18"/>
          <w:szCs w:val="18"/>
          <w:color w:val="auto"/>
        </w:rPr>
      </w:pPr>
    </w:p>
    <w:p>
      <w:pPr>
        <w:ind w:left="960" w:hanging="480"/>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7,320,000 shares of common stock to be issued upon the exercise of the Series E Warrants (“Series E Warrant Shares”)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pursuant to that certain Registration Statement on Form S-3, as amended (Registration Statement No. 333-196115) (“Registration Statement”), filed with the Securities and Exchange Commission (“Commission”) under the Securities Act of 1933, as amended (“Act”), and supplemented by the Prospectus Supplement (“Prospectus Supplement”) relating to the Common Stock Shares, Series A Warrants, Series A Warrant Shares, Series B Warrants, Series B Warrant Shares, Series C Warrants, Series C Warrant Shares, Series D Warrants, Series D Warrant Shares, Series E Warrants and Series E Warrant Shares (collectively, the “Securities”) filed with the Commission pursuant to Rule 424(b) of the Rules and Regulations of the Act. All of the Securities are to be sold by the Company as described in the Prospectus Supplement.</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5424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228" w:name="page229"/>
    <w:bookmarkEnd w:id="228"/>
    <w:p>
      <w:pPr>
        <w:jc w:val="both"/>
        <w:ind w:firstLine="633"/>
        <w:spacing w:after="0" w:line="248" w:lineRule="auto"/>
        <w:rPr>
          <w:sz w:val="20"/>
          <w:szCs w:val="20"/>
          <w:color w:val="auto"/>
        </w:rPr>
      </w:pPr>
      <w:r>
        <w:rPr>
          <w:rFonts w:ascii="Arial" w:cs="Arial" w:eastAsia="Arial" w:hAnsi="Arial"/>
          <w:sz w:val="18"/>
          <w:szCs w:val="18"/>
          <w:color w:val="auto"/>
        </w:rPr>
        <w:t>You have requested our opinion as to the matters set forth below in connection with the Prospectus Supplement. For purposes of rendering that opinion, we have examined the Registration Statement, the Prospectus Supplement, the Company’s Articles of Incorporation, as amended, and Bylaws, as amended, and the corporate action of the Company that provides for the issuance of the Securities, and we have made such other investigation as we have deemed appropriate. We have examined and relied upon certificates of public officials and, as to certain matters of fact that are material to our opinion, we have also relied upon the representations and warranties of the Company contained in those certain documents included as Exhibits to the Registration Statement and on a certificate of an officer of the Company.</w:t>
      </w:r>
    </w:p>
    <w:p>
      <w:pPr>
        <w:spacing w:after="0" w:line="220"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Based upon and subject to the foregoing, it is our opinion that the Common Stock Shares, Series A Warrants, Series B Warrants, Series C Warrants, Series D Warrants and Series E Warrants have been duly and validly authorized and upon issuance, delivery and payment therefor in the manner contemplated by the Registration Statement, the Prospectus and the Prospectus Supplement will be legally issued, fully paid and nonassessable. It is further our opinion that the Series A Warrant Shares, Series B Warrant Shares, Series C Warrant Shares, Series D Warrant Shares and Series E Warrant Shares have been duly authorized and, upon issuance, payment therefor and delivery in accordance with the terms, as applicable, of the Series A Warrants, Series B Warrants, Series C Warrants, Series D Warrants and Series E Warrants, will be legally issued, fully paid and non-assessable.</w:t>
      </w:r>
    </w:p>
    <w:p>
      <w:pPr>
        <w:spacing w:after="0" w:line="166" w:lineRule="exact"/>
        <w:rPr>
          <w:sz w:val="20"/>
          <w:szCs w:val="20"/>
          <w:color w:val="auto"/>
        </w:rPr>
      </w:pPr>
    </w:p>
    <w:p>
      <w:pPr>
        <w:jc w:val="both"/>
        <w:ind w:firstLine="682"/>
        <w:spacing w:after="0" w:line="253" w:lineRule="auto"/>
        <w:rPr>
          <w:sz w:val="20"/>
          <w:szCs w:val="20"/>
          <w:color w:val="auto"/>
        </w:rPr>
      </w:pPr>
      <w:r>
        <w:rPr>
          <w:rFonts w:ascii="Arial" w:cs="Arial" w:eastAsia="Arial" w:hAnsi="Arial"/>
          <w:sz w:val="18"/>
          <w:szCs w:val="18"/>
          <w:color w:val="auto"/>
        </w:rPr>
        <w:t>We hereby consent to the use of our name wherever it appears in the Registration Statement and the Prospectus, and in any amendment or supplement thereto, the filing of this opinion as an exhibit to a current report on Form 8-K of the Company and the incorporation by reference of this opinion in the Registration Statement.</w:t>
      </w:r>
    </w:p>
    <w:p>
      <w:pPr>
        <w:spacing w:after="0" w:line="189" w:lineRule="exact"/>
        <w:rPr>
          <w:sz w:val="20"/>
          <w:szCs w:val="20"/>
          <w:color w:val="auto"/>
        </w:rPr>
      </w:pPr>
    </w:p>
    <w:p>
      <w:pPr>
        <w:jc w:val="both"/>
        <w:ind w:firstLine="690"/>
        <w:spacing w:after="0" w:line="262" w:lineRule="auto"/>
        <w:rPr>
          <w:sz w:val="20"/>
          <w:szCs w:val="20"/>
          <w:color w:val="auto"/>
        </w:rPr>
      </w:pPr>
      <w:r>
        <w:rPr>
          <w:rFonts w:ascii="Arial" w:cs="Arial" w:eastAsia="Arial" w:hAnsi="Arial"/>
          <w:sz w:val="18"/>
          <w:szCs w:val="18"/>
          <w:color w:val="auto"/>
        </w:rPr>
        <w:t>In giving this consent, we do not admit that we are within the category of persons whose consent is required by Section 7 of the Securities Act or the rules and regulations promulgated thereunder by the Commission.</w:t>
      </w:r>
    </w:p>
    <w:p>
      <w:pPr>
        <w:spacing w:after="0" w:line="207" w:lineRule="exact"/>
        <w:rPr>
          <w:sz w:val="20"/>
          <w:szCs w:val="20"/>
          <w:color w:val="auto"/>
        </w:rPr>
      </w:pPr>
    </w:p>
    <w:p>
      <w:pPr>
        <w:jc w:val="both"/>
        <w:ind w:firstLine="628"/>
        <w:spacing w:after="0" w:line="291" w:lineRule="auto"/>
        <w:rPr>
          <w:sz w:val="20"/>
          <w:szCs w:val="20"/>
          <w:color w:val="auto"/>
        </w:rPr>
      </w:pPr>
      <w:r>
        <w:rPr>
          <w:rFonts w:ascii="Arial" w:cs="Arial" w:eastAsia="Arial" w:hAnsi="Arial"/>
          <w:sz w:val="16"/>
          <w:szCs w:val="16"/>
          <w:color w:val="auto"/>
        </w:rPr>
        <w:t>We are admitted to practice in the State of New York, and are not admitted to practice in the State of Nevada. However, for the limited purposes of our opinions set forth below, we are generally familiar with 78 NRS, the applicable provisions of the Constitution of the State of Nevada and reported judicial decisions under Nevada law and have made such inquiries as we consider necessary to render this opinion with respect to a Nevada corporation. This opinion is limited to the Nevada Revised Statutes and all applicable provisions of reported judicial decisions interpreting these laws.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Sanders Ortoli Vaughn-Flam Rosenstadt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438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195580</wp:posOffset>
            </wp:positionV>
            <wp:extent cx="725424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41" w:lineRule="exact"/>
        <w:rPr>
          <w:sz w:val="20"/>
          <w:szCs w:val="20"/>
          <w:color w:val="auto"/>
        </w:rPr>
      </w:pPr>
    </w:p>
    <w:p>
      <w:pPr>
        <w:ind w:right="280" w:firstLine="633"/>
        <w:spacing w:after="0" w:line="25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12, 2015, is by and among TapImmune Inc., a Nevada corporation with offices located at 1551 Eastlake Avenue East, Suite 100, Seattle, Washington 98102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listed on the Schedule of Buyers attached hereto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47" w:lineRule="exact"/>
        <w:rPr>
          <w:sz w:val="20"/>
          <w:szCs w:val="20"/>
          <w:color w:val="auto"/>
        </w:rPr>
      </w:pPr>
    </w:p>
    <w:p>
      <w:pPr>
        <w:ind w:right="20" w:firstLine="638"/>
        <w:spacing w:after="0" w:line="287" w:lineRule="auto"/>
        <w:tabs>
          <w:tab w:leader="none" w:pos="128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Company and each Buyer desire to enter into this transaction to purchase the Common Shares and Warrants (as defined below) set forth herein pursuant to a currently effective shelf registration statement on Form S-3 (Registration Number 333-196115)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provides, among other things, for the registration of the offer and sale of shares of common stock, $0.001 par value per share, of the Company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and warrants to purchase Common Stock and has been declared effective in accordance with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firstLine="638"/>
        <w:spacing w:after="0" w:line="278" w:lineRule="auto"/>
        <w:tabs>
          <w:tab w:leader="none" w:pos="127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Each Buyer wishes to purchase, and the Company wishes to sell, upon the terms and conditions stated in this Agreement, (i) the aggregate number of shares of Common Stock set forth opposite such Buyer’s name in column (3) on the Schedule of Buyers (which shall collectively be referred to herein as the “</w:t>
      </w:r>
      <w:r>
        <w:rPr>
          <w:rFonts w:ascii="Arial" w:cs="Arial" w:eastAsia="Arial" w:hAnsi="Arial"/>
          <w:sz w:val="16"/>
          <w:szCs w:val="16"/>
          <w:b w:val="1"/>
          <w:bCs w:val="1"/>
          <w:color w:val="auto"/>
        </w:rPr>
        <w:t>Common Shares</w:t>
      </w:r>
      <w:r>
        <w:rPr>
          <w:rFonts w:ascii="Arial" w:cs="Arial" w:eastAsia="Arial" w:hAnsi="Arial"/>
          <w:sz w:val="16"/>
          <w:szCs w:val="16"/>
          <w:color w:val="auto"/>
        </w:rPr>
        <w:t xml:space="preserve">”), (ii) a warrant to initially acquire at an exercise price of $1.50 per share up to the aggregate number of shares of Common Stock set forth opposite such Buyer’s name in column (4) on the Schedule of Buyers,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(individually, a “</w:t>
      </w:r>
      <w:r>
        <w:rPr>
          <w:rFonts w:ascii="Arial" w:cs="Arial" w:eastAsia="Arial" w:hAnsi="Arial"/>
          <w:sz w:val="16"/>
          <w:szCs w:val="16"/>
          <w:b w:val="1"/>
          <w:bCs w:val="1"/>
          <w:color w:val="auto"/>
        </w:rPr>
        <w:t>Series A 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Series A Warrants</w:t>
      </w:r>
      <w:r>
        <w:rPr>
          <w:rFonts w:ascii="Arial" w:cs="Arial" w:eastAsia="Arial" w:hAnsi="Arial"/>
          <w:sz w:val="16"/>
          <w:szCs w:val="16"/>
          <w:color w:val="auto"/>
        </w:rPr>
        <w:t>”) (as exercised, collectively, the “</w:t>
      </w:r>
      <w:r>
        <w:rPr>
          <w:rFonts w:ascii="Arial" w:cs="Arial" w:eastAsia="Arial" w:hAnsi="Arial"/>
          <w:sz w:val="16"/>
          <w:szCs w:val="16"/>
          <w:b w:val="1"/>
          <w:bCs w:val="1"/>
          <w:color w:val="auto"/>
        </w:rPr>
        <w:t>Series A Warrant Shares</w:t>
      </w:r>
      <w:r>
        <w:rPr>
          <w:rFonts w:ascii="Arial" w:cs="Arial" w:eastAsia="Arial" w:hAnsi="Arial"/>
          <w:sz w:val="16"/>
          <w:szCs w:val="16"/>
          <w:color w:val="auto"/>
        </w:rPr>
        <w:t xml:space="preserve">”), (iii) a warrant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(individually, a “</w:t>
      </w:r>
      <w:r>
        <w:rPr>
          <w:rFonts w:ascii="Arial" w:cs="Arial" w:eastAsia="Arial" w:hAnsi="Arial"/>
          <w:sz w:val="16"/>
          <w:szCs w:val="16"/>
          <w:b w:val="1"/>
          <w:bCs w:val="1"/>
          <w:color w:val="auto"/>
        </w:rPr>
        <w:t>Series B 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Series B Warrants</w:t>
      </w:r>
      <w:r>
        <w:rPr>
          <w:rFonts w:ascii="Arial" w:cs="Arial" w:eastAsia="Arial" w:hAnsi="Arial"/>
          <w:sz w:val="16"/>
          <w:szCs w:val="16"/>
          <w:color w:val="auto"/>
        </w:rPr>
        <w:t>”) (as exercised, collectively, the “</w:t>
      </w:r>
      <w:r>
        <w:rPr>
          <w:rFonts w:ascii="Arial" w:cs="Arial" w:eastAsia="Arial" w:hAnsi="Arial"/>
          <w:sz w:val="16"/>
          <w:szCs w:val="16"/>
          <w:b w:val="1"/>
          <w:bCs w:val="1"/>
          <w:color w:val="auto"/>
        </w:rPr>
        <w:t>Series B Warrant Shares</w:t>
      </w:r>
      <w:r>
        <w:rPr>
          <w:rFonts w:ascii="Arial" w:cs="Arial" w:eastAsia="Arial" w:hAnsi="Arial"/>
          <w:sz w:val="16"/>
          <w:szCs w:val="16"/>
          <w:color w:val="auto"/>
        </w:rPr>
        <w:t xml:space="preserve">”) to initially acquire at an exercise price of $0.40 per share up to the aggregate number of shares of Common Stock set forth opposite such Buyer’s name in column (5) on the Schedule of Buyers, (iv) a warrant in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(individually, a “</w:t>
      </w:r>
      <w:r>
        <w:rPr>
          <w:rFonts w:ascii="Arial" w:cs="Arial" w:eastAsia="Arial" w:hAnsi="Arial"/>
          <w:sz w:val="16"/>
          <w:szCs w:val="16"/>
          <w:b w:val="1"/>
          <w:bCs w:val="1"/>
          <w:color w:val="auto"/>
        </w:rPr>
        <w:t>Series C 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Series C Warrants</w:t>
      </w:r>
      <w:r>
        <w:rPr>
          <w:rFonts w:ascii="Arial" w:cs="Arial" w:eastAsia="Arial" w:hAnsi="Arial"/>
          <w:sz w:val="16"/>
          <w:szCs w:val="16"/>
          <w:color w:val="auto"/>
        </w:rPr>
        <w:t>”) (as exercised, collectively, the “</w:t>
      </w:r>
      <w:r>
        <w:rPr>
          <w:rFonts w:ascii="Arial" w:cs="Arial" w:eastAsia="Arial" w:hAnsi="Arial"/>
          <w:sz w:val="16"/>
          <w:szCs w:val="16"/>
          <w:b w:val="1"/>
          <w:bCs w:val="1"/>
          <w:color w:val="auto"/>
        </w:rPr>
        <w:t>Series C Warrant Shares</w:t>
      </w:r>
      <w:r>
        <w:rPr>
          <w:rFonts w:ascii="Arial" w:cs="Arial" w:eastAsia="Arial" w:hAnsi="Arial"/>
          <w:sz w:val="16"/>
          <w:szCs w:val="16"/>
          <w:color w:val="auto"/>
        </w:rPr>
        <w:t xml:space="preserve">”) to acquire at an exercise price of $1.00 per share up to the aggregate number of shares of Common Stock set forth opposite such Buyer’s name in column (6) on the Schedule of Buyers, (v) a warrant in the form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(individually, a “</w:t>
      </w:r>
      <w:r>
        <w:rPr>
          <w:rFonts w:ascii="Arial" w:cs="Arial" w:eastAsia="Arial" w:hAnsi="Arial"/>
          <w:sz w:val="16"/>
          <w:szCs w:val="16"/>
          <w:b w:val="1"/>
          <w:bCs w:val="1"/>
          <w:color w:val="auto"/>
        </w:rPr>
        <w:t>Series D</w:t>
      </w:r>
      <w:r>
        <w:rPr>
          <w:rFonts w:ascii="Arial" w:cs="Arial" w:eastAsia="Arial" w:hAnsi="Arial"/>
          <w:sz w:val="16"/>
          <w:szCs w:val="16"/>
          <w:color w:val="auto"/>
        </w:rPr>
        <w:t xml:space="preserve"> </w:t>
      </w:r>
      <w:r>
        <w:rPr>
          <w:rFonts w:ascii="Arial" w:cs="Arial" w:eastAsia="Arial" w:hAnsi="Arial"/>
          <w:sz w:val="16"/>
          <w:szCs w:val="16"/>
          <w:b w:val="1"/>
          <w:bCs w:val="1"/>
          <w:color w:val="auto"/>
        </w:rPr>
        <w:t>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Series D Warrants</w:t>
      </w:r>
      <w:r>
        <w:rPr>
          <w:rFonts w:ascii="Arial" w:cs="Arial" w:eastAsia="Arial" w:hAnsi="Arial"/>
          <w:sz w:val="16"/>
          <w:szCs w:val="16"/>
          <w:color w:val="auto"/>
        </w:rPr>
        <w:t>”) (as exercised, collectively, the “</w:t>
      </w:r>
      <w:r>
        <w:rPr>
          <w:rFonts w:ascii="Arial" w:cs="Arial" w:eastAsia="Arial" w:hAnsi="Arial"/>
          <w:sz w:val="16"/>
          <w:szCs w:val="16"/>
          <w:b w:val="1"/>
          <w:bCs w:val="1"/>
          <w:color w:val="auto"/>
        </w:rPr>
        <w:t>Series D Warrant Shares</w:t>
      </w:r>
      <w:r>
        <w:rPr>
          <w:rFonts w:ascii="Arial" w:cs="Arial" w:eastAsia="Arial" w:hAnsi="Arial"/>
          <w:sz w:val="16"/>
          <w:szCs w:val="16"/>
          <w:color w:val="auto"/>
        </w:rPr>
        <w:t>”) to initially acquire at an exercise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$0.75 per share up to the aggregate number of shares of Common Stock set forth opposite such Buyer’s name in column (7) on the Schedule of Buyers and (vi) a warrant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xml:space="preserve"> (individually, a “</w:t>
      </w:r>
      <w:r>
        <w:rPr>
          <w:rFonts w:ascii="Arial" w:cs="Arial" w:eastAsia="Arial" w:hAnsi="Arial"/>
          <w:sz w:val="16"/>
          <w:szCs w:val="16"/>
          <w:b w:val="1"/>
          <w:bCs w:val="1"/>
          <w:color w:val="auto"/>
        </w:rPr>
        <w:t>Series E 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Series E Warrants</w:t>
      </w:r>
      <w:r>
        <w:rPr>
          <w:rFonts w:ascii="Arial" w:cs="Arial" w:eastAsia="Arial" w:hAnsi="Arial"/>
          <w:sz w:val="16"/>
          <w:szCs w:val="16"/>
          <w:color w:val="auto"/>
        </w:rPr>
        <w:t>”) (as exercised, collectively, the “</w:t>
      </w:r>
      <w:r>
        <w:rPr>
          <w:rFonts w:ascii="Arial" w:cs="Arial" w:eastAsia="Arial" w:hAnsi="Arial"/>
          <w:sz w:val="16"/>
          <w:szCs w:val="16"/>
          <w:b w:val="1"/>
          <w:bCs w:val="1"/>
          <w:color w:val="auto"/>
        </w:rPr>
        <w:t>Series E Warrant Shares</w:t>
      </w:r>
      <w:r>
        <w:rPr>
          <w:rFonts w:ascii="Arial" w:cs="Arial" w:eastAsia="Arial" w:hAnsi="Arial"/>
          <w:sz w:val="16"/>
          <w:szCs w:val="16"/>
          <w:color w:val="auto"/>
        </w:rPr>
        <w:t>”) to acquire at an initial exercise price of $1.25 per share up to the aggregate number of shares of Common Stock set forth opposite such Buyer’s name in column (8) on the Schedule of Buyers. The Series A Warrants, the Series B Warrants, the Series C Warrants, the Series D Warrants and the Series E Warrants are collectively referred to herein as the “</w:t>
      </w:r>
      <w:r>
        <w:rPr>
          <w:rFonts w:ascii="Arial" w:cs="Arial" w:eastAsia="Arial" w:hAnsi="Arial"/>
          <w:sz w:val="16"/>
          <w:szCs w:val="16"/>
          <w:b w:val="1"/>
          <w:bCs w:val="1"/>
          <w:color w:val="auto"/>
        </w:rPr>
        <w:t>Warrants</w:t>
      </w:r>
      <w:r>
        <w:rPr>
          <w:rFonts w:ascii="Arial" w:cs="Arial" w:eastAsia="Arial" w:hAnsi="Arial"/>
          <w:sz w:val="16"/>
          <w:szCs w:val="16"/>
          <w:color w:val="auto"/>
        </w:rPr>
        <w:t>.” The Series A Warrant Shares, the Series B Warrant Shares, the Series C Warrant Shares, the Series D Warrant Shares and the Series E Warrant Shares are collectively referred to herein as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230" w:name="page231"/>
    <w:bookmarkEnd w:id="230"/>
    <w:p>
      <w:pPr>
        <w:ind w:left="1280" w:hanging="642"/>
        <w:spacing w:after="0"/>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Common Shares, the Warrants and the Warrant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right="20" w:firstLine="638"/>
        <w:spacing w:after="0" w:line="262" w:lineRule="auto"/>
        <w:tabs>
          <w:tab w:leader="none" w:pos="128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parties hereto each understand that this Securities Purchase Agreement and the purchase and sale contemplated hereby is unconditional and binding on all parties hereto.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47" w:lineRule="exact"/>
        <w:rPr>
          <w:sz w:val="20"/>
          <w:szCs w:val="20"/>
          <w:color w:val="auto"/>
        </w:rPr>
      </w:pPr>
    </w:p>
    <w:p>
      <w:pPr>
        <w:ind w:right="320" w:firstLine="633"/>
        <w:spacing w:after="0" w:line="262"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201" w:lineRule="exact"/>
        <w:rPr>
          <w:sz w:val="20"/>
          <w:szCs w:val="20"/>
          <w:color w:val="auto"/>
        </w:rPr>
      </w:pPr>
    </w:p>
    <w:p>
      <w:pPr>
        <w:ind w:left="640" w:hanging="635"/>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COMMON SHARES AND WARRANTS.</w:t>
      </w:r>
    </w:p>
    <w:p>
      <w:pPr>
        <w:spacing w:after="0" w:line="247" w:lineRule="exact"/>
        <w:rPr>
          <w:rFonts w:ascii="Arial" w:cs="Arial" w:eastAsia="Arial" w:hAnsi="Arial"/>
          <w:sz w:val="18"/>
          <w:szCs w:val="18"/>
          <w:b w:val="1"/>
          <w:bCs w:val="1"/>
          <w:color w:val="auto"/>
        </w:rPr>
      </w:pPr>
    </w:p>
    <w:p>
      <w:pPr>
        <w:jc w:val="both"/>
        <w:ind w:firstLine="770"/>
        <w:spacing w:after="0" w:line="296" w:lineRule="auto"/>
        <w:tabs>
          <w:tab w:leader="none" w:pos="1443"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Purchase of Common Shares and Warrants</w:t>
      </w:r>
      <w:r>
        <w:rPr>
          <w:rFonts w:ascii="Arial" w:cs="Arial" w:eastAsia="Arial" w:hAnsi="Arial"/>
          <w:sz w:val="15"/>
          <w:szCs w:val="15"/>
          <w:color w:val="auto"/>
        </w:rPr>
        <w:t>. Subject to the satisfaction (or waiver) of the conditions set forth in Section 6 below, the Company shall issue and sell to each Buyer, and each Buyer severally, but not jointly, shall purchase from the Company on the Closing Date (as defined below), (i) the number of Common Shares as is set forth opposite such Buyer’s name in column (3) on the Schedule of Buyers, (ii) a Series A Warrant to initially acquire up to the aggregate number of Series A Warrant Shares as is set forth opposite such Buyer’s name in column (4) on the Schedule of Buyers, (iii) a Series B Warrant to initially acquire up to the aggregate number of Series B Warrant Shares opposite such Buyer’s name in column (5) on the Schedule of Buyers, (iv) a Series D Warrant to initially acquire up to the aggregate number of Series D Warrant Shares set forth opposite such Buyer’s name in column (6) on the Schedule of Buyers,</w:t>
      </w:r>
    </w:p>
    <w:p>
      <w:pPr>
        <w:jc w:val="both"/>
        <w:spacing w:after="0" w:line="246" w:lineRule="auto"/>
        <w:rPr>
          <w:rFonts w:ascii="Arial" w:cs="Arial" w:eastAsia="Arial" w:hAnsi="Arial"/>
          <w:sz w:val="15"/>
          <w:szCs w:val="15"/>
          <w:color w:val="auto"/>
        </w:rPr>
      </w:pPr>
      <w:r>
        <w:rPr>
          <w:rFonts w:ascii="Arial" w:cs="Arial" w:eastAsia="Arial" w:hAnsi="Arial"/>
          <w:sz w:val="18"/>
          <w:szCs w:val="18"/>
          <w:color w:val="auto"/>
        </w:rPr>
        <w:t>(v) a Series C Warrant to initially acquire up to (A) the aggregate number of Series C Warrant Shares set forth opposite such Buyer’s name in column (7) on the Schedule of Buyers and (vi) a Series E Warrant to initially acquire up to the aggregate number of Series E Warrant Shares set forth opposite such Buyer’s name in column (8) on the Schedule of Buyers.</w:t>
      </w:r>
    </w:p>
    <w:p>
      <w:pPr>
        <w:spacing w:after="0" w:line="216" w:lineRule="exact"/>
        <w:rPr>
          <w:rFonts w:ascii="Arial" w:cs="Arial" w:eastAsia="Arial" w:hAnsi="Arial"/>
          <w:sz w:val="15"/>
          <w:szCs w:val="15"/>
          <w:color w:val="auto"/>
        </w:rPr>
      </w:pPr>
    </w:p>
    <w:p>
      <w:pPr>
        <w:jc w:val="both"/>
        <w:ind w:firstLine="796"/>
        <w:spacing w:after="0" w:line="257" w:lineRule="auto"/>
        <w:tabs>
          <w:tab w:leader="none" w:pos="1532" w:val="left"/>
        </w:tabs>
        <w:numPr>
          <w:ilvl w:val="2"/>
          <w:numId w:val="26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Common Shares and related Warrants to be purchased by each Buyer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shall be the amount set forth opposite such Buyer’s name in column (9) on the Schedule of Buyers which shall be equal to the amount of $0.20 per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 and the related Warrants.</w:t>
      </w:r>
    </w:p>
    <w:p>
      <w:pPr>
        <w:spacing w:after="0" w:line="205" w:lineRule="exact"/>
        <w:rPr>
          <w:rFonts w:ascii="Arial" w:cs="Arial" w:eastAsia="Arial" w:hAnsi="Arial"/>
          <w:sz w:val="18"/>
          <w:szCs w:val="18"/>
          <w:color w:val="auto"/>
        </w:rPr>
      </w:pPr>
    </w:p>
    <w:p>
      <w:pPr>
        <w:jc w:val="both"/>
        <w:ind w:firstLine="796"/>
        <w:spacing w:after="0" w:line="234" w:lineRule="auto"/>
        <w:tabs>
          <w:tab w:leader="none" w:pos="1509" w:val="left"/>
        </w:tabs>
        <w:numPr>
          <w:ilvl w:val="2"/>
          <w:numId w:val="263"/>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closing (the “</w:t>
      </w:r>
      <w:r>
        <w:rPr>
          <w:rFonts w:ascii="Arial" w:cs="Arial" w:eastAsia="Arial" w:hAnsi="Arial"/>
          <w:sz w:val="17"/>
          <w:szCs w:val="17"/>
          <w:b w:val="1"/>
          <w:bCs w:val="1"/>
          <w:color w:val="auto"/>
        </w:rPr>
        <w:t>Closing</w:t>
      </w:r>
      <w:r>
        <w:rPr>
          <w:rFonts w:ascii="Arial" w:cs="Arial" w:eastAsia="Arial" w:hAnsi="Arial"/>
          <w:sz w:val="17"/>
          <w:szCs w:val="17"/>
          <w:color w:val="auto"/>
        </w:rPr>
        <w:t>”) of the purchase of the Common Shares and Warrants by the Buyers shall occur at the offices of Mintz, Levin, Cohn, Ferris, Glovsky and Popeo, P.C. (“</w:t>
      </w:r>
      <w:r>
        <w:rPr>
          <w:rFonts w:ascii="Arial" w:cs="Arial" w:eastAsia="Arial" w:hAnsi="Arial"/>
          <w:sz w:val="17"/>
          <w:szCs w:val="17"/>
          <w:b w:val="1"/>
          <w:bCs w:val="1"/>
          <w:color w:val="auto"/>
        </w:rPr>
        <w:t>Mintz Levin</w:t>
      </w:r>
      <w:r>
        <w:rPr>
          <w:rFonts w:ascii="Arial" w:cs="Arial" w:eastAsia="Arial" w:hAnsi="Arial"/>
          <w:sz w:val="17"/>
          <w:szCs w:val="17"/>
          <w:color w:val="auto"/>
        </w:rPr>
        <w:t>”), 666 Third Avenue, New York, NY 10017. The date and time of the Closing (the “</w:t>
      </w:r>
      <w:r>
        <w:rPr>
          <w:rFonts w:ascii="Arial" w:cs="Arial" w:eastAsia="Arial" w:hAnsi="Arial"/>
          <w:sz w:val="17"/>
          <w:szCs w:val="17"/>
          <w:b w:val="1"/>
          <w:bCs w:val="1"/>
          <w:color w:val="auto"/>
        </w:rPr>
        <w:t>Closing Date</w:t>
      </w:r>
      <w:r>
        <w:rPr>
          <w:rFonts w:ascii="Arial" w:cs="Arial" w:eastAsia="Arial" w:hAnsi="Arial"/>
          <w:sz w:val="17"/>
          <w:szCs w:val="17"/>
          <w:color w:val="auto"/>
        </w:rPr>
        <w:t>”) shall be 10:00 a.m., New York time, on the first (1</w:t>
      </w:r>
      <w:r>
        <w:rPr>
          <w:rFonts w:ascii="Arial" w:cs="Arial" w:eastAsia="Arial" w:hAnsi="Arial"/>
          <w:sz w:val="23"/>
          <w:szCs w:val="23"/>
          <w:color w:val="auto"/>
          <w:vertAlign w:val="superscript"/>
        </w:rPr>
        <w:t>st</w:t>
      </w:r>
      <w:r>
        <w:rPr>
          <w:rFonts w:ascii="Arial" w:cs="Arial" w:eastAsia="Arial" w:hAnsi="Arial"/>
          <w:sz w:val="17"/>
          <w:szCs w:val="17"/>
          <w:color w:val="auto"/>
        </w:rPr>
        <w:t>) Business Day on which the conditions to the Closing set forth in Section 6 below are satisfied or waived (or such later date as is mutually agreed to by the Company and each Buyer) provided that such date shall not be later than the third (3</w:t>
      </w:r>
      <w:r>
        <w:rPr>
          <w:rFonts w:ascii="Arial" w:cs="Arial" w:eastAsia="Arial" w:hAnsi="Arial"/>
          <w:sz w:val="23"/>
          <w:szCs w:val="23"/>
          <w:color w:val="auto"/>
          <w:vertAlign w:val="superscript"/>
        </w:rPr>
        <w:t>rd</w:t>
      </w:r>
      <w:r>
        <w:rPr>
          <w:rFonts w:ascii="Arial" w:cs="Arial" w:eastAsia="Arial" w:hAnsi="Arial"/>
          <w:sz w:val="17"/>
          <w:szCs w:val="17"/>
          <w:color w:val="auto"/>
        </w:rPr>
        <w:t>) Trading Day (as defined in the Warrants) after the date hereof. As used herein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other day on which commercial banks in New York, New York are authorized or required by law to remain closed.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231" w:name="page232"/>
    <w:bookmarkEnd w:id="231"/>
    <w:p>
      <w:pPr>
        <w:jc w:val="both"/>
        <w:ind w:firstLine="796"/>
        <w:spacing w:after="0" w:line="280" w:lineRule="auto"/>
        <w:tabs>
          <w:tab w:leader="none" w:pos="1519" w:val="left"/>
        </w:tabs>
        <w:numPr>
          <w:ilvl w:val="2"/>
          <w:numId w:val="264"/>
        </w:numPr>
        <w:rPr>
          <w:rFonts w:ascii="Arial" w:cs="Arial" w:eastAsia="Arial" w:hAnsi="Arial"/>
          <w:sz w:val="16"/>
          <w:szCs w:val="16"/>
          <w:color w:val="auto"/>
        </w:rPr>
      </w:pPr>
      <w:r>
        <w:rPr>
          <w:rFonts w:ascii="Arial" w:cs="Arial" w:eastAsia="Arial" w:hAnsi="Arial"/>
          <w:sz w:val="16"/>
          <w:szCs w:val="16"/>
          <w:u w:val="single" w:color="auto"/>
          <w:color w:val="auto"/>
        </w:rPr>
        <w:t>Form of Payment; Deliveries</w:t>
      </w:r>
      <w:r>
        <w:rPr>
          <w:rFonts w:ascii="Arial" w:cs="Arial" w:eastAsia="Arial" w:hAnsi="Arial"/>
          <w:sz w:val="16"/>
          <w:szCs w:val="16"/>
          <w:color w:val="auto"/>
        </w:rPr>
        <w:t>. On the Closing Date, (i) each Buyer shall pay its respective Purchase Price to the Company for the Common Shares and the related Warrants to be issued and sold to such Buyer at the Closing by wire transfer of immediately available funds in accordance with the Company’s written wire instructions, and (ii) the Company shall (A) cause Island Stock Transfer (together with any subsequent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to credit, without restriction, to such Buyer’s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designee’s balance account with DTC through its Deposit/Withdrawal at Custodian (“</w:t>
      </w:r>
      <w:r>
        <w:rPr>
          <w:rFonts w:ascii="Arial" w:cs="Arial" w:eastAsia="Arial" w:hAnsi="Arial"/>
          <w:sz w:val="16"/>
          <w:szCs w:val="16"/>
          <w:b w:val="1"/>
          <w:bCs w:val="1"/>
          <w:color w:val="auto"/>
        </w:rPr>
        <w:t>DWAC</w:t>
      </w:r>
      <w:r>
        <w:rPr>
          <w:rFonts w:ascii="Arial" w:cs="Arial" w:eastAsia="Arial" w:hAnsi="Arial"/>
          <w:sz w:val="16"/>
          <w:szCs w:val="16"/>
          <w:color w:val="auto"/>
        </w:rPr>
        <w:t xml:space="preserve">”) system such aggregate number of Common Shares that such Buyer is purchasing at such Closing as is set forth opposite such Buyer’s name in column (3) on the Schedule of Buyers, (B) deliver to each Buyer warrant certificates, in the forms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Exhibit B, Exhibit C, Exhibit D</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pursuant to which such Buyer shall have the right to initially acquire up to the number of Warrant Shares as is set forth opposite such Buyer’s name in columns ((4), (5), (6), (7) and (8), respectively, on the Schedule of Buyers and (C) deliver to such Buyer the other documents, instruments and certificates set forth in Section 6. Notwithstanding anything to the contrary contained in the Warrants, all Warrant Shares shall be delivered via DWAC.</w:t>
      </w:r>
    </w:p>
    <w:p>
      <w:pPr>
        <w:spacing w:after="0" w:line="194" w:lineRule="exact"/>
        <w:rPr>
          <w:rFonts w:ascii="Arial" w:cs="Arial" w:eastAsia="Arial" w:hAnsi="Arial"/>
          <w:sz w:val="16"/>
          <w:szCs w:val="16"/>
          <w:color w:val="auto"/>
        </w:rPr>
      </w:pPr>
    </w:p>
    <w:p>
      <w:pPr>
        <w:ind w:left="640" w:hanging="635"/>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4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Each Buyer, severally and not jointly, represents and warrants to the Company with respect to only itself that:</w:t>
      </w:r>
    </w:p>
    <w:p>
      <w:pPr>
        <w:spacing w:after="0" w:line="241" w:lineRule="exact"/>
        <w:rPr>
          <w:rFonts w:ascii="Arial" w:cs="Arial" w:eastAsia="Arial" w:hAnsi="Arial"/>
          <w:sz w:val="18"/>
          <w:szCs w:val="18"/>
          <w:b w:val="1"/>
          <w:bCs w:val="1"/>
          <w:color w:val="auto"/>
        </w:rPr>
      </w:pPr>
    </w:p>
    <w:p>
      <w:pPr>
        <w:jc w:val="both"/>
        <w:ind w:right="100" w:firstLine="638"/>
        <w:spacing w:after="0" w:line="253" w:lineRule="auto"/>
        <w:tabs>
          <w:tab w:leader="none" w:pos="1311"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 and thereunder.</w:t>
      </w:r>
    </w:p>
    <w:p>
      <w:pPr>
        <w:spacing w:after="0" w:line="215" w:lineRule="exact"/>
        <w:rPr>
          <w:rFonts w:ascii="Arial" w:cs="Arial" w:eastAsia="Arial" w:hAnsi="Arial"/>
          <w:sz w:val="18"/>
          <w:szCs w:val="18"/>
          <w:color w:val="auto"/>
        </w:rPr>
      </w:pPr>
    </w:p>
    <w:p>
      <w:pPr>
        <w:ind w:firstLine="638"/>
        <w:spacing w:after="0" w:line="250" w:lineRule="auto"/>
        <w:tabs>
          <w:tab w:leader="none" w:pos="1321"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such Buyer and constitutes the legal, valid and binding obligations of such Buyer enforceable against such Buyer in accordance with their respective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218" w:lineRule="exact"/>
        <w:rPr>
          <w:rFonts w:ascii="Arial" w:cs="Arial" w:eastAsia="Arial" w:hAnsi="Arial"/>
          <w:sz w:val="18"/>
          <w:szCs w:val="18"/>
          <w:color w:val="auto"/>
        </w:rPr>
      </w:pPr>
    </w:p>
    <w:p>
      <w:pPr>
        <w:ind w:right="60" w:firstLine="638"/>
        <w:spacing w:after="0" w:line="247" w:lineRule="auto"/>
        <w:tabs>
          <w:tab w:leader="none" w:pos="1311"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2" w:name="page233"/>
    <w:bookmarkEnd w:id="232"/>
    <w:p>
      <w:pPr>
        <w:ind w:left="-5" w:firstLine="638"/>
        <w:spacing w:after="0" w:line="283" w:lineRule="auto"/>
        <w:tabs>
          <w:tab w:leader="none" w:pos="1316"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Certain Trading Activities</w:t>
      </w:r>
      <w:r>
        <w:rPr>
          <w:rFonts w:ascii="Arial" w:cs="Arial" w:eastAsia="Arial" w:hAnsi="Arial"/>
          <w:sz w:val="16"/>
          <w:szCs w:val="16"/>
          <w:color w:val="auto"/>
        </w:rPr>
        <w:t>. Such Buyer has not directly or indirectly, nor has any Person acting on behalf of or pursuant to any understanding with such Buyer, engaged in any transactions in the securities of the Company (including, without limitation, any Short Sales (as defined below) involving the Company’s securities) during the period commencing as of the time that such Buyer first executed a term sheet regarding the specific investment in the Company contemplated by this Agreement and ending immediately prior to the execution of this Agreement by such Buyer (it being understood and agreed that for all purposes of this Agreement, and without implication that the contrary would otherwise be true, neither transactions nor purchases nor sales shall include the location and/or reservation of borrowable shares of Common Stock). “</w:t>
      </w:r>
      <w:r>
        <w:rPr>
          <w:rFonts w:ascii="Arial" w:cs="Arial" w:eastAsia="Arial" w:hAnsi="Arial"/>
          <w:sz w:val="16"/>
          <w:szCs w:val="16"/>
          <w:b w:val="1"/>
          <w:bCs w:val="1"/>
          <w:color w:val="auto"/>
        </w:rPr>
        <w:t>Short Sales</w:t>
      </w:r>
      <w:r>
        <w:rPr>
          <w:rFonts w:ascii="Arial" w:cs="Arial" w:eastAsia="Arial" w:hAnsi="Arial"/>
          <w:sz w:val="16"/>
          <w:szCs w:val="16"/>
          <w:color w:val="auto"/>
        </w:rPr>
        <w:t>” means all “short sales” as defined in Rule 200 promulgated under Regulation SHO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w:t>
      </w:r>
    </w:p>
    <w:p>
      <w:pPr>
        <w:spacing w:after="0" w:line="189" w:lineRule="exact"/>
        <w:rPr>
          <w:rFonts w:ascii="Arial" w:cs="Arial" w:eastAsia="Arial" w:hAnsi="Arial"/>
          <w:sz w:val="16"/>
          <w:szCs w:val="16"/>
          <w:color w:val="auto"/>
        </w:rPr>
      </w:pPr>
    </w:p>
    <w:p>
      <w:pPr>
        <w:ind w:left="635" w:right="5680" w:hanging="635"/>
        <w:spacing w:after="0" w:line="588" w:lineRule="auto"/>
        <w:tabs>
          <w:tab w:leader="none" w:pos="635"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THE COMPANY. </w:t>
      </w:r>
      <w:r>
        <w:rPr>
          <w:rFonts w:ascii="Arial" w:cs="Arial" w:eastAsia="Arial" w:hAnsi="Arial"/>
          <w:sz w:val="16"/>
          <w:szCs w:val="16"/>
          <w:color w:val="auto"/>
        </w:rPr>
        <w:t>The Company represents and warrants to each of the Buyers that:</w:t>
      </w:r>
    </w:p>
    <w:p>
      <w:pPr>
        <w:ind w:left="-5" w:right="40" w:firstLine="638"/>
        <w:spacing w:after="0" w:line="280" w:lineRule="auto"/>
        <w:tabs>
          <w:tab w:leader="none" w:pos="1306"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 to be conducted. Each of the Company and each of its Subsidiaries is duly qualified as a foreign entity to do business and is in good standing in every jurisdiction other than the state of Washington in which its ownership of property or the nature of the business conducted by it makes such qualification necessary, except to the extent that the failure to be so qualified or be in good standing would not, individually or in the aggregate, have a Material Adverse Effect.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(iii) the authority or ability of the Company to perform any of its obligations under any of the Transaction Documents. “</w:t>
      </w:r>
      <w:r>
        <w:rPr>
          <w:rFonts w:ascii="Arial" w:cs="Arial" w:eastAsia="Arial" w:hAnsi="Arial"/>
          <w:sz w:val="16"/>
          <w:szCs w:val="16"/>
          <w:b w:val="1"/>
          <w:bCs w:val="1"/>
          <w:color w:val="auto"/>
        </w:rPr>
        <w:t>Subsidiaries</w:t>
      </w:r>
      <w:r>
        <w:rPr>
          <w:rFonts w:ascii="Arial" w:cs="Arial" w:eastAsia="Arial" w:hAnsi="Arial"/>
          <w:sz w:val="16"/>
          <w:szCs w:val="16"/>
          <w:color w:val="auto"/>
        </w:rPr>
        <w:t>” means any Person in which the Company, directly or indirectly, (I) owns a majority of the outstanding capital stock or equity or similar interest of such Person or (II) controls or operates all or any part of the business, operations or administration of such Person, and each of the foregoing is individually referred to herein as a “</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200" w:lineRule="exact"/>
        <w:rPr>
          <w:sz w:val="20"/>
          <w:szCs w:val="20"/>
          <w:color w:val="auto"/>
        </w:rPr>
      </w:pPr>
    </w:p>
    <w:p>
      <w:pPr>
        <w:spacing w:after="0" w:line="379" w:lineRule="exact"/>
        <w:rPr>
          <w:sz w:val="20"/>
          <w:szCs w:val="20"/>
          <w:color w:val="auto"/>
        </w:rPr>
      </w:pPr>
    </w:p>
    <w:p>
      <w:pPr>
        <w:jc w:val="center"/>
        <w:ind w:right="-7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55"/>
          </w:cols>
          <w:pgMar w:left="245" w:top="984" w:right="299" w:bottom="1440" w:gutter="0" w:footer="0" w:header="0"/>
        </w:sectPr>
      </w:pPr>
    </w:p>
    <w:bookmarkStart w:id="233" w:name="page234"/>
    <w:bookmarkEnd w:id="233"/>
    <w:p>
      <w:pPr>
        <w:ind w:left="-20" w:firstLine="638"/>
        <w:spacing w:after="0" w:line="278" w:lineRule="auto"/>
        <w:tabs>
          <w:tab w:leader="none" w:pos="1301"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Common Shares, the issuance of the Warrants and the reservation for issuance and issuance of the Warrant Shares issuable upon exercise of the Warrants) have been duly authorized by the Company’s board of directors and (other than the filing with the SEC of the prospectus supplement required by the Registration Statement pursuant to Rule 424(b) under the 1933 Act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supplementing the base prospectus forming part of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 Current Report on Form 8-K, and any other filings as may be required by any state securities agencies, all of which shall be made prior to the Closing) no further filing, consent or authorization is required by the Company, its board of directors or its stockholders or other governing body in connection therewith. This Agreement has been, and the other Transaction Documents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Warrants,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4" w:lineRule="exact"/>
        <w:rPr>
          <w:rFonts w:ascii="Arial" w:cs="Arial" w:eastAsia="Arial" w:hAnsi="Arial"/>
          <w:sz w:val="16"/>
          <w:szCs w:val="16"/>
          <w:color w:val="auto"/>
        </w:rPr>
      </w:pPr>
    </w:p>
    <w:p>
      <w:pPr>
        <w:ind w:left="-20" w:firstLine="638"/>
        <w:spacing w:after="0" w:line="279" w:lineRule="auto"/>
        <w:tabs>
          <w:tab w:leader="none" w:pos="1291"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Issuance of Securities; Registration Statement</w:t>
      </w:r>
      <w:r>
        <w:rPr>
          <w:rFonts w:ascii="Arial" w:cs="Arial" w:eastAsia="Arial" w:hAnsi="Arial"/>
          <w:sz w:val="16"/>
          <w:szCs w:val="16"/>
          <w:color w:val="auto"/>
        </w:rPr>
        <w:t>. The issuance of the Common Shares and the Warrants are duly authorized and, upon issuance in accordance with the terms of the Transaction Documents, will be validly issued, fully paid and non-assessable and free from all preemptive or similar rights, taxes, liens, charges and other encumbrances with respect to the issue thereof. As of the Closing, the Company shall have reserved from its duly authorized capital stock the maximum number of shares of Common Stock issuable upon exercise of the Warrants (without taking into account any limitations on the exercise of the Warrants set forth therein). The issuance of the Warrant Shares is duly authorized, and upon exercise in accordance with the Warrants, the Warrant Shares, when issued, will be validly issued, fully paid and non-assessable and free from all preemptive or similar rights, taxes, liens, charges and other encumbrances with respect to the issue thereof, with the holders being entitled to all rights accorded to a holder of Common Stock. The issuance by the Company of the Securities has been properly registered under the 1933 Act, the Securities are being issued pursuant to the Registration Statement and all of the Securities are freely transferable and freely tradable by each of the Buyers without restriction.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984" w:right="259" w:bottom="1440" w:gutter="0" w:footer="0" w:header="0"/>
        </w:sectPr>
      </w:pPr>
    </w:p>
    <w:bookmarkStart w:id="234" w:name="page235"/>
    <w:bookmarkEnd w:id="234"/>
    <w:p>
      <w:pPr>
        <w:spacing w:after="0" w:line="277" w:lineRule="auto"/>
        <w:rPr>
          <w:sz w:val="20"/>
          <w:szCs w:val="20"/>
          <w:color w:val="auto"/>
        </w:rPr>
      </w:pPr>
      <w:r>
        <w:rPr>
          <w:rFonts w:ascii="Arial" w:cs="Arial" w:eastAsia="Arial" w:hAnsi="Arial"/>
          <w:sz w:val="16"/>
          <w:szCs w:val="16"/>
          <w:color w:val="auto"/>
        </w:rPr>
        <w:t>The “Plan of Distribution” section under the Registration Statement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comply and complied in all material respects with the requirements of the 1933 Act and the 1934 Act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and the Prospectus and any amendments or supplements thereto (including, without limitation the Prospectus Supplement), at the time the Prospectus or any amendment or supplement thereto was issued and at the Closing Date, complied and will comply in all material respects with the requirements of the 1933 Act and did not and will not contain an untrue statement of a material fact or omit to state a material fact necessary in order to make the statements therein, in light of the circumstances under which they were made, not misleading. The Company meets all of the requirements for the use of Form S-3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 At the earliest time after the filing of the Registration Statement that the Company or another offering participant made a bona fide offer (within the meaning of Rule 164(h)(2) under the 1933 Act) relating to any of the Securities, the Company was not and is not an “Ineligible Issuer” (as defined in Rule 405 under the 1933 Act). The Company (i) has not distributed any offering material in connection with the offering and sale of any of the Securities and (ii) until no Buyer holds any of the Securities, shall not distribute any offering material in connection with the offering and sale of any of the Securities to, or by, any of the Buyers, in each case, other than the Registration Statement, the Prospectus or the Prospectus Supplement.</w:t>
      </w:r>
    </w:p>
    <w:p>
      <w:pPr>
        <w:spacing w:after="0" w:line="210" w:lineRule="exact"/>
        <w:rPr>
          <w:sz w:val="20"/>
          <w:szCs w:val="20"/>
          <w:color w:val="auto"/>
        </w:rPr>
      </w:pPr>
    </w:p>
    <w:p>
      <w:pPr>
        <w:ind w:firstLine="638"/>
        <w:spacing w:after="0" w:line="279" w:lineRule="auto"/>
        <w:tabs>
          <w:tab w:leader="none" w:pos="1321"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issuance of the Common Shares, the Warrants and Warrant Shares and the reservation for issuance of the Warrant Shares) will not (i) result in a violation of the Certificate of Incorporation (as defined below) (including, without limitation, any certificates of designation contained therein) or other organizational documents of the Company or any of its Subsidiaries, any capital stock of the Company, or Bylaws (as defined below), (ii) result in the adjustment of the exercise, conversion or exchange price and/or ratio in respect of any securities of the Company or any of its Subsidiaries, result in any such securities exercisable, convertible or exchangeable for a greater number of underlying securities, or require the approval or the receipt of waivers from any holders of any instrument or class of securities or counterparties to any agreement or understanding to which the Company or any Subsidiary is a party, (iii)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(iv) result in a violation of any law, rule, regulation, order, judgment or decree (including, without limitation, federal and state and foreign securities laws and regulations and the rules and regulations of the Over-the-Counter Bulletin Board of the Financial Industry Regulatory Authority, Inc. (the “</w:t>
      </w:r>
      <w:r>
        <w:rPr>
          <w:rFonts w:ascii="Arial" w:cs="Arial" w:eastAsia="Arial" w:hAnsi="Arial"/>
          <w:sz w:val="16"/>
          <w:szCs w:val="16"/>
          <w:b w:val="1"/>
          <w:bCs w:val="1"/>
          <w:color w:val="auto"/>
        </w:rPr>
        <w:t>Principal Market</w:t>
      </w:r>
      <w:r>
        <w:rPr>
          <w:rFonts w:ascii="Arial" w:cs="Arial" w:eastAsia="Arial" w:hAnsi="Arial"/>
          <w:sz w:val="16"/>
          <w:szCs w:val="16"/>
          <w:color w:val="auto"/>
        </w:rPr>
        <w:t>”)) applicable to the Company or any of its Subsidiaries or by which any property or asset of the Company or any of its Subsidiaries is bound or affected.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747" w:right="279" w:bottom="1440" w:gutter="0" w:footer="0" w:header="0"/>
        </w:sectPr>
      </w:pPr>
    </w:p>
    <w:bookmarkStart w:id="235" w:name="page236"/>
    <w:bookmarkEnd w:id="235"/>
    <w:p>
      <w:pPr>
        <w:ind w:left="-40" w:right="20" w:firstLine="638"/>
        <w:spacing w:after="0" w:line="279" w:lineRule="auto"/>
        <w:tabs>
          <w:tab w:leader="none" w:pos="127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Company is not required to obtain any consent from, authorization or order of, or make any filing which has not already been obtained or made (including, without limitation as to the listing or quotation on the Principal Market of the Common Shares and the Warrant Shares upon issuance) or registration with (other than the filing with the SEC of the Prospectus Supplement, a Current Report on Form 8-K, and any other filings as may be required by any state securities agencies),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at or prior to the Closing will have been obtained or effected on or prior to the Closing Date, and neither the Company nor any of its Subsidiaries are aware of any facts or circumstances which might prevent the Company from obtaining or effecting any of the registration, application or filings contemplated by the Transaction Documents. The Company is not in violation of the requirements of the Principal Market or foreign, federal, state or local securities laws, and has no knowledge of any facts or circumstances which could reasonably lead to such violation or delisting or suspension of the Common Stock in the foreseeable future. No statute, rule, regulation, executive order, decree, ruling or injunction has been enacted, entered, promulgated or endorsed by any court or governmental authority of competent jurisdiction that prohibits the consummation of any of any of the transactions contemplated by the Transaction Documents, and no actions, suits or proceedings are pending or threatened by any Person that seeks to enjoin, prohibit or otherwise adversely affect any of the transactions contemplated by the Transaction Documents.</w:t>
      </w:r>
    </w:p>
    <w:p>
      <w:pPr>
        <w:spacing w:after="0" w:line="199" w:lineRule="exact"/>
        <w:rPr>
          <w:rFonts w:ascii="Arial" w:cs="Arial" w:eastAsia="Arial" w:hAnsi="Arial"/>
          <w:sz w:val="16"/>
          <w:szCs w:val="16"/>
          <w:color w:val="auto"/>
        </w:rPr>
      </w:pPr>
    </w:p>
    <w:p>
      <w:pPr>
        <w:ind w:left="-40" w:firstLine="638"/>
        <w:spacing w:after="0" w:line="281" w:lineRule="auto"/>
        <w:tabs>
          <w:tab w:leader="none" w:pos="125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Buyer’s Purchase of Securities</w:t>
      </w:r>
      <w:r>
        <w:rPr>
          <w:rFonts w:ascii="Arial" w:cs="Arial" w:eastAsia="Arial" w:hAnsi="Arial"/>
          <w:sz w:val="16"/>
          <w:szCs w:val="16"/>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or (ii) an “affiliate” (as defined in Rule 144 promulgated under the 1933 Act (or a successor rule thereto) (collectively, “</w:t>
      </w:r>
      <w:r>
        <w:rPr>
          <w:rFonts w:ascii="Arial" w:cs="Arial" w:eastAsia="Arial" w:hAnsi="Arial"/>
          <w:sz w:val="16"/>
          <w:szCs w:val="16"/>
          <w:b w:val="1"/>
          <w:bCs w:val="1"/>
          <w:color w:val="auto"/>
        </w:rPr>
        <w:t>Rule 144</w:t>
      </w:r>
      <w:r>
        <w:rPr>
          <w:rFonts w:ascii="Arial" w:cs="Arial" w:eastAsia="Arial" w:hAnsi="Arial"/>
          <w:sz w:val="16"/>
          <w:szCs w:val="16"/>
          <w:color w:val="auto"/>
        </w:rPr>
        <w:t>”)) of the Company (an “</w:t>
      </w:r>
      <w:r>
        <w:rPr>
          <w:rFonts w:ascii="Arial" w:cs="Arial" w:eastAsia="Arial" w:hAnsi="Arial"/>
          <w:sz w:val="16"/>
          <w:szCs w:val="16"/>
          <w:b w:val="1"/>
          <w:bCs w:val="1"/>
          <w:color w:val="auto"/>
        </w:rPr>
        <w:t>Affiliate</w:t>
      </w:r>
      <w:r>
        <w:rPr>
          <w:rFonts w:ascii="Arial" w:cs="Arial" w:eastAsia="Arial" w:hAnsi="Arial"/>
          <w:sz w:val="16"/>
          <w:szCs w:val="16"/>
          <w:color w:val="auto"/>
        </w:rPr>
        <w:t>”) or any of its Subsidiaries.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 The Company is not, and has never been, an issuer identified in, or subject to, Rule 144(i).</w:t>
      </w:r>
    </w:p>
    <w:p>
      <w:pPr>
        <w:spacing w:after="0" w:line="197" w:lineRule="exact"/>
        <w:rPr>
          <w:rFonts w:ascii="Arial" w:cs="Arial" w:eastAsia="Arial" w:hAnsi="Arial"/>
          <w:sz w:val="16"/>
          <w:szCs w:val="16"/>
          <w:color w:val="auto"/>
        </w:rPr>
      </w:pPr>
    </w:p>
    <w:p>
      <w:pPr>
        <w:ind w:left="-40" w:right="20" w:firstLine="638"/>
        <w:spacing w:after="0" w:line="325" w:lineRule="auto"/>
        <w:tabs>
          <w:tab w:leader="none" w:pos="128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Placement Agent’s Fees</w:t>
      </w:r>
      <w:r>
        <w:rPr>
          <w:rFonts w:ascii="Arial" w:cs="Arial" w:eastAsia="Arial" w:hAnsi="Arial"/>
          <w:sz w:val="16"/>
          <w:szCs w:val="16"/>
          <w:color w:val="auto"/>
        </w:rPr>
        <w:t>. The Company shall be responsible for the payment of any placement agent’s fees, financial advisory fees, or brokers’ commissions (other than for Persons engaged by any Buyer or its investment advisor) relating to or arising out of the transactions contemplated hereby.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80" w:top="984" w:right="279" w:bottom="1440" w:gutter="0" w:footer="0" w:header="0"/>
        </w:sectPr>
      </w:pPr>
    </w:p>
    <w:bookmarkStart w:id="236" w:name="page237"/>
    <w:bookmarkEnd w:id="236"/>
    <w:p>
      <w:pPr>
        <w:ind w:right="80" w:firstLine="638"/>
        <w:spacing w:after="0" w:line="287" w:lineRule="auto"/>
        <w:tabs>
          <w:tab w:leader="none" w:pos="1321"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for quotation. No registration of the offer, sale or transfer of any of the Securities is required, except for registration contemplated hereby pursuant to the Registration Statement.</w:t>
      </w:r>
    </w:p>
    <w:p>
      <w:pPr>
        <w:spacing w:after="0" w:line="191" w:lineRule="exact"/>
        <w:rPr>
          <w:rFonts w:ascii="Arial" w:cs="Arial" w:eastAsia="Arial" w:hAnsi="Arial"/>
          <w:sz w:val="16"/>
          <w:szCs w:val="16"/>
          <w:color w:val="auto"/>
        </w:rPr>
      </w:pPr>
    </w:p>
    <w:p>
      <w:pPr>
        <w:ind w:firstLine="638"/>
        <w:spacing w:after="0" w:line="247" w:lineRule="auto"/>
        <w:tabs>
          <w:tab w:leader="none" w:pos="128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 Rights Agreement</w:t>
      </w:r>
      <w:r>
        <w:rPr>
          <w:rFonts w:ascii="Arial" w:cs="Arial" w:eastAsia="Arial" w:hAnsi="Arial"/>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or other similar anti-takeover provision under the Certificate of Incorporation, Bylaws or other organizational documents or the laws of the jurisdiction of its incorporation or otherwise that can be waived by approval of the board of directors and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20" w:lineRule="exact"/>
        <w:rPr>
          <w:rFonts w:ascii="Arial" w:cs="Arial" w:eastAsia="Arial" w:hAnsi="Arial"/>
          <w:sz w:val="18"/>
          <w:szCs w:val="18"/>
          <w:color w:val="auto"/>
        </w:rPr>
      </w:pPr>
    </w:p>
    <w:p>
      <w:pPr>
        <w:ind w:firstLine="638"/>
        <w:spacing w:after="0" w:line="278" w:lineRule="auto"/>
        <w:tabs>
          <w:tab w:leader="none" w:pos="1282"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During the two (2) years prior to the date hereof, the Company has timely filed all reports, schedules, forms, statements and other documents required to be filed by it with the SEC pursuant to the reporting requirements of the 1934 Act (all of the foregoing filed prior to the date hereof and all exhibits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Buyer which is not included in the SEC Documents contains any untrue statement of a material fact or omits to state any material fact necessary, in order to make the statements therein not misleading, in light of the circumstances under which they are or were made.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237" w:name="page238"/>
    <w:bookmarkEnd w:id="237"/>
    <w:p>
      <w:pPr>
        <w:ind w:left="-20" w:firstLine="638"/>
        <w:spacing w:after="0" w:line="277" w:lineRule="auto"/>
        <w:tabs>
          <w:tab w:leader="none" w:pos="1301"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date of the Company’s most recent audited financial statements contained in a Form 10-K, except as disclosed in the SEC Documents filed subsequent thereto, there has been no material adverse change and no material adverse development in the business, assets, liabilities, properties, operations or financial condition of the Company. Since the date of the Company’s most recent audited financial statements contained in a Form 10-K, except as disclosed in the SEC Documents filed subsequent thereto, neither the Company nor any of its Subsidiaries has (i) declared or paid any dividends, (ii) sold any assets, individually or in the aggregate, outside of the ordinary course of business or (iii) made any material capital expenditures, individually or in the aggregate.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3(k),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(i) the present fair saleable value of the Company’s and its Subsidiaries’ assets is less than the amount required to pay the Company’s and its Subsidiaries’ total Indebtedness (as defined below), (ii) the Company and its Subsidiaries are unable to pay their debts and liabilities, subordinated, contingent or otherwise, as such debts and liabilities become absolute and matured or (iii) the Company and its Subsidiaries intend to incur or believe that they will incur debts that would be beyond their ability to pay as such debts mature; and (II) with respect to the Company and each Subsidiary, individually, (i) the present fair saleable value of the Company’s or such Subsidiary’s (as the case may be) assets is less than the amount required to pay its respective total Indebtedness, (ii) the Company or such Subsidiary (as the case may be) is unable to pay its respective debts and liabilities, subordinated, contingent or otherwise, as such debts and liabilities become absolute and matured or (iii)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w:t>
      </w:r>
    </w:p>
    <w:p>
      <w:pPr>
        <w:spacing w:after="0" w:line="209" w:lineRule="exact"/>
        <w:rPr>
          <w:rFonts w:ascii="Arial" w:cs="Arial" w:eastAsia="Arial" w:hAnsi="Arial"/>
          <w:sz w:val="16"/>
          <w:szCs w:val="16"/>
          <w:color w:val="auto"/>
        </w:rPr>
      </w:pPr>
    </w:p>
    <w:p>
      <w:pPr>
        <w:ind w:left="-20" w:right="40" w:firstLine="638"/>
        <w:spacing w:after="0" w:line="285" w:lineRule="auto"/>
        <w:tabs>
          <w:tab w:leader="none" w:pos="1262"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No Undisclosed Events, Liabilities, Developments or Circumstances</w:t>
      </w:r>
      <w:r>
        <w:rPr>
          <w:rFonts w:ascii="Arial" w:cs="Arial" w:eastAsia="Arial" w:hAnsi="Arial"/>
          <w:sz w:val="16"/>
          <w:szCs w:val="16"/>
          <w:color w:val="auto"/>
        </w:rPr>
        <w:t>. Since the date of the Company’s most recent audited financial statements contained in a Form 10-K, except as disclosed in the SEC Documents filed subsequent thereto, no event, liability, development or circumstance has occurred or exists, or is reasonably expected to exist or occur with respect to the Company, any of its Subsidiaries or their respective business, properties, liabilities, operations or financial condition that (i) is required to be disclosed by the Company under applicable securities laws on a registration statement on Form S-1 filed with the SEC relating to an issuance and sale by the Company of its Common Stock and which has not been publicly announced, or (ii) could reasonably be expected to have a Material Adverse Effect.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984" w:right="239" w:bottom="1440" w:gutter="0" w:footer="0" w:header="0"/>
        </w:sectPr>
      </w:pPr>
    </w:p>
    <w:bookmarkStart w:id="238" w:name="page239"/>
    <w:bookmarkEnd w:id="238"/>
    <w:p>
      <w:pPr>
        <w:ind w:firstLine="638"/>
        <w:spacing w:after="0" w:line="278" w:lineRule="auto"/>
        <w:tabs>
          <w:tab w:leader="none" w:pos="137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Conduct of Business; Regulatory Permits</w:t>
      </w:r>
      <w:r>
        <w:rPr>
          <w:rFonts w:ascii="Arial" w:cs="Arial" w:eastAsia="Arial" w:hAnsi="Arial"/>
          <w:sz w:val="16"/>
          <w:szCs w:val="16"/>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would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and the Company is in compliance with all requirements in order to maintain listing or quotation on the Principal Market (including reporting requirements under the 1934 Act). Since January 1, 2012, (i) the Common Stock has been listed or designated for quotation on the Principal Market, (ii) trading in the Common Stock has not been suspended by the SEC or the Principal Market and (iii) the Company has received no communication, written or oral, from the SEC or, except as disclosed in the SEC Documents, the Principal Market regarding or relating to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w:t>
      </w:r>
    </w:p>
    <w:p>
      <w:pPr>
        <w:spacing w:after="0" w:line="204" w:lineRule="exact"/>
        <w:rPr>
          <w:rFonts w:ascii="Arial" w:cs="Arial" w:eastAsia="Arial" w:hAnsi="Arial"/>
          <w:sz w:val="16"/>
          <w:szCs w:val="16"/>
          <w:color w:val="auto"/>
        </w:rPr>
      </w:pPr>
    </w:p>
    <w:p>
      <w:pPr>
        <w:ind w:right="60" w:firstLine="638"/>
        <w:spacing w:after="0" w:line="277" w:lineRule="auto"/>
        <w:tabs>
          <w:tab w:leader="none" w:pos="1321"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Certain Other Unlawful Matters</w:t>
      </w:r>
      <w:r>
        <w:rPr>
          <w:rFonts w:ascii="Arial" w:cs="Arial" w:eastAsia="Arial" w:hAnsi="Arial"/>
          <w:sz w:val="16"/>
          <w:szCs w:val="16"/>
          <w:color w:val="auto"/>
        </w:rPr>
        <w:t>. Neither the Company nor any of its Subsidiaries nor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rules or regulations or interpretations thereunder); or (iv) made any unlawful bribe, rebate, payoff, influence payment, kickback or other unlawful payment to any foreign or domestic government official or employee or otherwise.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w:t>
      </w:r>
    </w:p>
    <w:p>
      <w:pPr>
        <w:ind w:right="260"/>
        <w:spacing w:after="0" w:line="246" w:lineRule="auto"/>
        <w:rPr>
          <w:rFonts w:ascii="Arial" w:cs="Arial" w:eastAsia="Arial" w:hAnsi="Arial"/>
          <w:sz w:val="16"/>
          <w:szCs w:val="16"/>
          <w:color w:val="auto"/>
        </w:rPr>
      </w:pPr>
      <w:r>
        <w:rPr>
          <w:rFonts w:ascii="Arial" w:cs="Arial" w:eastAsia="Arial" w:hAnsi="Arial"/>
          <w:sz w:val="18"/>
          <w:szCs w:val="18"/>
          <w:color w:val="auto"/>
        </w:rPr>
        <w:t>Office of Foreign Assets Control, including, without limitation,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9" w:name="page240"/>
    <w:bookmarkEnd w:id="239"/>
    <w:p>
      <w:pPr>
        <w:ind w:left="-20" w:right="40" w:firstLine="638"/>
        <w:spacing w:after="0" w:line="262" w:lineRule="auto"/>
        <w:tabs>
          <w:tab w:leader="none" w:pos="130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each Subsidiary is in compliance with all applicable requirements of the Sarbanes-Oxley Act of 2002, and all applicable rules and regulations promulgated by the SEC thereunder.</w:t>
      </w:r>
    </w:p>
    <w:p>
      <w:pPr>
        <w:spacing w:after="0" w:line="207" w:lineRule="exact"/>
        <w:rPr>
          <w:rFonts w:ascii="Arial" w:cs="Arial" w:eastAsia="Arial" w:hAnsi="Arial"/>
          <w:sz w:val="18"/>
          <w:szCs w:val="18"/>
          <w:color w:val="auto"/>
        </w:rPr>
      </w:pPr>
    </w:p>
    <w:p>
      <w:pPr>
        <w:ind w:left="-20" w:right="40" w:firstLine="638"/>
        <w:spacing w:after="0" w:line="248" w:lineRule="auto"/>
        <w:tabs>
          <w:tab w:leader="none" w:pos="130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None of the officers, directors or employees or Affiliates of the Company or any of its Subsidiaries is presently a party to any transaction with the Company or any of its Subsidiaries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or any of its Subsidiaries, any corporation, partnership, trust or other Person in which any such officer, director or employee or Affiliate has a substantial interest or is an employee, officer, director, trustee or partner.</w:t>
      </w:r>
    </w:p>
    <w:p>
      <w:pPr>
        <w:spacing w:after="0" w:line="219" w:lineRule="exact"/>
        <w:rPr>
          <w:rFonts w:ascii="Arial" w:cs="Arial" w:eastAsia="Arial" w:hAnsi="Arial"/>
          <w:sz w:val="18"/>
          <w:szCs w:val="18"/>
          <w:color w:val="auto"/>
        </w:rPr>
      </w:pPr>
    </w:p>
    <w:p>
      <w:pPr>
        <w:ind w:left="-20" w:firstLine="638"/>
        <w:spacing w:after="0" w:line="277" w:lineRule="auto"/>
        <w:tabs>
          <w:tab w:leader="none" w:pos="1301"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Equity Capitalization</w:t>
      </w:r>
      <w:r>
        <w:rPr>
          <w:rFonts w:ascii="Arial" w:cs="Arial" w:eastAsia="Arial" w:hAnsi="Arial"/>
          <w:sz w:val="16"/>
          <w:szCs w:val="16"/>
          <w:color w:val="auto"/>
        </w:rPr>
        <w:t>. As of the date hereof, the authorized capital stock of the Company consists of (i) 500,000,000 shares of Common Stock, of which 20,318,815 shares are issued and outstanding and 2,586,077 shares are reserved for issuance pursuant to securities (other than the Warrants) exercisable or exchangeable for, or convertible into, shares of Common Stock and (ii) 10,000,000 shares of preferred stock, of which, (A) 1,250,000 shares have been designated as Series A Preferred Stock and (B) 1,500,000 shares have been designated as Series B Preferred Stock, and in each case, no shares are issued and outstanding. No shares of Common Stock are held in treasury. All of such outstanding shares are duly authorized and have been, or upon issuance will be, validly issued and are fully paid and non-assessable. 801,009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None of the Company’s or any Subsidiary’s capital stock is subject to preemptive rights or any other similar rights or any liens or encumbrances suffered or permitted by the Company or any Subsidiary and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Except as set forth in the SEC Documents, (A) there are no outstanding debt securities, notes, credit agreements, credit facilities or other agreements, documents or instruments evidencing Indebtedness of the Company or any of its Subsidiaries or by which the Company or any of its Subsidiaries is or may become bound; (B) there are no financing statements securing obligations in any amounts filed in connection with the 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(F) neither the Company nor any Subsidiary has any stock appreciation rights or “phantom stock” plans or agreements or any similar plan or agreement; and (G)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would not have a Material Adverse Effect. The SEC Documents contain true, correct and complete copies of the Company’s Certificate of Incorporation, as amended and as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 and the terms of all securities convertible into, or exercisable or exchangeable for, shares of Common Stock and the material rights of the holders thereof in respect thereto.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10" w:right="239" w:bottom="1440" w:gutter="0" w:footer="0" w:header="0"/>
        </w:sectPr>
      </w:pPr>
    </w:p>
    <w:bookmarkStart w:id="240" w:name="page241"/>
    <w:bookmarkEnd w:id="240"/>
    <w:p>
      <w:pPr>
        <w:ind w:firstLine="638"/>
        <w:spacing w:after="0" w:line="276" w:lineRule="auto"/>
        <w:tabs>
          <w:tab w:leader="none" w:pos="1291"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With the exception of the $400,000 due Ayer Special Situations Fund I, L.P. pursuant to the March 18, 2014 option agreement to which the Company and Ayer are parties (“Ayer Option”), neither the Company nor any of its Subsidiaries (i) has any outstanding Indebtedness, (ii) is a party to any contract, agreement or instrument, the violation of which, or default under which, by the other party or parties to such contract, agreement or instrument could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since the date of the Company’s most recent audited financial statements contained in a Form 10-K. For purposes of this Agreement: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generally accepted accounting principles)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generally accepted accounting principles, consistently applied for the periods covered thereby, is classified as a capital lease, (G) all indebtedness referred to in clauses (A) through</w:t>
      </w:r>
    </w:p>
    <w:p>
      <w:pPr>
        <w:spacing w:after="0" w:line="1" w:lineRule="exact"/>
        <w:rPr>
          <w:rFonts w:ascii="Arial" w:cs="Arial" w:eastAsia="Arial" w:hAnsi="Arial"/>
          <w:sz w:val="16"/>
          <w:szCs w:val="16"/>
          <w:color w:val="auto"/>
        </w:rPr>
      </w:pPr>
    </w:p>
    <w:p>
      <w:pPr>
        <w:ind w:firstLine="5"/>
        <w:spacing w:after="0" w:line="279" w:lineRule="auto"/>
        <w:tabs>
          <w:tab w:leader="none" w:pos="25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41" w:name="page242"/>
    <w:bookmarkEnd w:id="241"/>
    <w:p>
      <w:pPr>
        <w:ind w:right="160" w:firstLine="638"/>
        <w:spacing w:after="0" w:line="285" w:lineRule="auto"/>
        <w:tabs>
          <w:tab w:leader="none" w:pos="1301"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Absence of Litigation</w:t>
      </w:r>
      <w:r>
        <w:rPr>
          <w:rFonts w:ascii="Arial" w:cs="Arial" w:eastAsia="Arial" w:hAnsi="Arial"/>
          <w:sz w:val="16"/>
          <w:szCs w:val="16"/>
          <w:color w:val="auto"/>
        </w:rPr>
        <w:t>. There is no action, suit, proceeding, inquiry or investigation before or by any court, public board, government agency, self-regulatory organization or body pending or, to the knowledge of the Company, threatened against or affecting the Company or any of its Subsidiaries, the Common Stock or any of the Company’s or its Subsidiaries’ officers or directors which is outside of the ordinary course of business or individually or in the aggregate material to the Company or any of its Subsidiaries.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the Registration Statement.</w:t>
      </w:r>
    </w:p>
    <w:p>
      <w:pPr>
        <w:spacing w:after="0" w:line="192" w:lineRule="exact"/>
        <w:rPr>
          <w:rFonts w:ascii="Arial" w:cs="Arial" w:eastAsia="Arial" w:hAnsi="Arial"/>
          <w:sz w:val="16"/>
          <w:szCs w:val="16"/>
          <w:color w:val="auto"/>
        </w:rPr>
      </w:pPr>
    </w:p>
    <w:p>
      <w:pPr>
        <w:ind w:firstLine="638"/>
        <w:spacing w:after="0" w:line="287" w:lineRule="auto"/>
        <w:tabs>
          <w:tab w:leader="none" w:pos="1282"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91" w:lineRule="exact"/>
        <w:rPr>
          <w:rFonts w:ascii="Arial" w:cs="Arial" w:eastAsia="Arial" w:hAnsi="Arial"/>
          <w:sz w:val="16"/>
          <w:szCs w:val="16"/>
          <w:color w:val="auto"/>
        </w:rPr>
      </w:pPr>
    </w:p>
    <w:p>
      <w:pPr>
        <w:ind w:right="20" w:firstLine="638"/>
        <w:spacing w:after="0" w:line="280" w:lineRule="auto"/>
        <w:tabs>
          <w:tab w:leader="none" w:pos="1321"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a party to any collective bargaining agreement or employs any member of a union.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by the Company to be, in connection with employment by the Company,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200" w:lineRule="exact"/>
        <w:rPr>
          <w:rFonts w:ascii="Arial" w:cs="Arial" w:eastAsia="Arial" w:hAnsi="Arial"/>
          <w:sz w:val="16"/>
          <w:szCs w:val="16"/>
          <w:color w:val="auto"/>
        </w:rPr>
      </w:pPr>
    </w:p>
    <w:p>
      <w:pPr>
        <w:ind w:firstLine="638"/>
        <w:spacing w:after="0" w:line="285" w:lineRule="auto"/>
        <w:tabs>
          <w:tab w:leader="none" w:pos="1321"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The Company and its Subsidiaries have good and marketable title in fee simple to all real property, and have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242" w:name="page243"/>
    <w:bookmarkEnd w:id="242"/>
    <w:p>
      <w:pPr>
        <w:ind w:left="-20" w:right="80" w:firstLine="638"/>
        <w:spacing w:after="0" w:line="280" w:lineRule="auto"/>
        <w:tabs>
          <w:tab w:leader="none" w:pos="134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possess adequate rights or licenses to use all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to conduct their respective businesses as now conducted. None of the Company’s or its Subsidiaries’ Intellectual Property Rights have expired, terminated or been abandoned, or are expected to expire, terminate or be abandoned, within three years from the date of this Agreement. The Company has no knowledge of any infringement by the Company or any of its Subsidiaries of Intellectual Property Rights of others. There is no claim, action or proceeding being made or brought, or to the knowledge of the Company or any of its Subsidiaries, being threatened, against the Company or any of its Subsidiaries regarding their Intellectual Property Rights. The Company is not aware of any facts or circumstances which might give rise to any of the foregoing infringements or claims, actions or proceedings. The Company and each of its Subsidiaries have taken reasonable security measures to protect the secrecy, confidentiality and value of all of their Intellectual Property Rights.</w:t>
      </w:r>
    </w:p>
    <w:p>
      <w:pPr>
        <w:spacing w:after="0" w:line="200" w:lineRule="exact"/>
        <w:rPr>
          <w:rFonts w:ascii="Arial" w:cs="Arial" w:eastAsia="Arial" w:hAnsi="Arial"/>
          <w:sz w:val="16"/>
          <w:szCs w:val="16"/>
          <w:color w:val="auto"/>
        </w:rPr>
      </w:pPr>
    </w:p>
    <w:p>
      <w:pPr>
        <w:ind w:left="-20" w:firstLine="638"/>
        <w:spacing w:after="0" w:line="280" w:lineRule="auto"/>
        <w:tabs>
          <w:tab w:leader="none" w:pos="1301"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Environmental Laws (as defined below), (ii) have received all permits, licenses or other 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federal, state, local or foreign laws of the applicable jurisdictions to which the Company is subject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w:t>
      </w:r>
      <w:r>
        <w:rPr>
          <w:rFonts w:ascii="Arial" w:cs="Arial" w:eastAsia="Arial" w:hAnsi="Arial"/>
          <w:sz w:val="16"/>
          <w:szCs w:val="16"/>
          <w:color w:val="auto"/>
        </w:rPr>
        <w:t>”) into the environment, or otherwise relating to the manufacture, processing, distribution, use, treatment, storage, disposal, transport or handling of</w:t>
      </w:r>
      <w:r>
        <w:rPr>
          <w:rFonts w:ascii="Arial" w:cs="Arial" w:eastAsia="Arial" w:hAnsi="Arial"/>
          <w:sz w:val="16"/>
          <w:szCs w:val="16"/>
          <w:b w:val="1"/>
          <w:bCs w:val="1"/>
          <w:color w:val="auto"/>
        </w:rPr>
        <w:t xml:space="preserve"> </w:t>
      </w:r>
      <w:r>
        <w:rPr>
          <w:rFonts w:ascii="Arial" w:cs="Arial" w:eastAsia="Arial" w:hAnsi="Arial"/>
          <w:sz w:val="16"/>
          <w:szCs w:val="16"/>
          <w:color w:val="auto"/>
        </w:rPr>
        <w:t>Hazardous Materials, as well as all authorizations, codes, decrees, demands or demand letters, injunctions, judgments, licenses, notices or notice letters, orders, permits, plans or regulations issued, entered, promulgated or approved thereunder.</w:t>
      </w:r>
    </w:p>
    <w:p>
      <w:pPr>
        <w:spacing w:after="0" w:line="200" w:lineRule="exact"/>
        <w:rPr>
          <w:rFonts w:ascii="Arial" w:cs="Arial" w:eastAsia="Arial" w:hAnsi="Arial"/>
          <w:sz w:val="16"/>
          <w:szCs w:val="16"/>
          <w:color w:val="auto"/>
        </w:rPr>
      </w:pPr>
    </w:p>
    <w:p>
      <w:pPr>
        <w:ind w:left="-20" w:right="60" w:firstLine="638"/>
        <w:spacing w:after="0" w:line="325" w:lineRule="auto"/>
        <w:tabs>
          <w:tab w:leader="none" w:pos="1301"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Subsidiary Rights</w:t>
      </w:r>
      <w:r>
        <w:rPr>
          <w:rFonts w:ascii="Arial" w:cs="Arial" w:eastAsia="Arial" w:hAnsi="Arial"/>
          <w:sz w:val="16"/>
          <w:szCs w:val="16"/>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0" w:lineRule="exact"/>
        <w:rPr>
          <w:rFonts w:ascii="Arial" w:cs="Arial" w:eastAsia="Arial" w:hAnsi="Arial"/>
          <w:sz w:val="16"/>
          <w:szCs w:val="16"/>
          <w:color w:val="auto"/>
        </w:rPr>
      </w:pPr>
    </w:p>
    <w:p>
      <w:pPr>
        <w:ind w:left="-20" w:right="240" w:firstLine="638"/>
        <w:spacing w:after="0" w:line="248" w:lineRule="auto"/>
        <w:tabs>
          <w:tab w:leader="none" w:pos="1291"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The Company and each of its Subsidiaries (i) has timely paid all taxes and other governmental assessments and charges that are material in amount, shown or determined to be due, except those being contested in good faith and (ii) has set aside on its books provision reasonably adequate for the payment of all taxes for periods subsequent to the periods to which returns, reports or declarations were due.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10" w:right="239" w:bottom="1440" w:gutter="0" w:footer="0" w:header="0"/>
        </w:sectPr>
      </w:pPr>
    </w:p>
    <w:bookmarkStart w:id="243" w:name="page244"/>
    <w:bookmarkEnd w:id="243"/>
    <w:p>
      <w:pPr>
        <w:ind w:left="-20" w:firstLine="638"/>
        <w:spacing w:after="0" w:line="278" w:lineRule="auto"/>
        <w:tabs>
          <w:tab w:leader="none" w:pos="136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Since the date of the Company’s most recent audited financial statements contained in a Form 10-K, neither the Company nor any of its Subsidiaries has received any notice or correspondence from any accountant or other Person relating to any potential material weakness or significant deficiency in any part of the internal controls over financial reporting of the Company or any of its Subsidiaries.</w:t>
      </w:r>
    </w:p>
    <w:p>
      <w:pPr>
        <w:spacing w:after="0" w:line="204" w:lineRule="exact"/>
        <w:rPr>
          <w:rFonts w:ascii="Arial" w:cs="Arial" w:eastAsia="Arial" w:hAnsi="Arial"/>
          <w:sz w:val="16"/>
          <w:szCs w:val="16"/>
          <w:color w:val="auto"/>
        </w:rPr>
      </w:pPr>
    </w:p>
    <w:p>
      <w:pPr>
        <w:ind w:left="-20" w:right="40" w:firstLine="638"/>
        <w:spacing w:after="0" w:line="253" w:lineRule="auto"/>
        <w:tabs>
          <w:tab w:leader="none" w:pos="138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215" w:lineRule="exact"/>
        <w:rPr>
          <w:rFonts w:ascii="Arial" w:cs="Arial" w:eastAsia="Arial" w:hAnsi="Arial"/>
          <w:sz w:val="18"/>
          <w:szCs w:val="18"/>
          <w:color w:val="auto"/>
        </w:rPr>
      </w:pPr>
    </w:p>
    <w:p>
      <w:pPr>
        <w:ind w:left="-20" w:right="100" w:firstLine="638"/>
        <w:spacing w:after="0" w:line="300" w:lineRule="auto"/>
        <w:tabs>
          <w:tab w:leader="none" w:pos="136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44" w:name="page245"/>
    <w:bookmarkEnd w:id="244"/>
    <w:p>
      <w:pPr>
        <w:ind w:firstLine="638"/>
        <w:spacing w:after="0" w:line="279" w:lineRule="auto"/>
        <w:tabs>
          <w:tab w:leader="none" w:pos="140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Acknowledgement Regarding Buyers’ Trading Activity</w:t>
      </w:r>
      <w:r>
        <w:rPr>
          <w:rFonts w:ascii="Arial" w:cs="Arial" w:eastAsia="Arial" w:hAnsi="Arial"/>
          <w:sz w:val="16"/>
          <w:szCs w:val="16"/>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and (iii) each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Press Release (as defined below) one or more Buyers may engage in hedging and/or trading activities at various times during the period that the Securities are outstanding, including, without limitation, during the periods that the value and/or number of the Warrant Shares deliverable with respect to the Securities are being determined and (b) such hedging and/or trading activities,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or any other Transaction Document or any of the documents executed in connection herewith or therewith.</w:t>
      </w:r>
    </w:p>
    <w:p>
      <w:pPr>
        <w:spacing w:after="0" w:line="196" w:lineRule="exact"/>
        <w:rPr>
          <w:rFonts w:ascii="Arial" w:cs="Arial" w:eastAsia="Arial" w:hAnsi="Arial"/>
          <w:sz w:val="16"/>
          <w:szCs w:val="16"/>
          <w:color w:val="auto"/>
        </w:rPr>
      </w:pPr>
    </w:p>
    <w:p>
      <w:pPr>
        <w:ind w:firstLine="638"/>
        <w:spacing w:after="0" w:line="291" w:lineRule="auto"/>
        <w:tabs>
          <w:tab w:leader="none" w:pos="138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Manipulation of Price</w:t>
      </w:r>
      <w:r>
        <w:rPr>
          <w:rFonts w:ascii="Arial" w:cs="Arial" w:eastAsia="Arial" w:hAnsi="Arial"/>
          <w:sz w:val="16"/>
          <w:szCs w:val="16"/>
          <w:color w:val="auto"/>
        </w:rPr>
        <w:t>. Neither the Company nor any of its Subsidiaries has, and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188" w:lineRule="exact"/>
        <w:rPr>
          <w:rFonts w:ascii="Arial" w:cs="Arial" w:eastAsia="Arial" w:hAnsi="Arial"/>
          <w:sz w:val="16"/>
          <w:szCs w:val="16"/>
          <w:color w:val="auto"/>
        </w:rPr>
      </w:pPr>
    </w:p>
    <w:p>
      <w:pPr>
        <w:ind w:right="120" w:firstLine="638"/>
        <w:spacing w:after="0" w:line="253" w:lineRule="auto"/>
        <w:tabs>
          <w:tab w:leader="none" w:pos="1347"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Neither the Company nor any of its Subsidiaries is, or has ever been, and so long as any of the Securities are held by any of the Buyers, shall become, a U.S. real property holding corporation within the meaning of Section 897 of the Internal Revenue Code of 1986, as amended, and the Company and each Subsidiary shall so certify upon any Buyer’s request.</w:t>
      </w:r>
    </w:p>
    <w:p>
      <w:pPr>
        <w:spacing w:after="0" w:line="215" w:lineRule="exact"/>
        <w:rPr>
          <w:rFonts w:ascii="Arial" w:cs="Arial" w:eastAsia="Arial" w:hAnsi="Arial"/>
          <w:sz w:val="18"/>
          <w:szCs w:val="18"/>
          <w:color w:val="auto"/>
        </w:rPr>
      </w:pPr>
    </w:p>
    <w:p>
      <w:pPr>
        <w:ind w:left="1420" w:hanging="782"/>
        <w:spacing w:after="0"/>
        <w:tabs>
          <w:tab w:leader="none" w:pos="142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Registration Eligibility</w:t>
      </w:r>
      <w:r>
        <w:rPr>
          <w:rFonts w:ascii="Arial" w:cs="Arial" w:eastAsia="Arial" w:hAnsi="Arial"/>
          <w:sz w:val="16"/>
          <w:szCs w:val="16"/>
          <w:color w:val="auto"/>
        </w:rPr>
        <w:t>. The Company is eligible to register the issuance and sale of the Securities to the Buyers using Form S-3 promulgated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1933 Act.</w:t>
      </w:r>
    </w:p>
    <w:p>
      <w:pPr>
        <w:spacing w:after="0" w:line="229" w:lineRule="exact"/>
        <w:rPr>
          <w:rFonts w:ascii="Arial" w:cs="Arial" w:eastAsia="Arial" w:hAnsi="Arial"/>
          <w:sz w:val="16"/>
          <w:szCs w:val="16"/>
          <w:color w:val="auto"/>
        </w:rPr>
      </w:pPr>
    </w:p>
    <w:p>
      <w:pPr>
        <w:ind w:right="160" w:firstLine="638"/>
        <w:spacing w:after="0" w:line="253" w:lineRule="auto"/>
        <w:tabs>
          <w:tab w:leader="none" w:pos="140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On the Closing Date, all stock transfer or other taxes (other than income or similar taxes) which are required to be paid in connection with the issuance and sale of the Securities to be sold to each Buyer hereunder will be, or will have been, fully paid or provided for by the Company, and all laws imposing such taxes will be or will have been complied with.</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5" w:name="page246"/>
    <w:bookmarkEnd w:id="245"/>
    <w:p>
      <w:pPr>
        <w:ind w:firstLine="638"/>
        <w:spacing w:after="0" w:line="248" w:lineRule="auto"/>
        <w:tabs>
          <w:tab w:leader="none" w:pos="1331"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or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equity that is subject to the BHCA or to regulation by the Federal Reserve. Neither the Company nor any of its Subsidiaries or Affiliates exercises a controlling influence over the management or policies of a bank or any entity that is subject to the BHCA or to regulation by the Federal Reserve.</w:t>
      </w:r>
    </w:p>
    <w:p>
      <w:pPr>
        <w:spacing w:after="0" w:line="219" w:lineRule="exact"/>
        <w:rPr>
          <w:rFonts w:ascii="Arial" w:cs="Arial" w:eastAsia="Arial" w:hAnsi="Arial"/>
          <w:sz w:val="18"/>
          <w:szCs w:val="18"/>
          <w:color w:val="auto"/>
        </w:rPr>
      </w:pPr>
    </w:p>
    <w:p>
      <w:pPr>
        <w:ind w:right="140" w:firstLine="638"/>
        <w:spacing w:after="0" w:line="250" w:lineRule="auto"/>
        <w:tabs>
          <w:tab w:leader="none" w:pos="1331"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holder of securities of the Company has rights to the registration of any securities of the Company because of the issuance of the Securities hereunder that could expose the Company to material liability or any Buyer to any liability or that could impair the Company’s ability to consummate the issuance and sale of the Securities in the manner, and at the times, contemplated hereby, which rights have not been waived by the holder thereof as of the date hereof.</w:t>
      </w:r>
    </w:p>
    <w:p>
      <w:pPr>
        <w:spacing w:after="0" w:line="218" w:lineRule="exact"/>
        <w:rPr>
          <w:rFonts w:ascii="Arial" w:cs="Arial" w:eastAsia="Arial" w:hAnsi="Arial"/>
          <w:sz w:val="18"/>
          <w:szCs w:val="18"/>
          <w:color w:val="auto"/>
        </w:rPr>
      </w:pPr>
    </w:p>
    <w:p>
      <w:pPr>
        <w:ind w:right="720" w:firstLine="638"/>
        <w:spacing w:after="0" w:line="262" w:lineRule="auto"/>
        <w:tabs>
          <w:tab w:leader="none" w:pos="1321"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Public Utility Holding Act</w:t>
      </w:r>
      <w:r>
        <w:rPr>
          <w:rFonts w:ascii="Arial" w:cs="Arial" w:eastAsia="Arial" w:hAnsi="Arial"/>
          <w:sz w:val="18"/>
          <w:szCs w:val="18"/>
          <w:color w:val="auto"/>
        </w:rPr>
        <w:t>. None of the Company nor any of its Subsidiaries is a “holding company,” or an “Affiliate” of a “holding company,” as such terms are defined in the Public Utility Holding Act of 2005.</w:t>
      </w:r>
    </w:p>
    <w:p>
      <w:pPr>
        <w:spacing w:after="0" w:line="207" w:lineRule="exact"/>
        <w:rPr>
          <w:rFonts w:ascii="Arial" w:cs="Arial" w:eastAsia="Arial" w:hAnsi="Arial"/>
          <w:sz w:val="18"/>
          <w:szCs w:val="18"/>
          <w:color w:val="auto"/>
        </w:rPr>
      </w:pPr>
    </w:p>
    <w:p>
      <w:pPr>
        <w:ind w:left="1340" w:hanging="702"/>
        <w:spacing w:after="0"/>
        <w:tabs>
          <w:tab w:leader="none" w:pos="134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Federal Power Act</w:t>
      </w:r>
      <w:r>
        <w:rPr>
          <w:rFonts w:ascii="Arial" w:cs="Arial" w:eastAsia="Arial" w:hAnsi="Arial"/>
          <w:sz w:val="16"/>
          <w:szCs w:val="16"/>
          <w:color w:val="auto"/>
        </w:rPr>
        <w:t>. None of the Company nor any of its Subsidiaries is subject to regulation as a “public utility” under the Federal Power Act,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w:t>
      </w:r>
    </w:p>
    <w:p>
      <w:pPr>
        <w:spacing w:after="0" w:line="229" w:lineRule="exact"/>
        <w:rPr>
          <w:rFonts w:ascii="Arial" w:cs="Arial" w:eastAsia="Arial" w:hAnsi="Arial"/>
          <w:sz w:val="16"/>
          <w:szCs w:val="16"/>
          <w:color w:val="auto"/>
        </w:rPr>
      </w:pPr>
    </w:p>
    <w:p>
      <w:pPr>
        <w:ind w:right="60" w:firstLine="638"/>
        <w:spacing w:after="0" w:line="279" w:lineRule="auto"/>
        <w:tabs>
          <w:tab w:leader="none" w:pos="1331"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written disclosure provided to the Buyers regarding the Company and its Subsidiaries, their businesses and the transactions contemplated hereby, including the schedules to this Agreement, furnished by or on behalf of the Company or any of its Subsidiaries is true and correct in all material respects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187" w:lineRule="exact"/>
        <w:rPr>
          <w:rFonts w:ascii="Arial" w:cs="Arial" w:eastAsia="Arial" w:hAnsi="Arial"/>
          <w:sz w:val="16"/>
          <w:szCs w:val="16"/>
          <w:color w:val="auto"/>
        </w:rPr>
      </w:pPr>
    </w:p>
    <w:p>
      <w:pPr>
        <w:ind w:left="1560" w:hanging="922"/>
        <w:spacing w:after="0"/>
        <w:tabs>
          <w:tab w:leader="none" w:pos="1560"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No Tail Agreements</w:t>
      </w:r>
      <w:r>
        <w:rPr>
          <w:rFonts w:ascii="Arial" w:cs="Arial" w:eastAsia="Arial" w:hAnsi="Arial"/>
          <w:sz w:val="19"/>
          <w:szCs w:val="19"/>
          <w:color w:val="auto"/>
        </w:rPr>
        <w:t>. The Company hereby represents and warrants that it has not entered into, nor will it enter into</w:t>
      </w:r>
    </w:p>
    <w:p>
      <w:pPr>
        <w:spacing w:after="0" w:line="37"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without the consent of Empery Asset Management, LP, any agreement, written or oral, with any placement agent or underwriter which gives such party a right to receive fees or commissions based on future investments by any fund managed by, or affiliated with, Empery Asset Management, LP, other than investments that are scheduled to occur at the Closing or upon exercise of the Warrants.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46" w:name="page247"/>
    <w:bookmarkEnd w:id="246"/>
    <w:p>
      <w:pPr>
        <w:ind w:left="635" w:hanging="635"/>
        <w:spacing w:after="0"/>
        <w:tabs>
          <w:tab w:leader="none" w:pos="63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47" w:lineRule="exact"/>
        <w:rPr>
          <w:rFonts w:ascii="Arial" w:cs="Arial" w:eastAsia="Arial" w:hAnsi="Arial"/>
          <w:sz w:val="18"/>
          <w:szCs w:val="18"/>
          <w:b w:val="1"/>
          <w:bCs w:val="1"/>
          <w:color w:val="auto"/>
        </w:rPr>
      </w:pPr>
    </w:p>
    <w:p>
      <w:pPr>
        <w:ind w:left="-5" w:right="60" w:firstLine="638"/>
        <w:spacing w:after="0" w:line="303" w:lineRule="auto"/>
        <w:tabs>
          <w:tab w:leader="none" w:pos="1306" w:val="left"/>
        </w:tabs>
        <w:numPr>
          <w:ilvl w:val="1"/>
          <w:numId w:val="282"/>
        </w:numPr>
        <w:rPr>
          <w:rFonts w:ascii="Arial" w:cs="Arial" w:eastAsia="Arial" w:hAnsi="Arial"/>
          <w:sz w:val="15"/>
          <w:szCs w:val="15"/>
          <w:color w:val="auto"/>
        </w:rPr>
      </w:pPr>
      <w:r>
        <w:rPr>
          <w:rFonts w:ascii="Arial" w:cs="Arial" w:eastAsia="Arial" w:hAnsi="Arial"/>
          <w:sz w:val="15"/>
          <w:szCs w:val="15"/>
          <w:u w:val="single" w:color="auto"/>
          <w:color w:val="auto"/>
        </w:rPr>
        <w:t>Maintenance of Registration Statement</w:t>
      </w:r>
      <w:r>
        <w:rPr>
          <w:rFonts w:ascii="Arial" w:cs="Arial" w:eastAsia="Arial" w:hAnsi="Arial"/>
          <w:sz w:val="15"/>
          <w:szCs w:val="15"/>
          <w:color w:val="auto"/>
        </w:rPr>
        <w:t>. For so long as any of the Warrants remain outstanding, the Company shall use its reasonable best efforts to maintain the effectiveness of the Registration Statement for the issuance thereunder of the Warrant Shares, provided that, if at any time while the Warrants are outstanding the Company shall be ineligible to utilize Form S-3 (or any successor form) for the purpose of issuance of the Warrant Shares, the Company shall use its reasonable best efforts to promptly amend the Registration Statement on such other form as may be necessary to maintain the effectiveness of the Registration Statement for this purpose. If at any time following the date hereof the Registration Statement is not effective or is not otherwise available for the issuance of the Securities or any prospectus contained therein is not available for use, the Company shall immediately notify the holders of the Securities in writing that the Registration Statement is not then effective or a prospectus contained therein is not available for use and thereafter shall promptly notify such holders when the Registration Statement is effective again and available for the issuance of the Securities or such prospectus is again available for use.</w:t>
      </w:r>
    </w:p>
    <w:p>
      <w:pPr>
        <w:spacing w:after="0" w:line="182" w:lineRule="exact"/>
        <w:rPr>
          <w:rFonts w:ascii="Arial" w:cs="Arial" w:eastAsia="Arial" w:hAnsi="Arial"/>
          <w:sz w:val="15"/>
          <w:szCs w:val="15"/>
          <w:color w:val="auto"/>
        </w:rPr>
      </w:pPr>
    </w:p>
    <w:p>
      <w:pPr>
        <w:ind w:left="-5" w:right="20" w:firstLine="638"/>
        <w:spacing w:after="0" w:line="280" w:lineRule="auto"/>
        <w:tabs>
          <w:tab w:leader="none" w:pos="1316"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Prospectus Supplement and Blue Sky</w:t>
      </w:r>
      <w:r>
        <w:rPr>
          <w:rFonts w:ascii="Arial" w:cs="Arial" w:eastAsia="Arial" w:hAnsi="Arial"/>
          <w:sz w:val="16"/>
          <w:szCs w:val="16"/>
          <w:color w:val="auto"/>
        </w:rPr>
        <w:t>. Immediately prior to execution of this Agreement, the Company shall have delivered, and as soon as practicable after execution of this Agreement the Company shall file, but in no event later than 9:30 a.m. on the date hereof, the Prospectus Supplement with respect to the Securities as required under, and in conformity with, the 1933 Act, including Rule 424(b) thereunder. The Company shall have taken immediately upon execution of this Agreement such action, if any, as required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state and local laws, statutes, rules, regulations and the like relating to the offering and sale of the Securities to the Buyers. The Company shall use its reasonable best efforts to take all necessary action to ensure the compliance with all applicable securities laws (including without limitation “Blue Sky” laws) of the issuance of any Warrant Shares from time to time upon exercise of the Warrants.</w:t>
      </w:r>
    </w:p>
    <w:p>
      <w:pPr>
        <w:spacing w:after="0" w:line="190" w:lineRule="exact"/>
        <w:rPr>
          <w:rFonts w:ascii="Arial" w:cs="Arial" w:eastAsia="Arial" w:hAnsi="Arial"/>
          <w:sz w:val="16"/>
          <w:szCs w:val="16"/>
          <w:color w:val="auto"/>
        </w:rPr>
      </w:pPr>
    </w:p>
    <w:p>
      <w:pPr>
        <w:ind w:left="-5" w:firstLine="638"/>
        <w:spacing w:after="0" w:line="304" w:lineRule="auto"/>
        <w:tabs>
          <w:tab w:leader="none" w:pos="1306"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Reporting Status</w:t>
      </w:r>
      <w:r>
        <w:rPr>
          <w:rFonts w:ascii="Arial" w:cs="Arial" w:eastAsia="Arial" w:hAnsi="Arial"/>
          <w:sz w:val="16"/>
          <w:szCs w:val="16"/>
          <w:color w:val="auto"/>
        </w:rPr>
        <w:t>. Until the date on which no Warrants are outstanding (the “</w:t>
      </w:r>
      <w:r>
        <w:rPr>
          <w:rFonts w:ascii="Arial" w:cs="Arial" w:eastAsia="Arial" w:hAnsi="Arial"/>
          <w:sz w:val="16"/>
          <w:szCs w:val="16"/>
          <w:b w:val="1"/>
          <w:bCs w:val="1"/>
          <w:color w:val="auto"/>
        </w:rPr>
        <w:t>Reporting Period</w:t>
      </w:r>
      <w:r>
        <w:rPr>
          <w:rFonts w:ascii="Arial" w:cs="Arial" w:eastAsia="Arial" w:hAnsi="Arial"/>
          <w:sz w:val="16"/>
          <w:szCs w:val="16"/>
          <w:color w:val="auto"/>
        </w:rPr>
        <w:t>”), the Company shall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6" w:lineRule="exact"/>
        <w:rPr>
          <w:rFonts w:ascii="Arial" w:cs="Arial" w:eastAsia="Arial" w:hAnsi="Arial"/>
          <w:sz w:val="16"/>
          <w:szCs w:val="16"/>
          <w:color w:val="auto"/>
        </w:rPr>
      </w:pPr>
    </w:p>
    <w:p>
      <w:pPr>
        <w:ind w:left="-5" w:right="20" w:firstLine="638"/>
        <w:spacing w:after="0" w:line="283" w:lineRule="auto"/>
        <w:tabs>
          <w:tab w:leader="none" w:pos="1316"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Company agrees to send the following to each Buyer during the Reporting Period, unless the following are filed with the SEC through EDGAR and are available to the public through the EDGAR system, within one (1) Business Day after the filing thereof with the SEC, (i)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on the same day as the release thereof, facsimile copies of all press releases issued by the Company or any of its Subsidiaries and (iii) copies of any notices and other information made available or given to the stockholders of the Company generally, contemporaneously with the making available or giving thereof to the stockholders.</w:t>
      </w:r>
    </w:p>
    <w:p>
      <w:pPr>
        <w:spacing w:after="0" w:line="200" w:lineRule="exact"/>
        <w:rPr>
          <w:sz w:val="20"/>
          <w:szCs w:val="20"/>
          <w:color w:val="auto"/>
        </w:rPr>
      </w:pPr>
    </w:p>
    <w:p>
      <w:pPr>
        <w:spacing w:after="0" w:line="378"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15"/>
          </w:cols>
          <w:pgMar w:left="245" w:top="504" w:right="239" w:bottom="1440" w:gutter="0" w:footer="0" w:header="0"/>
        </w:sectPr>
      </w:pPr>
    </w:p>
    <w:bookmarkStart w:id="247" w:name="page248"/>
    <w:bookmarkEnd w:id="247"/>
    <w:p>
      <w:pPr>
        <w:ind w:firstLine="638"/>
        <w:spacing w:after="0" w:line="280" w:lineRule="auto"/>
        <w:tabs>
          <w:tab w:leader="none" w:pos="1311"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has secured the listing of all of the Common Shares and Warrant Shares (subject to notice of issuance) on the Principal Market in connection with the transactions contemplated hereby and by the Warrants and shall promptly secure the listing or designation for quotation (as the case may be) of all of the Common Shares and Warrant Shares upon each other national securities exchange and automated quotation system, if any, upon which the Common Stock is then listed or designated for quotation (as the case may be) (subject to official notice of issuance) (but in no event later than the Closing Date) and shall maintain such listing or designation for quotation (as the case may be) of all the shares of Common Stock from time to time issuable under the terms of the Transaction Documents on the Principal Market and such national securities exchange or automated quotation system. The Company shall maintain the Common Stock’s listing or designation for quotation (as the case may be) on the Principal Market, The New York Stock Exchange, the NYSE MKT, the Nasdaq Global Market, the Nasdaq Capital Market or the Nasdaq Global Select Market (each, an “</w:t>
      </w:r>
      <w:r>
        <w:rPr>
          <w:rFonts w:ascii="Arial" w:cs="Arial" w:eastAsia="Arial" w:hAnsi="Arial"/>
          <w:sz w:val="16"/>
          <w:szCs w:val="16"/>
          <w:b w:val="1"/>
          <w:bCs w:val="1"/>
          <w:color w:val="auto"/>
        </w:rPr>
        <w:t>Eligible Market</w:t>
      </w:r>
      <w:r>
        <w:rPr>
          <w:rFonts w:ascii="Arial" w:cs="Arial" w:eastAsia="Arial" w:hAnsi="Arial"/>
          <w:sz w:val="16"/>
          <w:szCs w:val="16"/>
          <w:color w:val="auto"/>
        </w:rPr>
        <w:t>”). Neither the Company nor any of its Subsidiaries shall take any action which could be reasonably expected to result in the delisting or suspension of the Common Stock on an Eligible Market (other than in connection with listing on a different Eligible Market). The Company shall pay all fees and expenses in connection with satisfying its obligations under this Section 4(f).</w:t>
      </w:r>
    </w:p>
    <w:p>
      <w:pPr>
        <w:spacing w:after="0" w:line="190" w:lineRule="exact"/>
        <w:rPr>
          <w:rFonts w:ascii="Arial" w:cs="Arial" w:eastAsia="Arial" w:hAnsi="Arial"/>
          <w:sz w:val="16"/>
          <w:szCs w:val="16"/>
          <w:color w:val="auto"/>
        </w:rPr>
      </w:pPr>
    </w:p>
    <w:p>
      <w:pPr>
        <w:ind w:right="100" w:firstLine="638"/>
        <w:spacing w:after="0" w:line="301" w:lineRule="auto"/>
        <w:tabs>
          <w:tab w:leader="none" w:pos="1291"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Fees</w:t>
      </w:r>
      <w:r>
        <w:rPr>
          <w:rFonts w:ascii="Arial" w:cs="Arial" w:eastAsia="Arial" w:hAnsi="Arial"/>
          <w:sz w:val="15"/>
          <w:szCs w:val="15"/>
          <w:color w:val="auto"/>
        </w:rPr>
        <w:t>. The Company shall reimburse Iroquois Master Fund Ltd. (“</w:t>
      </w:r>
      <w:r>
        <w:rPr>
          <w:rFonts w:ascii="Arial" w:cs="Arial" w:eastAsia="Arial" w:hAnsi="Arial"/>
          <w:sz w:val="15"/>
          <w:szCs w:val="15"/>
          <w:b w:val="1"/>
          <w:bCs w:val="1"/>
          <w:color w:val="auto"/>
        </w:rPr>
        <w:t>Iroquois</w:t>
      </w:r>
      <w:r>
        <w:rPr>
          <w:rFonts w:ascii="Arial" w:cs="Arial" w:eastAsia="Arial" w:hAnsi="Arial"/>
          <w:sz w:val="15"/>
          <w:szCs w:val="15"/>
          <w:color w:val="auto"/>
        </w:rPr>
        <w:t>”) or its designee(s) for all costs and expenses incurred by it or its affiliates in connection with the transactions contemplated by the Transaction Documents (including, without limitation, all legal fees and disbursements in connection therewith, structuring, documentation and implementation of the transactions contemplated by the Transaction Documents and due diligence and regulatory filings in connection therewith) in a non-accountable amount equal to $40,000, which amount shall be withheld by Iroquois from its Purchase Price at the Closing or paid by the Company on demand by Iroquois if Iroquois terminates its obligations under this Agreement in accordance with Section 7 (as the case may be), less $20,000 which was previously advanced to Iroquois by the Company. The Company shall be responsible for the payment of any placement agent’s fees, financial advisory fees, or broker’s commissions (other than for Persons engaged by any Buyer) relating to or arising out of the transactions contemplated hereby (including, without limitation, any fees payable to the placement agents,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84" w:lineRule="exact"/>
        <w:rPr>
          <w:rFonts w:ascii="Arial" w:cs="Arial" w:eastAsia="Arial" w:hAnsi="Arial"/>
          <w:sz w:val="15"/>
          <w:szCs w:val="15"/>
          <w:color w:val="auto"/>
        </w:rPr>
      </w:pPr>
    </w:p>
    <w:p>
      <w:pPr>
        <w:ind w:right="200" w:firstLine="638"/>
        <w:spacing w:after="0" w:line="285" w:lineRule="auto"/>
        <w:tabs>
          <w:tab w:leader="none" w:pos="1321"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Pledge of Securities</w:t>
      </w:r>
      <w:r>
        <w:rPr>
          <w:rFonts w:ascii="Arial" w:cs="Arial" w:eastAsia="Arial" w:hAnsi="Arial"/>
          <w:sz w:val="16"/>
          <w:szCs w:val="16"/>
          <w:color w:val="auto"/>
        </w:rPr>
        <w:t>.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8" w:name="page249"/>
    <w:bookmarkEnd w:id="248"/>
    <w:p>
      <w:pPr>
        <w:ind w:left="-60" w:firstLine="638"/>
        <w:spacing w:after="0" w:line="276" w:lineRule="auto"/>
        <w:tabs>
          <w:tab w:leader="none" w:pos="1261"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Transactions and Other Material Information</w:t>
      </w:r>
      <w:r>
        <w:rPr>
          <w:rFonts w:ascii="Arial" w:cs="Arial" w:eastAsia="Arial" w:hAnsi="Arial"/>
          <w:sz w:val="16"/>
          <w:szCs w:val="16"/>
          <w:color w:val="auto"/>
        </w:rPr>
        <w:t>. The Company shall, on or before 9:30 a.m. (but in no event prior to 9:15 a.m.), New York time, on the date hereof issue a press release (the “</w:t>
      </w:r>
      <w:r>
        <w:rPr>
          <w:rFonts w:ascii="Arial" w:cs="Arial" w:eastAsia="Arial" w:hAnsi="Arial"/>
          <w:sz w:val="16"/>
          <w:szCs w:val="16"/>
          <w:b w:val="1"/>
          <w:bCs w:val="1"/>
          <w:color w:val="auto"/>
        </w:rPr>
        <w:t>Press Release</w:t>
      </w:r>
      <w:r>
        <w:rPr>
          <w:rFonts w:ascii="Arial" w:cs="Arial" w:eastAsia="Arial" w:hAnsi="Arial"/>
          <w:sz w:val="16"/>
          <w:szCs w:val="16"/>
          <w:color w:val="auto"/>
        </w:rPr>
        <w:t>”) reasonably acceptable to the Buyers and the Company disclosing all the material terms of the transactions contemplated by the Transaction Documents. On the date hereof,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and the form of Warrants) (including all attachments, the “</w:t>
      </w:r>
      <w:r>
        <w:rPr>
          <w:rFonts w:ascii="Arial" w:cs="Arial" w:eastAsia="Arial" w:hAnsi="Arial"/>
          <w:sz w:val="16"/>
          <w:szCs w:val="16"/>
          <w:b w:val="1"/>
          <w:bCs w:val="1"/>
          <w:color w:val="auto"/>
        </w:rPr>
        <w:t>8-K</w:t>
      </w:r>
      <w:r>
        <w:rPr>
          <w:rFonts w:ascii="Arial" w:cs="Arial" w:eastAsia="Arial" w:hAnsi="Arial"/>
          <w:sz w:val="16"/>
          <w:szCs w:val="16"/>
          <w:color w:val="auto"/>
        </w:rPr>
        <w:t xml:space="preserve"> </w:t>
      </w:r>
      <w:r>
        <w:rPr>
          <w:rFonts w:ascii="Arial" w:cs="Arial" w:eastAsia="Arial" w:hAnsi="Arial"/>
          <w:sz w:val="16"/>
          <w:szCs w:val="16"/>
          <w:b w:val="1"/>
          <w:bCs w:val="1"/>
          <w:color w:val="auto"/>
        </w:rPr>
        <w:t>Filing</w:t>
      </w:r>
      <w:r>
        <w:rPr>
          <w:rFonts w:ascii="Arial" w:cs="Arial" w:eastAsia="Arial" w:hAnsi="Arial"/>
          <w:sz w:val="16"/>
          <w:szCs w:val="16"/>
          <w:color w:val="auto"/>
        </w:rPr>
        <w:t>”). From and after the issuance of the Press Release, the Company shall have disclosed all material, non-public information (if any) delivered to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Buyers by the Company or any of its Subsidiaries, or any of their respective officers, directors, employees or agents. In addition, effective after the issuance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If a Buyer has, or believes it has, received any such material, nonpublic information regarding the Company or any of its Subsidiaries from the Company, any of its Subsidiaries or any of their respective officers, directors, affiliates, employees or agents, it may provide the Company with written notice thereof. The Company shall, within two (2) Trading Days of receipt of such notice, make public disclosure of such material, nonpublic information. In the event of a breach of any of the foregoing covenants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material, non-public information without the prior approval by the Company, any of its Subsidiaries, or any of its or their respective officers, directors, employees or agents. No Buyer shall have any liability to the Company, any of its Subsidiaries, or any of its or their respective officers, directors, employees, stockholders or agents, for any such disclosure. To the extent that the Company delivers any material, non-public information to a Buyer without such Buyer's consent, the Company hereby covenants and agrees that such Buyer shall not have any duty of confidentiality to the Company, any of its Subsidiaries or any of their respective officers, directors, employees, affiliates or agents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Unless required by applicable law, without the prior written consent of the applicable Buyer, the Company shall not (and shall cause each of its Subsidiaries and Affiliates to not) disclose the name of such Buyer in any filing (other than in the Transaction Documents filed as exhibits to the 8-K Filing), announcement, release or otherwise. Notwithstanding anything contained in this Agreement to the contrary and without implication that the contrary would otherwise be true, the Company expressly acknowledges and agrees that no Buyer has had, and no Buyer shall have (unless expressly agreed to by a particular Buyer after the date hereof in a written definitive and binding agreement executed by the Company and such particular Buyer), any duty of confidentiality with respect to, or a duty not to trade on the basis of, any material, non-public information regarding the Company or any of its Subsidiaries.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74930</wp:posOffset>
            </wp:positionV>
            <wp:extent cx="725424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300" w:top="510" w:right="279" w:bottom="1440" w:gutter="0" w:footer="0" w:header="0"/>
        </w:sectPr>
      </w:pPr>
    </w:p>
    <w:bookmarkStart w:id="249" w:name="page250"/>
    <w:bookmarkEnd w:id="249"/>
    <w:p>
      <w:pPr>
        <w:ind w:left="-40" w:firstLine="638"/>
        <w:spacing w:after="0" w:line="277" w:lineRule="auto"/>
        <w:tabs>
          <w:tab w:leader="none" w:pos="1242"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Additional Issuance of Securities</w:t>
      </w:r>
      <w:r>
        <w:rPr>
          <w:rFonts w:ascii="Arial" w:cs="Arial" w:eastAsia="Arial" w:hAnsi="Arial"/>
          <w:sz w:val="16"/>
          <w:szCs w:val="16"/>
          <w:color w:val="auto"/>
        </w:rPr>
        <w:t>. The Company agrees that for the period commencing on the date hereof and ending on the date immediately following the seventy-fifth (75th) day after the date hereof (the “</w:t>
      </w:r>
      <w:r>
        <w:rPr>
          <w:rFonts w:ascii="Arial" w:cs="Arial" w:eastAsia="Arial" w:hAnsi="Arial"/>
          <w:sz w:val="16"/>
          <w:szCs w:val="16"/>
          <w:b w:val="1"/>
          <w:bCs w:val="1"/>
          <w:color w:val="auto"/>
        </w:rPr>
        <w:t>Restricted Period</w:t>
      </w:r>
      <w:r>
        <w:rPr>
          <w:rFonts w:ascii="Arial" w:cs="Arial" w:eastAsia="Arial" w:hAnsi="Arial"/>
          <w:sz w:val="16"/>
          <w:szCs w:val="16"/>
          <w:color w:val="auto"/>
        </w:rPr>
        <w:t>”), unless otherwise consented to in writing by Iroquois, neither the Company nor any of its Subsidiaries shall directly or indirectly issue, offer, sell, grant any option or right to purchase, or otherwise dispose of (or announce any issuance, offer, sale, grant of any option or right to purchase or other disposition of) any Common Stock or any security or any debt or other instrument convertible or exchangeable or exercisable into Common Stock or which constitutes (or would constitute but for lack of a fixed exercise or conversion or similar price or if it were not solely cash settled) a “derivative security” (as defined under the rules and regulations under Section 16 of the 1934 Act) or otherwise an equity-linked or related security (including, without limitation, any “equity security” (as that term is defined under Rule 405 promulgated under the 1933 Act) or which does or would otherwise constitute any Option or Convertible Security (as defined in the Warrants) (any such issuance, offer, sale, grant, disposition or announcement (whether occurring during the Restricted Period or at any time thereafter) is referred to as a “</w:t>
      </w:r>
      <w:r>
        <w:rPr>
          <w:rFonts w:ascii="Arial" w:cs="Arial" w:eastAsia="Arial" w:hAnsi="Arial"/>
          <w:sz w:val="16"/>
          <w:szCs w:val="16"/>
          <w:b w:val="1"/>
          <w:bCs w:val="1"/>
          <w:color w:val="auto"/>
        </w:rPr>
        <w:t>Subsequent Placement</w:t>
      </w:r>
      <w:r>
        <w:rPr>
          <w:rFonts w:ascii="Arial" w:cs="Arial" w:eastAsia="Arial" w:hAnsi="Arial"/>
          <w:sz w:val="16"/>
          <w:szCs w:val="16"/>
          <w:color w:val="auto"/>
        </w:rPr>
        <w:t>”). Notwithstanding the foregoing, the immediately preceding sentence in this Section 4(i) shall not apply in respect of the issuance of (A) shares of Common Stock or standard options to purchase Common Stock or other standard equity linked securities (e.g., stock appreciation rights) to directors, officers, employees or consultants of the Company in their capacity as such pursuant to an Approved Share Plan (as defined below); provided that (1) all such issuances that are exercisable or vest during the Restricted Period (taking into account the shares of Common Stock issuable upon exercise of such options and equity linked securities that are exercisable or vest during the Restricted Period, but not including shares issuable pursuant to Options or Convertible Securities outstanding as of the date hereof) and are issued after the date hereof pursuant to this clause (A) do not, in the aggregate, exceed more than (i) 1,000,000 shares of Common Stock or standard options to purchase Common Stock or other standard equity linked securities (e.g., stock appreciation rights) to directors, officers or employees and (ii) 1,000,000 shares of Common Stock or standard options to purchase Common Stock or other standard equity linked securities (e.g., stock appreciation rights) to any person (provided that no more than 250,000 shall be issued as compensation for investor relation services) ; (2)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and (3) the issuance price of Common Stock or the exercise price of any such options is not lower than the higher of (i) $0.30 or (ii) the closing price of the Company’s Common Stock on the OTC Bulletin Board on the trading day prior to the issuance of such Common Stock or option; (B) shares of Common Stock issued upon the conversion or exercise of Options or Convertible Securities issued prior to the date hereof to the extent issued pursuant to their terms as of the date hereof; (C) the Common Shares and the Warrants; (D) the Warrant Shares; (E) issuances of equity to a seller, or in the case of a merger, the shareholders of the target company in such merger, or the officers or employees thereof, in each case in connection with a bona fide merger, business combination transaction or acquisition of stock or assets outside of the ordinary course; (F) a stock split or other subdivision or combination, or a stock dividend made to all holders of any Company equity on a pro rata basis; or (G) issuances of Common Stock or Convertible Securities in connection with strategic partnerships, joint ventures, licensing, acquisition of assets or technology, or similar arrangements approved by a majority of the disinterested directors of the Company,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80" w:top="510" w:right="279" w:bottom="1440" w:gutter="0" w:footer="0" w:header="0"/>
        </w:sectPr>
      </w:pPr>
    </w:p>
    <w:bookmarkStart w:id="250" w:name="page251"/>
    <w:bookmarkEnd w:id="250"/>
    <w:p>
      <w:pPr>
        <w:ind w:right="40"/>
        <w:spacing w:after="0" w:line="279" w:lineRule="auto"/>
        <w:rPr>
          <w:sz w:val="20"/>
          <w:szCs w:val="20"/>
          <w:color w:val="auto"/>
        </w:rPr>
      </w:pPr>
      <w:r>
        <w:rPr>
          <w:rFonts w:ascii="Arial" w:cs="Arial" w:eastAsia="Arial" w:hAnsi="Arial"/>
          <w:sz w:val="16"/>
          <w:szCs w:val="16"/>
          <w:color w:val="auto"/>
        </w:rPr>
        <w:t>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(each of the foregoing in clauses (A) through (G), collectively the “</w:t>
      </w:r>
      <w:r>
        <w:rPr>
          <w:rFonts w:ascii="Arial" w:cs="Arial" w:eastAsia="Arial" w:hAnsi="Arial"/>
          <w:sz w:val="16"/>
          <w:szCs w:val="16"/>
          <w:b w:val="1"/>
          <w:bCs w:val="1"/>
          <w:color w:val="auto"/>
        </w:rPr>
        <w:t>Excluded Securities</w:t>
      </w:r>
      <w:r>
        <w:rPr>
          <w:rFonts w:ascii="Arial" w:cs="Arial" w:eastAsia="Arial" w:hAnsi="Arial"/>
          <w:sz w:val="16"/>
          <w:szCs w:val="16"/>
          <w:color w:val="auto"/>
        </w:rPr>
        <w:t>”). Furthermore, notwithstanding the foregoing, this Section 4(i) shall not apply in respect of the issuance of securities in connection with a Permitted Issuance. “</w:t>
      </w:r>
      <w:r>
        <w:rPr>
          <w:rFonts w:ascii="Arial" w:cs="Arial" w:eastAsia="Arial" w:hAnsi="Arial"/>
          <w:sz w:val="16"/>
          <w:szCs w:val="16"/>
          <w:b w:val="1"/>
          <w:bCs w:val="1"/>
          <w:color w:val="auto"/>
        </w:rPr>
        <w:t>Approved Share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means any employee benefit plan which has been approved by the board of directors of the Company prior to or subsequent to the date hereof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shares of Common Stock and equity securities may be issued to any employee, officer, director or consultant for services provided to the Company in their capacity as such.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 “</w:t>
      </w:r>
      <w:r>
        <w:rPr>
          <w:rFonts w:ascii="Arial" w:cs="Arial" w:eastAsia="Arial" w:hAnsi="Arial"/>
          <w:sz w:val="16"/>
          <w:szCs w:val="16"/>
          <w:b w:val="1"/>
          <w:bCs w:val="1"/>
          <w:color w:val="auto"/>
        </w:rPr>
        <w:t>Permitted Issuance</w:t>
      </w:r>
      <w:r>
        <w:rPr>
          <w:rFonts w:ascii="Arial" w:cs="Arial" w:eastAsia="Arial" w:hAnsi="Arial"/>
          <w:sz w:val="16"/>
          <w:szCs w:val="16"/>
          <w:color w:val="auto"/>
        </w:rPr>
        <w:t>” shall mean a transaction to be completed on or prior to March 1, 2015, pursuant to which the Company will issue shares of Common Stock or equity linked securities to Dart Asset Management and/or its affiliates (collectively “DAM”) on terms that are materially similar to or less advantageous to DAM than those under which the Buyers purchased the Securities in this offering.</w:t>
      </w:r>
    </w:p>
    <w:p>
      <w:pPr>
        <w:spacing w:after="0" w:line="199" w:lineRule="exact"/>
        <w:rPr>
          <w:sz w:val="20"/>
          <w:szCs w:val="20"/>
          <w:color w:val="auto"/>
        </w:rPr>
      </w:pPr>
    </w:p>
    <w:p>
      <w:pPr>
        <w:ind w:firstLine="638"/>
        <w:spacing w:after="0" w:line="253" w:lineRule="auto"/>
        <w:tabs>
          <w:tab w:leader="none" w:pos="1282"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So long as any of the Warrants remain outstanding, the Company shall take all action necessary to at all times have authorized, and reserved for the purpose of issuance, the maximum number of shares of Common Stock issuable upon exercise of all the Warrants (without regard to any limitations on the exercise of the Warrants set forth therein).</w:t>
      </w:r>
    </w:p>
    <w:p>
      <w:pPr>
        <w:spacing w:after="0" w:line="215" w:lineRule="exact"/>
        <w:rPr>
          <w:rFonts w:ascii="Arial" w:cs="Arial" w:eastAsia="Arial" w:hAnsi="Arial"/>
          <w:sz w:val="18"/>
          <w:szCs w:val="18"/>
          <w:color w:val="auto"/>
        </w:rPr>
      </w:pPr>
    </w:p>
    <w:p>
      <w:pPr>
        <w:ind w:right="320" w:firstLine="638"/>
        <w:spacing w:after="0" w:line="253" w:lineRule="auto"/>
        <w:tabs>
          <w:tab w:leader="none" w:pos="1321"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So long as any of the Warrants remain outstanding, the business of the Company and its Subsidiaries shall not be conducted in violation of any law, ordinance or regulation of any governmental entity in any jurisdiction to which the Company is subject, except where such violations would not result, either individually or in the aggregate, in a Material Adverse Effect.</w:t>
      </w:r>
    </w:p>
    <w:p>
      <w:pPr>
        <w:spacing w:after="0" w:line="215" w:lineRule="exact"/>
        <w:rPr>
          <w:rFonts w:ascii="Arial" w:cs="Arial" w:eastAsia="Arial" w:hAnsi="Arial"/>
          <w:sz w:val="18"/>
          <w:szCs w:val="18"/>
          <w:color w:val="auto"/>
        </w:rPr>
      </w:pPr>
    </w:p>
    <w:p>
      <w:pPr>
        <w:ind w:firstLine="638"/>
        <w:spacing w:after="0" w:line="280" w:lineRule="auto"/>
        <w:tabs>
          <w:tab w:leader="none" w:pos="1282"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During the two year period commencing on the Closing Date, the Company and each Subsidiary shall be prohibited from effecting, or entering into an agreement to effect, any Subsequent Placement involving a Variable Rate Transaction. “Variable Rate Transaction”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51" w:name="page252"/>
    <w:bookmarkEnd w:id="251"/>
    <w:p>
      <w:pPr>
        <w:ind w:firstLine="638"/>
        <w:spacing w:after="0" w:line="325" w:lineRule="auto"/>
        <w:tabs>
          <w:tab w:leader="none" w:pos="137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Corporate Existence</w:t>
      </w:r>
      <w:r>
        <w:rPr>
          <w:rFonts w:ascii="Arial" w:cs="Arial" w:eastAsia="Arial" w:hAnsi="Arial"/>
          <w:sz w:val="16"/>
          <w:szCs w:val="16"/>
          <w:color w:val="auto"/>
        </w:rPr>
        <w:t>. So long as any Buyer owns any Warrants, the Company shall not be party to any Fundamental Transaction (as defined in the Warrants) unless the Company is in compliance with the applicable provisions governing Fundamental Transactions set forth in the Warrants.</w:t>
      </w:r>
    </w:p>
    <w:p>
      <w:pPr>
        <w:spacing w:after="0" w:line="160" w:lineRule="exact"/>
        <w:rPr>
          <w:rFonts w:ascii="Arial" w:cs="Arial" w:eastAsia="Arial" w:hAnsi="Arial"/>
          <w:sz w:val="16"/>
          <w:szCs w:val="16"/>
          <w:color w:val="auto"/>
        </w:rPr>
      </w:pPr>
    </w:p>
    <w:p>
      <w:pPr>
        <w:ind w:right="360" w:firstLine="638"/>
        <w:spacing w:after="0" w:line="300" w:lineRule="auto"/>
        <w:tabs>
          <w:tab w:leader="none" w:pos="1321"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Participation Right</w:t>
      </w:r>
      <w:r>
        <w:rPr>
          <w:rFonts w:ascii="Arial" w:cs="Arial" w:eastAsia="Arial" w:hAnsi="Arial"/>
          <w:sz w:val="16"/>
          <w:szCs w:val="16"/>
          <w:color w:val="auto"/>
        </w:rPr>
        <w:t>. From the date hereof through the one year anniversary of the Closing Date, neither the Company nor any of its Subsidiaries shall, directly or indirectly, effect any Subsequent Placement unless the Company shall have first complied with this Section 4(n). The Company acknowledges and agrees that the right set forth in this Section 4(n) is a right granted by the Company, separately, to each Buyer.</w:t>
      </w:r>
    </w:p>
    <w:p>
      <w:pPr>
        <w:spacing w:after="0" w:line="180" w:lineRule="exact"/>
        <w:rPr>
          <w:rFonts w:ascii="Arial" w:cs="Arial" w:eastAsia="Arial" w:hAnsi="Arial"/>
          <w:sz w:val="16"/>
          <w:szCs w:val="16"/>
          <w:color w:val="auto"/>
        </w:rPr>
      </w:pPr>
    </w:p>
    <w:p>
      <w:pPr>
        <w:jc w:val="both"/>
        <w:ind w:left="800" w:firstLine="629"/>
        <w:spacing w:after="0" w:line="279" w:lineRule="auto"/>
        <w:tabs>
          <w:tab w:leader="none" w:pos="21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At least five (5) Trading Days prior to any proposed or intended Subsequent Placement, the Company shall deliver to each Buyer a written notice as to whether such Buyer wants to receive material, non-public information about the Company (each such notice, a “</w:t>
      </w:r>
      <w:r>
        <w:rPr>
          <w:rFonts w:ascii="Arial" w:cs="Arial" w:eastAsia="Arial" w:hAnsi="Arial"/>
          <w:sz w:val="16"/>
          <w:szCs w:val="16"/>
          <w:b w:val="1"/>
          <w:bCs w:val="1"/>
          <w:color w:val="auto"/>
        </w:rPr>
        <w:t>Pre-Notice</w:t>
      </w:r>
      <w:r>
        <w:rPr>
          <w:rFonts w:ascii="Arial" w:cs="Arial" w:eastAsia="Arial" w:hAnsi="Arial"/>
          <w:sz w:val="16"/>
          <w:szCs w:val="16"/>
          <w:color w:val="auto"/>
        </w:rPr>
        <w:t>”). Upon the written request of a Buyer to receive such material, non-public information within three (3) Trading Days after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to such Buyer of such Pre-Notice, and only upon a written request by such Buyer, the Company shall promptly, but no later than one (1) Trading Day after such request, deliver to such Buyer an irrevocable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such Buyers in accordance with the terms of the Offer up to an aggregate of 50% of the Offered Securities, provided that the number of Offered Securities which each such Buyer shall have the right to subscribe for under this Section 4(n) shall be (a) based on such Buyer’s pro rata portion of the Common Stock purchased hereunder by all Buyers (the “</w:t>
      </w:r>
      <w:r>
        <w:rPr>
          <w:rFonts w:ascii="Arial" w:cs="Arial" w:eastAsia="Arial" w:hAnsi="Arial"/>
          <w:sz w:val="16"/>
          <w:szCs w:val="16"/>
          <w:b w:val="1"/>
          <w:bCs w:val="1"/>
          <w:color w:val="auto"/>
        </w:rPr>
        <w:t>Basic</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and (b) with respect to each Buyer that elects to purchase its Basic Amount, any additional portion of the Offered Securities attributable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Basic Amounts of other Buyers as such Buyer shall indicate it will purchase or acquire should the other Buyers subscribe for less than their Basic Amounts (the “</w:t>
      </w:r>
      <w:r>
        <w:rPr>
          <w:rFonts w:ascii="Arial" w:cs="Arial" w:eastAsia="Arial" w:hAnsi="Arial"/>
          <w:sz w:val="16"/>
          <w:szCs w:val="16"/>
          <w:b w:val="1"/>
          <w:bCs w:val="1"/>
          <w:color w:val="auto"/>
        </w:rPr>
        <w:t>Undersubscription Amount</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left="800" w:firstLine="629"/>
        <w:spacing w:after="0" w:line="272" w:lineRule="auto"/>
        <w:tabs>
          <w:tab w:leader="none" w:pos="219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To accept an Offer, in whole or in part, such Buyer must deliver a written notice to the Company prior to the end of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after such Buyer’s receipt of the Offer Notice (the “</w:t>
      </w:r>
      <w:r>
        <w:rPr>
          <w:rFonts w:ascii="Arial" w:cs="Arial" w:eastAsia="Arial" w:hAnsi="Arial"/>
          <w:sz w:val="16"/>
          <w:szCs w:val="16"/>
          <w:b w:val="1"/>
          <w:bCs w:val="1"/>
          <w:color w:val="auto"/>
        </w:rPr>
        <w:t>Offer Period</w:t>
      </w:r>
      <w:r>
        <w:rPr>
          <w:rFonts w:ascii="Arial" w:cs="Arial" w:eastAsia="Arial" w:hAnsi="Arial"/>
          <w:sz w:val="16"/>
          <w:szCs w:val="16"/>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Arial" w:cs="Arial" w:eastAsia="Arial" w:hAnsi="Arial"/>
          <w:sz w:val="16"/>
          <w:szCs w:val="16"/>
          <w:b w:val="1"/>
          <w:bCs w:val="1"/>
          <w:color w:val="auto"/>
        </w:rPr>
        <w:t>Notice of Acceptance</w:t>
      </w:r>
      <w:r>
        <w:rPr>
          <w:rFonts w:ascii="Arial" w:cs="Arial" w:eastAsia="Arial" w:hAnsi="Arial"/>
          <w:sz w:val="16"/>
          <w:szCs w:val="16"/>
          <w:color w:val="auto"/>
        </w:rPr>
        <w:t>”). If the Basic Amounts subscribed for by all Buyers are less than the total of all of the Basic Amounts, then such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Arial" w:cs="Arial" w:eastAsia="Arial" w:hAnsi="Arial"/>
          <w:sz w:val="16"/>
          <w:szCs w:val="16"/>
          <w:b w:val="1"/>
          <w:bCs w:val="1"/>
          <w:color w:val="auto"/>
        </w:rPr>
        <w:t>Available</w:t>
      </w:r>
      <w:r>
        <w:rPr>
          <w:rFonts w:ascii="Arial" w:cs="Arial" w:eastAsia="Arial" w:hAnsi="Arial"/>
          <w:sz w:val="16"/>
          <w:szCs w:val="16"/>
          <w:color w:val="auto"/>
        </w:rPr>
        <w:t xml:space="preserve"> </w:t>
      </w:r>
      <w:r>
        <w:rPr>
          <w:rFonts w:ascii="Arial" w:cs="Arial" w:eastAsia="Arial" w:hAnsi="Arial"/>
          <w:sz w:val="16"/>
          <w:szCs w:val="16"/>
          <w:b w:val="1"/>
          <w:bCs w:val="1"/>
          <w:color w:val="auto"/>
        </w:rPr>
        <w:t>Undersubscription Amount</w:t>
      </w:r>
      <w:r>
        <w:rPr>
          <w:rFonts w:ascii="Arial" w:cs="Arial" w:eastAsia="Arial" w:hAnsi="Arial"/>
          <w:sz w:val="16"/>
          <w:szCs w:val="16"/>
          <w:color w:val="auto"/>
        </w:rPr>
        <w:t>”), such Buyer who has subscribed for any Undersubscription Amount shall be entitled to purchase only that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Available Undersubscription Amount as the Basic Amount of such Buyer bears to the total Basic Amounts of all Buyers that have subscribed for Undersubscription Amounts (but in no event shall it be greater than such Buyer’s specified Undersubscription Amount),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after such Buyer’s receipt of such new Offer Notice.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2" w:name="page253"/>
    <w:bookmarkEnd w:id="252"/>
    <w:p>
      <w:pPr>
        <w:jc w:val="both"/>
        <w:ind w:left="-400" w:firstLine="629"/>
        <w:spacing w:after="0" w:line="282" w:lineRule="auto"/>
        <w:tabs>
          <w:tab w:leader="none" w:pos="102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Company shall have ten (10) days from the expiration of the Offer Period above (i) to offer, issue, sell or exchange all or any part of such Offered Securities as to which a Notice of Acceptance has not been given by a Buyer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agreement(s)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(ii)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95" w:lineRule="exact"/>
        <w:rPr>
          <w:rFonts w:ascii="Arial" w:cs="Arial" w:eastAsia="Arial" w:hAnsi="Arial"/>
          <w:sz w:val="16"/>
          <w:szCs w:val="16"/>
          <w:color w:val="auto"/>
        </w:rPr>
      </w:pPr>
    </w:p>
    <w:p>
      <w:pPr>
        <w:jc w:val="both"/>
        <w:ind w:left="-400" w:firstLine="629"/>
        <w:spacing w:after="0" w:line="281" w:lineRule="auto"/>
        <w:tabs>
          <w:tab w:leader="none" w:pos="105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In the event the Company shall propose to sell less than all the Refused Securities (any such sale to be in the manner and on the terms specified in Section 5(o)(iii) above), then such Buyer may, at its sole option and in its sole discretion, reduce the number or amount of the Offered Securities specified in its Notice of Acceptance to an amount that shall be not less than the number or amount of the Offered Securities that such Buyer elected to purchase pursuant to Section 4(n)(iii) above multiplied by a fraction, (i) the numerator of which shall be the number or amount of Offered Securities the Company actually proposes to issue, sell or exchange (including Offered Securities to be issued or sold to Buyers pursuant to this Section 4(n)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4(n)(i) above.</w:t>
      </w:r>
    </w:p>
    <w:p>
      <w:pPr>
        <w:spacing w:after="0" w:line="197" w:lineRule="exact"/>
        <w:rPr>
          <w:rFonts w:ascii="Arial" w:cs="Arial" w:eastAsia="Arial" w:hAnsi="Arial"/>
          <w:sz w:val="16"/>
          <w:szCs w:val="16"/>
          <w:color w:val="auto"/>
        </w:rPr>
      </w:pPr>
    </w:p>
    <w:p>
      <w:pPr>
        <w:jc w:val="both"/>
        <w:ind w:left="-400" w:firstLine="629"/>
        <w:spacing w:after="0" w:line="291" w:lineRule="auto"/>
        <w:tabs>
          <w:tab w:leader="none" w:pos="92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88" w:lineRule="exact"/>
        <w:rPr>
          <w:rFonts w:ascii="Arial" w:cs="Arial" w:eastAsia="Arial" w:hAnsi="Arial"/>
          <w:sz w:val="16"/>
          <w:szCs w:val="16"/>
          <w:color w:val="auto"/>
        </w:rPr>
      </w:pPr>
    </w:p>
    <w:p>
      <w:pPr>
        <w:ind w:left="-400" w:firstLine="629"/>
        <w:spacing w:after="0" w:line="262" w:lineRule="auto"/>
        <w:tabs>
          <w:tab w:leader="none" w:pos="104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Offered Securities not acquired by a Buyer or other Persons in accordance with this Section 4(n) may not be issued, sold or exchanged until they are again offered to such Buyer under the procedures specified in this Agreement.</w:t>
      </w:r>
    </w:p>
    <w:p>
      <w:pPr>
        <w:spacing w:after="0" w:line="200" w:lineRule="exact"/>
        <w:rPr>
          <w:sz w:val="20"/>
          <w:szCs w:val="20"/>
          <w:color w:val="auto"/>
        </w:rPr>
      </w:pP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53" w:name="page254"/>
    <w:bookmarkEnd w:id="253"/>
    <w:p>
      <w:pPr>
        <w:jc w:val="both"/>
        <w:ind w:left="800" w:firstLine="629"/>
        <w:spacing w:after="0" w:line="287" w:lineRule="auto"/>
        <w:tabs>
          <w:tab w:leader="none" w:pos="246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Company and each Buyer agree that if any Buyer elects to participate in the Offer,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 Placement Documents</w:t>
      </w:r>
      <w:r>
        <w:rPr>
          <w:rFonts w:ascii="Arial" w:cs="Arial" w:eastAsia="Arial" w:hAnsi="Arial"/>
          <w:sz w:val="16"/>
          <w:szCs w:val="16"/>
          <w:color w:val="auto"/>
        </w:rPr>
        <w:t>”) shall include any term or provision whereby such Buyer shall be required to agree to any restrictions on trading as to any securities of the Company or be required to consent to any amendment to or termination of, or grant any waiver or release or the like under or in connection with, any agreement previously entered into with the Company or any instrument received from the Company.</w:t>
      </w:r>
    </w:p>
    <w:p>
      <w:pPr>
        <w:spacing w:after="0" w:line="191" w:lineRule="exact"/>
        <w:rPr>
          <w:rFonts w:ascii="Arial" w:cs="Arial" w:eastAsia="Arial" w:hAnsi="Arial"/>
          <w:sz w:val="16"/>
          <w:szCs w:val="16"/>
          <w:color w:val="auto"/>
        </w:rPr>
      </w:pPr>
    </w:p>
    <w:p>
      <w:pPr>
        <w:jc w:val="both"/>
        <w:ind w:left="800" w:firstLine="629"/>
        <w:spacing w:after="0" w:line="270" w:lineRule="auto"/>
        <w:tabs>
          <w:tab w:leader="none" w:pos="2345"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4(n)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following delivery of the Offer Notice. If by such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and any and all confidentiality or similar obligations under any agreement, whether written or oral, between the Company, any of its Subsidiaries or any of their respective officers, directors, affiliates, employees or agents, on the one hand, and such Buyer or any of its affiliates, on the other hand, shall terminate. Should the Company decide to pursue such transaction with respect to the Offered Securities, the Company shall provide such Buyer with another Offer Notice in accordance with, and subject to, the terms of this Section 4(n) and such Buyer will again have the right of participation set forth in this Section 4(n). The Company shall not be permitted to deliver more than one Offer Notice to such Buyer in any sixty (60) day period, except as expressly contemplated by the last sentence of Section 4(n)(ii).</w:t>
      </w:r>
    </w:p>
    <w:p>
      <w:pPr>
        <w:spacing w:after="0" w:line="207" w:lineRule="exact"/>
        <w:rPr>
          <w:rFonts w:ascii="Arial" w:cs="Arial" w:eastAsia="Arial" w:hAnsi="Arial"/>
          <w:sz w:val="16"/>
          <w:szCs w:val="16"/>
          <w:color w:val="auto"/>
        </w:rPr>
      </w:pPr>
    </w:p>
    <w:p>
      <w:pPr>
        <w:ind w:left="800" w:firstLine="629"/>
        <w:spacing w:after="0" w:line="325" w:lineRule="auto"/>
        <w:tabs>
          <w:tab w:leader="none" w:pos="232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restrictions contained in this Section 4(n) shall not apply in connection with the issuance of any Excluded Securities. The Company shall not circumvent the provisions of this Section 4(n) by providing terms or conditions to one Buyer that are not provided to all Buyers.</w:t>
      </w:r>
    </w:p>
    <w:p>
      <w:pPr>
        <w:spacing w:after="0" w:line="160" w:lineRule="exact"/>
        <w:rPr>
          <w:rFonts w:ascii="Arial" w:cs="Arial" w:eastAsia="Arial" w:hAnsi="Arial"/>
          <w:sz w:val="16"/>
          <w:szCs w:val="16"/>
          <w:color w:val="auto"/>
        </w:rPr>
      </w:pPr>
    </w:p>
    <w:p>
      <w:pPr>
        <w:ind w:right="40" w:firstLine="638"/>
        <w:spacing w:after="0" w:line="253" w:lineRule="auto"/>
        <w:tabs>
          <w:tab w:leader="none" w:pos="1321"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proceeds from the sale of the Securities solely for working capital, sales and marketing, research and development and the Ayer Option payment, but not for (i) the repayment of any outstanding indebtedness of the Company or any of its Subsidiaries or (ii) the redemption or repurchase of any of its or its Subsidiaries’ equity securities.</w:t>
      </w:r>
    </w:p>
    <w:p>
      <w:pPr>
        <w:spacing w:after="0" w:line="215" w:lineRule="exact"/>
        <w:rPr>
          <w:rFonts w:ascii="Arial" w:cs="Arial" w:eastAsia="Arial" w:hAnsi="Arial"/>
          <w:sz w:val="18"/>
          <w:szCs w:val="18"/>
          <w:color w:val="auto"/>
        </w:rPr>
      </w:pPr>
    </w:p>
    <w:p>
      <w:pPr>
        <w:ind w:right="100" w:firstLine="638"/>
        <w:spacing w:after="0" w:line="262" w:lineRule="auto"/>
        <w:tabs>
          <w:tab w:leader="none" w:pos="1321"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Foreign Qualification.</w:t>
      </w:r>
      <w:r>
        <w:rPr>
          <w:rFonts w:ascii="Arial" w:cs="Arial" w:eastAsia="Arial" w:hAnsi="Arial"/>
          <w:sz w:val="18"/>
          <w:szCs w:val="18"/>
          <w:color w:val="auto"/>
        </w:rPr>
        <w:t xml:space="preserve"> The Company shall be duly qualified as a foreign entity to do business and in good standing in the state of Washington within ten (10) Business Days of the Closing.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4" w:name="page255"/>
    <w:bookmarkEnd w:id="254"/>
    <w:p>
      <w:pPr>
        <w:jc w:val="both"/>
        <w:ind w:left="-5" w:right="100" w:firstLine="638"/>
        <w:spacing w:after="0" w:line="253" w:lineRule="auto"/>
        <w:tabs>
          <w:tab w:leader="none" w:pos="1316"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Closing Documents</w:t>
      </w:r>
      <w:r>
        <w:rPr>
          <w:rFonts w:ascii="Arial" w:cs="Arial" w:eastAsia="Arial" w:hAnsi="Arial"/>
          <w:sz w:val="18"/>
          <w:szCs w:val="18"/>
          <w:color w:val="auto"/>
        </w:rPr>
        <w:t>. On or prior to twenty (20) calendar days after the Closing Date, the Company agrees to deliver, or cause to be delivered, to each Buyer and Mintz, Levin, Cohn, Ferris, Glovsky and Popeo, P.C. a complete closing set of the executed Transaction Documents, Securities and any other documents required to be delivered to any party pursuant to Section 6 hereof or otherwise.</w:t>
      </w:r>
    </w:p>
    <w:p>
      <w:pPr>
        <w:spacing w:after="0" w:line="209" w:lineRule="exact"/>
        <w:rPr>
          <w:rFonts w:ascii="Arial" w:cs="Arial" w:eastAsia="Arial" w:hAnsi="Arial"/>
          <w:sz w:val="18"/>
          <w:szCs w:val="18"/>
          <w:color w:val="auto"/>
        </w:rPr>
      </w:pPr>
    </w:p>
    <w:p>
      <w:pPr>
        <w:ind w:left="635" w:hanging="635"/>
        <w:spacing w:after="0"/>
        <w:tabs>
          <w:tab w:leader="none" w:pos="635"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TRANSFER AGENT INSTRUCTIONS; LEGEND.</w:t>
      </w:r>
    </w:p>
    <w:p>
      <w:pPr>
        <w:spacing w:after="0" w:line="247" w:lineRule="exact"/>
        <w:rPr>
          <w:rFonts w:ascii="Arial" w:cs="Arial" w:eastAsia="Arial" w:hAnsi="Arial"/>
          <w:sz w:val="18"/>
          <w:szCs w:val="18"/>
          <w:b w:val="1"/>
          <w:bCs w:val="1"/>
          <w:color w:val="auto"/>
        </w:rPr>
      </w:pPr>
    </w:p>
    <w:p>
      <w:pPr>
        <w:ind w:left="-5" w:firstLine="638"/>
        <w:spacing w:after="0" w:line="287" w:lineRule="auto"/>
        <w:tabs>
          <w:tab w:leader="none" w:pos="1306"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Company shall maintain at its principal executive offices (or such other office or agency of the Company as it may designate by notice to each holder of Securities), a register for the Common Shares and the Warrants in which the Company shall record the name and address of the Person in whose name the Common Shares and the Warrants have been issued (including the name and address of each transferee), the number of Common Shares held by such Person and the number of Warrant Shares issuable upon exercise of the Warrants held by such Person. The Company shall keep the register open and available at all times during business hours for inspection of any Buyer or its legal representatives.</w:t>
      </w:r>
    </w:p>
    <w:p>
      <w:pPr>
        <w:spacing w:after="0" w:line="191" w:lineRule="exact"/>
        <w:rPr>
          <w:rFonts w:ascii="Arial" w:cs="Arial" w:eastAsia="Arial" w:hAnsi="Arial"/>
          <w:sz w:val="16"/>
          <w:szCs w:val="16"/>
          <w:color w:val="auto"/>
        </w:rPr>
      </w:pPr>
    </w:p>
    <w:p>
      <w:pPr>
        <w:ind w:left="-5" w:right="60" w:firstLine="638"/>
        <w:spacing w:after="0" w:line="279" w:lineRule="auto"/>
        <w:tabs>
          <w:tab w:leader="none" w:pos="1316"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the Transfer Agent in the form previously provided to the Company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issue certificates or credit shares to the applicable balance accounts at DTC, without restriction and registered in the name of each Buyer or its respective nominee(s), for the Common Shares and the Warrant Shares in such amounts as specified from time to time by each Buyer to the Company upon delivery of the Common Shares or the exercise of the Warrants (as the case may be). The Company represents and warrants that no instruction other than the Irrevocable Transfer Agent Instructions referred to in this Section 5(b) will be given by the Company to the Transfer Agent with respect to the Securities, and that the Securities shall otherwise be freely transferable on the books and records of the Company. If a Buyer effects a sale, assignment or transfer of the Securities, the Company shall permit the transfer and shall promptly instruct the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each Buyer. Accordingly, the Company acknowledges that the remedy at law for a breach of its obligations under this Section 5(b) will be inadequate and agrees, in the event of a breach or threatened breach by the Company of the provisions of this Section 5(b), that each Buyer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pacing w:after="0" w:line="199" w:lineRule="exact"/>
        <w:rPr>
          <w:rFonts w:ascii="Arial" w:cs="Arial" w:eastAsia="Arial" w:hAnsi="Arial"/>
          <w:sz w:val="16"/>
          <w:szCs w:val="16"/>
          <w:color w:val="auto"/>
        </w:rPr>
      </w:pPr>
    </w:p>
    <w:p>
      <w:pPr>
        <w:ind w:left="1315" w:hanging="682"/>
        <w:spacing w:after="0"/>
        <w:tabs>
          <w:tab w:leader="none" w:pos="131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Certificates and any other instruments evidencing the Securities shall not bear any restrictive or other legend.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55"/>
          </w:cols>
          <w:pgMar w:left="245" w:top="510" w:right="299" w:bottom="1440" w:gutter="0" w:footer="0" w:header="0"/>
        </w:sectPr>
      </w:pPr>
    </w:p>
    <w:bookmarkStart w:id="255" w:name="page256"/>
    <w:bookmarkEnd w:id="255"/>
    <w:p>
      <w:pPr>
        <w:ind w:left="640" w:hanging="635"/>
        <w:spacing w:after="0"/>
        <w:tabs>
          <w:tab w:leader="none" w:pos="64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BUYER’S OBLIGATION TO PURCHASE.</w:t>
      </w:r>
    </w:p>
    <w:p>
      <w:pPr>
        <w:spacing w:after="0" w:line="247" w:lineRule="exact"/>
        <w:rPr>
          <w:rFonts w:ascii="Arial" w:cs="Arial" w:eastAsia="Arial" w:hAnsi="Arial"/>
          <w:sz w:val="18"/>
          <w:szCs w:val="18"/>
          <w:b w:val="1"/>
          <w:bCs w:val="1"/>
          <w:color w:val="auto"/>
        </w:rPr>
      </w:pPr>
    </w:p>
    <w:p>
      <w:pPr>
        <w:ind w:right="360" w:firstLine="638"/>
        <w:spacing w:after="0" w:line="300" w:lineRule="auto"/>
        <w:tabs>
          <w:tab w:leader="none" w:pos="130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obligation of each Buyer hereunder to purchase its applicable Common Shares and the related Warrants at the Closing is subject to the satisfaction, at or before the Closing Date and in respect of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80" w:lineRule="exact"/>
        <w:rPr>
          <w:rFonts w:ascii="Arial" w:cs="Arial" w:eastAsia="Arial" w:hAnsi="Arial"/>
          <w:sz w:val="16"/>
          <w:szCs w:val="16"/>
          <w:color w:val="auto"/>
        </w:rPr>
      </w:pPr>
    </w:p>
    <w:p>
      <w:pPr>
        <w:ind w:left="1920" w:hanging="649"/>
        <w:spacing w:after="0"/>
        <w:tabs>
          <w:tab w:leader="none" w:pos="1920" w:val="left"/>
        </w:tabs>
        <w:numPr>
          <w:ilvl w:val="2"/>
          <w:numId w:val="293"/>
        </w:numPr>
        <w:rPr>
          <w:rFonts w:ascii="Arial" w:cs="Arial" w:eastAsia="Arial" w:hAnsi="Arial"/>
          <w:sz w:val="16"/>
          <w:szCs w:val="16"/>
          <w:color w:val="auto"/>
        </w:rPr>
      </w:pPr>
      <w:r>
        <w:rPr>
          <w:rFonts w:ascii="Arial" w:cs="Arial" w:eastAsia="Arial" w:hAnsi="Arial"/>
          <w:sz w:val="16"/>
          <w:szCs w:val="16"/>
          <w:color w:val="auto"/>
        </w:rPr>
        <w:t>The Company shall have duly executed and delivered to such Buyer each of the Transaction Documents to which it is a party.</w:t>
      </w:r>
    </w:p>
    <w:p>
      <w:pPr>
        <w:spacing w:after="0" w:line="264" w:lineRule="exact"/>
        <w:rPr>
          <w:rFonts w:ascii="Arial" w:cs="Arial" w:eastAsia="Arial" w:hAnsi="Arial"/>
          <w:sz w:val="16"/>
          <w:szCs w:val="16"/>
          <w:color w:val="auto"/>
        </w:rPr>
      </w:pPr>
    </w:p>
    <w:p>
      <w:pPr>
        <w:ind w:right="40" w:firstLine="1271"/>
        <w:spacing w:after="0" w:line="250" w:lineRule="auto"/>
        <w:tabs>
          <w:tab w:leader="none" w:pos="196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Company shall provide to Buyer satisfactory evidence from the Secretary of State of its jurisdiction of formation that the Company has been formed and is in good standing and shall deliver to such Buyer a certificate evidencing the formation and good standing of the Company in its jurisdiction of formation issued by the Secretary of State (or comparable office) of such jurisdiction of formation as of a date within ten (10) days following the Closing Date.</w:t>
      </w:r>
    </w:p>
    <w:p>
      <w:pPr>
        <w:spacing w:after="0" w:line="218" w:lineRule="exact"/>
        <w:rPr>
          <w:rFonts w:ascii="Arial" w:cs="Arial" w:eastAsia="Arial" w:hAnsi="Arial"/>
          <w:sz w:val="18"/>
          <w:szCs w:val="18"/>
          <w:color w:val="auto"/>
        </w:rPr>
      </w:pPr>
    </w:p>
    <w:p>
      <w:pPr>
        <w:ind w:firstLine="1271"/>
        <w:spacing w:after="0" w:line="250" w:lineRule="auto"/>
        <w:tabs>
          <w:tab w:leader="none" w:pos="2009"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Company’s qualification as a foreign corporation and good standing issued by the Secretary of State (or comparable office) of each jurisdiction in which the Company conducts business and is required to so qualify as of a date within ten (10) days of the Closing Date (other than for the state of Washington which the Company shall deliver to Buyer within ten (10) days following the Closing Date).</w:t>
      </w:r>
    </w:p>
    <w:p>
      <w:pPr>
        <w:spacing w:after="0" w:line="218" w:lineRule="exact"/>
        <w:rPr>
          <w:rFonts w:ascii="Arial" w:cs="Arial" w:eastAsia="Arial" w:hAnsi="Arial"/>
          <w:sz w:val="18"/>
          <w:szCs w:val="18"/>
          <w:color w:val="auto"/>
        </w:rPr>
      </w:pPr>
    </w:p>
    <w:p>
      <w:pPr>
        <w:ind w:right="260" w:firstLine="1271"/>
        <w:spacing w:after="0" w:line="262" w:lineRule="auto"/>
        <w:tabs>
          <w:tab w:leader="none" w:pos="1999"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true and correct Certificate of Incorporation as of the date hereof and shall deliver a certified copy from the Nevada Secretary of State within ten (10) days following the Closing Date.</w:t>
      </w:r>
    </w:p>
    <w:p>
      <w:pPr>
        <w:spacing w:after="0" w:line="207" w:lineRule="exact"/>
        <w:rPr>
          <w:rFonts w:ascii="Arial" w:cs="Arial" w:eastAsia="Arial" w:hAnsi="Arial"/>
          <w:sz w:val="18"/>
          <w:szCs w:val="18"/>
          <w:color w:val="auto"/>
        </w:rPr>
      </w:pPr>
    </w:p>
    <w:p>
      <w:pPr>
        <w:ind w:right="140" w:firstLine="1271"/>
        <w:spacing w:after="0" w:line="328" w:lineRule="auto"/>
        <w:tabs>
          <w:tab w:leader="none" w:pos="1950" w:val="left"/>
        </w:tabs>
        <w:numPr>
          <w:ilvl w:val="2"/>
          <w:numId w:val="293"/>
        </w:numPr>
        <w:rPr>
          <w:rFonts w:ascii="Arial" w:cs="Arial" w:eastAsia="Arial" w:hAnsi="Arial"/>
          <w:sz w:val="15"/>
          <w:szCs w:val="15"/>
          <w:color w:val="auto"/>
        </w:rPr>
      </w:pPr>
      <w:r>
        <w:rPr>
          <w:rFonts w:ascii="Arial" w:cs="Arial" w:eastAsia="Arial" w:hAnsi="Arial"/>
          <w:sz w:val="15"/>
          <w:szCs w:val="15"/>
          <w:color w:val="auto"/>
        </w:rPr>
        <w:t>The Company shall have delivered to such Buyer a certificate, in the form reasonably acceptable to such Buyer, executed by the Secretary of the Company and dated as of the Closing Date, as to (i) the resolutions consistent with Section 3(b) as adopted by the Company’s board of directors in a form reasonably acceptable to such Buyer, (ii) Certificate of Incorporation, and (iii) the Bylaws of the Company, in each case, as in effect at the Closing.</w:t>
      </w:r>
    </w:p>
    <w:p>
      <w:pPr>
        <w:spacing w:after="0" w:line="162" w:lineRule="exact"/>
        <w:rPr>
          <w:rFonts w:ascii="Arial" w:cs="Arial" w:eastAsia="Arial" w:hAnsi="Arial"/>
          <w:sz w:val="15"/>
          <w:szCs w:val="15"/>
          <w:color w:val="auto"/>
        </w:rPr>
      </w:pPr>
    </w:p>
    <w:p>
      <w:pPr>
        <w:ind w:right="40" w:firstLine="1271"/>
        <w:spacing w:after="0" w:line="281" w:lineRule="auto"/>
        <w:tabs>
          <w:tab w:leader="none" w:pos="2002" w:val="left"/>
        </w:tabs>
        <w:numPr>
          <w:ilvl w:val="2"/>
          <w:numId w:val="293"/>
        </w:numPr>
        <w:rPr>
          <w:rFonts w:ascii="Arial" w:cs="Arial" w:eastAsia="Arial" w:hAnsi="Arial"/>
          <w:sz w:val="16"/>
          <w:szCs w:val="16"/>
          <w:color w:val="auto"/>
        </w:rPr>
      </w:pPr>
      <w:r>
        <w:rPr>
          <w:rFonts w:ascii="Arial" w:cs="Arial" w:eastAsia="Arial" w:hAnsi="Arial"/>
          <w:sz w:val="16"/>
          <w:szCs w:val="16"/>
          <w:color w:val="auto"/>
        </w:rPr>
        <w:t>Each and every representation and warranty of the Company shall be true and correct in all material respects as of the date when made and as of the Closing Date as though originally made at that time (except that (1) representations and warranties that speak as of a specific date shall be true and correct in all material respects as of such date and (2) representations and warranties that are qualified by material, Material Adverse Effect or other similar materiality qualifiers shall be true and correct in all respects) and the Company shall have performed, satisfied and complied in all material respects with the covenants, agreements and conditions required to be performed, satisfied or complied with by the Company at or prior to the Closing Date, including, without limitation the issuance of all Securities prior to the date of such Closing as required by the Transaction Documents and the Company has a sufficient number of duly authorized shares of Common Stock reserved for issuance as may be required to fulfill its obligations pursuant to the Transaction Documents. Such Buyer shall have received a certificate, executed by the Chief Executive Officer of the Company, dated as of the Closing Date, to the foregoing effect and as to such other matters as may be reasonably requested by such Buyer in the form reasonably acceptable to such Buyer.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56" w:name="page257"/>
    <w:bookmarkEnd w:id="256"/>
    <w:p>
      <w:pPr>
        <w:ind w:left="-20" w:right="300" w:firstLine="1271"/>
        <w:spacing w:after="0" w:line="262" w:lineRule="auto"/>
        <w:tabs>
          <w:tab w:leader="none" w:pos="20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shall have delivered to such Buyer a report from the Company’s transfer agent identifying the number of shares of Common Stock outstanding on the Closing Date immediately prior to the Closing.</w:t>
      </w:r>
    </w:p>
    <w:p>
      <w:pPr>
        <w:spacing w:after="0" w:line="207" w:lineRule="exact"/>
        <w:rPr>
          <w:rFonts w:ascii="Arial" w:cs="Arial" w:eastAsia="Arial" w:hAnsi="Arial"/>
          <w:sz w:val="18"/>
          <w:szCs w:val="18"/>
          <w:color w:val="auto"/>
        </w:rPr>
      </w:pPr>
    </w:p>
    <w:p>
      <w:pPr>
        <w:ind w:left="-20" w:right="40" w:firstLine="1271"/>
        <w:spacing w:after="0" w:line="250" w:lineRule="auto"/>
        <w:tabs>
          <w:tab w:leader="none" w:pos="207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Common Stock (I) shall be designated for quotation or listed on the Principal Market and (II) shall not have been suspended, as of the Closing Date, by the SEC or the Principal Market from trading or quotation on the Principal Market nor shall suspension by the SEC or the Principal Market have been threatened, as of the Closing Date, either (A) in writing by the SEC or the Principal Market or (B) by falling below the minimum maintenance requirements, if any, of the Principal Market.</w:t>
      </w:r>
    </w:p>
    <w:p>
      <w:pPr>
        <w:spacing w:after="0" w:line="218" w:lineRule="exact"/>
        <w:rPr>
          <w:rFonts w:ascii="Arial" w:cs="Arial" w:eastAsia="Arial" w:hAnsi="Arial"/>
          <w:sz w:val="18"/>
          <w:szCs w:val="18"/>
          <w:color w:val="auto"/>
        </w:rPr>
      </w:pPr>
    </w:p>
    <w:p>
      <w:pPr>
        <w:ind w:left="-20" w:right="60" w:firstLine="1271"/>
        <w:spacing w:after="0" w:line="262" w:lineRule="auto"/>
        <w:tabs>
          <w:tab w:leader="none" w:pos="197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207" w:lineRule="exact"/>
        <w:rPr>
          <w:rFonts w:ascii="Arial" w:cs="Arial" w:eastAsia="Arial" w:hAnsi="Arial"/>
          <w:sz w:val="18"/>
          <w:szCs w:val="18"/>
          <w:color w:val="auto"/>
        </w:rPr>
      </w:pPr>
    </w:p>
    <w:p>
      <w:pPr>
        <w:ind w:left="-20" w:right="40" w:firstLine="1271"/>
        <w:spacing w:after="0" w:line="250" w:lineRule="auto"/>
        <w:tabs>
          <w:tab w:leader="none" w:pos="193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 and no actions, suits or proceedings shall be in progress or pending by any Person that seeks to enjoin, prohibit or otherwise adversely affect any of the transactions contemplated by the Transaction Documents.</w:t>
      </w:r>
    </w:p>
    <w:p>
      <w:pPr>
        <w:spacing w:after="0" w:line="218" w:lineRule="exact"/>
        <w:rPr>
          <w:rFonts w:ascii="Arial" w:cs="Arial" w:eastAsia="Arial" w:hAnsi="Arial"/>
          <w:sz w:val="18"/>
          <w:szCs w:val="18"/>
          <w:color w:val="auto"/>
        </w:rPr>
      </w:pPr>
    </w:p>
    <w:p>
      <w:pPr>
        <w:ind w:left="-20" w:firstLine="1271"/>
        <w:spacing w:after="0" w:line="300" w:lineRule="auto"/>
        <w:tabs>
          <w:tab w:leader="none" w:pos="198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Since the date of execution of this Agreement, no event or series of events shall have occurred that reasonably would have or result in a Material Adverse Effect and the Company has not filed for nor is it subject to any bankruptcy, insolvency, reorganization or liquidation proceedings or other proceedings for relief under any bankruptcy law or any law for the relief of debtors instituted by or against the Company.</w:t>
      </w:r>
    </w:p>
    <w:p>
      <w:pPr>
        <w:spacing w:after="0" w:line="180" w:lineRule="exact"/>
        <w:rPr>
          <w:rFonts w:ascii="Arial" w:cs="Arial" w:eastAsia="Arial" w:hAnsi="Arial"/>
          <w:sz w:val="16"/>
          <w:szCs w:val="16"/>
          <w:color w:val="auto"/>
        </w:rPr>
      </w:pPr>
    </w:p>
    <w:p>
      <w:pPr>
        <w:ind w:left="-20" w:right="500" w:firstLine="1271"/>
        <w:spacing w:after="0" w:line="262" w:lineRule="auto"/>
        <w:tabs>
          <w:tab w:leader="none" w:pos="20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shall have delivered to such Buyer such other documents, instruments or certificates relating to the transactions contemplated by this Agreement reasonably required to consummate the transactions contemplated hereby.</w:t>
      </w:r>
    </w:p>
    <w:p>
      <w:pPr>
        <w:spacing w:after="0" w:line="207" w:lineRule="exact"/>
        <w:rPr>
          <w:rFonts w:ascii="Arial" w:cs="Arial" w:eastAsia="Arial" w:hAnsi="Arial"/>
          <w:sz w:val="18"/>
          <w:szCs w:val="18"/>
          <w:color w:val="auto"/>
        </w:rPr>
      </w:pPr>
    </w:p>
    <w:p>
      <w:pPr>
        <w:ind w:left="-20" w:right="20" w:firstLine="1271"/>
        <w:spacing w:after="0" w:line="262" w:lineRule="auto"/>
        <w:tabs>
          <w:tab w:leader="none" w:pos="2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Such Buyer shall have received the opinion of Sanders Ortoli Vaughn-Flam Rosenstadt LLP, the Company’s counsel, dated as of the Closing Date, in the form reasonably acceptable to such Buyer.</w:t>
      </w:r>
    </w:p>
    <w:p>
      <w:pPr>
        <w:spacing w:after="0" w:line="207" w:lineRule="exact"/>
        <w:rPr>
          <w:rFonts w:ascii="Arial" w:cs="Arial" w:eastAsia="Arial" w:hAnsi="Arial"/>
          <w:sz w:val="18"/>
          <w:szCs w:val="18"/>
          <w:color w:val="auto"/>
        </w:rPr>
      </w:pPr>
    </w:p>
    <w:p>
      <w:pPr>
        <w:ind w:left="-20" w:right="500" w:firstLine="1271"/>
        <w:spacing w:after="0" w:line="262" w:lineRule="auto"/>
        <w:tabs>
          <w:tab w:leader="none" w:pos="206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copy of the Irrevocable Transfer Agent Instructions, in the form previously provided to the Company, and which have been delivered to and acknowledged in writing by the Transfer Agent.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10" w:right="239" w:bottom="1440" w:gutter="0" w:footer="0" w:header="0"/>
        </w:sectPr>
      </w:pPr>
    </w:p>
    <w:bookmarkStart w:id="257" w:name="page258"/>
    <w:bookmarkEnd w:id="257"/>
    <w:p>
      <w:pPr>
        <w:ind w:left="640" w:hanging="635"/>
        <w:spacing w:after="0"/>
        <w:tabs>
          <w:tab w:leader="none" w:pos="6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47" w:lineRule="exact"/>
        <w:rPr>
          <w:sz w:val="20"/>
          <w:szCs w:val="20"/>
          <w:color w:val="auto"/>
        </w:rPr>
      </w:pPr>
    </w:p>
    <w:p>
      <w:pPr>
        <w:ind w:firstLine="633"/>
        <w:spacing w:after="0" w:line="281" w:lineRule="auto"/>
        <w:rPr>
          <w:sz w:val="20"/>
          <w:szCs w:val="20"/>
          <w:color w:val="auto"/>
        </w:rPr>
      </w:pPr>
      <w:r>
        <w:rPr>
          <w:rFonts w:ascii="Arial" w:cs="Arial" w:eastAsia="Arial" w:hAnsi="Arial"/>
          <w:sz w:val="16"/>
          <w:szCs w:val="16"/>
          <w:color w:val="auto"/>
        </w:rPr>
        <w:t>In the event that the Closing shall not have occurred with respect to a Buyer within three (3) Trading Days after the date hereof, then such Buyer shall have the right to terminate its obligations under this Agreement with respect to itself at any time on or after the close of business on such date without liability of such Buyer to any other party; provided, however, (i) the right to terminate its obligations under this Agreement pursuant to this Section 7 shall not be available to such Buyer if the failure of the transactions contemplated by this Agreement to have been consummated by such date is the result of such Buyer’s breach of this Agreement and (ii) the abandonment of the sale and purchase of the Common Shares and the Warrants shall be applicable only to such Buyer providing such written notice, provided further that no such termination shall affect any obligation of the Company under this Agreement to reimburse such Buyer for the expenses described in Section 4(f) above. Notwithstanding anything to the contrary above, nothing contained in this Section 7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91" w:lineRule="exact"/>
        <w:rPr>
          <w:sz w:val="20"/>
          <w:szCs w:val="20"/>
          <w:color w:val="auto"/>
        </w:rPr>
      </w:pPr>
    </w:p>
    <w:p>
      <w:pPr>
        <w:ind w:left="640" w:hanging="635"/>
        <w:spacing w:after="0"/>
        <w:tabs>
          <w:tab w:leader="none" w:pos="6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47" w:lineRule="exact"/>
        <w:rPr>
          <w:rFonts w:ascii="Arial" w:cs="Arial" w:eastAsia="Arial" w:hAnsi="Arial"/>
          <w:sz w:val="18"/>
          <w:szCs w:val="18"/>
          <w:b w:val="1"/>
          <w:bCs w:val="1"/>
          <w:color w:val="auto"/>
        </w:rPr>
      </w:pPr>
    </w:p>
    <w:p>
      <w:pPr>
        <w:ind w:firstLine="638"/>
        <w:spacing w:after="0" w:line="279" w:lineRule="auto"/>
        <w:tabs>
          <w:tab w:leader="none" w:pos="1311"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(i) limit or be deemed to limit in any way any right to serve process in any manner permitted by law or (ii) operate, or be deemed to operate, to preclude any Buyer from bringing suit or taking other legal action against the Company in any other jurisdiction to collect on the Company’s obligations to such Buyer or to enforce a judgment or other court ruling in favor of such Buyer or (iii) limit, or be deemed to limit, any provision of the Warrants which is contrary to the above.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58" w:name="page259"/>
    <w:bookmarkEnd w:id="258"/>
    <w:p>
      <w:pPr>
        <w:ind w:left="-20" w:firstLine="638"/>
        <w:spacing w:after="0" w:line="249" w:lineRule="auto"/>
        <w:tabs>
          <w:tab w:leader="none" w:pos="1301"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218" w:lineRule="exact"/>
        <w:rPr>
          <w:rFonts w:ascii="Arial" w:cs="Arial" w:eastAsia="Arial" w:hAnsi="Arial"/>
          <w:sz w:val="18"/>
          <w:szCs w:val="18"/>
          <w:color w:val="auto"/>
        </w:rPr>
      </w:pPr>
    </w:p>
    <w:p>
      <w:pPr>
        <w:ind w:left="-20" w:firstLine="638"/>
        <w:spacing w:after="0" w:line="285" w:lineRule="auto"/>
        <w:tabs>
          <w:tab w:leader="none" w:pos="1291"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Headings; Gender; Certain Meanings</w:t>
      </w:r>
      <w:r>
        <w:rPr>
          <w:rFonts w:ascii="Arial" w:cs="Arial" w:eastAsia="Arial" w:hAnsi="Arial"/>
          <w:sz w:val="16"/>
          <w:szCs w:val="16"/>
          <w:color w:val="auto"/>
        </w:rPr>
        <w:t>. The headings of this Agreement are for convenience of reference and shall not form part of, or affect the interpretation of, this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When used herein, the words “law,” “rule,” “regulation” and the like means all applicable laws, rules and regulations, domestic or foreign, state, provincial, local or self-regulatory, including without limitation as to all applicable laws, rules and regulations of or related to the United States, applicable states, the SEC, and the Principal Market.</w:t>
      </w:r>
    </w:p>
    <w:p>
      <w:pPr>
        <w:spacing w:after="0" w:line="192" w:lineRule="exact"/>
        <w:rPr>
          <w:rFonts w:ascii="Arial" w:cs="Arial" w:eastAsia="Arial" w:hAnsi="Arial"/>
          <w:sz w:val="16"/>
          <w:szCs w:val="16"/>
          <w:color w:val="auto"/>
        </w:rPr>
      </w:pPr>
    </w:p>
    <w:p>
      <w:pPr>
        <w:ind w:left="-20" w:firstLine="638"/>
        <w:spacing w:after="0" w:line="282" w:lineRule="auto"/>
        <w:tabs>
          <w:tab w:leader="none" w:pos="1301"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59" w:name="page260"/>
    <w:bookmarkEnd w:id="259"/>
    <w:p>
      <w:pPr>
        <w:ind w:left="-20" w:firstLine="638"/>
        <w:spacing w:after="0" w:line="277" w:lineRule="auto"/>
        <w:tabs>
          <w:tab w:leader="none" w:pos="1291"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and all such agreements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waived, modified, supplemented or amended except in a written instrument signed, in the case of an amendment, by the Company and the Buyers who purchased at least 60% in interest of the Common Shares, and in the case of a waiver, by the party against whom enforcement of any such waived provision is sought; provided, that if any amendment, modification or waiver disproportionately and adversely impacts a Buyer, the consent of such Buyer shall also be required. No waiver shall be effective unless it is in writing and signed by an authorized representative of the waiving party. Any amendment or waiver effected in accordance with this Section 8(e) shall be binding upon each Buyer. No such amendment shall be effective to the extent that it applies to less than all of the Buyers. No consideration shall be offered or paid to any Person to amend or consent to a waiver or modification of any provision of any of the Transaction Documents unless the same consideration also is offered to all of the parties to the Transaction Documents, all holders of Common Shares or all holders of the Warrants (as the case may be).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(i) no due diligence investigation conducted by a Buyer or its advisors, if any, or its representatives shall affect such Buyer’s right to rely on, or modify or qualify any of, the Company’s representations and warranties contained in this Agreement or any other Transaction Document, (ii) nothing contained in the Registration Statement, the Prospectus or the Prospectus Supplement shall affect such Buyer’s right to rely on, or modify or qualify any of, the Company’s representations and warranties contained in this Agreement or any other Transaction Document and (iii) unless a provision of this Agreement or any other Transaction Document is expressly preceded by “except as disclosed in the SEC Documents,” nothing contained in any of the SEC Documents shall affect such Buyer’s right to rely on, or modify or qualify any of, the Company’s representations and warranties contained in this Agreement or any other Transaction Document.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60" w:name="page261"/>
    <w:bookmarkEnd w:id="260"/>
    <w:p>
      <w:pPr>
        <w:ind w:left="-20" w:firstLine="638"/>
        <w:spacing w:after="0" w:line="283" w:lineRule="auto"/>
        <w:tabs>
          <w:tab w:leader="none" w:pos="1271"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one (1) Business Day after deposit with an overnight courier service with next day delivery specified, in each case, properly addressed to the party to receive the same. The addresses and facsimile numbers and email addresses for such communications shall be: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to the Company:</w:t>
      </w: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TapImmune Inc.</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1551 Eastlake Avenue East</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Suite 100</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Seattle, Washington 98102</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(206) 504-7278</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212 826-9307</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Email: gwilson@tapimmune.com</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Executive Officer</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a copy (for informational purposes only) to:</w:t>
      </w: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Sanders Ortoli Vaughn-Flam Rosenstadt</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501 Madison Avenue – 14th Floor</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 10022</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(212) 588-0022</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(212) 826-9307</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Email: wsr@sovrlaw.com</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William Rosenstadt, Esq.</w:t>
      </w: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to the Transfer Agent:</w:t>
      </w: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Island Stock Transfer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1550 Roosevelt Blvd Suite 301</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Clearwater Florida 33760</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727-289-0010</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727-289-0069</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Email: micah@spartansecurities.com</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Micah Eldred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61" w:name="page262"/>
    <w:bookmarkEnd w:id="261"/>
    <w:p>
      <w:pPr>
        <w:ind w:right="60"/>
        <w:spacing w:after="0" w:line="262" w:lineRule="auto"/>
        <w:rPr>
          <w:sz w:val="20"/>
          <w:szCs w:val="20"/>
          <w:color w:val="auto"/>
        </w:rPr>
      </w:pPr>
      <w:r>
        <w:rPr>
          <w:rFonts w:ascii="Arial" w:cs="Arial" w:eastAsia="Arial" w:hAnsi="Arial"/>
          <w:sz w:val="18"/>
          <w:szCs w:val="18"/>
          <w:color w:val="auto"/>
        </w:rPr>
        <w:t>If to a Buyer, to its address and facsimile number set forth on the Schedule of Buyers, with copies to such Buyer’s representatives as set forth on the Schedule of Buyers,</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(for informational purposes only) to:</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Mintz, Levin, Cohn, Ferris, Glovsky and Popeo, P.C.</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666 Third Avenue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10017</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(212) 935-3000</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(212) 983-3115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krkoch@mintz.com</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jschultz@mintz.com</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Kenneth R. Koch, Esq.</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Jeffrey P. Schultz, Esq.</w:t>
      </w:r>
    </w:p>
    <w:p>
      <w:pPr>
        <w:spacing w:after="0" w:line="2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provided that Mintz, Levin, Cohn, Ferris, Glovsky and Popeo, P.C. shall only be provided copies of notices sent to Iroquois.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A copy of the e-mail transmission containing the time, date and recipient e-mail address shall be rebuttable evidence of receipt by e-mail in accordance with clause (iii) above.</w:t>
      </w:r>
    </w:p>
    <w:p>
      <w:pPr>
        <w:spacing w:after="0" w:line="195" w:lineRule="exact"/>
        <w:rPr>
          <w:sz w:val="20"/>
          <w:szCs w:val="20"/>
          <w:color w:val="auto"/>
        </w:rPr>
      </w:pPr>
    </w:p>
    <w:p>
      <w:pPr>
        <w:jc w:val="both"/>
        <w:ind w:right="60" w:firstLine="638"/>
        <w:spacing w:after="0" w:line="316" w:lineRule="auto"/>
        <w:tabs>
          <w:tab w:leader="none" w:pos="1321" w:val="left"/>
        </w:tabs>
        <w:numPr>
          <w:ilvl w:val="0"/>
          <w:numId w:val="300"/>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Agreement shall be binding upon and inure to the benefit of the parties and their respective successors and assigns, including, as contemplated below, any assignee of any of the Securities. The Company shall not assign this Agreement or any rights or obligations hereunder without the prior written consent of each of the Buyers.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72" w:lineRule="exact"/>
        <w:rPr>
          <w:rFonts w:ascii="Arial" w:cs="Arial" w:eastAsia="Arial" w:hAnsi="Arial"/>
          <w:sz w:val="15"/>
          <w:szCs w:val="15"/>
          <w:color w:val="auto"/>
        </w:rPr>
      </w:pPr>
    </w:p>
    <w:p>
      <w:pPr>
        <w:ind w:firstLine="638"/>
        <w:spacing w:after="0" w:line="363" w:lineRule="auto"/>
        <w:tabs>
          <w:tab w:leader="none" w:pos="1321" w:val="left"/>
        </w:tabs>
        <w:numPr>
          <w:ilvl w:val="0"/>
          <w:numId w:val="300"/>
        </w:numPr>
        <w:rPr>
          <w:rFonts w:ascii="Arial" w:cs="Arial" w:eastAsia="Arial" w:hAnsi="Arial"/>
          <w:sz w:val="15"/>
          <w:szCs w:val="15"/>
          <w:color w:val="auto"/>
        </w:rPr>
      </w:pPr>
      <w:r>
        <w:rPr>
          <w:rFonts w:ascii="Arial" w:cs="Arial" w:eastAsia="Arial" w:hAnsi="Arial"/>
          <w:sz w:val="15"/>
          <w:szCs w:val="15"/>
          <w:u w:val="single" w:color="auto"/>
          <w:color w:val="auto"/>
        </w:rPr>
        <w:t>No Third Party Beneficiaries</w:t>
      </w:r>
      <w:r>
        <w:rPr>
          <w:rFonts w:ascii="Arial" w:cs="Arial" w:eastAsia="Arial" w:hAnsi="Arial"/>
          <w:sz w:val="15"/>
          <w:szCs w:val="15"/>
          <w:color w:val="auto"/>
        </w:rPr>
        <w:t>. This Agreement is intended for the benefit of the parties hereto and their respective permitted successors and assigns, and is not for the benefit of, nor may any provision hereof be enforced by, any other Person, other than the Buyer Indemnitees referred to in Section 8(k).</w:t>
      </w:r>
    </w:p>
    <w:p>
      <w:pPr>
        <w:spacing w:after="0" w:line="137" w:lineRule="exact"/>
        <w:rPr>
          <w:rFonts w:ascii="Arial" w:cs="Arial" w:eastAsia="Arial" w:hAnsi="Arial"/>
          <w:sz w:val="15"/>
          <w:szCs w:val="15"/>
          <w:color w:val="auto"/>
        </w:rPr>
      </w:pPr>
    </w:p>
    <w:p>
      <w:pPr>
        <w:ind w:right="220" w:firstLine="638"/>
        <w:spacing w:after="0" w:line="262" w:lineRule="auto"/>
        <w:tabs>
          <w:tab w:leader="none" w:pos="128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62" w:name="page263"/>
    <w:bookmarkEnd w:id="262"/>
    <w:p>
      <w:pPr>
        <w:ind w:left="-5" w:firstLine="638"/>
        <w:spacing w:after="0" w:line="253" w:lineRule="auto"/>
        <w:tabs>
          <w:tab w:leader="none" w:pos="1276"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15" w:lineRule="exact"/>
        <w:rPr>
          <w:rFonts w:ascii="Arial" w:cs="Arial" w:eastAsia="Arial" w:hAnsi="Arial"/>
          <w:sz w:val="18"/>
          <w:szCs w:val="18"/>
          <w:color w:val="auto"/>
        </w:rPr>
      </w:pPr>
    </w:p>
    <w:p>
      <w:pPr>
        <w:ind w:left="1315" w:hanging="682"/>
        <w:spacing w:after="0"/>
        <w:tabs>
          <w:tab w:leader="none" w:pos="1315"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ind w:left="-5" w:firstLine="1271"/>
        <w:spacing w:after="0" w:line="276" w:lineRule="auto"/>
        <w:tabs>
          <w:tab w:leader="none" w:pos="1909" w:val="left"/>
        </w:tabs>
        <w:numPr>
          <w:ilvl w:val="2"/>
          <w:numId w:val="301"/>
        </w:numPr>
        <w:rPr>
          <w:rFonts w:ascii="Arial" w:cs="Arial" w:eastAsia="Arial" w:hAnsi="Arial"/>
          <w:sz w:val="16"/>
          <w:szCs w:val="16"/>
          <w:color w:val="auto"/>
        </w:rPr>
      </w:pPr>
      <w:r>
        <w:rPr>
          <w:rFonts w:ascii="Arial" w:cs="Arial" w:eastAsia="Arial" w:hAnsi="Arial"/>
          <w:sz w:val="16"/>
          <w:szCs w:val="16"/>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in any of the Transaction Documents, (b) any breach of any covenant, agreement or obligation of the Company contained in any of the Transaction Documents, (c) any cause of action, suit or claim brought or made against such Indemnitee by a third party (including for these purposes a derivative action brought on behalf of the Company) and arising out of or resulting from</w:t>
      </w:r>
    </w:p>
    <w:p>
      <w:pPr>
        <w:spacing w:after="0" w:line="5" w:lineRule="exact"/>
        <w:rPr>
          <w:rFonts w:ascii="Arial" w:cs="Arial" w:eastAsia="Arial" w:hAnsi="Arial"/>
          <w:sz w:val="16"/>
          <w:szCs w:val="16"/>
          <w:color w:val="auto"/>
        </w:rPr>
      </w:pPr>
    </w:p>
    <w:p>
      <w:pPr>
        <w:ind w:left="-5" w:right="100" w:firstLine="5"/>
        <w:spacing w:after="0" w:line="283" w:lineRule="auto"/>
        <w:tabs>
          <w:tab w:leader="none" w:pos="20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execution, delivery, performance or enforcement of any of the Transaction Documents, (ii) any transaction financed or to be financed in whole or in part, directly or indirectly, with the proceeds of the issuance of the Securities, (iii) any disclosure properly made by such Buyer pursuant to Section 4(h), or (iv) the status of such Buyer or holder of the Securities as an investor in the Company pursuant to the transactions contemplated by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95" w:lineRule="exact"/>
        <w:rPr>
          <w:rFonts w:ascii="Arial" w:cs="Arial" w:eastAsia="Arial" w:hAnsi="Arial"/>
          <w:sz w:val="16"/>
          <w:szCs w:val="16"/>
          <w:color w:val="auto"/>
        </w:rPr>
      </w:pPr>
    </w:p>
    <w:p>
      <w:pPr>
        <w:ind w:left="-5" w:right="100" w:firstLine="1271"/>
        <w:spacing w:after="0" w:line="282" w:lineRule="auto"/>
        <w:tabs>
          <w:tab w:leader="none" w:pos="1958" w:val="left"/>
        </w:tabs>
        <w:numPr>
          <w:ilvl w:val="2"/>
          <w:numId w:val="302"/>
        </w:numPr>
        <w:rPr>
          <w:rFonts w:ascii="Arial" w:cs="Arial" w:eastAsia="Arial" w:hAnsi="Arial"/>
          <w:sz w:val="16"/>
          <w:szCs w:val="16"/>
          <w:color w:val="auto"/>
        </w:rPr>
      </w:pPr>
      <w:r>
        <w:rPr>
          <w:rFonts w:ascii="Arial" w:cs="Arial" w:eastAsia="Arial" w:hAnsi="Arial"/>
          <w:sz w:val="16"/>
          <w:szCs w:val="16"/>
          <w:color w:val="auto"/>
        </w:rPr>
        <w:t>Promptly after receipt by an Indemnitee under this Section 8(k) of notice of the commencement of any action or proceeding (including any governmental action or proceeding) involving an Indemnified Liability, such Indemnitee shall, if a claim in respect thereof is to be made against the Company under this Section 8(k),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(i) the Company has agreed in writing to pay such fees and expenses; (ii) the Company shall have failed promptly to assume the defense of such Indemnified Liability and to employ counsel reasonably satisfactory to such Indemnitee in any such Indemnified Liability; or (iii) the named parties to any such Indemnified Liability (including any impleaded parties) include both such Indemnitee and the Company,</w:t>
      </w:r>
    </w:p>
    <w:p>
      <w:pPr>
        <w:spacing w:after="0" w:line="200" w:lineRule="exact"/>
        <w:rPr>
          <w:sz w:val="20"/>
          <w:szCs w:val="20"/>
          <w:color w:val="auto"/>
        </w:rPr>
      </w:pPr>
    </w:p>
    <w:p>
      <w:pPr>
        <w:spacing w:after="0" w:line="378"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10" w:right="259" w:bottom="1440" w:gutter="0" w:footer="0" w:header="0"/>
        </w:sectPr>
      </w:pPr>
    </w:p>
    <w:bookmarkStart w:id="263" w:name="page264"/>
    <w:bookmarkEnd w:id="263"/>
    <w:p>
      <w:pPr>
        <w:spacing w:after="0" w:line="278" w:lineRule="auto"/>
        <w:rPr>
          <w:sz w:val="20"/>
          <w:szCs w:val="20"/>
          <w:color w:val="auto"/>
        </w:rPr>
      </w:pPr>
      <w:r>
        <w:rPr>
          <w:rFonts w:ascii="Arial" w:cs="Arial" w:eastAsia="Arial" w:hAnsi="Arial"/>
          <w:sz w:val="16"/>
          <w:szCs w:val="16"/>
          <w:color w:val="auto"/>
        </w:rPr>
        <w:t>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(iii) above the Company shall not be responsible for the reasonable fees and expenses of more than one (1) separate legal counsel for such Indemnitee.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8(k), except to the extent that the Company is materially and adversely prejudiced in its ability to defend such action.</w:t>
      </w:r>
    </w:p>
    <w:p>
      <w:pPr>
        <w:spacing w:after="0" w:line="205" w:lineRule="exact"/>
        <w:rPr>
          <w:sz w:val="20"/>
          <w:szCs w:val="20"/>
          <w:color w:val="auto"/>
        </w:rPr>
      </w:pPr>
    </w:p>
    <w:p>
      <w:pPr>
        <w:ind w:right="80" w:firstLine="1271"/>
        <w:spacing w:after="0" w:line="262" w:lineRule="auto"/>
        <w:tabs>
          <w:tab w:leader="none" w:pos="200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indemnification required by this Section 8(k) shall be made by periodic payments of the amount thereof during the course of the investigation or defense, as and when bills are received or Indemnified Liabilities are incurred.</w:t>
      </w:r>
    </w:p>
    <w:p>
      <w:pPr>
        <w:spacing w:after="0" w:line="207" w:lineRule="exact"/>
        <w:rPr>
          <w:rFonts w:ascii="Arial" w:cs="Arial" w:eastAsia="Arial" w:hAnsi="Arial"/>
          <w:sz w:val="18"/>
          <w:szCs w:val="18"/>
          <w:color w:val="auto"/>
        </w:rPr>
      </w:pPr>
    </w:p>
    <w:p>
      <w:pPr>
        <w:ind w:right="220" w:firstLine="1271"/>
        <w:spacing w:after="0" w:line="262" w:lineRule="auto"/>
        <w:tabs>
          <w:tab w:leader="none" w:pos="199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207" w:lineRule="exact"/>
        <w:rPr>
          <w:rFonts w:ascii="Arial" w:cs="Arial" w:eastAsia="Arial" w:hAnsi="Arial"/>
          <w:sz w:val="18"/>
          <w:szCs w:val="18"/>
          <w:color w:val="auto"/>
        </w:rPr>
      </w:pPr>
    </w:p>
    <w:p>
      <w:pPr>
        <w:ind w:right="60" w:firstLine="638"/>
        <w:spacing w:after="0" w:line="249" w:lineRule="auto"/>
        <w:tabs>
          <w:tab w:leader="none" w:pos="1282"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stock splits, stock combinations and other similar transactions that occur with respect to the Common Stock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4" w:name="page265"/>
    <w:bookmarkEnd w:id="264"/>
    <w:p>
      <w:pPr>
        <w:ind w:left="-20" w:right="20" w:firstLine="638"/>
        <w:spacing w:after="0" w:line="282" w:lineRule="auto"/>
        <w:tabs>
          <w:tab w:leader="none" w:pos="135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the Transaction Documents, any remedy at law may prove to be inadequate relief to the Buyers. The Company therefore agrees that the Buyers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195" w:lineRule="exact"/>
        <w:rPr>
          <w:rFonts w:ascii="Arial" w:cs="Arial" w:eastAsia="Arial" w:hAnsi="Arial"/>
          <w:sz w:val="16"/>
          <w:szCs w:val="16"/>
          <w:color w:val="auto"/>
        </w:rPr>
      </w:pPr>
    </w:p>
    <w:p>
      <w:pPr>
        <w:ind w:left="-20" w:right="220" w:firstLine="638"/>
        <w:spacing w:after="0" w:line="291" w:lineRule="auto"/>
        <w:tabs>
          <w:tab w:leader="none" w:pos="1301"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Withdrawal Right</w:t>
      </w:r>
      <w:r>
        <w:rPr>
          <w:rFonts w:ascii="Arial" w:cs="Arial" w:eastAsia="Arial" w:hAnsi="Arial"/>
          <w:sz w:val="16"/>
          <w:szCs w:val="16"/>
          <w:color w:val="auto"/>
        </w:rPr>
        <w:t>. Notwithstanding anything to the contrary contained in (and without limiting any similar provisions of) the Transaction Documents, whenever any Buyer exercises a right, election, demand or option under a Transaction Document and the Company does not timely perform its related obligations within the periods therein provided, then such Buyer may rescind or withdraw, in its sole discretion from time to time upon written notice to the Company, any relevant notice, demand or election in whole or in part without prejudice to its future actions and rights.</w:t>
      </w:r>
    </w:p>
    <w:p>
      <w:pPr>
        <w:spacing w:after="0" w:line="188" w:lineRule="exact"/>
        <w:rPr>
          <w:rFonts w:ascii="Arial" w:cs="Arial" w:eastAsia="Arial" w:hAnsi="Arial"/>
          <w:sz w:val="16"/>
          <w:szCs w:val="16"/>
          <w:color w:val="auto"/>
        </w:rPr>
      </w:pPr>
    </w:p>
    <w:p>
      <w:pPr>
        <w:ind w:left="-20" w:firstLine="638"/>
        <w:spacing w:after="0" w:line="278" w:lineRule="auto"/>
        <w:tabs>
          <w:tab w:leader="none" w:pos="1301"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Independent Nature of Buyers’ Obligations and Rights</w:t>
      </w:r>
      <w:r>
        <w:rPr>
          <w:rFonts w:ascii="Arial" w:cs="Arial" w:eastAsia="Arial" w:hAnsi="Arial"/>
          <w:sz w:val="16"/>
          <w:szCs w:val="16"/>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not because it was required or requested to do so by any Buyer. It is expressly understood and agreed that each provision contained in this Agreement and in each other Transaction Document is between the Company and a Buyer, solely, and not between the Company and the Buyers collectively and not between and among the Buyers.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10" w:right="239" w:bottom="1440" w:gutter="0" w:footer="0" w:header="0"/>
        </w:sectPr>
      </w:pPr>
    </w:p>
    <w:bookmarkStart w:id="265" w:name="page266"/>
    <w:bookmarkEnd w:id="265"/>
    <w:p>
      <w:pPr>
        <w:ind w:left="-20" w:firstLine="638"/>
        <w:spacing w:after="0" w:line="280" w:lineRule="auto"/>
        <w:tabs>
          <w:tab w:leader="none" w:pos="1301"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and all amounts owing under this Agreement and all other Transaction Documents shall be paid in U.S. Dollars. All amounts denominated in other currencies (if any) shall be converted in the U.S. Dollar equivalent amount in accordance with the Exchange Rate on the date of calculation.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10" w:right="259" w:bottom="1440" w:gutter="0" w:footer="0" w:header="0"/>
        </w:sectPr>
      </w:pPr>
    </w:p>
    <w:bookmarkStart w:id="266" w:name="page267"/>
    <w:bookmarkEnd w:id="266"/>
    <w:p>
      <w:pPr>
        <w:ind w:firstLine="633"/>
        <w:spacing w:after="0" w:line="2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Buyer and the Company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20"/>
          </w:cols>
          <w:pgMar w:left="240" w:top="504" w:right="439" w:bottom="1440" w:gutter="0" w:footer="0" w:header="0"/>
        </w:sectPr>
      </w:pPr>
    </w:p>
    <w:bookmarkStart w:id="267" w:name="page268"/>
    <w:bookmarkEnd w:id="267"/>
    <w:p>
      <w:pPr>
        <w:ind w:firstLine="633"/>
        <w:spacing w:after="0" w:line="2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Buyer and the Company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9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BUYERS:</w:t>
      </w: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IROQUOIS MASTER FUND LTD.</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Iroquois Capital Management, L.L.C.</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Its: Investment Manager</w:t>
      </w: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______________________________</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Joshua Silverman,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20"/>
          </w:cols>
          <w:pgMar w:left="240" w:top="504" w:right="439" w:bottom="1440" w:gutter="0" w:footer="0" w:header="0"/>
        </w:sectPr>
      </w:pPr>
    </w:p>
    <w:bookmarkStart w:id="268" w:name="page269"/>
    <w:bookmarkEnd w:id="268"/>
    <w:p>
      <w:pPr>
        <w:ind w:firstLine="633"/>
        <w:spacing w:after="0" w:line="2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Buyer and the Company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9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OTHER BUYERS:</w:t>
      </w:r>
    </w:p>
    <w:p>
      <w:pPr>
        <w:spacing w:after="0" w:line="200" w:lineRule="exact"/>
        <w:rPr>
          <w:sz w:val="20"/>
          <w:szCs w:val="20"/>
          <w:color w:val="auto"/>
        </w:rPr>
      </w:pPr>
    </w:p>
    <w:p>
      <w:pPr>
        <w:spacing w:after="0" w:line="2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_</w:t>
      </w: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By:______________________________</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20"/>
          </w:cols>
          <w:pgMar w:left="240" w:top="503" w:right="4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8"/>
                <w:szCs w:val="18"/>
                <w:color w:val="auto"/>
                <w:w w:val="96"/>
              </w:rPr>
              <w:t>SCHEDULE OF BUYERS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6"/>
        </w:trPr>
        <w:tc>
          <w:tcPr>
            <w:tcW w:w="1260" w:type="dxa"/>
            <w:vAlign w:val="bottom"/>
            <w:gridSpan w:val="2"/>
          </w:tcPr>
          <w:p>
            <w:pPr>
              <w:ind w:left="840"/>
              <w:spacing w:after="0"/>
              <w:rPr>
                <w:sz w:val="20"/>
                <w:szCs w:val="20"/>
                <w:color w:val="auto"/>
              </w:rPr>
            </w:pPr>
            <w:r>
              <w:rPr>
                <w:rFonts w:ascii="Arial" w:cs="Arial" w:eastAsia="Arial" w:hAnsi="Arial"/>
                <w:sz w:val="18"/>
                <w:szCs w:val="18"/>
                <w:b w:val="1"/>
                <w:bCs w:val="1"/>
                <w:color w:val="auto"/>
              </w:rPr>
              <w:t>(1)</w:t>
            </w:r>
          </w:p>
        </w:tc>
        <w:tc>
          <w:tcPr>
            <w:tcW w:w="2520" w:type="dxa"/>
            <w:vAlign w:val="bottom"/>
            <w:gridSpan w:val="2"/>
          </w:tcPr>
          <w:p>
            <w:pPr>
              <w:ind w:left="2100"/>
              <w:spacing w:after="0"/>
              <w:rPr>
                <w:sz w:val="20"/>
                <w:szCs w:val="20"/>
                <w:color w:val="auto"/>
              </w:rPr>
            </w:pPr>
            <w:r>
              <w:rPr>
                <w:rFonts w:ascii="Arial" w:cs="Arial" w:eastAsia="Arial" w:hAnsi="Arial"/>
                <w:sz w:val="18"/>
                <w:szCs w:val="18"/>
                <w:b w:val="1"/>
                <w:bCs w:val="1"/>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 Shares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of</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Legal</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Series A</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Series B</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Series 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Series C</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Series 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b w:val="1"/>
                <w:bCs w:val="1"/>
                <w:color w:val="auto"/>
                <w:w w:val="94"/>
              </w:rPr>
              <w:t>Representative’s</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Address and Facsimile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Common</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Warrant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Warrant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Warrant</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Warrant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1"/>
              </w:rPr>
              <w:t>Purchase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Address and</w:t>
            </w:r>
          </w:p>
        </w:tc>
        <w:tc>
          <w:tcPr>
            <w:tcW w:w="0" w:type="dxa"/>
            <w:vAlign w:val="bottom"/>
          </w:tcPr>
          <w:p>
            <w:pPr>
              <w:spacing w:after="0"/>
              <w:rPr>
                <w:sz w:val="1"/>
                <w:szCs w:val="1"/>
                <w:color w:val="auto"/>
              </w:rPr>
            </w:pPr>
          </w:p>
        </w:tc>
      </w:tr>
      <w:tr>
        <w:trPr>
          <w:trHeight w:val="236"/>
        </w:trPr>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Buyer</w:t>
            </w:r>
          </w:p>
        </w:tc>
        <w:tc>
          <w:tcPr>
            <w:tcW w:w="2520" w:type="dxa"/>
            <w:vAlign w:val="bottom"/>
            <w:gridSpan w:val="2"/>
          </w:tcPr>
          <w:p>
            <w:pPr>
              <w:ind w:left="820"/>
              <w:spacing w:after="0"/>
              <w:rPr>
                <w:sz w:val="20"/>
                <w:szCs w:val="20"/>
                <w:color w:val="auto"/>
              </w:rPr>
            </w:pPr>
            <w:r>
              <w:rPr>
                <w:rFonts w:ascii="Arial" w:cs="Arial" w:eastAsia="Arial" w:hAnsi="Arial"/>
                <w:sz w:val="18"/>
                <w:szCs w:val="18"/>
                <w:b w:val="1"/>
                <w:bCs w:val="1"/>
                <w:color w:val="auto"/>
              </w:rPr>
              <w:t>Number</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Facsimile Number</w:t>
            </w:r>
          </w:p>
        </w:tc>
        <w:tc>
          <w:tcPr>
            <w:tcW w:w="0" w:type="dxa"/>
            <w:vAlign w:val="bottom"/>
          </w:tcPr>
          <w:p>
            <w:pPr>
              <w:spacing w:after="0"/>
              <w:rPr>
                <w:sz w:val="1"/>
                <w:szCs w:val="1"/>
                <w:color w:val="auto"/>
              </w:rPr>
            </w:pPr>
          </w:p>
        </w:tc>
      </w:tr>
      <w:tr>
        <w:trPr>
          <w:trHeight w:val="409"/>
        </w:trPr>
        <w:tc>
          <w:tcPr>
            <w:tcW w:w="9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Mintz, Levin,</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Cohn, Ferris,</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Glovsky and</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Popeo, P.C.</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5"/>
              </w:rPr>
              <w:t>666 Third Avenue</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New York, NY</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1"/>
              </w:rPr>
              <w:t>Attention: Kenneth</w:t>
            </w:r>
          </w:p>
        </w:tc>
        <w:tc>
          <w:tcPr>
            <w:tcW w:w="0" w:type="dxa"/>
            <w:vAlign w:val="bottom"/>
          </w:tcPr>
          <w:p>
            <w:pPr>
              <w:spacing w:after="0"/>
              <w:rPr>
                <w:sz w:val="1"/>
                <w:szCs w:val="1"/>
                <w:color w:val="auto"/>
              </w:rPr>
            </w:pPr>
          </w:p>
        </w:tc>
      </w:tr>
      <w:tr>
        <w:trPr>
          <w:trHeight w:val="211"/>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Iroquois</w:t>
            </w:r>
          </w:p>
        </w:tc>
        <w:tc>
          <w:tcPr>
            <w:tcW w:w="2520" w:type="dxa"/>
            <w:vAlign w:val="bottom"/>
            <w:gridSpan w:val="2"/>
          </w:tcPr>
          <w:p>
            <w:pPr>
              <w:spacing w:after="0"/>
              <w:rPr>
                <w:sz w:val="20"/>
                <w:szCs w:val="20"/>
                <w:color w:val="auto"/>
              </w:rPr>
            </w:pPr>
            <w:r>
              <w:rPr>
                <w:rFonts w:ascii="Arial" w:cs="Arial" w:eastAsia="Arial" w:hAnsi="Arial"/>
                <w:sz w:val="18"/>
                <w:szCs w:val="18"/>
                <w:color w:val="auto"/>
              </w:rPr>
              <w:t>Iroquois Master Fund Ltd.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7"/>
              </w:rPr>
              <w:t>R. Koch &amp; Jeffrey</w:t>
            </w:r>
          </w:p>
        </w:tc>
        <w:tc>
          <w:tcPr>
            <w:tcW w:w="0" w:type="dxa"/>
            <w:vAlign w:val="bottom"/>
          </w:tcPr>
          <w:p>
            <w:pPr>
              <w:spacing w:after="0"/>
              <w:rPr>
                <w:sz w:val="1"/>
                <w:szCs w:val="1"/>
                <w:color w:val="auto"/>
              </w:rPr>
            </w:pPr>
          </w:p>
        </w:tc>
      </w:tr>
      <w:tr>
        <w:trPr>
          <w:trHeight w:val="205"/>
        </w:trPr>
        <w:tc>
          <w:tcPr>
            <w:tcW w:w="1260" w:type="dxa"/>
            <w:vAlign w:val="bottom"/>
            <w:gridSpan w:val="2"/>
            <w:vMerge w:val="continue"/>
          </w:tcPr>
          <w:p>
            <w:pPr>
              <w:spacing w:after="0"/>
              <w:rPr>
                <w:sz w:val="17"/>
                <w:szCs w:val="17"/>
                <w:color w:val="auto"/>
              </w:rPr>
            </w:pPr>
          </w:p>
        </w:tc>
        <w:tc>
          <w:tcPr>
            <w:tcW w:w="2520" w:type="dxa"/>
            <w:vAlign w:val="bottom"/>
            <w:gridSpan w:val="2"/>
          </w:tcPr>
          <w:p>
            <w:pPr>
              <w:spacing w:after="0" w:line="205" w:lineRule="exact"/>
              <w:rPr>
                <w:sz w:val="20"/>
                <w:szCs w:val="20"/>
                <w:color w:val="auto"/>
              </w:rPr>
            </w:pPr>
            <w:r>
              <w:rPr>
                <w:rFonts w:ascii="Arial" w:cs="Arial" w:eastAsia="Arial" w:hAnsi="Arial"/>
                <w:sz w:val="18"/>
                <w:szCs w:val="18"/>
                <w:color w:val="auto"/>
              </w:rPr>
              <w:t>205 East 42nd St- 14th Fl.</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ind w:left="160"/>
              <w:spacing w:after="0" w:line="205" w:lineRule="exact"/>
              <w:rPr>
                <w:sz w:val="20"/>
                <w:szCs w:val="20"/>
                <w:color w:val="auto"/>
              </w:rPr>
            </w:pPr>
            <w:r>
              <w:rPr>
                <w:rFonts w:ascii="Arial" w:cs="Arial" w:eastAsia="Arial" w:hAnsi="Arial"/>
                <w:sz w:val="18"/>
                <w:szCs w:val="18"/>
                <w:color w:val="auto"/>
              </w:rPr>
              <w:t>P. Schultz</w:t>
            </w: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Master</w:t>
            </w:r>
          </w:p>
        </w:tc>
        <w:tc>
          <w:tcPr>
            <w:tcW w:w="25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Facsimile: (212)</w:t>
            </w: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Fund Ltd.</w:t>
            </w:r>
          </w:p>
        </w:tc>
        <w:tc>
          <w:tcPr>
            <w:tcW w:w="2520" w:type="dxa"/>
            <w:vAlign w:val="bottom"/>
            <w:gridSpan w:val="2"/>
          </w:tcPr>
          <w:p>
            <w:pPr>
              <w:spacing w:after="0"/>
              <w:rPr>
                <w:sz w:val="20"/>
                <w:szCs w:val="20"/>
                <w:color w:val="auto"/>
              </w:rPr>
            </w:pPr>
            <w:r>
              <w:rPr>
                <w:rFonts w:ascii="Arial" w:cs="Arial" w:eastAsia="Arial" w:hAnsi="Arial"/>
                <w:sz w:val="18"/>
                <w:szCs w:val="18"/>
                <w:color w:val="auto"/>
              </w:rPr>
              <w:t>Fax: 347-408-0969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1,250,000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1,250,000</w:t>
            </w:r>
          </w:p>
        </w:tc>
        <w:tc>
          <w:tcPr>
            <w:tcW w:w="760" w:type="dxa"/>
            <w:vAlign w:val="bottom"/>
          </w:tcPr>
          <w:p>
            <w:pPr>
              <w:ind w:left="60"/>
              <w:spacing w:after="0"/>
              <w:rPr>
                <w:sz w:val="20"/>
                <w:szCs w:val="20"/>
                <w:color w:val="auto"/>
              </w:rPr>
            </w:pPr>
            <w:r>
              <w:rPr>
                <w:rFonts w:ascii="Arial" w:cs="Arial" w:eastAsia="Arial" w:hAnsi="Arial"/>
                <w:sz w:val="18"/>
                <w:szCs w:val="18"/>
                <w:color w:val="auto"/>
                <w:w w:val="84"/>
              </w:rPr>
              <w:t>1,250,000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1,250,000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1,250,000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983-3115</w:t>
            </w: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American</w:t>
            </w:r>
          </w:p>
        </w:tc>
        <w:tc>
          <w:tcPr>
            <w:tcW w:w="2520" w:type="dxa"/>
            <w:vAlign w:val="bottom"/>
            <w:gridSpan w:val="2"/>
          </w:tcPr>
          <w:p>
            <w:pPr>
              <w:spacing w:after="0"/>
              <w:rPr>
                <w:sz w:val="20"/>
                <w:szCs w:val="20"/>
                <w:color w:val="auto"/>
              </w:rPr>
            </w:pPr>
            <w:r>
              <w:rPr>
                <w:rFonts w:ascii="Arial" w:cs="Arial" w:eastAsia="Arial" w:hAnsi="Arial"/>
                <w:sz w:val="18"/>
                <w:szCs w:val="18"/>
                <w:color w:val="auto"/>
              </w:rPr>
              <w:t>c/o Iroquois Master Fund Ltd.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2520" w:type="dxa"/>
            <w:vAlign w:val="bottom"/>
            <w:gridSpan w:val="2"/>
          </w:tcPr>
          <w:p>
            <w:pPr>
              <w:spacing w:after="0"/>
              <w:rPr>
                <w:sz w:val="20"/>
                <w:szCs w:val="20"/>
                <w:color w:val="auto"/>
              </w:rPr>
            </w:pPr>
            <w:r>
              <w:rPr>
                <w:rFonts w:ascii="Arial" w:cs="Arial" w:eastAsia="Arial" w:hAnsi="Arial"/>
                <w:sz w:val="18"/>
                <w:szCs w:val="18"/>
                <w:color w:val="auto"/>
              </w:rPr>
              <w:t>205 East 42nd St- 14th Fl.</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Management</w:t>
            </w:r>
          </w:p>
        </w:tc>
        <w:tc>
          <w:tcPr>
            <w:tcW w:w="25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LLC</w:t>
            </w:r>
          </w:p>
        </w:tc>
        <w:tc>
          <w:tcPr>
            <w:tcW w:w="2520" w:type="dxa"/>
            <w:vAlign w:val="bottom"/>
            <w:gridSpan w:val="2"/>
          </w:tcPr>
          <w:p>
            <w:pPr>
              <w:spacing w:after="0"/>
              <w:rPr>
                <w:sz w:val="20"/>
                <w:szCs w:val="20"/>
                <w:color w:val="auto"/>
              </w:rPr>
            </w:pPr>
            <w:r>
              <w:rPr>
                <w:rFonts w:ascii="Arial" w:cs="Arial" w:eastAsia="Arial" w:hAnsi="Arial"/>
                <w:sz w:val="18"/>
                <w:szCs w:val="18"/>
                <w:color w:val="auto"/>
              </w:rPr>
              <w:t>Fax: 347-408-0969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The Merav</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Abbe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Irrevocable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Trust</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The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Samantha</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Abbe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Irrevocable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Trust</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83,335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83,335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16,667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The Talia</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Abbe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Irrevocable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Trust</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83,330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83,330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16,666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The Bennett</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Abbe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Irrevocable</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Trust</w:t>
            </w:r>
          </w:p>
        </w:tc>
        <w:tc>
          <w:tcPr>
            <w:tcW w:w="2520" w:type="dxa"/>
            <w:vAlign w:val="bottom"/>
            <w:gridSpan w:val="2"/>
            <w:vMerge w:val="restart"/>
          </w:tcPr>
          <w:p>
            <w:pPr>
              <w:spacing w:after="0"/>
              <w:rPr>
                <w:sz w:val="20"/>
                <w:szCs w:val="20"/>
                <w:color w:val="auto"/>
              </w:rPr>
            </w:pPr>
            <w:r>
              <w:rPr>
                <w:rFonts w:ascii="Arial" w:cs="Arial" w:eastAsia="Arial" w:hAnsi="Arial"/>
                <w:sz w:val="18"/>
                <w:szCs w:val="18"/>
                <w:color w:val="auto"/>
                <w:w w:val="97"/>
              </w:rPr>
              <w:t>c/o Empery Asset Management,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83,330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83,330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83,330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16,666</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LP</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1 Rockefeller Plaza, Suite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Empery</w:t>
            </w:r>
          </w:p>
        </w:tc>
        <w:tc>
          <w:tcPr>
            <w:tcW w:w="2260" w:type="dxa"/>
            <w:vAlign w:val="bottom"/>
          </w:tcPr>
          <w:p>
            <w:pPr>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gridSpan w:val="2"/>
            <w:vMerge w:val="continue"/>
          </w:tcPr>
          <w:p>
            <w:pPr>
              <w:spacing w:after="0"/>
              <w:rPr>
                <w:sz w:val="17"/>
                <w:szCs w:val="17"/>
                <w:color w:val="auto"/>
              </w:rPr>
            </w:pPr>
          </w:p>
        </w:tc>
        <w:tc>
          <w:tcPr>
            <w:tcW w:w="252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New York, NY 10020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Asset</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Phone: 212-608-3300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Master,</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Fax: 212-608-3307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LTD.</w:t>
            </w: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Email: notices@emperyam.com</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714,660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714,660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714,660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714,660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714,660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714,660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142,932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7"/>
              </w:rPr>
              <w:t>c/o Empery Asset Management,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LP</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1 Rockefeller Plaza, Suite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New York, NY 10020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Empery Tax</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Phone: 212-608-3300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gridSpan w:val="2"/>
            <w:vMerge w:val="continue"/>
          </w:tcPr>
          <w:p>
            <w:pPr>
              <w:spacing w:after="0"/>
              <w:rPr>
                <w:sz w:val="17"/>
                <w:szCs w:val="17"/>
                <w:color w:val="auto"/>
              </w:rPr>
            </w:pPr>
          </w:p>
        </w:tc>
        <w:tc>
          <w:tcPr>
            <w:tcW w:w="252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Fax: 212-608-3307</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Efficient, LP</w:t>
            </w: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Email: notices@emperyam.com</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170,887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170,887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170,887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170,887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170,887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170,887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34,177.40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7"/>
              </w:rPr>
              <w:t>c/o Empery Asset Management,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LP</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1 Rockefeller Plaza, Suite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Empery Tax</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New York, NY 10020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gridSpan w:val="2"/>
            <w:vMerge w:val="continue"/>
          </w:tcPr>
          <w:p>
            <w:pPr>
              <w:spacing w:after="0"/>
              <w:rPr>
                <w:sz w:val="17"/>
                <w:szCs w:val="17"/>
                <w:color w:val="auto"/>
              </w:rPr>
            </w:pPr>
          </w:p>
        </w:tc>
        <w:tc>
          <w:tcPr>
            <w:tcW w:w="252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Phone: 212-608-3300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Efficient II,</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Fax: 212-608-3307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LP</w:t>
            </w: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Email: notices@emperyam.com</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1,434,453</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1,434,453</w:t>
            </w:r>
          </w:p>
        </w:tc>
        <w:tc>
          <w:tcPr>
            <w:tcW w:w="760" w:type="dxa"/>
            <w:vAlign w:val="bottom"/>
          </w:tcPr>
          <w:p>
            <w:pPr>
              <w:ind w:left="60"/>
              <w:spacing w:after="0"/>
              <w:rPr>
                <w:sz w:val="20"/>
                <w:szCs w:val="20"/>
                <w:color w:val="auto"/>
              </w:rPr>
            </w:pPr>
            <w:r>
              <w:rPr>
                <w:rFonts w:ascii="Arial" w:cs="Arial" w:eastAsia="Arial" w:hAnsi="Arial"/>
                <w:sz w:val="18"/>
                <w:szCs w:val="18"/>
                <w:color w:val="auto"/>
                <w:w w:val="84"/>
              </w:rPr>
              <w:t>1,434,453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1,434,453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1,434,453</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1,434,453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286,890.60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Brio Capital</w:t>
            </w:r>
          </w:p>
        </w:tc>
        <w:tc>
          <w:tcPr>
            <w:tcW w:w="2520" w:type="dxa"/>
            <w:vAlign w:val="bottom"/>
            <w:gridSpan w:val="2"/>
          </w:tcPr>
          <w:p>
            <w:pPr>
              <w:spacing w:after="0"/>
              <w:rPr>
                <w:sz w:val="20"/>
                <w:szCs w:val="20"/>
                <w:color w:val="auto"/>
              </w:rPr>
            </w:pPr>
            <w:r>
              <w:rPr>
                <w:rFonts w:ascii="Arial" w:cs="Arial" w:eastAsia="Arial" w:hAnsi="Arial"/>
                <w:sz w:val="18"/>
                <w:szCs w:val="18"/>
                <w:color w:val="auto"/>
              </w:rPr>
              <w:t>c/o Brio Capital Management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gridSpan w:val="2"/>
            <w:vMerge w:val="continue"/>
          </w:tcPr>
          <w:p>
            <w:pPr>
              <w:spacing w:after="0"/>
              <w:rPr>
                <w:sz w:val="17"/>
                <w:szCs w:val="17"/>
                <w:color w:val="auto"/>
              </w:rPr>
            </w:pPr>
          </w:p>
        </w:tc>
        <w:tc>
          <w:tcPr>
            <w:tcW w:w="2520" w:type="dxa"/>
            <w:vAlign w:val="bottom"/>
            <w:gridSpan w:val="2"/>
          </w:tcPr>
          <w:p>
            <w:pPr>
              <w:spacing w:after="0" w:line="205" w:lineRule="exact"/>
              <w:rPr>
                <w:sz w:val="20"/>
                <w:szCs w:val="20"/>
                <w:color w:val="auto"/>
              </w:rPr>
            </w:pPr>
            <w:r>
              <w:rPr>
                <w:rFonts w:ascii="Arial" w:cs="Arial" w:eastAsia="Arial" w:hAnsi="Arial"/>
                <w:sz w:val="18"/>
                <w:szCs w:val="18"/>
                <w:color w:val="auto"/>
              </w:rPr>
              <w:t>LLC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Master</w:t>
            </w:r>
          </w:p>
        </w:tc>
        <w:tc>
          <w:tcPr>
            <w:tcW w:w="2520" w:type="dxa"/>
            <w:vAlign w:val="bottom"/>
            <w:gridSpan w:val="2"/>
          </w:tcPr>
          <w:p>
            <w:pPr>
              <w:spacing w:after="0"/>
              <w:rPr>
                <w:sz w:val="20"/>
                <w:szCs w:val="20"/>
                <w:color w:val="auto"/>
              </w:rPr>
            </w:pPr>
            <w:r>
              <w:rPr>
                <w:rFonts w:ascii="Arial" w:cs="Arial" w:eastAsia="Arial" w:hAnsi="Arial"/>
                <w:sz w:val="18"/>
                <w:szCs w:val="18"/>
                <w:color w:val="auto"/>
              </w:rPr>
              <w:t>100 Merrick Rd, Suite 401W</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Fund, Ltd.</w:t>
            </w:r>
          </w:p>
        </w:tc>
        <w:tc>
          <w:tcPr>
            <w:tcW w:w="2520" w:type="dxa"/>
            <w:vAlign w:val="bottom"/>
            <w:gridSpan w:val="2"/>
          </w:tcPr>
          <w:p>
            <w:pPr>
              <w:spacing w:after="0"/>
              <w:rPr>
                <w:sz w:val="20"/>
                <w:szCs w:val="20"/>
                <w:color w:val="auto"/>
              </w:rPr>
            </w:pPr>
            <w:r>
              <w:rPr>
                <w:rFonts w:ascii="Arial" w:cs="Arial" w:eastAsia="Arial" w:hAnsi="Arial"/>
                <w:sz w:val="18"/>
                <w:szCs w:val="18"/>
                <w:color w:val="auto"/>
              </w:rPr>
              <w:t>Rockville Centre, NY 11570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2,500,000</w:t>
            </w:r>
          </w:p>
        </w:tc>
        <w:tc>
          <w:tcPr>
            <w:tcW w:w="760" w:type="dxa"/>
            <w:vAlign w:val="bottom"/>
          </w:tcPr>
          <w:p>
            <w:pPr>
              <w:ind w:left="60"/>
              <w:spacing w:after="0"/>
              <w:rPr>
                <w:sz w:val="20"/>
                <w:szCs w:val="20"/>
                <w:color w:val="auto"/>
              </w:rPr>
            </w:pPr>
            <w:r>
              <w:rPr>
                <w:rFonts w:ascii="Arial" w:cs="Arial" w:eastAsia="Arial" w:hAnsi="Arial"/>
                <w:sz w:val="18"/>
                <w:szCs w:val="18"/>
                <w:color w:val="auto"/>
                <w:w w:val="84"/>
              </w:rPr>
              <w:t>2,500,000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2,500,000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7,320,000</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7,320,000</w:t>
            </w:r>
          </w:p>
        </w:tc>
        <w:tc>
          <w:tcPr>
            <w:tcW w:w="760" w:type="dxa"/>
            <w:vAlign w:val="bottom"/>
          </w:tcPr>
          <w:p>
            <w:pPr>
              <w:ind w:left="60"/>
              <w:spacing w:after="0"/>
              <w:rPr>
                <w:sz w:val="20"/>
                <w:szCs w:val="20"/>
                <w:color w:val="auto"/>
              </w:rPr>
            </w:pPr>
            <w:r>
              <w:rPr>
                <w:rFonts w:ascii="Arial" w:cs="Arial" w:eastAsia="Arial" w:hAnsi="Arial"/>
                <w:sz w:val="18"/>
                <w:szCs w:val="18"/>
                <w:color w:val="auto"/>
                <w:w w:val="84"/>
              </w:rPr>
              <w:t>7,320,000</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7,320,000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7,320,000</w:t>
            </w: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7,320,000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1,464,000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10" w:right="139" w:bottom="274" w:gutter="0" w:footer="0" w:header="0"/>
        </w:sectPr>
      </w:pPr>
    </w:p>
    <w:bookmarkStart w:id="270" w:name="page271"/>
    <w:bookmarkEnd w:id="270"/>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89535</wp:posOffset>
            </wp:positionV>
            <wp:extent cx="725424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Series A Warrant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978" w:right="1440" w:bottom="1440" w:gutter="0" w:footer="0" w:header="0"/>
        </w:sectPr>
      </w:pPr>
    </w:p>
    <w:bookmarkStart w:id="272" w:name="page273"/>
    <w:bookmarkEnd w:id="272"/>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Series B Warrant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741" w:right="1440"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Exhibit 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Series 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741" w:right="1440"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Exhibit 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Series C Warrant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741" w:right="1440" w:bottom="1440" w:gutter="0" w:footer="0" w:header="0"/>
        </w:sectPr>
      </w:pPr>
    </w:p>
    <w:bookmarkStart w:id="275" w:name="page276"/>
    <w:bookmarkEnd w:id="275"/>
    <w:p>
      <w:pPr>
        <w:jc w:val="center"/>
        <w:ind w:right="-1220"/>
        <w:spacing w:after="0"/>
        <w:rPr>
          <w:sz w:val="20"/>
          <w:szCs w:val="20"/>
          <w:color w:val="auto"/>
        </w:rPr>
      </w:pPr>
      <w:r>
        <w:rPr>
          <w:rFonts w:ascii="Arial" w:cs="Arial" w:eastAsia="Arial" w:hAnsi="Arial"/>
          <w:sz w:val="18"/>
          <w:szCs w:val="18"/>
          <w:b w:val="1"/>
          <w:bCs w:val="1"/>
          <w:color w:val="auto"/>
        </w:rPr>
        <w:t>Exhibit E</w:t>
      </w:r>
    </w:p>
    <w:p>
      <w:pPr>
        <w:spacing w:after="0" w:line="241"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Form of Series 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36073719v.8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4240" cy="438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0219"/>
          </w:cols>
          <w:pgMar w:left="240" w:top="741"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153670</wp:posOffset>
            </wp:positionH>
            <wp:positionV relativeFrom="page">
              <wp:posOffset>195580</wp:posOffset>
            </wp:positionV>
            <wp:extent cx="725424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240" cy="38100"/>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161290</wp:posOffset>
            </wp:positionV>
            <wp:extent cx="1950720" cy="2095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507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July 29, 2014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Ph.DChairman &amp; CEO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TapImmune, Inc.1551 Eastlake Avenue EastSuite 100Seattle, WA 98102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Dr. Wilson:</w:t>
      </w:r>
    </w:p>
    <w:p>
      <w:pPr>
        <w:spacing w:after="0" w:line="241" w:lineRule="exact"/>
        <w:rPr>
          <w:sz w:val="20"/>
          <w:szCs w:val="20"/>
          <w:color w:val="auto"/>
        </w:rPr>
      </w:pPr>
    </w:p>
    <w:p>
      <w:pPr>
        <w:ind w:right="40" w:firstLine="633"/>
        <w:spacing w:after="0" w:line="280" w:lineRule="auto"/>
        <w:rPr>
          <w:sz w:val="20"/>
          <w:szCs w:val="20"/>
          <w:color w:val="auto"/>
        </w:rPr>
      </w:pPr>
      <w:r>
        <w:rPr>
          <w:rFonts w:ascii="Arial" w:cs="Arial" w:eastAsia="Arial" w:hAnsi="Arial"/>
          <w:sz w:val="16"/>
          <w:szCs w:val="16"/>
          <w:color w:val="auto"/>
        </w:rPr>
        <w:t>This letter agreement (this “Agreement”) constitutes the agreement between TapImmune, Inc. (the “Company”) and H.C. Wainwright &amp; Co., LLC (“Wainwright”) that Wainwright shall serve as the exclusive agent, advisor or underwriter in any offering (each, an “Offering”) of securities of the Company (“Securities”) during the Term (as defined below) of this Agreement. The terms of each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an Offering.</w:t>
      </w:r>
    </w:p>
    <w:p>
      <w:pPr>
        <w:spacing w:after="0" w:line="196" w:lineRule="exact"/>
        <w:rPr>
          <w:sz w:val="20"/>
          <w:szCs w:val="20"/>
          <w:color w:val="auto"/>
        </w:rPr>
      </w:pPr>
    </w:p>
    <w:p>
      <w:pPr>
        <w:ind w:left="1240" w:hanging="602"/>
        <w:spacing w:after="0"/>
        <w:tabs>
          <w:tab w:leader="none" w:pos="124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Compensation; Reimbursement</w:t>
      </w:r>
      <w:r>
        <w:rPr>
          <w:rFonts w:ascii="Arial" w:cs="Arial" w:eastAsia="Arial" w:hAnsi="Arial"/>
          <w:sz w:val="16"/>
          <w:szCs w:val="16"/>
          <w:color w:val="auto"/>
        </w:rPr>
        <w:t>. At the closing of each Offering (each, a “</w:t>
      </w:r>
      <w:r>
        <w:rPr>
          <w:rFonts w:ascii="Arial" w:cs="Arial" w:eastAsia="Arial" w:hAnsi="Arial"/>
          <w:sz w:val="16"/>
          <w:szCs w:val="16"/>
          <w:u w:val="single" w:color="auto"/>
          <w:color w:val="auto"/>
        </w:rPr>
        <w:t>Closing</w:t>
      </w:r>
      <w:r>
        <w:rPr>
          <w:rFonts w:ascii="Arial" w:cs="Arial" w:eastAsia="Arial" w:hAnsi="Arial"/>
          <w:sz w:val="16"/>
          <w:szCs w:val="16"/>
          <w:color w:val="auto"/>
        </w:rPr>
        <w:t>”), the Company shall compensate Wainwright as follows:</w:t>
      </w:r>
    </w:p>
    <w:p>
      <w:pPr>
        <w:spacing w:after="0" w:line="264" w:lineRule="exact"/>
        <w:rPr>
          <w:rFonts w:ascii="Arial" w:cs="Arial" w:eastAsia="Arial" w:hAnsi="Arial"/>
          <w:sz w:val="16"/>
          <w:szCs w:val="16"/>
          <w:color w:val="auto"/>
        </w:rPr>
      </w:pPr>
    </w:p>
    <w:p>
      <w:pPr>
        <w:jc w:val="both"/>
        <w:ind w:left="1280" w:hanging="325"/>
        <w:spacing w:after="0" w:line="300" w:lineRule="auto"/>
        <w:tabs>
          <w:tab w:leader="none" w:pos="1280" w:val="left"/>
        </w:tabs>
        <w:numPr>
          <w:ilvl w:val="1"/>
          <w:numId w:val="307"/>
        </w:numPr>
        <w:rPr>
          <w:rFonts w:ascii="Arial" w:cs="Arial" w:eastAsia="Arial" w:hAnsi="Arial"/>
          <w:sz w:val="16"/>
          <w:szCs w:val="16"/>
          <w:i w:val="1"/>
          <w:iCs w:val="1"/>
          <w:color w:val="auto"/>
        </w:rPr>
      </w:pPr>
      <w:r>
        <w:rPr>
          <w:rFonts w:ascii="Arial" w:cs="Arial" w:eastAsia="Arial" w:hAnsi="Arial"/>
          <w:sz w:val="16"/>
          <w:szCs w:val="16"/>
          <w:i w:val="1"/>
          <w:iCs w:val="1"/>
          <w:color w:val="auto"/>
        </w:rPr>
        <w:t>Cash Fee</w:t>
      </w:r>
      <w:r>
        <w:rPr>
          <w:rFonts w:ascii="Arial" w:cs="Arial" w:eastAsia="Arial" w:hAnsi="Arial"/>
          <w:sz w:val="16"/>
          <w:szCs w:val="16"/>
          <w:color w:val="auto"/>
        </w:rPr>
        <w:t>. The Company shall pay to Wainwright a cash fee, or as to an underwritten Offering an underwriter discount, equal to 7%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gross proceeds raised in each Offering. Additionally, Wainwright shall receive a cash fee payable within 48 hours of (but only in the event of) the receipt by the Company of any proceeds from the exercise of any warrants or options sold in each Offering.</w:t>
      </w:r>
    </w:p>
    <w:p>
      <w:pPr>
        <w:spacing w:after="0" w:line="180" w:lineRule="exact"/>
        <w:rPr>
          <w:rFonts w:ascii="Arial" w:cs="Arial" w:eastAsia="Arial" w:hAnsi="Arial"/>
          <w:sz w:val="16"/>
          <w:szCs w:val="16"/>
          <w:i w:val="1"/>
          <w:iCs w:val="1"/>
          <w:color w:val="auto"/>
        </w:rPr>
      </w:pPr>
    </w:p>
    <w:p>
      <w:pPr>
        <w:jc w:val="both"/>
        <w:ind w:left="1280" w:hanging="325"/>
        <w:spacing w:after="0" w:line="248" w:lineRule="auto"/>
        <w:tabs>
          <w:tab w:leader="none" w:pos="1280" w:val="left"/>
        </w:tabs>
        <w:numPr>
          <w:ilvl w:val="1"/>
          <w:numId w:val="307"/>
        </w:numPr>
        <w:rPr>
          <w:rFonts w:ascii="Arial" w:cs="Arial" w:eastAsia="Arial" w:hAnsi="Arial"/>
          <w:sz w:val="18"/>
          <w:szCs w:val="18"/>
          <w:i w:val="1"/>
          <w:iCs w:val="1"/>
          <w:color w:val="auto"/>
        </w:rPr>
      </w:pPr>
      <w:r>
        <w:rPr>
          <w:rFonts w:ascii="Arial" w:cs="Arial" w:eastAsia="Arial" w:hAnsi="Arial"/>
          <w:sz w:val="18"/>
          <w:szCs w:val="18"/>
          <w:i w:val="1"/>
          <w:iCs w:val="1"/>
          <w:color w:val="auto"/>
        </w:rPr>
        <w:t>Warrant Coverage</w:t>
      </w:r>
      <w:r>
        <w:rPr>
          <w:rFonts w:ascii="Arial" w:cs="Arial" w:eastAsia="Arial" w:hAnsi="Arial"/>
          <w:sz w:val="18"/>
          <w:szCs w:val="18"/>
          <w:color w:val="auto"/>
        </w:rPr>
        <w:t>. The Company shall issue to Wainwright or its designees at each Closing, warrants (the “</w:t>
      </w:r>
      <w:r>
        <w:rPr>
          <w:rFonts w:ascii="Arial" w:cs="Arial" w:eastAsia="Arial" w:hAnsi="Arial"/>
          <w:sz w:val="18"/>
          <w:szCs w:val="18"/>
          <w:u w:val="single" w:color="auto"/>
          <w:color w:val="auto"/>
        </w:rPr>
        <w:t>Wainwright Warrants</w:t>
      </w:r>
      <w:r>
        <w:rPr>
          <w:rFonts w:ascii="Arial" w:cs="Arial" w:eastAsia="Arial" w:hAnsi="Arial"/>
          <w:sz w:val="18"/>
          <w:szCs w:val="18"/>
          <w:color w:val="auto"/>
        </w:rPr>
        <w: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number of shares of common stock of the Company equal to 5% of the aggregate number of shares of Common Stock placed in each Offering (if the Securities are convertible or include a “greenshoe” or “additional investment” option component, such shares of Common Stock underlying such Securities or options). If the Securities included in an Offering are non-convertible, the Wainwright Warrants shall be determined by dividing the gross proceeds raised in such Offering divided by the then market price of the Common Stock. The Wainwright Warrants shall have the same terms as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474746"/>
        </w:rPr>
        <w:t>430 Park Avenue | New York, New York 10022 | 212.356.0500 | www.hcwco.com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474746"/>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424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277" w:name="page278"/>
    <w:bookmarkEnd w:id="277"/>
    <w:p>
      <w:pPr>
        <w:jc w:val="both"/>
        <w:ind w:left="642"/>
        <w:spacing w:after="0" w:line="253" w:lineRule="auto"/>
        <w:rPr>
          <w:sz w:val="20"/>
          <w:szCs w:val="20"/>
          <w:color w:val="auto"/>
        </w:rPr>
      </w:pPr>
      <w:r>
        <w:rPr>
          <w:rFonts w:ascii="Arial" w:cs="Arial" w:eastAsia="Arial" w:hAnsi="Arial"/>
          <w:sz w:val="18"/>
          <w:szCs w:val="18"/>
          <w:color w:val="auto"/>
        </w:rPr>
        <w:t>warrants issued to investors in the applicable Offering. If no warrants are issued to investors in an Offering, the Wainwright Warrants shall be in a customary form reasonably acceptable to Wainwright, have a term of 5 years and an exercise price equal to 110% of the then market price of the Common Stock.</w:t>
      </w:r>
    </w:p>
    <w:p>
      <w:pPr>
        <w:spacing w:after="0" w:line="216" w:lineRule="exact"/>
        <w:rPr>
          <w:sz w:val="20"/>
          <w:szCs w:val="20"/>
          <w:color w:val="auto"/>
        </w:rPr>
      </w:pPr>
    </w:p>
    <w:p>
      <w:pPr>
        <w:jc w:val="both"/>
        <w:ind w:left="642" w:hanging="325"/>
        <w:spacing w:after="0" w:line="253" w:lineRule="auto"/>
        <w:tabs>
          <w:tab w:leader="none" w:pos="642" w:val="left"/>
        </w:tabs>
        <w:numPr>
          <w:ilvl w:val="1"/>
          <w:numId w:val="308"/>
        </w:numPr>
        <w:rPr>
          <w:rFonts w:ascii="Arial" w:cs="Arial" w:eastAsia="Arial" w:hAnsi="Arial"/>
          <w:sz w:val="18"/>
          <w:szCs w:val="18"/>
          <w:i w:val="1"/>
          <w:iCs w:val="1"/>
          <w:color w:val="auto"/>
        </w:rPr>
      </w:pPr>
      <w:r>
        <w:rPr>
          <w:rFonts w:ascii="Arial" w:cs="Arial" w:eastAsia="Arial" w:hAnsi="Arial"/>
          <w:sz w:val="18"/>
          <w:szCs w:val="18"/>
          <w:i w:val="1"/>
          <w:iCs w:val="1"/>
          <w:color w:val="auto"/>
        </w:rPr>
        <w:t>Expense Allowance</w:t>
      </w:r>
      <w:r>
        <w:rPr>
          <w:rFonts w:ascii="Arial" w:cs="Arial" w:eastAsia="Arial" w:hAnsi="Arial"/>
          <w:sz w:val="18"/>
          <w:szCs w:val="18"/>
          <w:color w:val="auto"/>
        </w:rPr>
        <w:t>. Out of the proceeds of each Closing, the Company also agrees to pay Wainwright a non-accountable expense allowance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lesser of (a) 1% of the gross proceeds raised in such Offering and (b) $30,000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reimbursement amount in no way limits or impairs the indemnification and contribution provisions of this Agreement).</w:t>
      </w:r>
    </w:p>
    <w:p>
      <w:pPr>
        <w:spacing w:after="0" w:line="215" w:lineRule="exact"/>
        <w:rPr>
          <w:rFonts w:ascii="Arial" w:cs="Arial" w:eastAsia="Arial" w:hAnsi="Arial"/>
          <w:sz w:val="18"/>
          <w:szCs w:val="18"/>
          <w:i w:val="1"/>
          <w:iCs w:val="1"/>
          <w:color w:val="auto"/>
        </w:rPr>
      </w:pPr>
    </w:p>
    <w:p>
      <w:pPr>
        <w:ind w:left="482" w:hanging="482"/>
        <w:spacing w:after="0"/>
        <w:tabs>
          <w:tab w:leader="none" w:pos="482"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Term and Termination of Engagement; Exclusivity</w:t>
      </w:r>
      <w:r>
        <w:rPr>
          <w:rFonts w:ascii="Arial" w:cs="Arial" w:eastAsia="Arial" w:hAnsi="Arial"/>
          <w:sz w:val="16"/>
          <w:szCs w:val="16"/>
          <w:color w:val="auto"/>
        </w:rPr>
        <w:t>. The term of Wainwright’s exclusive engagement will begin on the date hereof and end three</w:t>
      </w:r>
    </w:p>
    <w:p>
      <w:pPr>
        <w:spacing w:after="0" w:line="38" w:lineRule="exact"/>
        <w:rPr>
          <w:rFonts w:ascii="Arial" w:cs="Arial" w:eastAsia="Arial" w:hAnsi="Arial"/>
          <w:sz w:val="16"/>
          <w:szCs w:val="16"/>
          <w:color w:val="auto"/>
        </w:rPr>
      </w:pPr>
    </w:p>
    <w:p>
      <w:pPr>
        <w:jc w:val="both"/>
        <w:ind w:left="482"/>
        <w:spacing w:after="0" w:line="277" w:lineRule="auto"/>
        <w:rPr>
          <w:rFonts w:ascii="Arial" w:cs="Arial" w:eastAsia="Arial" w:hAnsi="Arial"/>
          <w:sz w:val="16"/>
          <w:szCs w:val="16"/>
          <w:color w:val="auto"/>
        </w:rPr>
      </w:pPr>
      <w:r>
        <w:rPr>
          <w:rFonts w:ascii="Arial" w:cs="Arial" w:eastAsia="Arial" w:hAnsi="Arial"/>
          <w:sz w:val="16"/>
          <w:szCs w:val="16"/>
          <w:color w:val="auto"/>
        </w:rPr>
        <w:t>(3) months after the date hereof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 Offering is consummated during the Term, the Term shall be extended to be twelve (12) months from the date hereof.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of this Agreement. Subject to the last two sentences of this paragraph, during Wainwright’s engagement hereunder: (i) the Company will not, and will not permit its representatives to, other than in coordination with Wainwright, contact or solicit institutions, corporations or other entities or individuals as potential purchasers of the Securities and (ii) the Company will not pursue any financing transaction which would be in lieu of a Offering. Furthermore, again, subject to the last two sentences of this paragraph, the Company agrees that during Wainwright’s engagement hereunder, all inquiries, whether direct or indirect, from prospective investors will be referred to Wainwright and will be deemed to have been contacted by Wainwright in connection with an Offering Until a first Closing occurs, the Company may issue and sell securities of the Company in a private placement in an amount, not exceeding $500,000 in the aggregate and in no more than two offerings, on the following terms (each, a “Company Offering”): The Company Offering shall consist of units at per unit price of $1.00, with each unit consisting of (a) one share of unregistered common stock of the Company and (b) a common stock purchase warrant to purchase one share of unregistered common stock at an exercise price of $2.50 per share. The Company Offering shall be made to (i) current non-institutional accredited investors of the Company and (ii) up to five (5) non-institutional accredited investors who have been previously approached by the Company and are listed on Schedule I attached hereto.</w:t>
      </w:r>
    </w:p>
    <w:p>
      <w:pPr>
        <w:spacing w:after="0" w:line="204" w:lineRule="exact"/>
        <w:rPr>
          <w:sz w:val="20"/>
          <w:szCs w:val="20"/>
          <w:color w:val="auto"/>
        </w:rPr>
      </w:pPr>
    </w:p>
    <w:p>
      <w:pPr>
        <w:ind w:left="482" w:right="20" w:hanging="482"/>
        <w:spacing w:after="0" w:line="281" w:lineRule="auto"/>
        <w:tabs>
          <w:tab w:leader="none" w:pos="482"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Information; Reliance</w:t>
      </w:r>
      <w:r>
        <w:rPr>
          <w:rFonts w:ascii="Arial" w:cs="Arial" w:eastAsia="Arial" w:hAnsi="Arial"/>
          <w:sz w:val="16"/>
          <w:szCs w:val="16"/>
          <w:color w:val="auto"/>
        </w:rPr>
        <w:t>. The Company shall furnish, or cause to be furnished, to Wainwright all information requested by Wainwright for the purpose of rendering services hereunder (all such information being the “</w:t>
      </w:r>
      <w:r>
        <w:rPr>
          <w:rFonts w:ascii="Arial" w:cs="Arial" w:eastAsia="Arial" w:hAnsi="Arial"/>
          <w:sz w:val="16"/>
          <w:szCs w:val="16"/>
          <w:u w:val="single" w:color="auto"/>
          <w:color w:val="auto"/>
        </w:rPr>
        <w:t>Information</w:t>
      </w:r>
      <w:r>
        <w:rPr>
          <w:rFonts w:ascii="Arial" w:cs="Arial" w:eastAsia="Arial" w:hAnsi="Arial"/>
          <w:sz w:val="16"/>
          <w:szCs w:val="16"/>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each Offering (the “</w:t>
      </w:r>
      <w:r>
        <w:rPr>
          <w:rFonts w:ascii="Arial" w:cs="Arial" w:eastAsia="Arial" w:hAnsi="Arial"/>
          <w:sz w:val="16"/>
          <w:szCs w:val="16"/>
          <w:u w:val="single" w:color="auto"/>
          <w:color w:val="auto"/>
        </w:rPr>
        <w:t>Offering Documents</w:t>
      </w:r>
      <w:r>
        <w:rPr>
          <w:rFonts w:ascii="Arial" w:cs="Arial" w:eastAsia="Arial" w:hAnsi="Arial"/>
          <w:sz w:val="16"/>
          <w:szCs w:val="16"/>
          <w:color w:val="auto"/>
        </w:rPr>
        <w:t>” which shall include any Purchase Agreements (as defined below)),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231140</wp:posOffset>
            </wp:positionV>
            <wp:extent cx="725424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782"/>
          </w:cols>
          <w:pgMar w:left="878" w:top="510" w:right="239" w:bottom="1440" w:gutter="0" w:footer="0" w:header="0"/>
        </w:sectPr>
      </w:pPr>
    </w:p>
    <w:bookmarkStart w:id="278" w:name="page279"/>
    <w:bookmarkEnd w:id="278"/>
    <w:p>
      <w:pPr>
        <w:jc w:val="both"/>
        <w:ind w:left="4"/>
        <w:spacing w:after="0" w:line="249" w:lineRule="auto"/>
        <w:rPr>
          <w:sz w:val="20"/>
          <w:szCs w:val="20"/>
          <w:color w:val="auto"/>
        </w:rPr>
      </w:pPr>
      <w:r>
        <w:rPr>
          <w:rFonts w:ascii="Arial" w:cs="Arial" w:eastAsia="Arial" w:hAnsi="Arial"/>
          <w:sz w:val="18"/>
          <w:szCs w:val="18"/>
          <w:color w:val="auto"/>
        </w:rPr>
        <w:t>investigation undertaken by Wainwright thereof, including any document included or incorporated by reference therein. At each Offering, at the request of Wainwright, the Company shall deliver such legal letters, comfort letters and officer’s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an Offering.</w:t>
      </w:r>
    </w:p>
    <w:p>
      <w:pPr>
        <w:spacing w:after="0" w:line="218" w:lineRule="exact"/>
        <w:rPr>
          <w:sz w:val="20"/>
          <w:szCs w:val="20"/>
          <w:color w:val="auto"/>
        </w:rPr>
      </w:pPr>
    </w:p>
    <w:p>
      <w:pPr>
        <w:ind w:left="564" w:hanging="564"/>
        <w:spacing w:after="0"/>
        <w:tabs>
          <w:tab w:leader="none" w:pos="56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Related Agreements</w:t>
      </w:r>
      <w:r>
        <w:rPr>
          <w:rFonts w:ascii="Arial" w:cs="Arial" w:eastAsia="Arial" w:hAnsi="Arial"/>
          <w:sz w:val="18"/>
          <w:szCs w:val="18"/>
          <w:color w:val="auto"/>
        </w:rPr>
        <w:t>. At each Offering, the Company shall enter into the following additional agreements:</w:t>
      </w:r>
    </w:p>
    <w:p>
      <w:pPr>
        <w:spacing w:after="0" w:line="241" w:lineRule="exact"/>
        <w:rPr>
          <w:rFonts w:ascii="Arial" w:cs="Arial" w:eastAsia="Arial" w:hAnsi="Arial"/>
          <w:sz w:val="18"/>
          <w:szCs w:val="18"/>
          <w:color w:val="auto"/>
        </w:rPr>
      </w:pPr>
    </w:p>
    <w:p>
      <w:pPr>
        <w:ind w:left="484" w:hanging="325"/>
        <w:spacing w:after="0" w:line="262" w:lineRule="auto"/>
        <w:tabs>
          <w:tab w:leader="none" w:pos="484" w:val="left"/>
        </w:tabs>
        <w:numPr>
          <w:ilvl w:val="1"/>
          <w:numId w:val="31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an Offering is an underwritten Offering, the Company and Wainwright shall enter into a customary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form and substance satisfactory to Wainwright and its counsel.</w:t>
      </w:r>
    </w:p>
    <w:p>
      <w:pPr>
        <w:spacing w:after="0" w:line="207" w:lineRule="exact"/>
        <w:rPr>
          <w:rFonts w:ascii="Arial" w:cs="Arial" w:eastAsia="Arial" w:hAnsi="Arial"/>
          <w:sz w:val="18"/>
          <w:szCs w:val="18"/>
          <w:i w:val="1"/>
          <w:iCs w:val="1"/>
          <w:color w:val="auto"/>
        </w:rPr>
      </w:pPr>
    </w:p>
    <w:p>
      <w:pPr>
        <w:jc w:val="both"/>
        <w:ind w:left="484" w:hanging="325"/>
        <w:spacing w:after="0" w:line="250" w:lineRule="auto"/>
        <w:tabs>
          <w:tab w:leader="none" w:pos="484" w:val="left"/>
        </w:tabs>
        <w:numPr>
          <w:ilvl w:val="1"/>
          <w:numId w:val="311"/>
        </w:numPr>
        <w:rPr>
          <w:rFonts w:ascii="Arial" w:cs="Arial" w:eastAsia="Arial" w:hAnsi="Arial"/>
          <w:sz w:val="18"/>
          <w:szCs w:val="18"/>
          <w:i w:val="1"/>
          <w:iCs w:val="1"/>
          <w:color w:val="auto"/>
        </w:rPr>
      </w:pPr>
      <w:r>
        <w:rPr>
          <w:rFonts w:ascii="Arial" w:cs="Arial" w:eastAsia="Arial" w:hAnsi="Arial"/>
          <w:sz w:val="18"/>
          <w:szCs w:val="18"/>
          <w:i w:val="1"/>
          <w:iCs w:val="1"/>
          <w:color w:val="auto"/>
        </w:rPr>
        <w:t>Best Efforts Offering</w:t>
      </w:r>
      <w:r>
        <w:rPr>
          <w:rFonts w:ascii="Arial" w:cs="Arial" w:eastAsia="Arial" w:hAnsi="Arial"/>
          <w:sz w:val="18"/>
          <w:szCs w:val="18"/>
          <w:color w:val="auto"/>
        </w:rPr>
        <w:t>. If an Offering is on a best efforts basis, the sale of Securities to the investors in the Offering will be evidenced by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between the Company and such investors in a form reasonably satisfactory to the Company and Wainwright. Prior to the signing of any Purchase Agreement, officers of the Company with responsibility for financial affairs will be available to answer inquiries from prospective investors.</w:t>
      </w:r>
    </w:p>
    <w:p>
      <w:pPr>
        <w:spacing w:after="0" w:line="218" w:lineRule="exact"/>
        <w:rPr>
          <w:rFonts w:ascii="Arial" w:cs="Arial" w:eastAsia="Arial" w:hAnsi="Arial"/>
          <w:sz w:val="18"/>
          <w:szCs w:val="18"/>
          <w:i w:val="1"/>
          <w:iCs w:val="1"/>
          <w:color w:val="auto"/>
        </w:rPr>
      </w:pPr>
    </w:p>
    <w:p>
      <w:pPr>
        <w:jc w:val="both"/>
        <w:ind w:left="484" w:hanging="325"/>
        <w:spacing w:after="0" w:line="253" w:lineRule="auto"/>
        <w:tabs>
          <w:tab w:leader="none" w:pos="484" w:val="left"/>
        </w:tabs>
        <w:numPr>
          <w:ilvl w:val="1"/>
          <w:numId w:val="311"/>
        </w:numPr>
        <w:rPr>
          <w:rFonts w:ascii="Arial" w:cs="Arial" w:eastAsia="Arial" w:hAnsi="Arial"/>
          <w:sz w:val="18"/>
          <w:szCs w:val="18"/>
          <w:i w:val="1"/>
          <w:iCs w:val="1"/>
          <w:color w:val="auto"/>
        </w:rPr>
      </w:pPr>
      <w:r>
        <w:rPr>
          <w:rFonts w:ascii="Arial" w:cs="Arial" w:eastAsia="Arial" w:hAnsi="Arial"/>
          <w:sz w:val="18"/>
          <w:szCs w:val="18"/>
          <w:i w:val="1"/>
          <w:iCs w:val="1"/>
          <w:color w:val="auto"/>
        </w:rPr>
        <w:t>Escrow</w:t>
      </w:r>
      <w:r>
        <w:rPr>
          <w:rFonts w:ascii="Arial" w:cs="Arial" w:eastAsia="Arial" w:hAnsi="Arial"/>
          <w:sz w:val="18"/>
          <w:szCs w:val="18"/>
          <w:color w:val="auto"/>
        </w:rPr>
        <w:t>. In respect of each Offering, the Company and Wainwright shall enter into an escrow agreement with a third party escrow agent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Wainwright’s compensation shall be paid from the gross proceeds of the Securities sold. The Company shall bear the cost of the escrow agent.</w:t>
      </w:r>
    </w:p>
    <w:p>
      <w:pPr>
        <w:spacing w:after="0" w:line="215" w:lineRule="exact"/>
        <w:rPr>
          <w:rFonts w:ascii="Arial" w:cs="Arial" w:eastAsia="Arial" w:hAnsi="Arial"/>
          <w:sz w:val="18"/>
          <w:szCs w:val="18"/>
          <w:i w:val="1"/>
          <w:iCs w:val="1"/>
          <w:color w:val="auto"/>
        </w:rPr>
      </w:pPr>
    </w:p>
    <w:p>
      <w:pPr>
        <w:jc w:val="both"/>
        <w:ind w:left="484" w:hanging="325"/>
        <w:spacing w:after="0" w:line="291" w:lineRule="auto"/>
        <w:tabs>
          <w:tab w:leader="none" w:pos="484" w:val="left"/>
        </w:tabs>
        <w:numPr>
          <w:ilvl w:val="1"/>
          <w:numId w:val="311"/>
        </w:numPr>
        <w:rPr>
          <w:rFonts w:ascii="Arial" w:cs="Arial" w:eastAsia="Arial" w:hAnsi="Arial"/>
          <w:sz w:val="16"/>
          <w:szCs w:val="16"/>
          <w:i w:val="1"/>
          <w:iCs w:val="1"/>
          <w:color w:val="auto"/>
        </w:rPr>
      </w:pPr>
      <w:r>
        <w:rPr>
          <w:rFonts w:ascii="Arial" w:cs="Arial" w:eastAsia="Arial" w:hAnsi="Arial"/>
          <w:sz w:val="16"/>
          <w:szCs w:val="16"/>
          <w:i w:val="1"/>
          <w:iCs w:val="1"/>
          <w:color w:val="auto"/>
        </w:rPr>
        <w:t>FINRA Amendments</w:t>
      </w:r>
      <w:r>
        <w:rPr>
          <w:rFonts w:ascii="Arial" w:cs="Arial" w:eastAsia="Arial" w:hAnsi="Arial"/>
          <w:sz w:val="16"/>
          <w:szCs w:val="16"/>
          <w:color w:val="auto"/>
        </w:rPr>
        <w:t>. Notwithstanding anything herein to the contrary, in the event that Wainwright determines that any of the terms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hereunder shall not comply with a FINRA rule, including but not limited to FINRA Rule 5110, then the Company shall agree to amend this Agreement (or include such revisions in the final underwriting) in writing upon the request of Wainwright to comply with any such rules; provided that any such amendments shall not provide for terms that are less favorable to the Company.</w:t>
      </w:r>
    </w:p>
    <w:p>
      <w:pPr>
        <w:spacing w:after="0" w:line="188" w:lineRule="exact"/>
        <w:rPr>
          <w:rFonts w:ascii="Arial" w:cs="Arial" w:eastAsia="Arial" w:hAnsi="Arial"/>
          <w:sz w:val="16"/>
          <w:szCs w:val="16"/>
          <w:i w:val="1"/>
          <w:iCs w:val="1"/>
          <w:color w:val="auto"/>
        </w:rPr>
      </w:pPr>
    </w:p>
    <w:p>
      <w:pPr>
        <w:jc w:val="both"/>
        <w:ind w:left="4" w:hanging="4"/>
        <w:spacing w:after="0" w:line="253" w:lineRule="auto"/>
        <w:tabs>
          <w:tab w:leader="none" w:pos="656"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215" w:lineRule="exact"/>
        <w:rPr>
          <w:rFonts w:ascii="Arial" w:cs="Arial" w:eastAsia="Arial" w:hAnsi="Arial"/>
          <w:sz w:val="18"/>
          <w:szCs w:val="18"/>
          <w:color w:val="auto"/>
        </w:rPr>
      </w:pPr>
    </w:p>
    <w:p>
      <w:pPr>
        <w:ind w:left="524" w:hanging="524"/>
        <w:spacing w:after="0"/>
        <w:tabs>
          <w:tab w:leader="none" w:pos="52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41" w:lineRule="exact"/>
        <w:rPr>
          <w:rFonts w:ascii="Arial" w:cs="Arial" w:eastAsia="Arial" w:hAnsi="Arial"/>
          <w:sz w:val="18"/>
          <w:szCs w:val="18"/>
          <w:color w:val="auto"/>
        </w:rPr>
      </w:pPr>
    </w:p>
    <w:p>
      <w:pPr>
        <w:jc w:val="both"/>
        <w:ind w:left="-156" w:firstLine="631"/>
        <w:spacing w:after="0" w:line="287" w:lineRule="auto"/>
        <w:tabs>
          <w:tab w:leader="none" w:pos="1187" w:val="left"/>
        </w:tabs>
        <w:numPr>
          <w:ilvl w:val="2"/>
          <w:numId w:val="311"/>
        </w:numPr>
        <w:rPr>
          <w:rFonts w:ascii="Arial" w:cs="Arial" w:eastAsia="Arial" w:hAnsi="Arial"/>
          <w:sz w:val="16"/>
          <w:szCs w:val="16"/>
          <w:color w:val="auto"/>
        </w:rPr>
      </w:pPr>
      <w:r>
        <w:rPr>
          <w:rFonts w:ascii="Arial" w:cs="Arial" w:eastAsia="Arial" w:hAnsi="Arial"/>
          <w:sz w:val="16"/>
          <w:szCs w:val="16"/>
          <w:color w:val="auto"/>
        </w:rPr>
        <w:t>In connection with the Company’s engagement of Wainwright as Offering agent,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from and against any and all claims, actions, suits, proceedings (including those of shareholders), damages, liabilities and expenses incurred by any of them (including the reasonable fees and expenses of counsel), as incurred, (collectively a “</w:t>
      </w:r>
      <w:r>
        <w:rPr>
          <w:rFonts w:ascii="Arial" w:cs="Arial" w:eastAsia="Arial" w:hAnsi="Arial"/>
          <w:sz w:val="16"/>
          <w:szCs w:val="16"/>
          <w:u w:val="single" w:color="auto"/>
          <w:color w:val="auto"/>
        </w:rPr>
        <w:t>Claim</w:t>
      </w:r>
      <w:r>
        <w:rPr>
          <w:rFonts w:ascii="Arial" w:cs="Arial" w:eastAsia="Arial" w:hAnsi="Arial"/>
          <w:sz w:val="16"/>
          <w:szCs w:val="16"/>
          <w:color w:val="auto"/>
        </w:rPr>
        <w:t>”), that are (A) related to or arise out of (i) any actions taken or omitted to be taken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378460</wp:posOffset>
            </wp:positionV>
            <wp:extent cx="725424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624"/>
          </w:cols>
          <w:pgMar w:left="1036" w:top="510" w:right="239" w:bottom="1440" w:gutter="0" w:footer="0" w:header="0"/>
        </w:sectPr>
      </w:pPr>
    </w:p>
    <w:bookmarkStart w:id="279" w:name="page280"/>
    <w:bookmarkEnd w:id="279"/>
    <w:p>
      <w:pPr>
        <w:jc w:val="both"/>
        <w:spacing w:after="0" w:line="281" w:lineRule="auto"/>
        <w:rPr>
          <w:sz w:val="20"/>
          <w:szCs w:val="20"/>
          <w:color w:val="auto"/>
        </w:rPr>
      </w:pPr>
      <w:r>
        <w:rPr>
          <w:rFonts w:ascii="Arial" w:cs="Arial" w:eastAsia="Arial" w:hAnsi="Arial"/>
          <w:sz w:val="16"/>
          <w:szCs w:val="16"/>
          <w:color w:val="auto"/>
        </w:rPr>
        <w:t>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gross negligence or willful misconduct.</w:t>
      </w:r>
    </w:p>
    <w:p>
      <w:pPr>
        <w:spacing w:after="0" w:line="197" w:lineRule="exact"/>
        <w:rPr>
          <w:sz w:val="20"/>
          <w:szCs w:val="20"/>
          <w:color w:val="auto"/>
        </w:rPr>
      </w:pPr>
    </w:p>
    <w:p>
      <w:pPr>
        <w:jc w:val="both"/>
        <w:ind w:firstLine="631"/>
        <w:spacing w:after="0" w:line="250" w:lineRule="auto"/>
        <w:tabs>
          <w:tab w:leader="none" w:pos="124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218" w:lineRule="exact"/>
        <w:rPr>
          <w:rFonts w:ascii="Arial" w:cs="Arial" w:eastAsia="Arial" w:hAnsi="Arial"/>
          <w:sz w:val="18"/>
          <w:szCs w:val="18"/>
          <w:color w:val="auto"/>
        </w:rPr>
      </w:pPr>
    </w:p>
    <w:p>
      <w:pPr>
        <w:jc w:val="both"/>
        <w:ind w:firstLine="631"/>
        <w:spacing w:after="0" w:line="278" w:lineRule="auto"/>
        <w:tabs>
          <w:tab w:leader="none" w:pos="128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202" w:lineRule="exact"/>
        <w:rPr>
          <w:rFonts w:ascii="Arial" w:cs="Arial" w:eastAsia="Arial" w:hAnsi="Arial"/>
          <w:sz w:val="16"/>
          <w:szCs w:val="16"/>
          <w:color w:val="auto"/>
        </w:rPr>
      </w:pPr>
    </w:p>
    <w:p>
      <w:pPr>
        <w:ind w:firstLine="631"/>
        <w:spacing w:after="0" w:line="262" w:lineRule="auto"/>
        <w:tabs>
          <w:tab w:leader="none" w:pos="136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Company agrees that if any indemnity sought by an Indemnified Person hereunder is held by a court to be unavailable for any reason then (whether or not Wainwright is the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388620</wp:posOffset>
            </wp:positionV>
            <wp:extent cx="725424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780"/>
          </w:cols>
          <w:pgMar w:left="880" w:top="510" w:right="239" w:bottom="1440" w:gutter="0" w:footer="0" w:header="0"/>
        </w:sectPr>
      </w:pPr>
    </w:p>
    <w:bookmarkStart w:id="280" w:name="page281"/>
    <w:bookmarkEnd w:id="280"/>
    <w:p>
      <w:pPr>
        <w:jc w:val="both"/>
        <w:spacing w:after="0" w:line="283" w:lineRule="auto"/>
        <w:rPr>
          <w:sz w:val="20"/>
          <w:szCs w:val="20"/>
          <w:color w:val="auto"/>
        </w:rPr>
      </w:pPr>
      <w:r>
        <w:rPr>
          <w:rFonts w:ascii="Arial" w:cs="Arial" w:eastAsia="Arial" w:hAnsi="Arial"/>
          <w:sz w:val="16"/>
          <w:szCs w:val="16"/>
          <w:color w:val="auto"/>
        </w:rPr>
        <w:t>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195" w:lineRule="exact"/>
        <w:rPr>
          <w:sz w:val="20"/>
          <w:szCs w:val="20"/>
          <w:color w:val="auto"/>
        </w:rPr>
      </w:pPr>
    </w:p>
    <w:p>
      <w:pPr>
        <w:jc w:val="both"/>
        <w:ind w:firstLine="631"/>
        <w:spacing w:after="0" w:line="253" w:lineRule="auto"/>
        <w:tabs>
          <w:tab w:leader="none" w:pos="125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215" w:lineRule="exact"/>
        <w:rPr>
          <w:rFonts w:ascii="Arial" w:cs="Arial" w:eastAsia="Arial" w:hAnsi="Arial"/>
          <w:sz w:val="18"/>
          <w:szCs w:val="18"/>
          <w:color w:val="auto"/>
        </w:rPr>
      </w:pPr>
    </w:p>
    <w:p>
      <w:pPr>
        <w:jc w:val="both"/>
        <w:ind w:left="160" w:hanging="4"/>
        <w:spacing w:after="0" w:line="279" w:lineRule="auto"/>
        <w:tabs>
          <w:tab w:leader="none" w:pos="884"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Limitation of Engagement to the Company</w:t>
      </w:r>
      <w:r>
        <w:rPr>
          <w:rFonts w:ascii="Arial" w:cs="Arial" w:eastAsia="Arial" w:hAnsi="Arial"/>
          <w:sz w:val="16"/>
          <w:szCs w:val="16"/>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201" w:lineRule="exact"/>
        <w:rPr>
          <w:rFonts w:ascii="Arial" w:cs="Arial" w:eastAsia="Arial" w:hAnsi="Arial"/>
          <w:sz w:val="16"/>
          <w:szCs w:val="16"/>
          <w:color w:val="auto"/>
        </w:rPr>
      </w:pPr>
    </w:p>
    <w:p>
      <w:pPr>
        <w:jc w:val="both"/>
        <w:ind w:left="160" w:hanging="4"/>
        <w:spacing w:after="0" w:line="283" w:lineRule="auto"/>
        <w:tabs>
          <w:tab w:leader="none" w:pos="858"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Limitation of Wainwright’s Liability to the Company</w:t>
      </w:r>
      <w:r>
        <w:rPr>
          <w:rFonts w:ascii="Arial" w:cs="Arial" w:eastAsia="Arial" w:hAnsi="Arial"/>
          <w:sz w:val="16"/>
          <w:szCs w:val="16"/>
          <w:color w:val="auto"/>
        </w:rPr>
        <w:t>. Wainwright and the Company further agree that neither Wainwright nor any of its affiliates or any of its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381000</wp:posOffset>
            </wp:positionV>
            <wp:extent cx="725424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780"/>
          </w:cols>
          <w:pgMar w:left="880" w:top="510" w:right="239" w:bottom="1440" w:gutter="0" w:footer="0" w:header="0"/>
        </w:sectPr>
      </w:pPr>
    </w:p>
    <w:bookmarkStart w:id="281" w:name="page282"/>
    <w:bookmarkEnd w:id="281"/>
    <w:p>
      <w:pPr>
        <w:jc w:val="both"/>
        <w:ind w:left="4" w:hanging="4"/>
        <w:spacing w:after="0" w:line="281" w:lineRule="auto"/>
        <w:tabs>
          <w:tab w:leader="none" w:pos="633"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of the bringing of any action, or suit by a party hereto against the other party hereto, arising out of or relating to this Agreement, the party in whose favor the final judgment or award shall be entered shall be entitled to have and recover from the other party the costs and expenses incurred in connection therewith, including its reasonable attorneys’ fees. Any rights to trial by jury with respect to any such action, proceeding or suit are hereby waived by Wainwright and the Company.</w:t>
      </w:r>
    </w:p>
    <w:p>
      <w:pPr>
        <w:spacing w:after="0" w:line="197" w:lineRule="exact"/>
        <w:rPr>
          <w:rFonts w:ascii="Arial" w:cs="Arial" w:eastAsia="Arial" w:hAnsi="Arial"/>
          <w:sz w:val="16"/>
          <w:szCs w:val="16"/>
          <w:color w:val="auto"/>
        </w:rPr>
      </w:pPr>
    </w:p>
    <w:p>
      <w:pPr>
        <w:ind w:left="544" w:hanging="544"/>
        <w:spacing w:after="0"/>
        <w:tabs>
          <w:tab w:leader="none" w:pos="544"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hereunder will be in writing and sent by certified mail, hand delivery, overnight delivery or fax, if sent to Wainwright, to</w:t>
      </w:r>
    </w:p>
    <w:p>
      <w:pPr>
        <w:spacing w:after="0" w:line="38" w:lineRule="exact"/>
        <w:rPr>
          <w:rFonts w:ascii="Arial" w:cs="Arial" w:eastAsia="Arial" w:hAnsi="Arial"/>
          <w:sz w:val="16"/>
          <w:szCs w:val="16"/>
          <w:color w:val="auto"/>
        </w:rPr>
      </w:pPr>
    </w:p>
    <w:p>
      <w:pPr>
        <w:jc w:val="both"/>
        <w:ind w:left="4" w:hanging="4"/>
        <w:spacing w:after="0" w:line="245" w:lineRule="auto"/>
        <w:tabs>
          <w:tab w:leader="none" w:pos="22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 Wainwright &amp; Co. LLC, at the address set forth on the first page hereof, fax number (212) 356-0536, Attention: Head of Investment Banking, and if sent to the Company, to the address set forth on the first page hereof, fax number (206) 299-9208 Attention: Glynn Wilson, Chief Executive Officer. Notices sent by certified mail shall be deemed received five days thereafter, notices sent by hand delivery or overnight delivery shall be deemed received on the date of the relevant written record of receipt, and notices delivered by fax shall be deemed received as of the date and time printed thereon by the fax machine.</w:t>
      </w:r>
    </w:p>
    <w:p>
      <w:pPr>
        <w:spacing w:after="0" w:line="223" w:lineRule="exact"/>
        <w:rPr>
          <w:rFonts w:ascii="Arial" w:cs="Arial" w:eastAsia="Arial" w:hAnsi="Arial"/>
          <w:sz w:val="18"/>
          <w:szCs w:val="18"/>
          <w:color w:val="auto"/>
        </w:rPr>
      </w:pPr>
    </w:p>
    <w:p>
      <w:pPr>
        <w:jc w:val="both"/>
        <w:ind w:left="4" w:hanging="4"/>
        <w:spacing w:after="0" w:line="300" w:lineRule="auto"/>
        <w:tabs>
          <w:tab w:leader="none" w:pos="622"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80" w:lineRule="exact"/>
        <w:rPr>
          <w:rFonts w:ascii="Arial" w:cs="Arial" w:eastAsia="Arial" w:hAnsi="Arial"/>
          <w:sz w:val="16"/>
          <w:szCs w:val="16"/>
          <w:color w:val="auto"/>
        </w:rPr>
      </w:pPr>
    </w:p>
    <w:p>
      <w:pPr>
        <w:jc w:val="both"/>
        <w:ind w:left="4" w:hanging="4"/>
        <w:spacing w:after="0" w:line="287" w:lineRule="auto"/>
        <w:tabs>
          <w:tab w:leader="none" w:pos="603"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Anti-Money Laundering</w:t>
      </w:r>
      <w:r>
        <w:rPr>
          <w:rFonts w:ascii="Arial" w:cs="Arial" w:eastAsia="Arial" w:hAnsi="Arial"/>
          <w:sz w:val="16"/>
          <w:szCs w:val="16"/>
          <w:color w:val="auto"/>
        </w:rPr>
        <w:t>. To help the United States government fight the funding of terrorism and money laundering, the federal laws of the United States requires all financial institutions to obtain, verify and record information that identifies each person with whom they do business. This means we must ask you for certain identifying information, including a government-issued identification number (e.g., a U.S. taxpayer identification number) and such other information or documents that we consider appropriate to verify your identity, such as certified articles of incorporation, a government-issued business license, a partnership agreement or a trust instrument.</w:t>
      </w:r>
    </w:p>
    <w:p>
      <w:pPr>
        <w:spacing w:after="0" w:line="191" w:lineRule="exact"/>
        <w:rPr>
          <w:rFonts w:ascii="Arial" w:cs="Arial" w:eastAsia="Arial" w:hAnsi="Arial"/>
          <w:sz w:val="16"/>
          <w:szCs w:val="16"/>
          <w:color w:val="auto"/>
        </w:rPr>
      </w:pPr>
    </w:p>
    <w:p>
      <w:pPr>
        <w:jc w:val="both"/>
        <w:ind w:left="4" w:hanging="4"/>
        <w:spacing w:after="0" w:line="281" w:lineRule="auto"/>
        <w:tabs>
          <w:tab w:leader="none" w:pos="634"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this Offering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counterparts), each of which shall be deemed an original but all of which together shall constitute one and the same instrument.</w:t>
      </w:r>
    </w:p>
    <w:p>
      <w:pPr>
        <w:spacing w:after="0" w:line="197"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410210</wp:posOffset>
            </wp:positionV>
            <wp:extent cx="725424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624"/>
          </w:cols>
          <w:pgMar w:left="1036" w:top="747" w:right="239" w:bottom="1440" w:gutter="0" w:footer="0" w:header="0"/>
        </w:sectPr>
      </w:pPr>
    </w:p>
    <w:bookmarkStart w:id="282" w:name="page283"/>
    <w:bookmarkEnd w:id="282"/>
    <w:p>
      <w:pPr>
        <w:ind w:firstLine="633"/>
        <w:spacing w:after="0" w:line="262" w:lineRule="auto"/>
        <w:rPr>
          <w:sz w:val="20"/>
          <w:szCs w:val="20"/>
          <w:color w:val="auto"/>
        </w:rPr>
      </w:pPr>
      <w:r>
        <w:rPr>
          <w:rFonts w:ascii="Arial" w:cs="Arial" w:eastAsia="Arial" w:hAnsi="Arial"/>
          <w:sz w:val="18"/>
          <w:szCs w:val="18"/>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 WAINWRIGHT &amp; CO., LLC</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Viklund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 Mark Viklund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Title: CEO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Glynn Wilson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Glynn Wilson, Ph.D</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704215</wp:posOffset>
            </wp:positionV>
            <wp:extent cx="725424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6"/>
          <w:szCs w:val="16"/>
          <w:u w:val="single" w:color="auto"/>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4643755</wp:posOffset>
            </wp:positionV>
            <wp:extent cx="725424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Ph.DChairman &amp; CEO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TapImmune, Inc.1551 Eastlake Avenue East, Suite 100Seattle, WA 98102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Dr. Wilson:</w:t>
      </w:r>
    </w:p>
    <w:p>
      <w:pPr>
        <w:spacing w:after="0" w:line="241"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8"/>
          <w:szCs w:val="18"/>
          <w:color w:val="auto"/>
        </w:rPr>
        <w:t>Reference is made to the exclusive engagement letter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dated July 29, 2014, by and between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H.C. Wainwright &amp; Co., LLC (“</w:t>
      </w:r>
      <w:r>
        <w:rPr>
          <w:rFonts w:ascii="Arial" w:cs="Arial" w:eastAsia="Arial" w:hAnsi="Arial"/>
          <w:sz w:val="18"/>
          <w:szCs w:val="18"/>
          <w:u w:val="single" w:color="auto"/>
          <w:color w:val="auto"/>
        </w:rPr>
        <w:t>Wainwright</w:t>
      </w:r>
      <w:r>
        <w:rPr>
          <w:rFonts w:ascii="Arial" w:cs="Arial" w:eastAsia="Arial" w:hAnsi="Arial"/>
          <w:sz w:val="18"/>
          <w:szCs w:val="18"/>
          <w:color w:val="auto"/>
        </w:rPr>
        <w:t>”), pursuant to which Wainwright shall serve as the exclusive investment bank of the Company during the “Term” (as defined in the Engagement Letter).</w:t>
      </w:r>
    </w:p>
    <w:p>
      <w:pPr>
        <w:spacing w:after="0" w:line="216" w:lineRule="exact"/>
        <w:rPr>
          <w:sz w:val="20"/>
          <w:szCs w:val="20"/>
          <w:color w:val="auto"/>
        </w:rPr>
      </w:pPr>
    </w:p>
    <w:p>
      <w:pPr>
        <w:jc w:val="both"/>
        <w:ind w:firstLine="738"/>
        <w:spacing w:after="0" w:line="291" w:lineRule="auto"/>
        <w:rPr>
          <w:sz w:val="20"/>
          <w:szCs w:val="20"/>
          <w:color w:val="auto"/>
        </w:rPr>
      </w:pPr>
      <w:r>
        <w:rPr>
          <w:rFonts w:ascii="Arial" w:cs="Arial" w:eastAsia="Arial" w:hAnsi="Arial"/>
          <w:sz w:val="16"/>
          <w:szCs w:val="16"/>
          <w:color w:val="auto"/>
        </w:rPr>
        <w:t xml:space="preserve">The Company and Wainwright hereby agree to amend the exclusive Engagement Letter in order to permit the Company to compensate Olympus Securities, LLC as co-agent with up to 50% of the cash fee payable to Wainwright and Wainwright Warrants issuable to Wainwright from gross proceeds received by the Company in an Offering in the denominations from the investors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provided that such Offering shall have been consummated on or about January 12, 2015. As such, the following sentence shall be added after the last sentence of Section A(1) of the Engagement Letter:</w:t>
      </w:r>
    </w:p>
    <w:p>
      <w:pPr>
        <w:spacing w:after="0" w:line="162" w:lineRule="exact"/>
        <w:rPr>
          <w:sz w:val="20"/>
          <w:szCs w:val="20"/>
          <w:color w:val="auto"/>
        </w:rPr>
      </w:pPr>
    </w:p>
    <w:p>
      <w:pPr>
        <w:ind w:right="60" w:firstLine="65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Notwithstanding anything herein to the contrary, Olympus Securities, LLC (“Olympus”) shall be entitled to receive up to 50% of the cash fee payable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Wainwright for gross proceeds received by the investors as set forth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 in an Offering, provided that such Offering shall have been consummated on or about January 12, 2015. For clarity, any fees payable to Wainwright as a result of the exercise of the warrants issued pursuant to such Offering that is consummated on or about January 12, 2015 to those investors listed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 shall be payable 67% to Wainwright and 33% to Olympus. Excluding the aforementioned, no other compensation shall be payable to Olympus in respect in of any other transactions during Wainwright’s exclusive term including compensation .payable to Wainwright pursuant to the exercise of warrants issued prior to January 12, 2015 to the investors listed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following sentence shall be added to the last sentence of Section A(2) of the Engagement Letter:</w:t>
      </w:r>
    </w:p>
    <w:p>
      <w:pPr>
        <w:spacing w:after="0" w:line="215" w:lineRule="exact"/>
        <w:rPr>
          <w:sz w:val="20"/>
          <w:szCs w:val="20"/>
          <w:color w:val="auto"/>
        </w:rPr>
      </w:pPr>
    </w:p>
    <w:p>
      <w:pPr>
        <w:ind w:right="60" w:firstLine="65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Notwithstanding anything herein to the contrary, Olympus shall be entitled to receive up to 50% of the Wainwright Warrants issuable in connection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shares of Common Stock purchased by the investors as set forth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 in an Offering, provided that such Offering shall have been consummated on or about January 12, 2015. For clarity, any equity fees payable to Wainwright as a result of the exercise of the warrants issued pursuant to such Offering that is consummated on or about January 12, 2015 to those investors listed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 shall be payable 67% to Wainwright and 33% to Olympus. For clarity, except as expressly set forth herein, no compensation shall be payable to Olympus in respect in of any other transactions during Wainwright’s exclusive term including equity fees payable to Wainwright pursuant to the exercise of warrants issued prior to January 12, 2015 to the investors listed on </w:t>
      </w:r>
      <w:r>
        <w:rPr>
          <w:rFonts w:ascii="Arial" w:cs="Arial" w:eastAsia="Arial" w:hAnsi="Arial"/>
          <w:sz w:val="16"/>
          <w:szCs w:val="16"/>
          <w:i w:val="1"/>
          <w:iCs w:val="1"/>
          <w:u w:val="single" w:color="auto"/>
          <w:color w:val="auto"/>
        </w:rPr>
        <w:t>Schedule 2</w:t>
      </w:r>
      <w:r>
        <w:rPr>
          <w:rFonts w:ascii="Arial" w:cs="Arial" w:eastAsia="Arial" w:hAnsi="Arial"/>
          <w:sz w:val="16"/>
          <w:szCs w:val="16"/>
          <w:i w:val="1"/>
          <w:iCs w:val="1"/>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474746"/>
        </w:rPr>
        <w:t>430 Park Avenue | New York, New York 10022 | 212.356.0500 | www.hcwco.com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474746"/>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5" w:name="page286"/>
    <w:bookmarkEnd w:id="285"/>
    <w:p>
      <w:pPr>
        <w:jc w:val="both"/>
        <w:ind w:firstLine="633"/>
        <w:spacing w:after="0" w:line="253" w:lineRule="auto"/>
        <w:rPr>
          <w:sz w:val="20"/>
          <w:szCs w:val="20"/>
          <w:color w:val="auto"/>
        </w:rPr>
      </w:pPr>
      <w:r>
        <w:rPr>
          <w:rFonts w:ascii="Arial" w:cs="Arial" w:eastAsia="Arial" w:hAnsi="Arial"/>
          <w:sz w:val="18"/>
          <w:szCs w:val="18"/>
          <w:color w:val="auto"/>
        </w:rPr>
        <w:t>Except as expressly set forth above, all of the terms and conditions of the exclusive Engagement Letter shall continue in full force and effect after the execution of this agreement and shall not be in any way changed, modified or superseded by the terms set forth herein. Defined terms used herein but not defined herein shall have the meanings given to such terms in the exclusive Engagement Letter.</w:t>
      </w:r>
    </w:p>
    <w:p>
      <w:pPr>
        <w:spacing w:after="0" w:line="216"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This agreement may be executed in two or more counterparts and by facsimile or “.pdf” signature or otherwise, and each of such counterparts shall be deemed an original and all of such counterparts together shall constitute one and the same agreement.</w:t>
      </w: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this agreement is executed as of the date first set forth above.</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W. Viklund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 Mark Viklund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Title: CEO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Glynn Wilson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Glynn Wilson, Ph.D</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&amp; CEO</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TPIV Engagement Letter Amendment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37"/>
        </w:trPr>
        <w:tc>
          <w:tcPr>
            <w:tcW w:w="110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Amount</w:t>
            </w:r>
          </w:p>
        </w:tc>
        <w:tc>
          <w:tcPr>
            <w:tcW w:w="1900" w:type="dxa"/>
            <w:vAlign w:val="bottom"/>
          </w:tcPr>
          <w:p>
            <w:pPr>
              <w:ind w:left="380"/>
              <w:spacing w:after="0"/>
              <w:rPr>
                <w:sz w:val="20"/>
                <w:szCs w:val="20"/>
                <w:color w:val="auto"/>
              </w:rPr>
            </w:pPr>
            <w:r>
              <w:rPr>
                <w:rFonts w:ascii="Arial" w:cs="Arial" w:eastAsia="Arial" w:hAnsi="Arial"/>
                <w:sz w:val="18"/>
                <w:szCs w:val="18"/>
                <w:b w:val="1"/>
                <w:bCs w:val="1"/>
                <w:color w:val="auto"/>
              </w:rPr>
              <w:t>Agent Cash Fee</w:t>
            </w:r>
          </w:p>
        </w:tc>
        <w:tc>
          <w:tcPr>
            <w:tcW w:w="3120" w:type="dxa"/>
            <w:vAlign w:val="bottom"/>
          </w:tcPr>
          <w:p>
            <w:pPr>
              <w:jc w:val="center"/>
              <w:ind w:right="652"/>
              <w:spacing w:after="0"/>
              <w:rPr>
                <w:sz w:val="20"/>
                <w:szCs w:val="20"/>
                <w:color w:val="auto"/>
              </w:rPr>
            </w:pPr>
            <w:r>
              <w:rPr>
                <w:rFonts w:ascii="Arial" w:cs="Arial" w:eastAsia="Arial" w:hAnsi="Arial"/>
                <w:sz w:val="18"/>
                <w:szCs w:val="18"/>
                <w:b w:val="1"/>
                <w:bCs w:val="1"/>
                <w:color w:val="auto"/>
                <w:w w:val="91"/>
              </w:rPr>
              <w:t>Agent Warrant</w:t>
            </w:r>
          </w:p>
        </w:tc>
        <w:tc>
          <w:tcPr>
            <w:tcW w:w="3940" w:type="dxa"/>
            <w:vAlign w:val="bottom"/>
          </w:tcPr>
          <w:p>
            <w:pPr>
              <w:jc w:val="center"/>
              <w:ind w:right="872"/>
              <w:spacing w:after="0"/>
              <w:rPr>
                <w:sz w:val="20"/>
                <w:szCs w:val="20"/>
                <w:color w:val="auto"/>
              </w:rPr>
            </w:pPr>
            <w:r>
              <w:rPr>
                <w:rFonts w:ascii="Arial" w:cs="Arial" w:eastAsia="Arial" w:hAnsi="Arial"/>
                <w:sz w:val="18"/>
                <w:szCs w:val="18"/>
                <w:b w:val="1"/>
                <w:bCs w:val="1"/>
                <w:color w:val="auto"/>
                <w:w w:val="90"/>
              </w:rPr>
              <w:t>Agent</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Empery</w:t>
            </w:r>
          </w:p>
        </w:tc>
        <w:tc>
          <w:tcPr>
            <w:tcW w:w="1360" w:type="dxa"/>
            <w:vAlign w:val="bottom"/>
          </w:tcPr>
          <w:p>
            <w:pPr>
              <w:ind w:left="300"/>
              <w:spacing w:after="0"/>
              <w:rPr>
                <w:sz w:val="20"/>
                <w:szCs w:val="20"/>
                <w:color w:val="auto"/>
              </w:rPr>
            </w:pPr>
            <w:r>
              <w:rPr>
                <w:rFonts w:ascii="Arial" w:cs="Arial" w:eastAsia="Arial" w:hAnsi="Arial"/>
                <w:sz w:val="18"/>
                <w:szCs w:val="18"/>
                <w:color w:val="auto"/>
              </w:rPr>
              <w:t>$464,000</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$34,480 (7%)</w:t>
            </w:r>
          </w:p>
        </w:tc>
        <w:tc>
          <w:tcPr>
            <w:tcW w:w="3120" w:type="dxa"/>
            <w:vAlign w:val="bottom"/>
          </w:tcPr>
          <w:p>
            <w:pPr>
              <w:jc w:val="center"/>
              <w:ind w:right="652"/>
              <w:spacing w:after="0"/>
              <w:rPr>
                <w:sz w:val="20"/>
                <w:szCs w:val="20"/>
                <w:color w:val="auto"/>
              </w:rPr>
            </w:pPr>
            <w:r>
              <w:rPr>
                <w:rFonts w:ascii="Arial" w:cs="Arial" w:eastAsia="Arial" w:hAnsi="Arial"/>
                <w:sz w:val="18"/>
                <w:szCs w:val="18"/>
                <w:color w:val="auto"/>
                <w:w w:val="87"/>
              </w:rPr>
              <w:t>116,000 Warrants (5%)</w:t>
            </w:r>
          </w:p>
        </w:tc>
        <w:tc>
          <w:tcPr>
            <w:tcW w:w="3940" w:type="dxa"/>
            <w:vAlign w:val="bottom"/>
          </w:tcPr>
          <w:p>
            <w:pPr>
              <w:jc w:val="center"/>
              <w:ind w:right="872"/>
              <w:spacing w:after="0"/>
              <w:rPr>
                <w:sz w:val="20"/>
                <w:szCs w:val="20"/>
                <w:color w:val="auto"/>
              </w:rPr>
            </w:pPr>
            <w:r>
              <w:rPr>
                <w:rFonts w:ascii="Arial" w:cs="Arial" w:eastAsia="Arial" w:hAnsi="Arial"/>
                <w:sz w:val="18"/>
                <w:szCs w:val="18"/>
                <w:color w:val="auto"/>
                <w:w w:val="92"/>
              </w:rPr>
              <w:t>Wainwright</w:t>
            </w:r>
          </w:p>
        </w:tc>
      </w:tr>
      <w:tr>
        <w:trPr>
          <w:trHeight w:val="410"/>
        </w:trPr>
        <w:tc>
          <w:tcPr>
            <w:tcW w:w="1100" w:type="dxa"/>
            <w:vAlign w:val="bottom"/>
          </w:tcPr>
          <w:p>
            <w:pPr>
              <w:spacing w:after="0"/>
              <w:rPr>
                <w:sz w:val="20"/>
                <w:szCs w:val="20"/>
                <w:color w:val="auto"/>
              </w:rPr>
            </w:pPr>
            <w:r>
              <w:rPr>
                <w:rFonts w:ascii="Arial" w:cs="Arial" w:eastAsia="Arial" w:hAnsi="Arial"/>
                <w:sz w:val="18"/>
                <w:szCs w:val="18"/>
                <w:color w:val="auto"/>
              </w:rPr>
              <w:t>Iroquois</w:t>
            </w:r>
          </w:p>
        </w:tc>
        <w:tc>
          <w:tcPr>
            <w:tcW w:w="1360" w:type="dxa"/>
            <w:vAlign w:val="bottom"/>
          </w:tcPr>
          <w:p>
            <w:pPr>
              <w:ind w:left="300"/>
              <w:spacing w:after="0"/>
              <w:rPr>
                <w:sz w:val="20"/>
                <w:szCs w:val="20"/>
                <w:color w:val="auto"/>
              </w:rPr>
            </w:pPr>
            <w:r>
              <w:rPr>
                <w:rFonts w:ascii="Arial" w:cs="Arial" w:eastAsia="Arial" w:hAnsi="Arial"/>
                <w:sz w:val="18"/>
                <w:szCs w:val="18"/>
                <w:color w:val="auto"/>
              </w:rPr>
              <w:t>$500,000</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$17,500 (3.5%)</w:t>
            </w:r>
          </w:p>
        </w:tc>
        <w:tc>
          <w:tcPr>
            <w:tcW w:w="3120" w:type="dxa"/>
            <w:vAlign w:val="bottom"/>
          </w:tcPr>
          <w:p>
            <w:pPr>
              <w:jc w:val="center"/>
              <w:ind w:right="652"/>
              <w:spacing w:after="0"/>
              <w:rPr>
                <w:sz w:val="20"/>
                <w:szCs w:val="20"/>
                <w:color w:val="auto"/>
              </w:rPr>
            </w:pPr>
            <w:r>
              <w:rPr>
                <w:rFonts w:ascii="Arial" w:cs="Arial" w:eastAsia="Arial" w:hAnsi="Arial"/>
                <w:sz w:val="18"/>
                <w:szCs w:val="18"/>
                <w:color w:val="auto"/>
                <w:w w:val="88"/>
              </w:rPr>
              <w:t>62,500 Warrants (2.5%)</w:t>
            </w:r>
          </w:p>
        </w:tc>
        <w:tc>
          <w:tcPr>
            <w:tcW w:w="3940" w:type="dxa"/>
            <w:vAlign w:val="bottom"/>
          </w:tcPr>
          <w:p>
            <w:pPr>
              <w:jc w:val="center"/>
              <w:ind w:right="872"/>
              <w:spacing w:after="0"/>
              <w:rPr>
                <w:sz w:val="20"/>
                <w:szCs w:val="20"/>
                <w:color w:val="auto"/>
              </w:rPr>
            </w:pPr>
            <w:r>
              <w:rPr>
                <w:rFonts w:ascii="Arial" w:cs="Arial" w:eastAsia="Arial" w:hAnsi="Arial"/>
                <w:sz w:val="18"/>
                <w:szCs w:val="18"/>
                <w:color w:val="auto"/>
                <w:w w:val="92"/>
              </w:rPr>
              <w:t>Wainwright</w:t>
            </w:r>
          </w:p>
        </w:tc>
      </w:tr>
      <w:tr>
        <w:trPr>
          <w:trHeight w:val="223"/>
        </w:trPr>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$17,500 (3.5%)</w:t>
            </w:r>
          </w:p>
        </w:tc>
        <w:tc>
          <w:tcPr>
            <w:tcW w:w="3120" w:type="dxa"/>
            <w:vAlign w:val="bottom"/>
          </w:tcPr>
          <w:p>
            <w:pPr>
              <w:jc w:val="center"/>
              <w:ind w:right="652"/>
              <w:spacing w:after="0"/>
              <w:rPr>
                <w:sz w:val="20"/>
                <w:szCs w:val="20"/>
                <w:color w:val="auto"/>
              </w:rPr>
            </w:pPr>
            <w:r>
              <w:rPr>
                <w:rFonts w:ascii="Arial" w:cs="Arial" w:eastAsia="Arial" w:hAnsi="Arial"/>
                <w:sz w:val="18"/>
                <w:szCs w:val="18"/>
                <w:color w:val="auto"/>
                <w:w w:val="88"/>
              </w:rPr>
              <w:t>62,500 Warrants (2.5%)</w:t>
            </w:r>
          </w:p>
        </w:tc>
        <w:tc>
          <w:tcPr>
            <w:tcW w:w="3940" w:type="dxa"/>
            <w:vAlign w:val="bottom"/>
          </w:tcPr>
          <w:p>
            <w:pPr>
              <w:jc w:val="center"/>
              <w:ind w:right="872"/>
              <w:spacing w:after="0"/>
              <w:rPr>
                <w:sz w:val="20"/>
                <w:szCs w:val="20"/>
                <w:color w:val="auto"/>
              </w:rPr>
            </w:pPr>
            <w:r>
              <w:rPr>
                <w:rFonts w:ascii="Arial" w:cs="Arial" w:eastAsia="Arial" w:hAnsi="Arial"/>
                <w:sz w:val="18"/>
                <w:szCs w:val="18"/>
                <w:color w:val="auto"/>
                <w:w w:val="92"/>
              </w:rPr>
              <w:t>Olympus</w:t>
            </w:r>
          </w:p>
        </w:tc>
      </w:tr>
      <w:tr>
        <w:trPr>
          <w:trHeight w:val="410"/>
        </w:trPr>
        <w:tc>
          <w:tcPr>
            <w:tcW w:w="1100" w:type="dxa"/>
            <w:vAlign w:val="bottom"/>
          </w:tcPr>
          <w:p>
            <w:pPr>
              <w:spacing w:after="0"/>
              <w:rPr>
                <w:sz w:val="20"/>
                <w:szCs w:val="20"/>
                <w:color w:val="auto"/>
              </w:rPr>
            </w:pPr>
            <w:r>
              <w:rPr>
                <w:rFonts w:ascii="Arial" w:cs="Arial" w:eastAsia="Arial" w:hAnsi="Arial"/>
                <w:sz w:val="18"/>
                <w:szCs w:val="18"/>
                <w:color w:val="auto"/>
              </w:rPr>
              <w:t>Brio</w:t>
            </w:r>
          </w:p>
        </w:tc>
        <w:tc>
          <w:tcPr>
            <w:tcW w:w="1360" w:type="dxa"/>
            <w:vAlign w:val="bottom"/>
          </w:tcPr>
          <w:p>
            <w:pPr>
              <w:ind w:left="300"/>
              <w:spacing w:after="0"/>
              <w:rPr>
                <w:sz w:val="20"/>
                <w:szCs w:val="20"/>
                <w:color w:val="auto"/>
              </w:rPr>
            </w:pPr>
            <w:r>
              <w:rPr>
                <w:rFonts w:ascii="Arial" w:cs="Arial" w:eastAsia="Arial" w:hAnsi="Arial"/>
                <w:sz w:val="18"/>
                <w:szCs w:val="18"/>
                <w:color w:val="auto"/>
              </w:rPr>
              <w:t>$500,000</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$17,500 (3.5%)</w:t>
            </w:r>
          </w:p>
        </w:tc>
        <w:tc>
          <w:tcPr>
            <w:tcW w:w="3120" w:type="dxa"/>
            <w:vAlign w:val="bottom"/>
          </w:tcPr>
          <w:p>
            <w:pPr>
              <w:jc w:val="center"/>
              <w:ind w:right="652"/>
              <w:spacing w:after="0"/>
              <w:rPr>
                <w:sz w:val="20"/>
                <w:szCs w:val="20"/>
                <w:color w:val="auto"/>
              </w:rPr>
            </w:pPr>
            <w:r>
              <w:rPr>
                <w:rFonts w:ascii="Arial" w:cs="Arial" w:eastAsia="Arial" w:hAnsi="Arial"/>
                <w:sz w:val="18"/>
                <w:szCs w:val="18"/>
                <w:color w:val="auto"/>
                <w:w w:val="88"/>
              </w:rPr>
              <w:t>62,500 Warrants (2.5%)</w:t>
            </w:r>
          </w:p>
        </w:tc>
        <w:tc>
          <w:tcPr>
            <w:tcW w:w="3940" w:type="dxa"/>
            <w:vAlign w:val="bottom"/>
          </w:tcPr>
          <w:p>
            <w:pPr>
              <w:jc w:val="center"/>
              <w:ind w:right="872"/>
              <w:spacing w:after="0"/>
              <w:rPr>
                <w:sz w:val="20"/>
                <w:szCs w:val="20"/>
                <w:color w:val="auto"/>
              </w:rPr>
            </w:pPr>
            <w:r>
              <w:rPr>
                <w:rFonts w:ascii="Arial" w:cs="Arial" w:eastAsia="Arial" w:hAnsi="Arial"/>
                <w:sz w:val="18"/>
                <w:szCs w:val="18"/>
                <w:color w:val="auto"/>
                <w:w w:val="92"/>
              </w:rPr>
              <w:t>Wainwright</w:t>
            </w:r>
          </w:p>
        </w:tc>
      </w:tr>
      <w:tr>
        <w:trPr>
          <w:trHeight w:val="223"/>
        </w:trPr>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$17,500 (3.5%)</w:t>
            </w:r>
          </w:p>
        </w:tc>
        <w:tc>
          <w:tcPr>
            <w:tcW w:w="3120" w:type="dxa"/>
            <w:vAlign w:val="bottom"/>
          </w:tcPr>
          <w:p>
            <w:pPr>
              <w:jc w:val="center"/>
              <w:ind w:right="652"/>
              <w:spacing w:after="0"/>
              <w:rPr>
                <w:sz w:val="20"/>
                <w:szCs w:val="20"/>
                <w:color w:val="auto"/>
              </w:rPr>
            </w:pPr>
            <w:r>
              <w:rPr>
                <w:rFonts w:ascii="Arial" w:cs="Arial" w:eastAsia="Arial" w:hAnsi="Arial"/>
                <w:sz w:val="18"/>
                <w:szCs w:val="18"/>
                <w:color w:val="auto"/>
                <w:w w:val="88"/>
              </w:rPr>
              <w:t>62,500 Warrants (2.5%)</w:t>
            </w:r>
          </w:p>
        </w:tc>
        <w:tc>
          <w:tcPr>
            <w:tcW w:w="3940" w:type="dxa"/>
            <w:vAlign w:val="bottom"/>
          </w:tcPr>
          <w:p>
            <w:pPr>
              <w:jc w:val="center"/>
              <w:ind w:right="872"/>
              <w:spacing w:after="0"/>
              <w:rPr>
                <w:sz w:val="20"/>
                <w:szCs w:val="20"/>
                <w:color w:val="auto"/>
              </w:rPr>
            </w:pPr>
            <w:r>
              <w:rPr>
                <w:rFonts w:ascii="Arial" w:cs="Arial" w:eastAsia="Arial" w:hAnsi="Arial"/>
                <w:sz w:val="18"/>
                <w:szCs w:val="18"/>
                <w:color w:val="auto"/>
                <w:w w:val="92"/>
              </w:rPr>
              <w:t>Olympus</w:t>
            </w:r>
          </w:p>
        </w:tc>
      </w:tr>
      <w:tr>
        <w:trPr>
          <w:trHeight w:val="2014"/>
        </w:trPr>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69"/>
        </w:trPr>
        <w:tc>
          <w:tcPr>
            <w:tcW w:w="1100" w:type="dxa"/>
            <w:vAlign w:val="bottom"/>
            <w:shd w:val="clear" w:color="auto" w:fill="808080"/>
          </w:tcPr>
          <w:p>
            <w:pPr>
              <w:spacing w:after="0"/>
              <w:rPr>
                <w:sz w:val="6"/>
                <w:szCs w:val="6"/>
                <w:color w:val="auto"/>
              </w:rPr>
            </w:pPr>
          </w:p>
        </w:tc>
        <w:tc>
          <w:tcPr>
            <w:tcW w:w="136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3120" w:type="dxa"/>
            <w:vAlign w:val="bottom"/>
            <w:shd w:val="clear" w:color="auto" w:fill="808080"/>
          </w:tcPr>
          <w:p>
            <w:pPr>
              <w:spacing w:after="0"/>
              <w:rPr>
                <w:sz w:val="6"/>
                <w:szCs w:val="6"/>
                <w:color w:val="auto"/>
              </w:rPr>
            </w:pPr>
          </w:p>
        </w:tc>
        <w:tc>
          <w:tcPr>
            <w:tcW w:w="394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477"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153670</wp:posOffset>
            </wp:positionH>
            <wp:positionV relativeFrom="page">
              <wp:posOffset>346710</wp:posOffset>
            </wp:positionV>
            <wp:extent cx="725424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240" cy="38100"/>
                    </a:xfrm>
                    <a:prstGeom prst="rect">
                      <a:avLst/>
                    </a:prstGeom>
                    <a:noFill/>
                  </pic:spPr>
                </pic:pic>
              </a:graphicData>
            </a:graphic>
          </wp:anchor>
        </w:drawing>
        <w:t>OLYMPUS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January 12, 2015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1551 Eastlake Avenue East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Glynn:</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purpose of this letter agreement (the “Agreement”) is to set forth the terms and conditions pursuant to which Olympus Securities, LLC (“Finder”) shall introduce TapImmune, Inc. (together with any and all subsidiaries, affiliates, successors and other controlled persons or entities, either presently existing or formed subsequent to the execution of this Agreement,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to one or more investors (“Investors”) in connection with the proposed private offering and sale (the “Offering”) of securities and/or debt instruments (the “Securities”) of the Company. The terms of such Offering and the Securities shall be mutually agreed upon by the Company and the Investor(s)</w:t>
      </w:r>
    </w:p>
    <w:p>
      <w:pPr>
        <w:spacing w:after="0" w:line="21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In consideration of the services rendered by Finder under this Agreement, the Company agrees to pay the Finder at the Closing of any Offering from the proceeds thereof and as a condition to Closing the following fees and other compensation:</w:t>
      </w:r>
    </w:p>
    <w:p>
      <w:pPr>
        <w:spacing w:after="0" w:line="207" w:lineRule="exact"/>
        <w:rPr>
          <w:sz w:val="20"/>
          <w:szCs w:val="20"/>
          <w:color w:val="auto"/>
        </w:rPr>
      </w:pPr>
    </w:p>
    <w:p>
      <w:pPr>
        <w:ind w:left="640" w:hanging="635"/>
        <w:spacing w:after="0" w:line="262" w:lineRule="auto"/>
        <w:tabs>
          <w:tab w:leader="none" w:pos="6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At each closing of the sale of Securities during the Term and as a condition precedent to the sale of such Securities, the Company shall pay Finder a cash fee equal to 2.4% of the gross proceeds from the sale of Securities.</w:t>
      </w:r>
    </w:p>
    <w:p>
      <w:pPr>
        <w:spacing w:after="0" w:line="207" w:lineRule="exact"/>
        <w:rPr>
          <w:rFonts w:ascii="Arial" w:cs="Arial" w:eastAsia="Arial" w:hAnsi="Arial"/>
          <w:sz w:val="18"/>
          <w:szCs w:val="18"/>
          <w:color w:val="auto"/>
        </w:rPr>
      </w:pPr>
    </w:p>
    <w:p>
      <w:pPr>
        <w:jc w:val="both"/>
        <w:ind w:left="640" w:hanging="635"/>
        <w:spacing w:after="0" w:line="300" w:lineRule="auto"/>
        <w:tabs>
          <w:tab w:leader="none" w:pos="6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At each closing of the sale of Securities during the Term and as a condition precedent to the sale of such Securities, the Company shall issue to Finder or its designees, as determined by Finder,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1.7% of the Securities sold at such closing. The Warrants shall in the form and substance as those acquired by the investors in the offering but shall be limited from transfer for the first 180 days as per FINRA Rule 5110.</w:t>
      </w:r>
    </w:p>
    <w:p>
      <w:pPr>
        <w:spacing w:after="0" w:line="180" w:lineRule="exact"/>
        <w:rPr>
          <w:rFonts w:ascii="Arial" w:cs="Arial" w:eastAsia="Arial" w:hAnsi="Arial"/>
          <w:sz w:val="16"/>
          <w:szCs w:val="16"/>
          <w:color w:val="auto"/>
        </w:rPr>
      </w:pPr>
    </w:p>
    <w:p>
      <w:pPr>
        <w:ind w:left="640" w:hanging="635"/>
        <w:spacing w:after="0" w:line="325" w:lineRule="auto"/>
        <w:tabs>
          <w:tab w:leader="none" w:pos="6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any of the Investors in the Offering exercise any warrants acquired by them in the Offering, the Finder shall receive a fee equal to 33% of the total fee due H.C. Wainwright &amp; Co., LLC (“Wainwright”) under the Wainwright engagement agreement dated July 29, 2014 and amended January 10, 2015.</w:t>
      </w:r>
    </w:p>
    <w:p>
      <w:pPr>
        <w:spacing w:after="0" w:line="39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17O CHANGEBRIDGE ROAD • MONTVILLE • NJ 07045</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88" w:name="page289"/>
    <w:bookmarkEnd w:id="288"/>
    <w:p>
      <w:pPr>
        <w:ind w:left="640" w:hanging="635"/>
        <w:spacing w:after="0" w:line="262" w:lineRule="auto"/>
        <w:tabs>
          <w:tab w:leader="none" w:pos="6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shall periodically reimburse Finder for it’s out of pocket expenses, including in connection with the Offering, not to exceed $500 without the prior consent of the Company.</w:t>
      </w:r>
    </w:p>
    <w:p>
      <w:pPr>
        <w:spacing w:after="0" w:line="20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The Company agrees to engage legal counsel that is mutually acceptable to the Company and the Finder at the Company’s expense for all legal matters related to the proposed offering, including the preparation and review of offering documents and required filings, if any. The Company represents and warrants that any information furnished to Finder for use in any business plans, partnering plans, financial models or strategies, and/or business arrangement(s), to the best of the Company’s knowledge and belief, will contain no untrue statement of any material fact nor omit any material fact which would make the information misleading. The Company further warrants that if the circumstances relating to information or documents furnished to Finder change in any material respect at any time, the Company will inform Finder promptly of the changes and immediately deliver to Finder documents or information necessary to ensure the continued accuracy and completeness of all information and documents.</w:t>
      </w:r>
    </w:p>
    <w:p>
      <w:pPr>
        <w:spacing w:after="0" w:line="19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 Company shall indemnify and hold Finder harmless pursuant to the terms set forth on Exhibit A annexed hereto, which is incorporated by reference as if set forth verbatim herein. The Company acknowledges that Finder has entered into this Agreement in material reliance upon the indemnities set forth in Exhibit A.</w:t>
      </w:r>
    </w:p>
    <w:p>
      <w:pPr>
        <w:spacing w:after="0" w:line="216" w:lineRule="exact"/>
        <w:rPr>
          <w:sz w:val="20"/>
          <w:szCs w:val="20"/>
          <w:color w:val="auto"/>
        </w:rPr>
      </w:pPr>
    </w:p>
    <w:p>
      <w:pPr>
        <w:jc w:val="both"/>
        <w:ind w:firstLine="781"/>
        <w:spacing w:after="0" w:line="276" w:lineRule="auto"/>
        <w:rPr>
          <w:sz w:val="20"/>
          <w:szCs w:val="20"/>
          <w:color w:val="auto"/>
        </w:rPr>
      </w:pPr>
      <w:r>
        <w:rPr>
          <w:rFonts w:ascii="Arial" w:cs="Arial" w:eastAsia="Arial" w:hAnsi="Arial"/>
          <w:sz w:val="16"/>
          <w:szCs w:val="16"/>
          <w:color w:val="auto"/>
        </w:rPr>
        <w:t xml:space="preserve">This Agreement may be executed in any number of counterparts, each of which together shall constitute one and the same original document. This Agreement may be executed and delivered by exchange of facsimile copies showing the parties’ signatures, and those signatures need not be affixed to the same copy. The facsimile copies showing the signatures of the parties will constitute originally signed copies of the same Agreement requiring no further execution. This Agreement shall be construed in accordance with and governed by the laws of the State of New York, without giving effect to its conflict of law principles (other than Section 5-1401 of the New York General Obligations Law). The parties hereby agree that any dispute between them arising out of or in connection with this Agreement shall be adjudicated before a court located in New York City, and they hereby submit to the exclusive jurisdiction of the courts of the State of New York located in New York, New York and of the federal courts in the Southern District of New York with respect to any action or legal proceeding commenced by any party, and irrevocably waive any objection they now or hereafter may have respecting the venue of any such action or proceeding brought in such a court or respecting the fact that such court is an inconvenient forum, relating to or arising out of this Agreement, and consent to the service of process in any such action or legal proceeding by means of registered or certified mail, return receipt requested, in care of the address set forth above. </w:t>
      </w:r>
      <w:r>
        <w:rPr>
          <w:rFonts w:ascii="Arial" w:cs="Arial" w:eastAsia="Arial" w:hAnsi="Arial"/>
          <w:sz w:val="16"/>
          <w:szCs w:val="16"/>
          <w:b w:val="1"/>
          <w:bCs w:val="1"/>
          <w:color w:val="auto"/>
        </w:rPr>
        <w:t>THE PARTIES</w:t>
      </w:r>
    </w:p>
    <w:p>
      <w:pPr>
        <w:spacing w:after="0" w:line="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HEREBY WAIVE TRIAL BY JURY IN ANY ACTION OR PROCEEDING INVOLVING, DIRECTLY OR INDIRECTLY, ANY MATTER IN ANY WAY ARISING OUT OF OR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17O CHANGEBRIDGE ROAD • MONTVILLE • NJ 07045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9" w:name="page290"/>
    <w:bookmarkEnd w:id="289"/>
    <w:p>
      <w:pPr>
        <w:ind w:firstLine="5"/>
        <w:spacing w:after="0" w:line="280" w:lineRule="auto"/>
        <w:tabs>
          <w:tab w:leader="none" w:pos="505"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the purpose of the Agreement, “</w:t>
      </w:r>
      <w:r>
        <w:rPr>
          <w:rFonts w:ascii="Arial" w:cs="Arial" w:eastAsia="Arial" w:hAnsi="Arial"/>
          <w:sz w:val="16"/>
          <w:szCs w:val="16"/>
          <w:u w:val="single" w:color="auto"/>
          <w:color w:val="auto"/>
        </w:rPr>
        <w:t>Information</w:t>
      </w:r>
      <w:r>
        <w:rPr>
          <w:rFonts w:ascii="Arial" w:cs="Arial" w:eastAsia="Arial" w:hAnsi="Arial"/>
          <w:sz w:val="16"/>
          <w:szCs w:val="16"/>
          <w:color w:val="auto"/>
        </w:rPr>
        <w:t>” shall mean and include all contracts and agreements and the terms thereof, to which the Company may be a party; all internal non-public business, technical and financial information, analyses, forecasts and projections of the business of the Company and any direct or indirect operating subsidiary; all business plans of the Company and its subsidiaries; all pending or proposed proposals for new or renewed contracts; the names, business and financial arrangements to which the Company is a party; the names and terms of employment relationships between the Company and any of its employees and/or operating subsidiaries; all detail and back up information relating to actual, pro forma or forecasted operations supplied to Finder by the Company; any other information which, by its nature, would be understood by a reasonable person to be proprietary and confidential to the owner of such information; and all data or information prepared by the Company at the request of the Finder. Finder will maintain the confidentiality of the Information and, unless and until such information shall have been made publicly available by the Company or by others without breach of a confidentiality agreement, shall disclose the information only as authorized by the Company or as required by law or by order of a governmental authority or court of competent jurisdiction. In the event that Finder is legally required to make disclosure of any of the Information, the Finder will give notice to the Company prior to such disclosure, as early as Finder can practically do so.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paragraph shall not apply to information that:</w:t>
      </w:r>
    </w:p>
    <w:p>
      <w:pPr>
        <w:spacing w:after="0" w:line="241" w:lineRule="exact"/>
        <w:rPr>
          <w:sz w:val="20"/>
          <w:szCs w:val="20"/>
          <w:color w:val="auto"/>
        </w:rPr>
      </w:pPr>
    </w:p>
    <w:p>
      <w:pPr>
        <w:ind w:left="2240" w:hanging="969"/>
        <w:spacing w:after="0"/>
        <w:tabs>
          <w:tab w:leader="none" w:pos="22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At the time of disclosure by the Company is, or thereafter becomes, generally available to the public or within the industries in</w:t>
      </w:r>
    </w:p>
    <w:p>
      <w:pPr>
        <w:spacing w:after="0" w:line="39" w:lineRule="exact"/>
        <w:rPr>
          <w:sz w:val="20"/>
          <w:szCs w:val="20"/>
          <w:color w:val="auto"/>
        </w:rPr>
      </w:pPr>
    </w:p>
    <w:p>
      <w:pPr>
        <w:ind w:left="1280"/>
        <w:spacing w:after="0" w:line="249" w:lineRule="auto"/>
        <w:rPr>
          <w:sz w:val="20"/>
          <w:szCs w:val="20"/>
          <w:color w:val="auto"/>
        </w:rPr>
      </w:pPr>
      <w:r>
        <w:rPr>
          <w:rFonts w:ascii="Arial" w:cs="Arial" w:eastAsia="Arial" w:hAnsi="Arial"/>
          <w:sz w:val="18"/>
          <w:szCs w:val="18"/>
          <w:color w:val="auto"/>
        </w:rPr>
        <w:t>which the Company or the Finder or its Affiliates conduct business, other than as a direct result of a breach by the Finder of its obligations under this Agreement;</w:t>
      </w:r>
    </w:p>
    <w:p>
      <w:pPr>
        <w:spacing w:after="0" w:line="218" w:lineRule="exact"/>
        <w:rPr>
          <w:sz w:val="20"/>
          <w:szCs w:val="20"/>
          <w:color w:val="auto"/>
        </w:rPr>
      </w:pPr>
    </w:p>
    <w:p>
      <w:pPr>
        <w:jc w:val="both"/>
        <w:ind w:left="1280" w:hanging="9"/>
        <w:spacing w:after="0" w:line="282" w:lineRule="auto"/>
        <w:tabs>
          <w:tab w:leader="none" w:pos="220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Prior to or at the time of disclosure by the Company, was already in the possession of, or, conceived by, the Finder or any of its affiliates, or could have been developed by them from information then in their possession, by the application of other information or</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techniques in their possession, generally available to the public, or available to the Finder  its affiliates other than from the Company;</w:t>
      </w:r>
    </w:p>
    <w:p>
      <w:pPr>
        <w:spacing w:after="0" w:line="253" w:lineRule="exact"/>
        <w:rPr>
          <w:sz w:val="20"/>
          <w:szCs w:val="20"/>
          <w:color w:val="auto"/>
        </w:rPr>
      </w:pPr>
    </w:p>
    <w:p>
      <w:pPr>
        <w:jc w:val="both"/>
        <w:ind w:left="1280" w:hanging="9"/>
        <w:spacing w:after="0" w:line="253" w:lineRule="auto"/>
        <w:tabs>
          <w:tab w:leader="none" w:pos="22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At the time of disclosure by the Company or thereafter, is obtained by the Finder or any of its affiliates from a third party not in violation of any contractual, legal or fiduciary obligation to the Company with respect to that information; or is independently developed by Finder or its Affiliates.</w:t>
      </w:r>
    </w:p>
    <w:p>
      <w:pPr>
        <w:spacing w:after="0" w:line="21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This Agreement together with the attached Exhibit A constitutes the entire understanding and agreement between the parties hereto with respect to its subject matter and there are no agreements or understandings with respect to the subject matter hereof which are not contained in this Agreement. This Agreement may be modified only in writing signed by the party to be charged hereunder.</w:t>
      </w:r>
    </w:p>
    <w:p>
      <w:pPr>
        <w:spacing w:after="0" w:line="2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the foregoing correctly sets forth our agreement, please confirm this by signing and returning to us the duplicate copy of this letter.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17O CHANGEBRIDGE ROAD • MONTVILLE • NJ 07045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90" w:name="page291"/>
    <w:bookmarkEnd w:id="290"/>
    <w:p>
      <w:pPr>
        <w:ind w:left="4440"/>
        <w:spacing w:after="0"/>
        <w:rPr>
          <w:sz w:val="20"/>
          <w:szCs w:val="20"/>
          <w:color w:val="auto"/>
        </w:rPr>
      </w:pPr>
      <w:r>
        <w:rPr>
          <w:rFonts w:ascii="Arial" w:cs="Arial" w:eastAsia="Arial" w:hAnsi="Arial"/>
          <w:sz w:val="18"/>
          <w:szCs w:val="18"/>
          <w:color w:val="auto"/>
        </w:rPr>
        <w:t>Very truly yours,</w:t>
      </w:r>
    </w:p>
    <w:p>
      <w:pPr>
        <w:spacing w:after="0" w:line="23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Olympus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Berman</w:t>
      </w:r>
      <w:r>
        <w:rPr>
          <w:rFonts w:ascii="Arial" w:cs="Arial" w:eastAsia="Arial" w:hAnsi="Arial"/>
          <w:sz w:val="18"/>
          <w:szCs w:val="18"/>
          <w:color w:val="auto"/>
        </w:rPr>
        <w:t>__________</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Jeffrey Berman</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  Senior Managing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of date written above: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Glynn Wilson</w:t>
      </w:r>
      <w:r>
        <w:rPr>
          <w:rFonts w:ascii="Arial" w:cs="Arial" w:eastAsia="Arial" w:hAnsi="Arial"/>
          <w:sz w:val="18"/>
          <w:szCs w:val="18"/>
          <w:color w:val="auto"/>
        </w:rPr>
        <w:t>____________</w:t>
      </w:r>
    </w:p>
    <w:p>
      <w:pPr>
        <w:spacing w:after="0" w:line="16"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Name:</w:t>
        <w:tab/>
        <w:t>Mr. Glynn Wilson, Ph.D.</w:t>
      </w:r>
    </w:p>
    <w:p>
      <w:pPr>
        <w:spacing w:after="0" w:line="4"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[signature page to Olympus Retainer Agreement</w:t>
      </w:r>
    </w:p>
    <w:p>
      <w:pPr>
        <w:spacing w:after="0" w:line="1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dated January 12, 2015]</w:t>
      </w:r>
    </w:p>
    <w:p>
      <w:pPr>
        <w:spacing w:after="0" w:line="230" w:lineRule="exact"/>
        <w:rPr>
          <w:sz w:val="20"/>
          <w:szCs w:val="20"/>
          <w:color w:val="auto"/>
        </w:rPr>
      </w:pPr>
    </w:p>
    <w:p>
      <w:pPr>
        <w:jc w:val="center"/>
        <w:ind w:right="-1420"/>
        <w:spacing w:after="0"/>
        <w:rPr>
          <w:sz w:val="20"/>
          <w:szCs w:val="20"/>
          <w:color w:val="auto"/>
        </w:rPr>
      </w:pPr>
      <w:r>
        <w:rPr>
          <w:rFonts w:ascii="Arial" w:cs="Arial" w:eastAsia="Arial" w:hAnsi="Arial"/>
          <w:sz w:val="16"/>
          <w:szCs w:val="16"/>
          <w:color w:val="auto"/>
        </w:rPr>
        <w:t>17O CHANGEBRIDGE ROAD • MONTVILLE • NJ 07045</w:t>
      </w:r>
    </w:p>
    <w:p>
      <w:pPr>
        <w:spacing w:after="0" w:line="3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PROVISIONS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Capitalized terms used in this Exhibit shall have the meanings ascribed to such terms in the Agreement to which this Exhibit is attached.</w:t>
      </w:r>
    </w:p>
    <w:p>
      <w:pPr>
        <w:spacing w:after="0" w:line="2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TapImmune, Inc. agrees to indemnify and hold harmless the Finder, the Selected Dealers and their respective officers, directors, members, managing members, employees and each person, if any, who controls the Finder within the meaning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from and against any and all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a subpoena or otherwise (including, without limitation, the costs, expenses and disbursements, as and when incurred, of investigating, preparing, pursing or defending any such action, suit, proceeding or investigation (whether or not in connection with litigation in which any indemnified party is a party)), directly or indirectly, caused by, relating to, based upon, arising out of, or in connection with the offer and sale of the Securities under the Agreement between the Company and the Finder to which these indemnification provisions are attached and form a part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any breach by the Company of any representation, warranty, covenant or agreement contained in the Agreement, or the enforcement by the Finder of its rights under the Agreement or these indemnification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claim, damage or liability results from (A) an untrue statement or alleged untrue statement of a material fact made in the Offering Documents, or an omission or alleged omission to state therein a material fact required to be stated therein or necessary to make the statements therein not misleading, made solely in reliance upon and in conformity with written information furnished to the Company by the Finder specifically for use in the preparation thereof, (B) any violations by the Finder of the Act or state securities laws that does not result from a violation thereof by the Company or any of its affiliates, or (C) to the extent that any loss, claim, damage or liability is found in a final, non-appealable judgment by a court of competent jurisdiction to have resulted primarily from the Finder’s willful misconduct or gross negligence.</w:t>
      </w:r>
    </w:p>
    <w:p>
      <w:pPr>
        <w:spacing w:after="0" w:line="205"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Promptly after receipt by an indemnified party under these provisions of notice of the commencement of any action, claim, proceeding or investigation (the “</w:t>
      </w:r>
      <w:r>
        <w:rPr>
          <w:rFonts w:ascii="Arial" w:cs="Arial" w:eastAsia="Arial" w:hAnsi="Arial"/>
          <w:sz w:val="18"/>
          <w:szCs w:val="18"/>
          <w:b w:val="1"/>
          <w:bCs w:val="1"/>
          <w:color w:val="auto"/>
        </w:rPr>
        <w:t>Action</w:t>
      </w:r>
      <w:r>
        <w:rPr>
          <w:rFonts w:ascii="Arial" w:cs="Arial" w:eastAsia="Arial" w:hAnsi="Arial"/>
          <w:sz w:val="18"/>
          <w:szCs w:val="18"/>
          <w:color w:val="auto"/>
        </w:rPr>
        <w:t>”), such indemnified party, if a claim in respect thereof is to be made against the indemnifying party under these provisions, will notify the indemnifying party of the commencement thereof, but the omission to so notify the indemnifying party will not relieve it from any liability which it may have to any indemnified party under these provisions unless the indemnifying party has been substantially prejudiced by such omission. The indemnifying party will be entitled to participate in, and, to the extent that it may wish, jointly with any other indemnifying party, to assume the defense thereof subject to the provisions herein stated, with counsel reasonably satisfactory to such indemnified party. The indemnified party will have the right to employ separate counsel in any such Action and to</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17O CHANGEBRIDGE ROAD • MONTVILLE • NJ 07045</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2" w:name="page293"/>
    <w:bookmarkEnd w:id="292"/>
    <w:p>
      <w:pPr>
        <w:jc w:val="both"/>
        <w:spacing w:after="0" w:line="279" w:lineRule="auto"/>
        <w:rPr>
          <w:sz w:val="20"/>
          <w:szCs w:val="20"/>
          <w:color w:val="auto"/>
        </w:rPr>
      </w:pPr>
      <w:r>
        <w:rPr>
          <w:rFonts w:ascii="Arial" w:cs="Arial" w:eastAsia="Arial" w:hAnsi="Arial"/>
          <w:sz w:val="16"/>
          <w:szCs w:val="16"/>
          <w:color w:val="auto"/>
        </w:rPr>
        <w:t>participate in the defense thereof, but the fees and expenses of such counsel will not be at the expense of the indemnifying party if the indemnifying party has assumed the defense of the Action with counsel reasonably satisfactory to the indemnified party, unless (i) the employment of such counsel has been authorized in writing by the indemnifying party, (ii) the indemnified party has reasonably concluded (based upon advice of counsel to the indemnified party) that there may be legal defenses available to it or other indemnified parties that are different from or in addition to those available to the indemnifying party, or that a conflict or potential conflict exists (based upon advice of counsel to the indemnified party) between the indemnified party and the indemnifying party that makes it impossible or inadvisable for counsel to the indemnifying party to conduct the defense of both the indemnifying party and the indemnified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action, suit or proceeding, in each of which cases the reasonable fees, disbursements and other charges of such counsel will be at the expense of the indemnifying party; provided, further, that in no event shall the indemnifying party be required to pay fees and expenses for more than one firm of attorneys representing indemnified parties unless the defense of one indemnified party is unique or separate from that of another indemnified party subject to the same claim or action.. No settlement of any Action against an indemnified party will be made without the consent of the indemnifying party and the indemnified party, which consent shall not be unreasonably withheld or delayed in light of all factors of importance to such party and no indemnifying party shall be liable to indemnify any person for any settlement of any such claim effected without such indemnifying party’s consent.</w:t>
      </w:r>
    </w:p>
    <w:p>
      <w:pPr>
        <w:spacing w:after="0" w:line="196" w:lineRule="exact"/>
        <w:rPr>
          <w:sz w:val="20"/>
          <w:szCs w:val="20"/>
          <w:color w:val="auto"/>
        </w:rPr>
      </w:pPr>
    </w:p>
    <w:p>
      <w:pPr>
        <w:jc w:val="both"/>
        <w:ind w:firstLine="633"/>
        <w:spacing w:after="0" w:line="278" w:lineRule="auto"/>
        <w:rPr>
          <w:sz w:val="20"/>
          <w:szCs w:val="20"/>
          <w:color w:val="auto"/>
        </w:rPr>
      </w:pPr>
      <w:r>
        <w:rPr>
          <w:rFonts w:ascii="Arial" w:cs="Arial" w:eastAsia="Arial" w:hAnsi="Arial"/>
          <w:sz w:val="16"/>
          <w:szCs w:val="16"/>
          <w:color w:val="auto"/>
        </w:rPr>
        <w:t xml:space="preserve">To provide for just and equitable contribution, if (i) an indemnified party makes a claim for indemnification pursuant to these provisions and it is finally determined, by a judgment, order or decree not subject to further appeal that such claims for indemnification may not be enforced, even though this Agreement expressly provides for indemnification in such case; or (ii) any indemnified or indemnifying party seeks contribution under the Act, the Exchange Act or otherwise, then each indemnifying party shall contribute to such amount paid or payable by such indemnified party in such proportion as is appropriate to reflect not only such relative benefits but also the relative fault of the Company on the one hand and the Finder on the other in connection with the statements or omissions which resulted in such losses, claims, damages, liabilities or expenses (or actions in respect thereof), as well as any other relevant equitable considerations. The relative benefits received by the Company on the one hand and the Finder on the other shall be deemed to be in the same proportion as the total net proceeds from the Offering (before deducting expenses) received by the Company bear to the total commissions and fees actually received by the Finder. The relative fault, in the case of an untrue statement, alleged untrue statement, omission or alleged omission will be determined by, among other things, whether such statement, alleged statement, omission or alleged omission relates to information supplied by the Company or by the Finder, and the parties’ relative intent, knowledge, access to information and opportunity to correct or prevent such statement, alleged statement, omission or alleged omission. The Company and the Finder agree that it would be unjust and inequitable if the respective obligations of the Company and the Finder for contribution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of the aggregate losses, liabilities, claims, damages and expenses or by any other method or allocation that does not reflect the equitable considerations referred to in these provisions. No person guilty of a fraudulent misrepresentation (within the meaning of Section 11(f) of the Act) will be entitled to contribution from any person who is not guilty of such fraudulent misrepresentation. Anything in these provisions to the contrary notwithstanding, no party will be liable for contribution with respect to the settlement of any claim or action effected without its written consent.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Neither termination nor completion of the Agreement shall affect these Indemnification Provisions which shall remain operative and in full force and effect. The Indemnification Provisions shall be binding upon the Company and the Finder and their successors and assigns and shall inure to the benefit of the indemnified parties and their respective successors, assigns, heirs and personal representatives.</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17O CHANGEBRIDGE ROAD • MONTVILLE • NJ 07045</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PHONE: (646) 780-8833 • FAX: (973) 575-0730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4240" cy="438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sectPr>
      <w:pgSz w:w="11900" w:h="16838" w:orient="portrait"/>
      <w:cols w:equalWidth="0" w:num="1">
        <w:col w:w="11420"/>
      </w:cols>
      <w:pgMar w:left="240"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695DEC"/>
    <w:multiLevelType w:val="hybridMultilevel"/>
    <w:lvl w:ilvl="0">
      <w:lvlJc w:val="left"/>
      <w:lvlText w:val="(%1)"/>
      <w:numFmt w:val="lowerRoman"/>
      <w:start w:val="6"/>
    </w:lvl>
  </w:abstractNum>
  <w:abstractNum w:abstractNumId="1">
    <w:nsid w:val="3FCFAED9"/>
    <w:multiLevelType w:val="hybridMultilevel"/>
    <w:lvl w:ilvl="0">
      <w:lvlJc w:val="left"/>
      <w:lvlText w:val="(%1)"/>
      <w:numFmt w:val="decimal"/>
      <w:start w:val="5"/>
    </w:lvl>
  </w:abstractNum>
  <w:abstractNum w:abstractNumId="2">
    <w:nsid w:val="F856867"/>
    <w:multiLevelType w:val="hybridMultilevel"/>
    <w:lvl w:ilvl="0">
      <w:lvlJc w:val="left"/>
      <w:lvlText w:val="(%1)"/>
      <w:numFmt w:val="lowerLetter"/>
      <w:start w:val="4"/>
    </w:lvl>
  </w:abstractNum>
  <w:abstractNum w:abstractNumId="3">
    <w:nsid w:val="11B1CC33"/>
    <w:multiLevelType w:val="hybridMultilevel"/>
    <w:lvl w:ilvl="0">
      <w:lvlJc w:val="left"/>
      <w:lvlText w:val="%1."/>
      <w:numFmt w:val="decimal"/>
      <w:start w:val="1"/>
    </w:lvl>
    <w:lvl w:ilvl="1">
      <w:lvlJc w:val="left"/>
      <w:lvlText w:val="(%2)"/>
      <w:numFmt w:val="lowerLetter"/>
      <w:start w:val="1"/>
    </w:lvl>
  </w:abstractNum>
  <w:abstractNum w:abstractNumId="4">
    <w:nsid w:val="2E22FBB7"/>
    <w:multiLevelType w:val="hybridMultilevel"/>
    <w:lvl w:ilvl="0">
      <w:lvlJc w:val="left"/>
      <w:lvlText w:val="(%1)"/>
      <w:numFmt w:val="upperLetter"/>
      <w:start w:val="25"/>
    </w:lvl>
    <w:lvl w:ilvl="1">
      <w:lvlJc w:val="left"/>
      <w:lvlText w:val="(%2)"/>
      <w:numFmt w:val="lowerLetter"/>
      <w:start w:val="2"/>
    </w:lvl>
  </w:abstractNum>
  <w:abstractNum w:abstractNumId="5">
    <w:nsid w:val="29934699"/>
    <w:multiLevelType w:val="hybridMultilevel"/>
    <w:lvl w:ilvl="0">
      <w:lvlJc w:val="left"/>
      <w:lvlText w:val="(%1)"/>
      <w:numFmt w:val="lowerLetter"/>
      <w:start w:val="35"/>
    </w:lvl>
    <w:lvl w:ilvl="1">
      <w:lvlJc w:val="left"/>
      <w:lvlText w:val="(%2)"/>
      <w:numFmt w:val="lowerLetter"/>
      <w:start w:val="4"/>
    </w:lvl>
  </w:abstractNum>
  <w:abstractNum w:abstractNumId="6">
    <w:nsid w:val="77485850"/>
    <w:multiLevelType w:val="hybridMultilevel"/>
    <w:lvl w:ilvl="0">
      <w:lvlJc w:val="left"/>
      <w:lvlText w:val="(%1)"/>
      <w:numFmt w:val="lowerLetter"/>
      <w:start w:val="5"/>
    </w:lvl>
  </w:abstractNum>
  <w:abstractNum w:abstractNumId="7">
    <w:nsid w:val="744939A3"/>
    <w:multiLevelType w:val="hybridMultilevel"/>
    <w:lvl w:ilvl="0">
      <w:lvlJc w:val="left"/>
      <w:lvlText w:val="%1"/>
      <w:numFmt w:val="decimal"/>
      <w:start w:val="1"/>
    </w:lvl>
    <w:lvl w:ilvl="1">
      <w:lvlJc w:val="left"/>
      <w:lvlText w:val="(%2)"/>
      <w:numFmt w:val="lowerLetter"/>
      <w:start w:val="7"/>
    </w:lvl>
  </w:abstractNum>
  <w:abstractNum w:abstractNumId="8">
    <w:nsid w:val="4FA0D2E3"/>
    <w:multiLevelType w:val="hybridMultilevel"/>
    <w:lvl w:ilvl="0">
      <w:lvlJc w:val="left"/>
      <w:lvlText w:val="%1."/>
      <w:numFmt w:val="decimal"/>
      <w:start w:val="2"/>
    </w:lvl>
    <w:lvl w:ilvl="1">
      <w:lvlJc w:val="left"/>
      <w:lvlText w:val="%2"/>
      <w:numFmt w:val="lowerLetter"/>
      <w:start w:val="1"/>
    </w:lvl>
  </w:abstractNum>
  <w:abstractNum w:abstractNumId="9">
    <w:nsid w:val="6B1D2C14"/>
    <w:multiLevelType w:val="hybridMultilevel"/>
    <w:lvl w:ilvl="0">
      <w:lvlJc w:val="left"/>
      <w:lvlText w:val="(%1)"/>
      <w:numFmt w:val="lowerLetter"/>
      <w:start w:val="1"/>
    </w:lvl>
    <w:lvl w:ilvl="1">
      <w:lvlJc w:val="left"/>
      <w:lvlText w:val="(%2)"/>
      <w:numFmt w:val="lowerLetter"/>
      <w:start w:val="9"/>
    </w:lvl>
  </w:abstractNum>
  <w:abstractNum w:abstractNumId="10">
    <w:nsid w:val="68B867D3"/>
    <w:multiLevelType w:val="hybridMultilevel"/>
    <w:lvl w:ilvl="0">
      <w:lvlJc w:val="left"/>
      <w:lvlText w:val="(%1)"/>
      <w:numFmt w:val="lowerRoman"/>
      <w:start w:val="2"/>
    </w:lvl>
  </w:abstractNum>
  <w:abstractNum w:abstractNumId="11">
    <w:nsid w:val="3F7F5DD9"/>
    <w:multiLevelType w:val="hybridMultilevel"/>
    <w:lvl w:ilvl="0">
      <w:lvlJc w:val="left"/>
      <w:lvlText w:val="(%1)"/>
      <w:numFmt w:val="lowerRoman"/>
      <w:start w:val="4"/>
    </w:lvl>
  </w:abstractNum>
  <w:abstractNum w:abstractNumId="12">
    <w:nsid w:val="2AE05A34"/>
    <w:multiLevelType w:val="hybridMultilevel"/>
    <w:lvl w:ilvl="0">
      <w:lvlJc w:val="left"/>
      <w:lvlText w:val="%1"/>
      <w:numFmt w:val="decimal"/>
      <w:start w:val="1"/>
    </w:lvl>
    <w:lvl w:ilvl="1">
      <w:lvlJc w:val="left"/>
      <w:lvlText w:val="(%2)"/>
      <w:numFmt w:val="lowerLetter"/>
      <w:start w:val="3"/>
    </w:lvl>
  </w:abstractNum>
  <w:abstractNum w:abstractNumId="13">
    <w:nsid w:val="32794FF7"/>
    <w:multiLevelType w:val="hybridMultilevel"/>
    <w:lvl w:ilvl="0">
      <w:lvlJc w:val="left"/>
      <w:lvlText w:val="%1."/>
      <w:numFmt w:val="decimal"/>
      <w:start w:val="3"/>
    </w:lvl>
    <w:lvl w:ilvl="1">
      <w:lvlJc w:val="left"/>
      <w:lvlText w:val="%2"/>
      <w:numFmt w:val="lowerLetter"/>
      <w:start w:val="1"/>
    </w:lvl>
  </w:abstractNum>
  <w:abstractNum w:abstractNumId="14">
    <w:nsid w:val="5454945E"/>
    <w:multiLevelType w:val="hybridMultilevel"/>
    <w:lvl w:ilvl="0">
      <w:lvlJc w:val="left"/>
      <w:lvlText w:val="%1."/>
      <w:numFmt w:val="decimal"/>
      <w:start w:val="4"/>
    </w:lvl>
    <w:lvl w:ilvl="1">
      <w:lvlJc w:val="left"/>
      <w:lvlText w:val="(%2)"/>
      <w:numFmt w:val="lowerLetter"/>
      <w:start w:val="1"/>
    </w:lvl>
  </w:abstractNum>
  <w:abstractNum w:abstractNumId="15">
    <w:nsid w:val="4DEFDFA0"/>
    <w:multiLevelType w:val="hybridMultilevel"/>
    <w:lvl w:ilvl="0">
      <w:lvlJc w:val="left"/>
      <w:lvlText w:val="%1"/>
      <w:numFmt w:val="lowerLetter"/>
      <w:start w:val="1"/>
    </w:lvl>
    <w:lvl w:ilvl="1">
      <w:lvlJc w:val="left"/>
      <w:lvlText w:val="(%2)"/>
      <w:numFmt w:val="lowerLetter"/>
      <w:start w:val="3"/>
    </w:lvl>
  </w:abstractNum>
  <w:abstractNum w:abstractNumId="16">
    <w:nsid w:val="2123D5F2"/>
    <w:multiLevelType w:val="hybridMultilevel"/>
    <w:lvl w:ilvl="0">
      <w:lvlJc w:val="left"/>
      <w:lvlText w:val="(%1)"/>
      <w:numFmt w:val="lowerLetter"/>
      <w:start w:val="26"/>
    </w:lvl>
    <w:lvl w:ilvl="1">
      <w:lvlJc w:val="left"/>
      <w:lvlText w:val="(%2)"/>
      <w:numFmt w:val="lowerLetter"/>
      <w:start w:val="4"/>
    </w:lvl>
  </w:abstractNum>
  <w:abstractNum w:abstractNumId="17">
    <w:nsid w:val="135B8110"/>
    <w:multiLevelType w:val="hybridMultilevel"/>
    <w:lvl w:ilvl="0">
      <w:lvlJc w:val="left"/>
      <w:lvlText w:val="%1."/>
      <w:numFmt w:val="decimal"/>
      <w:start w:val="5"/>
    </w:lvl>
    <w:lvl w:ilvl="1">
      <w:lvlJc w:val="left"/>
      <w:lvlText w:val="(%2)"/>
      <w:numFmt w:val="lowerLetter"/>
      <w:start w:val="1"/>
    </w:lvl>
  </w:abstractNum>
  <w:abstractNum w:abstractNumId="18">
    <w:nsid w:val="94927A8"/>
    <w:multiLevelType w:val="hybridMultilevel"/>
    <w:lvl w:ilvl="0">
      <w:lvlJc w:val="left"/>
      <w:lvlText w:val="%1"/>
      <w:numFmt w:val="lowerLetter"/>
      <w:start w:val="1"/>
    </w:lvl>
    <w:lvl w:ilvl="1">
      <w:lvlJc w:val="left"/>
      <w:lvlText w:val="(%2)"/>
      <w:numFmt w:val="lowerLetter"/>
      <w:start w:val="2"/>
    </w:lvl>
  </w:abstractNum>
  <w:abstractNum w:abstractNumId="19">
    <w:nsid w:val="DCDF8F6"/>
    <w:multiLevelType w:val="hybridMultilevel"/>
    <w:lvl w:ilvl="0">
      <w:lvlJc w:val="left"/>
      <w:lvlText w:val="(%1)"/>
      <w:numFmt w:val="lowerLetter"/>
      <w:start w:val="9"/>
    </w:lvl>
    <w:lvl w:ilvl="1">
      <w:lvlJc w:val="left"/>
      <w:lvlText w:val="%2"/>
      <w:numFmt w:val="lowerLetter"/>
      <w:start w:val="1"/>
    </w:lvl>
  </w:abstractNum>
  <w:abstractNum w:abstractNumId="20">
    <w:nsid w:val="52D7B105"/>
    <w:multiLevelType w:val="hybridMultilevel"/>
    <w:lvl w:ilvl="0">
      <w:lvlJc w:val="left"/>
      <w:lvlText w:val="%1."/>
      <w:numFmt w:val="decimal"/>
      <w:start w:val="8"/>
    </w:lvl>
  </w:abstractNum>
  <w:abstractNum w:abstractNumId="21">
    <w:nsid w:val="2E8A6394"/>
    <w:multiLevelType w:val="hybridMultilevel"/>
    <w:lvl w:ilvl="0">
      <w:lvlJc w:val="left"/>
      <w:lvlText w:val="%1."/>
      <w:numFmt w:val="decimal"/>
      <w:start w:val="9"/>
    </w:lvl>
  </w:abstractNum>
  <w:abstractNum w:abstractNumId="22">
    <w:nsid w:val="24E60401"/>
    <w:multiLevelType w:val="hybridMultilevel"/>
    <w:lvl w:ilvl="0">
      <w:lvlJc w:val="left"/>
      <w:lvlText w:val="%1."/>
      <w:numFmt w:val="decimal"/>
      <w:start w:val="13"/>
    </w:lvl>
  </w:abstractNum>
  <w:abstractNum w:abstractNumId="23">
    <w:nsid w:val="2A6AD9BE"/>
    <w:multiLevelType w:val="hybridMultilevel"/>
    <w:lvl w:ilvl="0">
      <w:lvlJc w:val="left"/>
      <w:lvlText w:val="%1."/>
      <w:numFmt w:val="decimal"/>
      <w:start w:val="15"/>
    </w:lvl>
    <w:lvl w:ilvl="1">
      <w:lvlJc w:val="left"/>
      <w:lvlText w:val="(%2)"/>
      <w:numFmt w:val="lowerLetter"/>
      <w:start w:val="1"/>
    </w:lvl>
  </w:abstractNum>
  <w:abstractNum w:abstractNumId="24">
    <w:nsid w:val="BAAC1B4"/>
    <w:multiLevelType w:val="hybridMultilevel"/>
    <w:lvl w:ilvl="0">
      <w:lvlJc w:val="left"/>
      <w:lvlText w:val="(%1)"/>
      <w:numFmt w:val="lowerLetter"/>
      <w:start w:val="3"/>
    </w:lvl>
  </w:abstractNum>
  <w:abstractNum w:abstractNumId="25">
    <w:nsid w:val="36B2ACBC"/>
    <w:multiLevelType w:val="hybridMultilevel"/>
    <w:lvl w:ilvl="0">
      <w:lvlJc w:val="left"/>
      <w:lvlText w:val="(%1)"/>
      <w:numFmt w:val="lowerLetter"/>
      <w:start w:val="7"/>
    </w:lvl>
  </w:abstractNum>
  <w:abstractNum w:abstractNumId="26">
    <w:nsid w:val="779D8544"/>
    <w:multiLevelType w:val="hybridMultilevel"/>
    <w:lvl w:ilvl="0">
      <w:lvlJc w:val="left"/>
      <w:lvlText w:val="(%1)"/>
      <w:numFmt w:val="lowerLetter"/>
      <w:start w:val="13"/>
    </w:lvl>
  </w:abstractNum>
  <w:abstractNum w:abstractNumId="27">
    <w:nsid w:val="4AB26E78"/>
    <w:multiLevelType w:val="hybridMultilevel"/>
    <w:lvl w:ilvl="0">
      <w:lvlJc w:val="left"/>
      <w:lvlText w:val="(%1)"/>
      <w:numFmt w:val="lowerLetter"/>
      <w:start w:val="20"/>
    </w:lvl>
  </w:abstractNum>
  <w:abstractNum w:abstractNumId="28">
    <w:nsid w:val="21FAA2FA"/>
    <w:multiLevelType w:val="hybridMultilevel"/>
    <w:lvl w:ilvl="0">
      <w:lvlJc w:val="left"/>
      <w:lvlText w:val="%1."/>
      <w:numFmt w:val="decimal"/>
      <w:start w:val="2"/>
    </w:lvl>
  </w:abstractNum>
  <w:abstractNum w:abstractNumId="29">
    <w:nsid w:val="5451CF49"/>
    <w:multiLevelType w:val="hybridMultilevel"/>
    <w:lvl w:ilvl="0">
      <w:lvlJc w:val="left"/>
      <w:lvlText w:val="%1."/>
      <w:numFmt w:val="decimal"/>
      <w:start w:val="1"/>
    </w:lvl>
    <w:lvl w:ilvl="1">
      <w:lvlJc w:val="left"/>
      <w:lvlText w:val="(%2)"/>
      <w:numFmt w:val="lowerLetter"/>
      <w:start w:val="1"/>
    </w:lvl>
  </w:abstractNum>
  <w:abstractNum w:abstractNumId="30">
    <w:nsid w:val="6181EF69"/>
    <w:multiLevelType w:val="hybridMultilevel"/>
    <w:lvl w:ilvl="0">
      <w:lvlJc w:val="left"/>
      <w:lvlText w:val="(%1)"/>
      <w:numFmt w:val="upperLetter"/>
      <w:start w:val="25"/>
    </w:lvl>
    <w:lvl w:ilvl="1">
      <w:lvlJc w:val="left"/>
      <w:lvlText w:val="(%2)"/>
      <w:numFmt w:val="lowerLetter"/>
      <w:start w:val="2"/>
    </w:lvl>
  </w:abstractNum>
  <w:abstractNum w:abstractNumId="31">
    <w:nsid w:val="3E6400E6"/>
    <w:multiLevelType w:val="hybridMultilevel"/>
    <w:lvl w:ilvl="0">
      <w:lvlJc w:val="left"/>
      <w:lvlText w:val="(%1)"/>
      <w:numFmt w:val="lowerLetter"/>
      <w:start w:val="35"/>
    </w:lvl>
    <w:lvl w:ilvl="1">
      <w:lvlJc w:val="left"/>
      <w:lvlText w:val="(%2)"/>
      <w:numFmt w:val="lowerLetter"/>
      <w:start w:val="4"/>
    </w:lvl>
  </w:abstractNum>
  <w:abstractNum w:abstractNumId="32">
    <w:nsid w:val="14217E23"/>
    <w:multiLevelType w:val="hybridMultilevel"/>
    <w:lvl w:ilvl="0">
      <w:lvlJc w:val="left"/>
      <w:lvlText w:val="(%1)"/>
      <w:numFmt w:val="lowerLetter"/>
      <w:start w:val="5"/>
    </w:lvl>
  </w:abstractNum>
  <w:abstractNum w:abstractNumId="33">
    <w:nsid w:val="710757D0"/>
    <w:multiLevelType w:val="hybridMultilevel"/>
    <w:lvl w:ilvl="0">
      <w:lvlJc w:val="left"/>
      <w:lvlText w:val="%1"/>
      <w:numFmt w:val="decimal"/>
      <w:start w:val="1"/>
    </w:lvl>
    <w:lvl w:ilvl="1">
      <w:lvlJc w:val="left"/>
      <w:lvlText w:val="(%2)"/>
      <w:numFmt w:val="lowerLetter"/>
      <w:start w:val="7"/>
    </w:lvl>
  </w:abstractNum>
  <w:abstractNum w:abstractNumId="34">
    <w:nsid w:val="5015CD1A"/>
    <w:multiLevelType w:val="hybridMultilevel"/>
    <w:lvl w:ilvl="0">
      <w:lvlJc w:val="left"/>
      <w:lvlText w:val="%1."/>
      <w:numFmt w:val="decimal"/>
      <w:start w:val="2"/>
    </w:lvl>
    <w:lvl w:ilvl="1">
      <w:lvlJc w:val="left"/>
      <w:lvlText w:val="%2"/>
      <w:numFmt w:val="lowerLetter"/>
      <w:start w:val="1"/>
    </w:lvl>
  </w:abstractNum>
  <w:abstractNum w:abstractNumId="35">
    <w:nsid w:val="424479DA"/>
    <w:multiLevelType w:val="hybridMultilevel"/>
    <w:lvl w:ilvl="0">
      <w:lvlJc w:val="left"/>
      <w:lvlText w:val="(%1)"/>
      <w:numFmt w:val="lowerLetter"/>
      <w:start w:val="1"/>
    </w:lvl>
  </w:abstractNum>
  <w:abstractNum w:abstractNumId="36">
    <w:nsid w:val="1A9A9E69"/>
    <w:multiLevelType w:val="hybridMultilevel"/>
    <w:lvl w:ilvl="0">
      <w:lvlJc w:val="left"/>
      <w:lvlText w:val="%1."/>
      <w:numFmt w:val="decimal"/>
      <w:start w:val="3"/>
    </w:lvl>
    <w:lvl w:ilvl="1">
      <w:lvlJc w:val="left"/>
      <w:lvlText w:val="(%2)"/>
      <w:numFmt w:val="lowerLetter"/>
      <w:start w:val="1"/>
    </w:lvl>
  </w:abstractNum>
  <w:abstractNum w:abstractNumId="37">
    <w:nsid w:val="475E256A"/>
    <w:multiLevelType w:val="hybridMultilevel"/>
    <w:lvl w:ilvl="0">
      <w:lvlJc w:val="left"/>
      <w:lvlText w:val="%1"/>
      <w:numFmt w:val="decimal"/>
      <w:start w:val="1"/>
    </w:lvl>
    <w:lvl w:ilvl="1">
      <w:lvlJc w:val="left"/>
      <w:lvlText w:val="(%2)"/>
      <w:numFmt w:val="lowerLetter"/>
      <w:start w:val="3"/>
    </w:lvl>
  </w:abstractNum>
  <w:abstractNum w:abstractNumId="38">
    <w:nsid w:val="368DB37E"/>
    <w:multiLevelType w:val="hybridMultilevel"/>
    <w:lvl w:ilvl="0">
      <w:lvlJc w:val="left"/>
      <w:lvlText w:val="%1."/>
      <w:numFmt w:val="decimal"/>
      <w:start w:val="5"/>
    </w:lvl>
    <w:lvl w:ilvl="1">
      <w:lvlJc w:val="left"/>
      <w:lvlText w:val="(%2)"/>
      <w:numFmt w:val="lowerLetter"/>
      <w:start w:val="1"/>
    </w:lvl>
  </w:abstractNum>
  <w:abstractNum w:abstractNumId="39">
    <w:nsid w:val="6A3B714C"/>
    <w:multiLevelType w:val="hybridMultilevel"/>
    <w:lvl w:ilvl="0">
      <w:lvlJc w:val="left"/>
      <w:lvlText w:val="%1."/>
      <w:numFmt w:val="decimal"/>
      <w:start w:val="6"/>
    </w:lvl>
    <w:lvl w:ilvl="1">
      <w:lvlJc w:val="left"/>
      <w:lvlText w:val="(%2)"/>
      <w:numFmt w:val="lowerLetter"/>
      <w:start w:val="1"/>
    </w:lvl>
  </w:abstractNum>
  <w:abstractNum w:abstractNumId="40">
    <w:nsid w:val="327B517E"/>
    <w:multiLevelType w:val="hybridMultilevel"/>
    <w:lvl w:ilvl="0">
      <w:lvlJc w:val="left"/>
      <w:lvlText w:val="%1"/>
      <w:numFmt w:val="lowerLetter"/>
      <w:start w:val="1"/>
    </w:lvl>
    <w:lvl w:ilvl="1">
      <w:lvlJc w:val="left"/>
      <w:lvlText w:val="(%2)"/>
      <w:numFmt w:val="lowerLetter"/>
      <w:start w:val="2"/>
    </w:lvl>
  </w:abstractNum>
  <w:abstractNum w:abstractNumId="41">
    <w:nsid w:val="1F461B51"/>
    <w:multiLevelType w:val="hybridMultilevel"/>
    <w:lvl w:ilvl="0">
      <w:lvlJc w:val="left"/>
      <w:lvlText w:val="(%1)"/>
      <w:numFmt w:val="lowerLetter"/>
      <w:start w:val="9"/>
    </w:lvl>
    <w:lvl w:ilvl="1">
      <w:lvlJc w:val="left"/>
      <w:lvlText w:val="%2"/>
      <w:numFmt w:val="lowerLetter"/>
      <w:start w:val="1"/>
    </w:lvl>
  </w:abstractNum>
  <w:abstractNum w:abstractNumId="42">
    <w:nsid w:val="29BACF25"/>
    <w:multiLevelType w:val="hybridMultilevel"/>
    <w:lvl w:ilvl="0">
      <w:lvlJc w:val="left"/>
      <w:lvlText w:val="%1."/>
      <w:numFmt w:val="decimal"/>
      <w:start w:val="9"/>
    </w:lvl>
  </w:abstractNum>
  <w:abstractNum w:abstractNumId="43">
    <w:nsid w:val="5D5BABB3"/>
    <w:multiLevelType w:val="hybridMultilevel"/>
    <w:lvl w:ilvl="0">
      <w:lvlJc w:val="left"/>
      <w:lvlText w:val="%1."/>
      <w:numFmt w:val="decimal"/>
      <w:start w:val="10"/>
    </w:lvl>
  </w:abstractNum>
  <w:abstractNum w:abstractNumId="44">
    <w:nsid w:val="51BF6B48"/>
    <w:multiLevelType w:val="hybridMultilevel"/>
    <w:lvl w:ilvl="0">
      <w:lvlJc w:val="left"/>
      <w:lvlText w:val="%1."/>
      <w:numFmt w:val="decimal"/>
      <w:start w:val="14"/>
    </w:lvl>
  </w:abstractNum>
  <w:abstractNum w:abstractNumId="45">
    <w:nsid w:val="7E0F6384"/>
    <w:multiLevelType w:val="hybridMultilevel"/>
    <w:lvl w:ilvl="0">
      <w:lvlJc w:val="left"/>
      <w:lvlText w:val="%1."/>
      <w:numFmt w:val="decimal"/>
      <w:start w:val="16"/>
    </w:lvl>
    <w:lvl w:ilvl="1">
      <w:lvlJc w:val="left"/>
      <w:lvlText w:val="(%2)"/>
      <w:numFmt w:val="lowerLetter"/>
      <w:start w:val="1"/>
    </w:lvl>
  </w:abstractNum>
  <w:abstractNum w:abstractNumId="46">
    <w:nsid w:val="2B4B8B53"/>
    <w:multiLevelType w:val="hybridMultilevel"/>
    <w:lvl w:ilvl="0">
      <w:lvlJc w:val="left"/>
      <w:lvlText w:val="(%1)"/>
      <w:numFmt w:val="lowerLetter"/>
      <w:start w:val="5"/>
    </w:lvl>
  </w:abstractNum>
  <w:abstractNum w:abstractNumId="47">
    <w:nsid w:val="72E3413A"/>
    <w:multiLevelType w:val="hybridMultilevel"/>
    <w:lvl w:ilvl="0">
      <w:lvlJc w:val="left"/>
      <w:lvlText w:val="(%1)"/>
      <w:numFmt w:val="lowerLetter"/>
      <w:start w:val="10"/>
    </w:lvl>
  </w:abstractNum>
  <w:abstractNum w:abstractNumId="48">
    <w:nsid w:val="116AE494"/>
    <w:multiLevelType w:val="hybridMultilevel"/>
    <w:lvl w:ilvl="0">
      <w:lvlJc w:val="left"/>
      <w:lvlText w:val="(%1)"/>
      <w:numFmt w:val="lowerLetter"/>
      <w:start w:val="17"/>
    </w:lvl>
  </w:abstractNum>
  <w:abstractNum w:abstractNumId="49">
    <w:nsid w:val="3494B2FB"/>
    <w:multiLevelType w:val="hybridMultilevel"/>
    <w:lvl w:ilvl="0">
      <w:lvlJc w:val="left"/>
      <w:lvlText w:val="%1."/>
      <w:numFmt w:val="decimal"/>
      <w:start w:val="2"/>
    </w:lvl>
  </w:abstractNum>
  <w:abstractNum w:abstractNumId="50">
    <w:nsid w:val="B13A31"/>
    <w:multiLevelType w:val="hybridMultilevel"/>
    <w:lvl w:ilvl="0">
      <w:lvlJc w:val="left"/>
      <w:lvlText w:val="%1."/>
      <w:numFmt w:val="decimal"/>
      <w:start w:val="1"/>
    </w:lvl>
    <w:lvl w:ilvl="1">
      <w:lvlJc w:val="left"/>
      <w:lvlText w:val="(%2)"/>
      <w:numFmt w:val="lowerLetter"/>
      <w:start w:val="1"/>
    </w:lvl>
  </w:abstractNum>
  <w:abstractNum w:abstractNumId="51">
    <w:nsid w:val="64429599"/>
    <w:multiLevelType w:val="hybridMultilevel"/>
    <w:lvl w:ilvl="0">
      <w:lvlJc w:val="left"/>
      <w:lvlText w:val="(%1)"/>
      <w:numFmt w:val="upperLetter"/>
      <w:start w:val="25"/>
    </w:lvl>
    <w:lvl w:ilvl="1">
      <w:lvlJc w:val="left"/>
      <w:lvlText w:val="(%2)"/>
      <w:numFmt w:val="lowerLetter"/>
      <w:start w:val="2"/>
    </w:lvl>
  </w:abstractNum>
  <w:abstractNum w:abstractNumId="52">
    <w:nsid w:val="631F1690"/>
    <w:multiLevelType w:val="hybridMultilevel"/>
    <w:lvl w:ilvl="0">
      <w:lvlJc w:val="left"/>
      <w:lvlText w:val="(%1)"/>
      <w:numFmt w:val="lowerLetter"/>
      <w:start w:val="35"/>
    </w:lvl>
    <w:lvl w:ilvl="1">
      <w:lvlJc w:val="left"/>
      <w:lvlText w:val="(%2)"/>
      <w:numFmt w:val="lowerLetter"/>
      <w:start w:val="4"/>
    </w:lvl>
  </w:abstractNum>
  <w:abstractNum w:abstractNumId="53">
    <w:nsid w:val="25973E32"/>
    <w:multiLevelType w:val="hybridMultilevel"/>
    <w:lvl w:ilvl="0">
      <w:lvlJc w:val="left"/>
      <w:lvlText w:val="(%1)"/>
      <w:numFmt w:val="lowerLetter"/>
      <w:start w:val="5"/>
    </w:lvl>
  </w:abstractNum>
  <w:abstractNum w:abstractNumId="54">
    <w:nsid w:val="EAD6F57"/>
    <w:multiLevelType w:val="hybridMultilevel"/>
    <w:lvl w:ilvl="0">
      <w:lvlJc w:val="left"/>
      <w:lvlText w:val="%1"/>
      <w:numFmt w:val="decimal"/>
      <w:start w:val="1"/>
    </w:lvl>
    <w:lvl w:ilvl="1">
      <w:lvlJc w:val="left"/>
      <w:lvlText w:val="(%2)"/>
      <w:numFmt w:val="lowerLetter"/>
      <w:start w:val="7"/>
    </w:lvl>
  </w:abstractNum>
  <w:abstractNum w:abstractNumId="55">
    <w:nsid w:val="6EC9D844"/>
    <w:multiLevelType w:val="hybridMultilevel"/>
    <w:lvl w:ilvl="0">
      <w:lvlJc w:val="left"/>
      <w:lvlText w:val="%1."/>
      <w:numFmt w:val="decimal"/>
      <w:start w:val="2"/>
    </w:lvl>
    <w:lvl w:ilvl="1">
      <w:lvlJc w:val="left"/>
      <w:lvlText w:val="%2"/>
      <w:numFmt w:val="lowerLetter"/>
      <w:start w:val="1"/>
    </w:lvl>
  </w:abstractNum>
  <w:abstractNum w:abstractNumId="56">
    <w:nsid w:val="5C49EAEE"/>
    <w:multiLevelType w:val="hybridMultilevel"/>
    <w:lvl w:ilvl="0">
      <w:lvlJc w:val="left"/>
      <w:lvlText w:val="(%1)"/>
      <w:numFmt w:val="lowerLetter"/>
      <w:start w:val="1"/>
    </w:lvl>
  </w:abstractNum>
  <w:abstractNum w:abstractNumId="57">
    <w:nsid w:val="64AF49B"/>
    <w:multiLevelType w:val="hybridMultilevel"/>
    <w:lvl w:ilvl="0">
      <w:lvlJc w:val="left"/>
      <w:lvlText w:val="%1."/>
      <w:numFmt w:val="decimal"/>
      <w:start w:val="3"/>
    </w:lvl>
    <w:lvl w:ilvl="1">
      <w:lvlJc w:val="left"/>
      <w:lvlText w:val="(%2)"/>
      <w:numFmt w:val="lowerLetter"/>
      <w:start w:val="1"/>
    </w:lvl>
  </w:abstractNum>
  <w:abstractNum w:abstractNumId="58">
    <w:nsid w:val="397C46BC"/>
    <w:multiLevelType w:val="hybridMultilevel"/>
    <w:lvl w:ilvl="0">
      <w:lvlJc w:val="left"/>
      <w:lvlText w:val="(%1)"/>
      <w:numFmt w:val="lowerLetter"/>
      <w:start w:val="2"/>
    </w:lvl>
  </w:abstractNum>
  <w:abstractNum w:abstractNumId="59">
    <w:nsid w:val="7E448DE9"/>
    <w:multiLevelType w:val="hybridMultilevel"/>
    <w:lvl w:ilvl="0">
      <w:lvlJc w:val="left"/>
      <w:lvlText w:val="%1"/>
      <w:numFmt w:val="lowerLetter"/>
      <w:start w:val="1"/>
    </w:lvl>
    <w:lvl w:ilvl="1">
      <w:lvlJc w:val="left"/>
      <w:lvlText w:val="(%2)"/>
      <w:numFmt w:val="lowerLetter"/>
      <w:start w:val="3"/>
    </w:lvl>
  </w:abstractNum>
  <w:abstractNum w:abstractNumId="60">
    <w:nsid w:val="5A9CC3E5"/>
    <w:multiLevelType w:val="hybridMultilevel"/>
    <w:lvl w:ilvl="0">
      <w:lvlJc w:val="left"/>
      <w:lvlText w:val="(%1)"/>
      <w:numFmt w:val="lowerLetter"/>
      <w:start w:val="26"/>
    </w:lvl>
    <w:lvl w:ilvl="1">
      <w:lvlJc w:val="left"/>
      <w:lvlText w:val="(%2)"/>
      <w:numFmt w:val="lowerLetter"/>
      <w:start w:val="4"/>
    </w:lvl>
  </w:abstractNum>
  <w:abstractNum w:abstractNumId="61">
    <w:nsid w:val="1AFE3625"/>
    <w:multiLevelType w:val="hybridMultilevel"/>
    <w:lvl w:ilvl="0">
      <w:lvlJc w:val="left"/>
      <w:lvlText w:val="%1."/>
      <w:numFmt w:val="decimal"/>
      <w:start w:val="5"/>
    </w:lvl>
    <w:lvl w:ilvl="1">
      <w:lvlJc w:val="left"/>
      <w:lvlText w:val="(%2)"/>
      <w:numFmt w:val="lowerLetter"/>
      <w:start w:val="1"/>
    </w:lvl>
  </w:abstractNum>
  <w:abstractNum w:abstractNumId="62">
    <w:nsid w:val="3CA88ECF"/>
    <w:multiLevelType w:val="hybridMultilevel"/>
    <w:lvl w:ilvl="0">
      <w:lvlJc w:val="left"/>
      <w:lvlText w:val="%1."/>
      <w:numFmt w:val="decimal"/>
      <w:start w:val="6"/>
    </w:lvl>
    <w:lvl w:ilvl="1">
      <w:lvlJc w:val="left"/>
      <w:lvlText w:val="(%2)"/>
      <w:numFmt w:val="lowerLetter"/>
      <w:start w:val="1"/>
    </w:lvl>
  </w:abstractNum>
  <w:abstractNum w:abstractNumId="63">
    <w:nsid w:val="6EBE4208"/>
    <w:multiLevelType w:val="hybridMultilevel"/>
    <w:lvl w:ilvl="0">
      <w:lvlJc w:val="left"/>
      <w:lvlText w:val="%1"/>
      <w:numFmt w:val="lowerLetter"/>
      <w:start w:val="1"/>
    </w:lvl>
    <w:lvl w:ilvl="1">
      <w:lvlJc w:val="left"/>
      <w:lvlText w:val="(%2)"/>
      <w:numFmt w:val="lowerLetter"/>
      <w:start w:val="2"/>
    </w:lvl>
  </w:abstractNum>
  <w:abstractNum w:abstractNumId="64">
    <w:nsid w:val="C058DF5"/>
    <w:multiLevelType w:val="hybridMultilevel"/>
    <w:lvl w:ilvl="0">
      <w:lvlJc w:val="left"/>
      <w:lvlText w:val="(%1)"/>
      <w:numFmt w:val="lowerLetter"/>
      <w:start w:val="9"/>
    </w:lvl>
    <w:lvl w:ilvl="1">
      <w:lvlJc w:val="left"/>
      <w:lvlText w:val="%2"/>
      <w:numFmt w:val="lowerLetter"/>
      <w:start w:val="1"/>
    </w:lvl>
  </w:abstractNum>
  <w:abstractNum w:abstractNumId="65">
    <w:nsid w:val="CBE5BE9"/>
    <w:multiLevelType w:val="hybridMultilevel"/>
    <w:lvl w:ilvl="0">
      <w:lvlJc w:val="left"/>
      <w:lvlText w:val="%1."/>
      <w:numFmt w:val="decimal"/>
      <w:start w:val="9"/>
    </w:lvl>
  </w:abstractNum>
  <w:abstractNum w:abstractNumId="66">
    <w:nsid w:val="3102BBE2"/>
    <w:multiLevelType w:val="hybridMultilevel"/>
    <w:lvl w:ilvl="0">
      <w:lvlJc w:val="left"/>
      <w:lvlText w:val="%1."/>
      <w:numFmt w:val="decimal"/>
      <w:start w:val="10"/>
    </w:lvl>
  </w:abstractNum>
  <w:abstractNum w:abstractNumId="67">
    <w:nsid w:val="26A02C5E"/>
    <w:multiLevelType w:val="hybridMultilevel"/>
    <w:lvl w:ilvl="0">
      <w:lvlJc w:val="left"/>
      <w:lvlText w:val="%1."/>
      <w:numFmt w:val="decimal"/>
      <w:start w:val="14"/>
    </w:lvl>
  </w:abstractNum>
  <w:abstractNum w:abstractNumId="68">
    <w:nsid w:val="541C8153"/>
    <w:multiLevelType w:val="hybridMultilevel"/>
    <w:lvl w:ilvl="0">
      <w:lvlJc w:val="left"/>
      <w:lvlText w:val="%1."/>
      <w:numFmt w:val="decimal"/>
      <w:start w:val="16"/>
    </w:lvl>
    <w:lvl w:ilvl="1">
      <w:lvlJc w:val="left"/>
      <w:lvlText w:val="(%2)"/>
      <w:numFmt w:val="lowerLetter"/>
      <w:start w:val="1"/>
    </w:lvl>
  </w:abstractNum>
  <w:abstractNum w:abstractNumId="69">
    <w:nsid w:val="67906F60"/>
    <w:multiLevelType w:val="hybridMultilevel"/>
    <w:lvl w:ilvl="0">
      <w:lvlJc w:val="left"/>
      <w:lvlText w:val="(%1)"/>
      <w:numFmt w:val="lowerLetter"/>
      <w:start w:val="3"/>
    </w:lvl>
  </w:abstractNum>
  <w:abstractNum w:abstractNumId="70">
    <w:nsid w:val="10DB9DAA"/>
    <w:multiLevelType w:val="hybridMultilevel"/>
    <w:lvl w:ilvl="0">
      <w:lvlJc w:val="left"/>
      <w:lvlText w:val="(%1)"/>
      <w:numFmt w:val="lowerLetter"/>
      <w:start w:val="10"/>
    </w:lvl>
  </w:abstractNum>
  <w:abstractNum w:abstractNumId="71">
    <w:nsid w:val="697D2D2"/>
    <w:multiLevelType w:val="hybridMultilevel"/>
    <w:lvl w:ilvl="0">
      <w:lvlJc w:val="left"/>
      <w:lvlText w:val="(%1)"/>
      <w:numFmt w:val="lowerLetter"/>
      <w:start w:val="15"/>
    </w:lvl>
  </w:abstractNum>
  <w:abstractNum w:abstractNumId="72">
    <w:nsid w:val="6D68AB2"/>
    <w:multiLevelType w:val="hybridMultilevel"/>
    <w:lvl w:ilvl="0">
      <w:lvlJc w:val="left"/>
      <w:lvlText w:val="%1."/>
      <w:numFmt w:val="decimal"/>
      <w:start w:val="2"/>
    </w:lvl>
  </w:abstractNum>
  <w:abstractNum w:abstractNumId="73">
    <w:nsid w:val="3A966CD0"/>
    <w:multiLevelType w:val="hybridMultilevel"/>
    <w:lvl w:ilvl="0">
      <w:lvlJc w:val="left"/>
      <w:lvlText w:val="%1."/>
      <w:numFmt w:val="decimal"/>
      <w:start w:val="1"/>
    </w:lvl>
    <w:lvl w:ilvl="1">
      <w:lvlJc w:val="left"/>
      <w:lvlText w:val="(%2)"/>
      <w:numFmt w:val="lowerLetter"/>
      <w:start w:val="1"/>
    </w:lvl>
  </w:abstractNum>
  <w:abstractNum w:abstractNumId="74">
    <w:nsid w:val="63F37E85"/>
    <w:multiLevelType w:val="hybridMultilevel"/>
    <w:lvl w:ilvl="0">
      <w:lvlJc w:val="left"/>
      <w:lvlText w:val="(%1)"/>
      <w:numFmt w:val="upperLetter"/>
      <w:start w:val="24"/>
    </w:lvl>
    <w:lvl w:ilvl="1">
      <w:lvlJc w:val="left"/>
      <w:lvlText w:val="(%2)"/>
      <w:numFmt w:val="lowerLetter"/>
      <w:start w:val="2"/>
    </w:lvl>
  </w:abstractNum>
  <w:abstractNum w:abstractNumId="75">
    <w:nsid w:val="5895F5FA"/>
    <w:multiLevelType w:val="hybridMultilevel"/>
    <w:lvl w:ilvl="0">
      <w:lvlJc w:val="left"/>
      <w:lvlText w:val="(%1)"/>
      <w:numFmt w:val="lowerLetter"/>
      <w:start w:val="4"/>
    </w:lvl>
  </w:abstractNum>
  <w:abstractNum w:abstractNumId="76">
    <w:nsid w:val="38A5D054"/>
    <w:multiLevelType w:val="hybridMultilevel"/>
    <w:lvl w:ilvl="0">
      <w:lvlJc w:val="left"/>
      <w:lvlText w:val="(%1)"/>
      <w:numFmt w:val="lowerLetter"/>
      <w:start w:val="5"/>
    </w:lvl>
  </w:abstractNum>
  <w:abstractNum w:abstractNumId="77">
    <w:nsid w:val="F3F09D8"/>
    <w:multiLevelType w:val="hybridMultilevel"/>
    <w:lvl w:ilvl="0">
      <w:lvlJc w:val="left"/>
      <w:lvlText w:val="%1"/>
      <w:numFmt w:val="decimal"/>
      <w:start w:val="1"/>
    </w:lvl>
    <w:lvl w:ilvl="1">
      <w:lvlJc w:val="left"/>
      <w:lvlText w:val="(%2)"/>
      <w:numFmt w:val="lowerLetter"/>
      <w:start w:val="7"/>
    </w:lvl>
  </w:abstractNum>
  <w:abstractNum w:abstractNumId="78">
    <w:nsid w:val="4B793735"/>
    <w:multiLevelType w:val="hybridMultilevel"/>
    <w:lvl w:ilvl="0">
      <w:lvlJc w:val="left"/>
      <w:lvlText w:val="%1."/>
      <w:numFmt w:val="decimal"/>
      <w:start w:val="2"/>
    </w:lvl>
    <w:lvl w:ilvl="1">
      <w:lvlJc w:val="left"/>
      <w:lvlText w:val="%2"/>
      <w:numFmt w:val="lowerLetter"/>
      <w:start w:val="1"/>
    </w:lvl>
  </w:abstractNum>
  <w:abstractNum w:abstractNumId="79">
    <w:nsid w:val="4A10B4E8"/>
    <w:multiLevelType w:val="hybridMultilevel"/>
    <w:lvl w:ilvl="0">
      <w:lvlJc w:val="left"/>
      <w:lvlText w:val="(%1)"/>
      <w:numFmt w:val="lowerLetter"/>
      <w:start w:val="1"/>
    </w:lvl>
  </w:abstractNum>
  <w:abstractNum w:abstractNumId="80">
    <w:nsid w:val="43D3BCD4"/>
    <w:multiLevelType w:val="hybridMultilevel"/>
    <w:lvl w:ilvl="0">
      <w:lvlJc w:val="left"/>
      <w:lvlText w:val="%1."/>
      <w:numFmt w:val="decimal"/>
      <w:start w:val="3"/>
    </w:lvl>
    <w:lvl w:ilvl="1">
      <w:lvlJc w:val="left"/>
      <w:lvlText w:val="(%2)"/>
      <w:numFmt w:val="lowerLetter"/>
      <w:start w:val="1"/>
    </w:lvl>
  </w:abstractNum>
  <w:abstractNum w:abstractNumId="81">
    <w:nsid w:val="4C2A7166"/>
    <w:multiLevelType w:val="hybridMultilevel"/>
    <w:lvl w:ilvl="0">
      <w:lvlJc w:val="left"/>
      <w:lvlText w:val="(%1)"/>
      <w:numFmt w:val="lowerLetter"/>
      <w:start w:val="2"/>
    </w:lvl>
  </w:abstractNum>
  <w:abstractNum w:abstractNumId="82">
    <w:nsid w:val="2E534A82"/>
    <w:multiLevelType w:val="hybridMultilevel"/>
    <w:lvl w:ilvl="0">
      <w:lvlJc w:val="left"/>
      <w:lvlText w:val="%1"/>
      <w:numFmt w:val="decimal"/>
      <w:start w:val="1"/>
    </w:lvl>
    <w:lvl w:ilvl="1">
      <w:lvlJc w:val="left"/>
      <w:lvlText w:val="(%2)"/>
      <w:numFmt w:val="lowerLetter"/>
      <w:start w:val="3"/>
    </w:lvl>
  </w:abstractNum>
  <w:abstractNum w:abstractNumId="83">
    <w:nsid w:val="26F2D364"/>
    <w:multiLevelType w:val="hybridMultilevel"/>
    <w:lvl w:ilvl="0">
      <w:lvlJc w:val="left"/>
      <w:lvlText w:val="%1."/>
      <w:numFmt w:val="decimal"/>
      <w:start w:val="5"/>
    </w:lvl>
    <w:lvl w:ilvl="1">
      <w:lvlJc w:val="left"/>
      <w:lvlText w:val="%2"/>
      <w:numFmt w:val="lowerLetter"/>
      <w:start w:val="1"/>
    </w:lvl>
  </w:abstractNum>
  <w:abstractNum w:abstractNumId="84">
    <w:nsid w:val="71C1AF98"/>
    <w:multiLevelType w:val="hybridMultilevel"/>
    <w:lvl w:ilvl="0">
      <w:lvlJc w:val="left"/>
      <w:lvlText w:val="%1."/>
      <w:numFmt w:val="decimal"/>
      <w:start w:val="6"/>
    </w:lvl>
    <w:lvl w:ilvl="1">
      <w:lvlJc w:val="left"/>
      <w:lvlText w:val="(%2)"/>
      <w:numFmt w:val="lowerLetter"/>
      <w:start w:val="1"/>
    </w:lvl>
  </w:abstractNum>
  <w:abstractNum w:abstractNumId="85">
    <w:nsid w:val="3D00B9D9"/>
    <w:multiLevelType w:val="hybridMultilevel"/>
    <w:lvl w:ilvl="0">
      <w:lvlJc w:val="left"/>
      <w:lvlText w:val="%1"/>
      <w:numFmt w:val="lowerLetter"/>
      <w:start w:val="1"/>
    </w:lvl>
    <w:lvl w:ilvl="1">
      <w:lvlJc w:val="left"/>
      <w:lvlText w:val="(%2)"/>
      <w:numFmt w:val="lowerLetter"/>
      <w:start w:val="4"/>
    </w:lvl>
  </w:abstractNum>
  <w:abstractNum w:abstractNumId="86">
    <w:nsid w:val="15BCABA8"/>
    <w:multiLevelType w:val="hybridMultilevel"/>
    <w:lvl w:ilvl="0">
      <w:lvlJc w:val="left"/>
      <w:lvlText w:val="(%1)"/>
      <w:numFmt w:val="lowerLetter"/>
      <w:start w:val="9"/>
    </w:lvl>
    <w:lvl w:ilvl="1">
      <w:lvlJc w:val="left"/>
      <w:lvlText w:val="%2"/>
      <w:numFmt w:val="lowerLetter"/>
      <w:start w:val="1"/>
    </w:lvl>
  </w:abstractNum>
  <w:abstractNum w:abstractNumId="87">
    <w:nsid w:val="4E0B9A87"/>
    <w:multiLevelType w:val="hybridMultilevel"/>
    <w:lvl w:ilvl="0">
      <w:lvlJc w:val="left"/>
      <w:lvlText w:val="%1."/>
      <w:numFmt w:val="decimal"/>
      <w:start w:val="8"/>
    </w:lvl>
  </w:abstractNum>
  <w:abstractNum w:abstractNumId="88">
    <w:nsid w:val="434BAE75"/>
    <w:multiLevelType w:val="hybridMultilevel"/>
    <w:lvl w:ilvl="0">
      <w:lvlJc w:val="left"/>
      <w:lvlText w:val="%1."/>
      <w:numFmt w:val="decimal"/>
      <w:start w:val="11"/>
    </w:lvl>
  </w:abstractNum>
  <w:abstractNum w:abstractNumId="89">
    <w:nsid w:val="4F38F265"/>
    <w:multiLevelType w:val="hybridMultilevel"/>
    <w:lvl w:ilvl="0">
      <w:lvlJc w:val="left"/>
      <w:lvlText w:val="%1."/>
      <w:numFmt w:val="decimal"/>
      <w:start w:val="14"/>
    </w:lvl>
    <w:lvl w:ilvl="1">
      <w:lvlJc w:val="left"/>
      <w:lvlText w:val="(%2)"/>
      <w:numFmt w:val="lowerLetter"/>
      <w:start w:val="1"/>
    </w:lvl>
  </w:abstractNum>
  <w:abstractNum w:abstractNumId="90">
    <w:nsid w:val="4C502870"/>
    <w:multiLevelType w:val="hybridMultilevel"/>
    <w:lvl w:ilvl="0">
      <w:lvlJc w:val="left"/>
      <w:lvlText w:val="(%1)"/>
      <w:numFmt w:val="lowerLetter"/>
      <w:start w:val="2"/>
    </w:lvl>
  </w:abstractNum>
  <w:abstractNum w:abstractNumId="91">
    <w:nsid w:val="1DE8725A"/>
    <w:multiLevelType w:val="hybridMultilevel"/>
    <w:lvl w:ilvl="0">
      <w:lvlJc w:val="left"/>
      <w:lvlText w:val="(%1)"/>
      <w:numFmt w:val="lowerLetter"/>
      <w:start w:val="6"/>
    </w:lvl>
  </w:abstractNum>
  <w:abstractNum w:abstractNumId="92">
    <w:nsid w:val="6A37288A"/>
    <w:multiLevelType w:val="hybridMultilevel"/>
    <w:lvl w:ilvl="0">
      <w:lvlJc w:val="left"/>
      <w:lvlText w:val="(%1)"/>
      <w:numFmt w:val="lowerLetter"/>
      <w:start w:val="11"/>
    </w:lvl>
  </w:abstractNum>
  <w:abstractNum w:abstractNumId="93">
    <w:nsid w:val="8F8B73F"/>
    <w:multiLevelType w:val="hybridMultilevel"/>
    <w:lvl w:ilvl="0">
      <w:lvlJc w:val="left"/>
      <w:lvlText w:val="(%1)"/>
      <w:numFmt w:val="lowerLetter"/>
      <w:start w:val="20"/>
    </w:lvl>
  </w:abstractNum>
  <w:abstractNum w:abstractNumId="94">
    <w:nsid w:val="CA6B462"/>
    <w:multiLevelType w:val="hybridMultilevel"/>
    <w:lvl w:ilvl="0">
      <w:lvlJc w:val="left"/>
      <w:lvlText w:val="%1."/>
      <w:numFmt w:val="decimal"/>
      <w:start w:val="2"/>
    </w:lvl>
  </w:abstractNum>
  <w:abstractNum w:abstractNumId="95">
    <w:nsid w:val="763CB680"/>
    <w:multiLevelType w:val="hybridMultilevel"/>
    <w:lvl w:ilvl="0">
      <w:lvlJc w:val="left"/>
      <w:lvlText w:val="%1."/>
      <w:numFmt w:val="decimal"/>
      <w:start w:val="1"/>
    </w:lvl>
    <w:lvl w:ilvl="1">
      <w:lvlJc w:val="left"/>
      <w:lvlText w:val="(%2)"/>
      <w:numFmt w:val="lowerLetter"/>
      <w:start w:val="1"/>
    </w:lvl>
  </w:abstractNum>
  <w:abstractNum w:abstractNumId="96">
    <w:nsid w:val="15B71329"/>
    <w:multiLevelType w:val="hybridMultilevel"/>
    <w:lvl w:ilvl="0">
      <w:lvlJc w:val="left"/>
      <w:lvlText w:val="(%1)"/>
      <w:numFmt w:val="upperLetter"/>
      <w:start w:val="25"/>
    </w:lvl>
    <w:lvl w:ilvl="1">
      <w:lvlJc w:val="left"/>
      <w:lvlText w:val="(%2)"/>
      <w:numFmt w:val="lowerLetter"/>
      <w:start w:val="2"/>
    </w:lvl>
  </w:abstractNum>
  <w:abstractNum w:abstractNumId="97">
    <w:nsid w:val="3DA97044"/>
    <w:multiLevelType w:val="hybridMultilevel"/>
    <w:lvl w:ilvl="0">
      <w:lvlJc w:val="left"/>
      <w:lvlText w:val="(%1)"/>
      <w:numFmt w:val="lowerLetter"/>
      <w:start w:val="4"/>
    </w:lvl>
  </w:abstractNum>
  <w:abstractNum w:abstractNumId="98">
    <w:nsid w:val="1CDCE2DE"/>
    <w:multiLevelType w:val="hybridMultilevel"/>
    <w:lvl w:ilvl="0">
      <w:lvlJc w:val="left"/>
      <w:lvlText w:val="(%1)"/>
      <w:numFmt w:val="lowerLetter"/>
      <w:start w:val="5"/>
    </w:lvl>
  </w:abstractNum>
  <w:abstractNum w:abstractNumId="99">
    <w:nsid w:val="69D3947C"/>
    <w:multiLevelType w:val="hybridMultilevel"/>
    <w:lvl w:ilvl="0">
      <w:lvlJc w:val="left"/>
      <w:lvlText w:val="%1"/>
      <w:numFmt w:val="decimal"/>
      <w:start w:val="1"/>
    </w:lvl>
    <w:lvl w:ilvl="1">
      <w:lvlJc w:val="left"/>
      <w:lvlText w:val="(%2)"/>
      <w:numFmt w:val="lowerLetter"/>
      <w:start w:val="7"/>
    </w:lvl>
  </w:abstractNum>
  <w:abstractNum w:abstractNumId="100">
    <w:nsid w:val="2539DFA5"/>
    <w:multiLevelType w:val="hybridMultilevel"/>
    <w:lvl w:ilvl="0">
      <w:lvlJc w:val="left"/>
      <w:lvlText w:val="%1."/>
      <w:numFmt w:val="decimal"/>
      <w:start w:val="2"/>
    </w:lvl>
    <w:lvl w:ilvl="1">
      <w:lvlJc w:val="left"/>
      <w:lvlText w:val="%2"/>
      <w:numFmt w:val="lowerLetter"/>
      <w:start w:val="1"/>
    </w:lvl>
  </w:abstractNum>
  <w:abstractNum w:abstractNumId="101">
    <w:nsid w:val="2DB88089"/>
    <w:multiLevelType w:val="hybridMultilevel"/>
    <w:lvl w:ilvl="0">
      <w:lvlJc w:val="left"/>
      <w:lvlText w:val="(%1)"/>
      <w:numFmt w:val="lowerLetter"/>
      <w:start w:val="1"/>
    </w:lvl>
  </w:abstractNum>
  <w:abstractNum w:abstractNumId="102">
    <w:nsid w:val="706B674E"/>
    <w:multiLevelType w:val="hybridMultilevel"/>
    <w:lvl w:ilvl="0">
      <w:lvlJc w:val="left"/>
      <w:lvlText w:val="%1."/>
      <w:numFmt w:val="decimal"/>
      <w:start w:val="3"/>
    </w:lvl>
    <w:lvl w:ilvl="1">
      <w:lvlJc w:val="left"/>
      <w:lvlText w:val="(%2)"/>
      <w:numFmt w:val="lowerLetter"/>
      <w:start w:val="1"/>
    </w:lvl>
  </w:abstractNum>
  <w:abstractNum w:abstractNumId="103">
    <w:nsid w:val="2C106A57"/>
    <w:multiLevelType w:val="hybridMultilevel"/>
    <w:lvl w:ilvl="0">
      <w:lvlJc w:val="left"/>
      <w:lvlText w:val="(%1)"/>
      <w:numFmt w:val="lowerLetter"/>
      <w:start w:val="2"/>
    </w:lvl>
  </w:abstractNum>
  <w:abstractNum w:abstractNumId="104">
    <w:nsid w:val="684EED59"/>
    <w:multiLevelType w:val="hybridMultilevel"/>
    <w:lvl w:ilvl="0">
      <w:lvlJc w:val="left"/>
      <w:lvlText w:val="%1"/>
      <w:numFmt w:val="lowerLetter"/>
      <w:start w:val="1"/>
    </w:lvl>
    <w:lvl w:ilvl="1">
      <w:lvlJc w:val="left"/>
      <w:lvlText w:val="(%2)"/>
      <w:numFmt w:val="lowerLetter"/>
      <w:start w:val="3"/>
    </w:lvl>
  </w:abstractNum>
  <w:abstractNum w:abstractNumId="105">
    <w:nsid w:val="545EE5D3"/>
    <w:multiLevelType w:val="hybridMultilevel"/>
    <w:lvl w:ilvl="0">
      <w:lvlJc w:val="left"/>
      <w:lvlText w:val="(%1)"/>
      <w:numFmt w:val="lowerLetter"/>
      <w:start w:val="26"/>
    </w:lvl>
    <w:lvl w:ilvl="1">
      <w:lvlJc w:val="left"/>
      <w:lvlText w:val="(%2)"/>
      <w:numFmt w:val="lowerLetter"/>
      <w:start w:val="4"/>
    </w:lvl>
  </w:abstractNum>
  <w:abstractNum w:abstractNumId="106">
    <w:nsid w:val="4A66051"/>
    <w:multiLevelType w:val="hybridMultilevel"/>
    <w:lvl w:ilvl="0">
      <w:lvlJc w:val="left"/>
      <w:lvlText w:val="%1."/>
      <w:numFmt w:val="decimal"/>
      <w:start w:val="5"/>
    </w:lvl>
  </w:abstractNum>
  <w:abstractNum w:abstractNumId="107">
    <w:nsid w:val="20F4BDAD"/>
    <w:multiLevelType w:val="hybridMultilevel"/>
    <w:lvl w:ilvl="0">
      <w:lvlJc w:val="left"/>
      <w:lvlText w:val="%1."/>
      <w:numFmt w:val="decimal"/>
      <w:start w:val="7"/>
    </w:lvl>
    <w:lvl w:ilvl="1">
      <w:lvlJc w:val="left"/>
      <w:lvlText w:val="(%2)"/>
      <w:numFmt w:val="lowerLetter"/>
      <w:start w:val="1"/>
    </w:lvl>
  </w:abstractNum>
  <w:abstractNum w:abstractNumId="108">
    <w:nsid w:val="639DEFAC"/>
    <w:multiLevelType w:val="hybridMultilevel"/>
    <w:lvl w:ilvl="0">
      <w:lvlJc w:val="left"/>
      <w:lvlText w:val="%1."/>
      <w:numFmt w:val="decimal"/>
      <w:start w:val="8"/>
    </w:lvl>
  </w:abstractNum>
  <w:abstractNum w:abstractNumId="109">
    <w:nsid w:val="501F9786"/>
    <w:multiLevelType w:val="hybridMultilevel"/>
    <w:lvl w:ilvl="0">
      <w:lvlJc w:val="left"/>
      <w:lvlText w:val="%1."/>
      <w:numFmt w:val="decimal"/>
      <w:start w:val="11"/>
    </w:lvl>
  </w:abstractNum>
  <w:abstractNum w:abstractNumId="110">
    <w:nsid w:val="6B057295"/>
    <w:multiLevelType w:val="hybridMultilevel"/>
    <w:lvl w:ilvl="0">
      <w:lvlJc w:val="left"/>
      <w:lvlText w:val="%1."/>
      <w:numFmt w:val="decimal"/>
      <w:start w:val="14"/>
    </w:lvl>
    <w:lvl w:ilvl="1">
      <w:lvlJc w:val="left"/>
      <w:lvlText w:val="(%2)"/>
      <w:numFmt w:val="lowerLetter"/>
      <w:start w:val="1"/>
    </w:lvl>
  </w:abstractNum>
  <w:abstractNum w:abstractNumId="111">
    <w:nsid w:val="2771AC80"/>
    <w:multiLevelType w:val="hybridMultilevel"/>
    <w:lvl w:ilvl="0">
      <w:lvlJc w:val="left"/>
      <w:lvlText w:val="(%1)"/>
      <w:numFmt w:val="lowerLetter"/>
      <w:start w:val="2"/>
    </w:lvl>
  </w:abstractNum>
  <w:abstractNum w:abstractNumId="112">
    <w:nsid w:val="1C4A08EC"/>
    <w:multiLevelType w:val="hybridMultilevel"/>
    <w:lvl w:ilvl="0">
      <w:lvlJc w:val="left"/>
      <w:lvlText w:val="(%1)"/>
      <w:numFmt w:val="lowerLetter"/>
      <w:start w:val="6"/>
    </w:lvl>
  </w:abstractNum>
  <w:abstractNum w:abstractNumId="113">
    <w:nsid w:val="1958BD17"/>
    <w:multiLevelType w:val="hybridMultilevel"/>
    <w:lvl w:ilvl="0">
      <w:lvlJc w:val="left"/>
      <w:lvlText w:val="(%1)"/>
      <w:numFmt w:val="lowerLetter"/>
      <w:start w:val="11"/>
    </w:lvl>
  </w:abstractNum>
  <w:abstractNum w:abstractNumId="114">
    <w:nsid w:val="4E647FE4"/>
    <w:multiLevelType w:val="hybridMultilevel"/>
    <w:lvl w:ilvl="0">
      <w:lvlJc w:val="left"/>
      <w:lvlText w:val="(%1)"/>
      <w:numFmt w:val="lowerLetter"/>
      <w:start w:val="20"/>
    </w:lvl>
  </w:abstractNum>
  <w:abstractNum w:abstractNumId="115">
    <w:nsid w:val="E0BB885"/>
    <w:multiLevelType w:val="hybridMultilevel"/>
    <w:lvl w:ilvl="0">
      <w:lvlJc w:val="left"/>
      <w:lvlText w:val="%1."/>
      <w:numFmt w:val="decimal"/>
      <w:start w:val="2"/>
    </w:lvl>
  </w:abstractNum>
  <w:abstractNum w:abstractNumId="116">
    <w:nsid w:val="565976F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4"/>
    </w:lvl>
  </w:abstractNum>
  <w:abstractNum w:abstractNumId="117">
    <w:nsid w:val="64212B8C"/>
    <w:multiLevelType w:val="hybridMultilevel"/>
    <w:lvl w:ilvl="0">
      <w:lvlJc w:val="left"/>
      <w:lvlText w:val="(%1)"/>
      <w:numFmt w:val="upperLetter"/>
      <w:start w:val="25"/>
    </w:lvl>
  </w:abstractNum>
  <w:abstractNum w:abstractNumId="118">
    <w:nsid w:val="5C17530C"/>
    <w:multiLevelType w:val="hybridMultilevel"/>
    <w:lvl w:ilvl="0">
      <w:lvlJc w:val="left"/>
      <w:lvlText w:val="%1"/>
      <w:numFmt w:val="lowerLetter"/>
      <w:start w:val="1"/>
    </w:lvl>
    <w:lvl w:ilvl="1">
      <w:lvlJc w:val="left"/>
      <w:lvlText w:val="(%2)"/>
      <w:numFmt w:val="lowerLetter"/>
      <w:start w:val="2"/>
    </w:lvl>
  </w:abstractNum>
  <w:abstractNum w:abstractNumId="119">
    <w:nsid w:val="19A52566"/>
    <w:multiLevelType w:val="hybridMultilevel"/>
    <w:lvl w:ilvl="0">
      <w:lvlJc w:val="left"/>
      <w:lvlText w:val="(%1)"/>
      <w:numFmt w:val="lowerLetter"/>
      <w:start w:val="35"/>
    </w:lvl>
    <w:lvl w:ilvl="1">
      <w:lvlJc w:val="left"/>
      <w:lvlText w:val="%2"/>
      <w:numFmt w:val="lowerLetter"/>
      <w:start w:val="1"/>
    </w:lvl>
  </w:abstractNum>
  <w:abstractNum w:abstractNumId="120">
    <w:nsid w:val="335A1DF1"/>
    <w:multiLevelType w:val="hybridMultilevel"/>
    <w:lvl w:ilvl="0">
      <w:lvlJc w:val="left"/>
      <w:lvlText w:val="(%1)"/>
      <w:numFmt w:val="lowerLetter"/>
      <w:start w:val="4"/>
    </w:lvl>
  </w:abstractNum>
  <w:abstractNum w:abstractNumId="121">
    <w:nsid w:val="28677B7C"/>
    <w:multiLevelType w:val="hybridMultilevel"/>
    <w:lvl w:ilvl="0">
      <w:lvlJc w:val="left"/>
      <w:lvlText w:val="(%1)"/>
      <w:numFmt w:val="lowerLetter"/>
      <w:start w:val="5"/>
    </w:lvl>
  </w:abstractNum>
  <w:abstractNum w:abstractNumId="122">
    <w:nsid w:val="378D97C0"/>
    <w:multiLevelType w:val="hybridMultilevel"/>
    <w:lvl w:ilvl="0">
      <w:lvlJc w:val="left"/>
      <w:lvlText w:val="%1"/>
      <w:numFmt w:val="decimal"/>
      <w:start w:val="1"/>
    </w:lvl>
    <w:lvl w:ilvl="1">
      <w:lvlJc w:val="left"/>
      <w:lvlText w:val="(%2)"/>
      <w:numFmt w:val="lowerLetter"/>
      <w:start w:val="7"/>
    </w:lvl>
  </w:abstractNum>
  <w:abstractNum w:abstractNumId="123">
    <w:nsid w:val="1D91467C"/>
    <w:multiLevelType w:val="hybridMultilevel"/>
    <w:lvl w:ilvl="0">
      <w:lvlJc w:val="left"/>
      <w:lvlText w:val="%1."/>
      <w:numFmt w:val="decimal"/>
      <w:start w:val="2"/>
    </w:lvl>
    <w:lvl w:ilvl="1">
      <w:lvlJc w:val="left"/>
      <w:lvlText w:val="(%2)"/>
      <w:numFmt w:val="lowerLetter"/>
      <w:start w:val="1"/>
    </w:lvl>
  </w:abstractNum>
  <w:abstractNum w:abstractNumId="124">
    <w:nsid w:val="316032BB"/>
    <w:multiLevelType w:val="hybridMultilevel"/>
    <w:lvl w:ilvl="0">
      <w:lvlJc w:val="left"/>
      <w:lvlText w:val="(%1)"/>
      <w:numFmt w:val="lowerLetter"/>
      <w:start w:val="2"/>
    </w:lvl>
    <w:lvl w:ilvl="1">
      <w:lvlJc w:val="left"/>
      <w:lvlText w:val="(%2)"/>
      <w:numFmt w:val="lowerLetter"/>
      <w:start w:val="9"/>
    </w:lvl>
  </w:abstractNum>
  <w:abstractNum w:abstractNumId="125">
    <w:nsid w:val="44344C22"/>
    <w:multiLevelType w:val="hybridMultilevel"/>
    <w:lvl w:ilvl="0">
      <w:lvlJc w:val="left"/>
      <w:lvlText w:val="(%1)"/>
      <w:numFmt w:val="lowerRoman"/>
      <w:start w:val="2"/>
    </w:lvl>
  </w:abstractNum>
  <w:abstractNum w:abstractNumId="126">
    <w:nsid w:val="13CDFCFC"/>
    <w:multiLevelType w:val="hybridMultilevel"/>
    <w:lvl w:ilvl="0">
      <w:lvlJc w:val="left"/>
      <w:lvlText w:val="(%1)"/>
      <w:numFmt w:val="lowerRoman"/>
      <w:start w:val="4"/>
    </w:lvl>
  </w:abstractNum>
  <w:abstractNum w:abstractNumId="127">
    <w:nsid w:val="471745E4"/>
    <w:multiLevelType w:val="hybridMultilevel"/>
    <w:lvl w:ilvl="0">
      <w:lvlJc w:val="left"/>
      <w:lvlText w:val="%1"/>
      <w:numFmt w:val="decimal"/>
      <w:start w:val="1"/>
    </w:lvl>
    <w:lvl w:ilvl="1">
      <w:lvlJc w:val="left"/>
      <w:lvlText w:val="(%2)"/>
      <w:numFmt w:val="lowerLetter"/>
      <w:start w:val="3"/>
    </w:lvl>
  </w:abstractNum>
  <w:abstractNum w:abstractNumId="128">
    <w:nsid w:val="1DDBC66"/>
    <w:multiLevelType w:val="hybridMultilevel"/>
    <w:lvl w:ilvl="0">
      <w:lvlJc w:val="left"/>
      <w:lvlText w:val="%1."/>
      <w:numFmt w:val="decimal"/>
      <w:start w:val="3"/>
    </w:lvl>
    <w:lvl w:ilvl="1">
      <w:lvlJc w:val="left"/>
      <w:lvlText w:val="%2"/>
      <w:numFmt w:val="lowerLetter"/>
      <w:start w:val="1"/>
    </w:lvl>
  </w:abstractNum>
  <w:abstractNum w:abstractNumId="129">
    <w:nsid w:val="30AADFDA"/>
    <w:multiLevelType w:val="hybridMultilevel"/>
    <w:lvl w:ilvl="0">
      <w:lvlJc w:val="left"/>
      <w:lvlText w:val="%1."/>
      <w:numFmt w:val="decimal"/>
      <w:start w:val="4"/>
    </w:lvl>
    <w:lvl w:ilvl="1">
      <w:lvlJc w:val="left"/>
      <w:lvlText w:val="(%2)"/>
      <w:numFmt w:val="lowerLetter"/>
      <w:start w:val="1"/>
    </w:lvl>
  </w:abstractNum>
  <w:abstractNum w:abstractNumId="130">
    <w:nsid w:val="30EADA61"/>
    <w:multiLevelType w:val="hybridMultilevel"/>
    <w:lvl w:ilvl="0">
      <w:lvlJc w:val="left"/>
      <w:lvlText w:val="%1"/>
      <w:numFmt w:val="lowerLetter"/>
      <w:start w:val="1"/>
    </w:lvl>
    <w:lvl w:ilvl="1">
      <w:lvlJc w:val="left"/>
      <w:lvlText w:val="(%2)"/>
      <w:numFmt w:val="lowerLetter"/>
      <w:start w:val="3"/>
    </w:lvl>
  </w:abstractNum>
  <w:abstractNum w:abstractNumId="131">
    <w:nsid w:val="27179C0B"/>
    <w:multiLevelType w:val="hybridMultilevel"/>
    <w:lvl w:ilvl="0">
      <w:lvlJc w:val="left"/>
      <w:lvlText w:val="(%1)"/>
      <w:numFmt w:val="lowerLetter"/>
      <w:start w:val="26"/>
    </w:lvl>
    <w:lvl w:ilvl="1">
      <w:lvlJc w:val="left"/>
      <w:lvlText w:val="(%2)"/>
      <w:numFmt w:val="lowerLetter"/>
      <w:start w:val="4"/>
    </w:lvl>
  </w:abstractNum>
  <w:abstractNum w:abstractNumId="132">
    <w:nsid w:val="5E636063"/>
    <w:multiLevelType w:val="hybridMultilevel"/>
    <w:lvl w:ilvl="0">
      <w:lvlJc w:val="left"/>
      <w:lvlText w:val="%1."/>
      <w:numFmt w:val="decimal"/>
      <w:start w:val="5"/>
    </w:lvl>
  </w:abstractNum>
  <w:abstractNum w:abstractNumId="133">
    <w:nsid w:val="215641AF"/>
    <w:multiLevelType w:val="hybridMultilevel"/>
    <w:lvl w:ilvl="0">
      <w:lvlJc w:val="left"/>
      <w:lvlText w:val="%1."/>
      <w:numFmt w:val="decimal"/>
      <w:start w:val="7"/>
    </w:lvl>
    <w:lvl w:ilvl="1">
      <w:lvlJc w:val="left"/>
      <w:lvlText w:val="(%2)"/>
      <w:numFmt w:val="lowerLetter"/>
      <w:start w:val="1"/>
    </w:lvl>
  </w:abstractNum>
  <w:abstractNum w:abstractNumId="134">
    <w:nsid w:val="53280662"/>
    <w:multiLevelType w:val="hybridMultilevel"/>
    <w:lvl w:ilvl="0">
      <w:lvlJc w:val="left"/>
      <w:lvlText w:val="%1."/>
      <w:numFmt w:val="decimal"/>
      <w:start w:val="8"/>
    </w:lvl>
  </w:abstractNum>
  <w:abstractNum w:abstractNumId="135">
    <w:nsid w:val="46B24DBC"/>
    <w:multiLevelType w:val="hybridMultilevel"/>
    <w:lvl w:ilvl="0">
      <w:lvlJc w:val="left"/>
      <w:lvlText w:val="%1."/>
      <w:numFmt w:val="decimal"/>
      <w:start w:val="11"/>
    </w:lvl>
  </w:abstractNum>
  <w:abstractNum w:abstractNumId="136">
    <w:nsid w:val="75B5278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7">
    <w:nsid w:val="57CE66B4"/>
    <w:multiLevelType w:val="hybridMultilevel"/>
    <w:lvl w:ilvl="0">
      <w:lvlJc w:val="left"/>
      <w:lvlText w:val="%1"/>
      <w:numFmt w:val="decimal"/>
      <w:start w:val="1"/>
    </w:lvl>
    <w:lvl w:ilvl="1">
      <w:lvlJc w:val="left"/>
      <w:lvlText w:val="%2)"/>
      <w:numFmt w:val="lowerLetter"/>
      <w:start w:val="2"/>
    </w:lvl>
  </w:abstractNum>
  <w:abstractNum w:abstractNumId="138">
    <w:nsid w:val="67A70B69"/>
    <w:multiLevelType w:val="hybridMultilevel"/>
    <w:lvl w:ilvl="0">
      <w:lvlJc w:val="left"/>
      <w:lvlText w:val="%1."/>
      <w:numFmt w:val="decimal"/>
      <w:start w:val="16"/>
    </w:lvl>
    <w:lvl w:ilvl="1">
      <w:lvlJc w:val="left"/>
      <w:lvlText w:val="%2"/>
      <w:numFmt w:val="lowerLetter"/>
      <w:start w:val="1"/>
    </w:lvl>
  </w:abstractNum>
  <w:abstractNum w:abstractNumId="139">
    <w:nsid w:val="5953172F"/>
    <w:multiLevelType w:val="hybridMultilevel"/>
    <w:lvl w:ilvl="0">
      <w:lvlJc w:val="left"/>
      <w:lvlText w:val="(%1)"/>
      <w:numFmt w:val="lowerLetter"/>
      <w:start w:val="1"/>
    </w:lvl>
  </w:abstractNum>
  <w:abstractNum w:abstractNumId="140">
    <w:nsid w:val="27EDFE3A"/>
    <w:multiLevelType w:val="hybridMultilevel"/>
    <w:lvl w:ilvl="0">
      <w:lvlJc w:val="left"/>
      <w:lvlText w:val="(%1)"/>
      <w:numFmt w:val="lowerLetter"/>
      <w:start w:val="2"/>
    </w:lvl>
  </w:abstractNum>
  <w:abstractNum w:abstractNumId="141">
    <w:nsid w:val="52AC7DFF"/>
    <w:multiLevelType w:val="hybridMultilevel"/>
    <w:lvl w:ilvl="0">
      <w:lvlJc w:val="left"/>
      <w:lvlText w:val="(%1)"/>
      <w:numFmt w:val="lowerLetter"/>
      <w:start w:val="6"/>
    </w:lvl>
  </w:abstractNum>
  <w:abstractNum w:abstractNumId="142">
    <w:nsid w:val="C4C3AF"/>
    <w:multiLevelType w:val="hybridMultilevel"/>
    <w:lvl w:ilvl="0">
      <w:lvlJc w:val="left"/>
      <w:lvlText w:val="(%1)"/>
      <w:numFmt w:val="lowerLetter"/>
      <w:start w:val="12"/>
    </w:lvl>
  </w:abstractNum>
  <w:abstractNum w:abstractNumId="143">
    <w:nsid w:val="44380727"/>
    <w:multiLevelType w:val="hybridMultilevel"/>
    <w:lvl w:ilvl="0">
      <w:lvlJc w:val="left"/>
      <w:lvlText w:val="(%1)"/>
      <w:numFmt w:val="lowerLetter"/>
      <w:start w:val="18"/>
    </w:lvl>
  </w:abstractNum>
  <w:abstractNum w:abstractNumId="144">
    <w:nsid w:val="6C053B16"/>
    <w:multiLevelType w:val="hybridMultilevel"/>
    <w:lvl w:ilvl="0">
      <w:lvlJc w:val="left"/>
      <w:lvlText w:val="%1."/>
      <w:numFmt w:val="decimal"/>
      <w:start w:val="1"/>
    </w:lvl>
  </w:abstractNum>
  <w:abstractNum w:abstractNumId="145">
    <w:nsid w:val="4F294393"/>
    <w:multiLevelType w:val="hybridMultilevel"/>
    <w:lvl w:ilvl="0">
      <w:lvlJc w:val="left"/>
      <w:lvlText w:val="%1."/>
      <w:numFmt w:val="decimal"/>
      <w:start w:val="2"/>
    </w:lvl>
  </w:abstractNum>
  <w:abstractNum w:abstractNumId="146">
    <w:nsid w:val="5243BFAC"/>
    <w:multiLevelType w:val="hybridMultilevel"/>
    <w:lvl w:ilvl="0">
      <w:lvlJc w:val="left"/>
      <w:lvlText w:val="%1."/>
      <w:numFmt w:val="decimal"/>
      <w:start w:val="3"/>
    </w:lvl>
  </w:abstractNum>
  <w:abstractNum w:abstractNumId="147">
    <w:nsid w:val="425EB20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4"/>
    </w:lvl>
  </w:abstractNum>
  <w:abstractNum w:abstractNumId="148">
    <w:nsid w:val="334A6F1F"/>
    <w:multiLevelType w:val="hybridMultilevel"/>
    <w:lvl w:ilvl="0">
      <w:lvlJc w:val="left"/>
      <w:lvlText w:val="(%1)"/>
      <w:numFmt w:val="upperLetter"/>
      <w:start w:val="25"/>
    </w:lvl>
  </w:abstractNum>
  <w:abstractNum w:abstractNumId="149">
    <w:nsid w:val="2E5B12B8"/>
    <w:multiLevelType w:val="hybridMultilevel"/>
    <w:lvl w:ilvl="0">
      <w:lvlJc w:val="left"/>
      <w:lvlText w:val="%1"/>
      <w:numFmt w:val="lowerLetter"/>
      <w:start w:val="1"/>
    </w:lvl>
    <w:lvl w:ilvl="1">
      <w:lvlJc w:val="left"/>
      <w:lvlText w:val="(%2)"/>
      <w:numFmt w:val="lowerLetter"/>
      <w:start w:val="2"/>
    </w:lvl>
  </w:abstractNum>
  <w:abstractNum w:abstractNumId="150">
    <w:nsid w:val="5C03D76D"/>
    <w:multiLevelType w:val="hybridMultilevel"/>
    <w:lvl w:ilvl="0">
      <w:lvlJc w:val="left"/>
      <w:lvlText w:val="(%1)"/>
      <w:numFmt w:val="lowerLetter"/>
      <w:start w:val="35"/>
    </w:lvl>
    <w:lvl w:ilvl="1">
      <w:lvlJc w:val="left"/>
      <w:lvlText w:val="%2"/>
      <w:numFmt w:val="lowerLetter"/>
      <w:start w:val="1"/>
    </w:lvl>
  </w:abstractNum>
  <w:abstractNum w:abstractNumId="151">
    <w:nsid w:val="66A48D11"/>
    <w:multiLevelType w:val="hybridMultilevel"/>
    <w:lvl w:ilvl="0">
      <w:lvlJc w:val="left"/>
      <w:lvlText w:val="(%1)"/>
      <w:numFmt w:val="lowerLetter"/>
      <w:start w:val="4"/>
    </w:lvl>
  </w:abstractNum>
  <w:abstractNum w:abstractNumId="152">
    <w:nsid w:val="56C28E34"/>
    <w:multiLevelType w:val="hybridMultilevel"/>
    <w:lvl w:ilvl="0">
      <w:lvlJc w:val="left"/>
      <w:lvlText w:val="(%1)"/>
      <w:numFmt w:val="lowerLetter"/>
      <w:start w:val="5"/>
    </w:lvl>
  </w:abstractNum>
  <w:abstractNum w:abstractNumId="153">
    <w:nsid w:val="13916F2D"/>
    <w:multiLevelType w:val="hybridMultilevel"/>
    <w:lvl w:ilvl="0">
      <w:lvlJc w:val="left"/>
      <w:lvlText w:val="%1"/>
      <w:numFmt w:val="decimal"/>
      <w:start w:val="1"/>
    </w:lvl>
    <w:lvl w:ilvl="1">
      <w:lvlJc w:val="left"/>
      <w:lvlText w:val="(%2)"/>
      <w:numFmt w:val="lowerLetter"/>
      <w:start w:val="7"/>
    </w:lvl>
  </w:abstractNum>
  <w:abstractNum w:abstractNumId="154">
    <w:nsid w:val="435D38D"/>
    <w:multiLevelType w:val="hybridMultilevel"/>
    <w:lvl w:ilvl="0">
      <w:lvlJc w:val="left"/>
      <w:lvlText w:val="%1."/>
      <w:numFmt w:val="decimal"/>
      <w:start w:val="2"/>
    </w:lvl>
    <w:lvl w:ilvl="1">
      <w:lvlJc w:val="left"/>
      <w:lvlText w:val="(%2)"/>
      <w:numFmt w:val="lowerLetter"/>
      <w:start w:val="1"/>
    </w:lvl>
  </w:abstractNum>
  <w:abstractNum w:abstractNumId="155">
    <w:nsid w:val="822C0EF"/>
    <w:multiLevelType w:val="hybridMultilevel"/>
    <w:lvl w:ilvl="0">
      <w:lvlJc w:val="left"/>
      <w:lvlText w:val="%1"/>
      <w:numFmt w:val="decimal"/>
      <w:start w:val="1"/>
    </w:lvl>
    <w:lvl w:ilvl="1">
      <w:lvlJc w:val="left"/>
      <w:lvlText w:val="(%2)"/>
      <w:numFmt w:val="lowerLetter"/>
      <w:start w:val="2"/>
    </w:lvl>
  </w:abstractNum>
  <w:abstractNum w:abstractNumId="156">
    <w:nsid w:val="57C5BB4F"/>
    <w:multiLevelType w:val="hybridMultilevel"/>
    <w:lvl w:ilvl="0">
      <w:lvlJc w:val="left"/>
      <w:lvlText w:val="%1."/>
      <w:numFmt w:val="decimal"/>
      <w:start w:val="3"/>
    </w:lvl>
    <w:lvl w:ilvl="1">
      <w:lvlJc w:val="left"/>
      <w:lvlText w:val="%2"/>
      <w:numFmt w:val="lowerLetter"/>
      <w:start w:val="1"/>
    </w:lvl>
  </w:abstractNum>
  <w:abstractNum w:abstractNumId="157">
    <w:nsid w:val="1803D089"/>
    <w:multiLevelType w:val="hybridMultilevel"/>
    <w:lvl w:ilvl="0">
      <w:lvlJc w:val="left"/>
      <w:lvlText w:val="%1."/>
      <w:numFmt w:val="decimal"/>
      <w:start w:val="4"/>
    </w:lvl>
    <w:lvl w:ilvl="1">
      <w:lvlJc w:val="left"/>
      <w:lvlText w:val="(%2)"/>
      <w:numFmt w:val="lowerLetter"/>
      <w:start w:val="1"/>
    </w:lvl>
  </w:abstractNum>
  <w:abstractNum w:abstractNumId="158">
    <w:nsid w:val="4F3A06D4"/>
    <w:multiLevelType w:val="hybridMultilevel"/>
    <w:lvl w:ilvl="0">
      <w:lvlJc w:val="left"/>
      <w:lvlText w:val="%1"/>
      <w:numFmt w:val="decimal"/>
      <w:start w:val="1"/>
    </w:lvl>
    <w:lvl w:ilvl="1">
      <w:lvlJc w:val="left"/>
      <w:lvlText w:val="(%2)"/>
      <w:numFmt w:val="lowerLetter"/>
      <w:start w:val="3"/>
    </w:lvl>
  </w:abstractNum>
  <w:abstractNum w:abstractNumId="159">
    <w:nsid w:val="59A377B6"/>
    <w:multiLevelType w:val="hybridMultilevel"/>
    <w:lvl w:ilvl="0">
      <w:lvlJc w:val="left"/>
      <w:lvlText w:val="%1."/>
      <w:numFmt w:val="decimal"/>
      <w:start w:val="5"/>
    </w:lvl>
    <w:lvl w:ilvl="1">
      <w:lvlJc w:val="left"/>
      <w:lvlText w:val="(%2)"/>
      <w:numFmt w:val="lowerLetter"/>
      <w:start w:val="1"/>
    </w:lvl>
  </w:abstractNum>
  <w:abstractNum w:abstractNumId="160">
    <w:nsid w:val="48AEB063"/>
    <w:multiLevelType w:val="hybridMultilevel"/>
    <w:lvl w:ilvl="0">
      <w:lvlJc w:val="left"/>
      <w:lvlText w:val="%1"/>
      <w:numFmt w:val="decimal"/>
      <w:start w:val="1"/>
    </w:lvl>
    <w:lvl w:ilvl="1">
      <w:lvlJc w:val="left"/>
      <w:lvlText w:val="(%2)"/>
      <w:numFmt w:val="lowerLetter"/>
      <w:start w:val="2"/>
    </w:lvl>
  </w:abstractNum>
  <w:abstractNum w:abstractNumId="161">
    <w:nsid w:val="24E135"/>
    <w:multiLevelType w:val="hybridMultilevel"/>
    <w:lvl w:ilvl="0">
      <w:lvlJc w:val="left"/>
      <w:lvlText w:val="%1."/>
      <w:numFmt w:val="decimal"/>
      <w:start w:val="6"/>
    </w:lvl>
    <w:lvl w:ilvl="1">
      <w:lvlJc w:val="left"/>
      <w:lvlText w:val="%2"/>
      <w:numFmt w:val="lowerLetter"/>
      <w:start w:val="1"/>
    </w:lvl>
  </w:abstractNum>
  <w:abstractNum w:abstractNumId="162">
    <w:nsid w:val="BB13C1"/>
    <w:multiLevelType w:val="hybridMultilevel"/>
    <w:lvl w:ilvl="0">
      <w:lvlJc w:val="left"/>
      <w:lvlText w:val="%1."/>
      <w:numFmt w:val="decimal"/>
      <w:start w:val="8"/>
    </w:lvl>
    <w:lvl w:ilvl="1">
      <w:lvlJc w:val="left"/>
      <w:lvlText w:val="(%2)"/>
      <w:numFmt w:val="lowerLetter"/>
      <w:start w:val="1"/>
    </w:lvl>
  </w:abstractNum>
  <w:abstractNum w:abstractNumId="163">
    <w:nsid w:val="271210C7"/>
    <w:multiLevelType w:val="hybridMultilevel"/>
    <w:lvl w:ilvl="0">
      <w:lvlJc w:val="left"/>
      <w:lvlText w:val="%1."/>
      <w:numFmt w:val="decimal"/>
      <w:start w:val="9"/>
    </w:lvl>
  </w:abstractNum>
  <w:abstractNum w:abstractNumId="164">
    <w:nsid w:val="217B22E4"/>
    <w:multiLevelType w:val="hybridMultilevel"/>
    <w:lvl w:ilvl="0">
      <w:lvlJc w:val="left"/>
      <w:lvlText w:val="%1."/>
      <w:numFmt w:val="decimal"/>
      <w:start w:val="12"/>
    </w:lvl>
  </w:abstractNum>
  <w:abstractNum w:abstractNumId="165">
    <w:nsid w:val="53E31A2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66">
    <w:nsid w:val="6DC45E83"/>
    <w:multiLevelType w:val="hybridMultilevel"/>
    <w:lvl w:ilvl="0">
      <w:lvlJc w:val="left"/>
      <w:lvlText w:val="%1"/>
      <w:numFmt w:val="decimal"/>
      <w:start w:val="1"/>
    </w:lvl>
    <w:lvl w:ilvl="1">
      <w:lvlJc w:val="left"/>
      <w:lvlText w:val="%2)"/>
      <w:numFmt w:val="lowerLetter"/>
      <w:start w:val="2"/>
    </w:lvl>
  </w:abstractNum>
  <w:abstractNum w:abstractNumId="167">
    <w:nsid w:val="17304A67"/>
    <w:multiLevelType w:val="hybridMultilevel"/>
    <w:lvl w:ilvl="0">
      <w:lvlJc w:val="left"/>
      <w:lvlText w:val="%1."/>
      <w:numFmt w:val="decimal"/>
      <w:start w:val="17"/>
    </w:lvl>
    <w:lvl w:ilvl="1">
      <w:lvlJc w:val="left"/>
      <w:lvlText w:val="%2"/>
      <w:numFmt w:val="lowerLetter"/>
      <w:start w:val="1"/>
    </w:lvl>
  </w:abstractNum>
  <w:abstractNum w:abstractNumId="168">
    <w:nsid w:val="2BB180D8"/>
    <w:multiLevelType w:val="hybridMultilevel"/>
    <w:lvl w:ilvl="0">
      <w:lvlJc w:val="left"/>
      <w:lvlText w:val="(%1)"/>
      <w:numFmt w:val="lowerLetter"/>
      <w:start w:val="1"/>
    </w:lvl>
  </w:abstractNum>
  <w:abstractNum w:abstractNumId="169">
    <w:nsid w:val="556B69ED"/>
    <w:multiLevelType w:val="hybridMultilevel"/>
    <w:lvl w:ilvl="0">
      <w:lvlJc w:val="left"/>
      <w:lvlText w:val="(%1)"/>
      <w:numFmt w:val="lowerLetter"/>
      <w:start w:val="2"/>
    </w:lvl>
  </w:abstractNum>
  <w:abstractNum w:abstractNumId="170">
    <w:nsid w:val="70836196"/>
    <w:multiLevelType w:val="hybridMultilevel"/>
    <w:lvl w:ilvl="0">
      <w:lvlJc w:val="left"/>
      <w:lvlText w:val="(%1)"/>
      <w:numFmt w:val="lowerLetter"/>
      <w:start w:val="9"/>
    </w:lvl>
  </w:abstractNum>
  <w:abstractNum w:abstractNumId="171">
    <w:nsid w:val="539F7F12"/>
    <w:multiLevelType w:val="hybridMultilevel"/>
    <w:lvl w:ilvl="0">
      <w:lvlJc w:val="left"/>
      <w:lvlText w:val="(%1)"/>
      <w:numFmt w:val="lowerLetter"/>
      <w:start w:val="15"/>
    </w:lvl>
  </w:abstractNum>
  <w:abstractNum w:abstractNumId="172">
    <w:nsid w:val="2817E7EC"/>
    <w:multiLevelType w:val="hybridMultilevel"/>
    <w:lvl w:ilvl="0">
      <w:lvlJc w:val="left"/>
      <w:lvlText w:val="%1."/>
      <w:numFmt w:val="decimal"/>
      <w:start w:val="1"/>
    </w:lvl>
  </w:abstractNum>
  <w:abstractNum w:abstractNumId="173">
    <w:nsid w:val="71482545"/>
    <w:multiLevelType w:val="hybridMultilevel"/>
    <w:lvl w:ilvl="0">
      <w:lvlJc w:val="left"/>
      <w:lvlText w:val="%1."/>
      <w:numFmt w:val="decimal"/>
      <w:start w:val="2"/>
    </w:lvl>
  </w:abstractNum>
  <w:abstractNum w:abstractNumId="174">
    <w:nsid w:val="17D78639"/>
    <w:multiLevelType w:val="hybridMultilevel"/>
    <w:lvl w:ilvl="0">
      <w:lvlJc w:val="left"/>
      <w:lvlText w:val="%1."/>
      <w:numFmt w:val="decimal"/>
      <w:start w:val="1"/>
    </w:lvl>
    <w:lvl w:ilvl="1">
      <w:lvlJc w:val="left"/>
      <w:lvlText w:val="(%2)"/>
      <w:numFmt w:val="lowerLetter"/>
      <w:start w:val="1"/>
    </w:lvl>
  </w:abstractNum>
  <w:abstractNum w:abstractNumId="175">
    <w:nsid w:val="141D2302"/>
    <w:multiLevelType w:val="hybridMultilevel"/>
    <w:lvl w:ilvl="0">
      <w:lvlJc w:val="left"/>
      <w:lvlText w:val="(%1)"/>
      <w:numFmt w:val="upperLetter"/>
      <w:start w:val="24"/>
    </w:lvl>
  </w:abstractNum>
  <w:abstractNum w:abstractNumId="176">
    <w:nsid w:val="407168D8"/>
    <w:multiLevelType w:val="hybridMultilevel"/>
    <w:lvl w:ilvl="0">
      <w:lvlJc w:val="left"/>
      <w:lvlText w:val="%1"/>
      <w:numFmt w:val="lowerLetter"/>
      <w:start w:val="1"/>
    </w:lvl>
    <w:lvl w:ilvl="1">
      <w:lvlJc w:val="left"/>
      <w:lvlText w:val="(%2)"/>
      <w:numFmt w:val="lowerLetter"/>
      <w:start w:val="2"/>
    </w:lvl>
  </w:abstractNum>
  <w:abstractNum w:abstractNumId="177">
    <w:nsid w:val="6A1B45E5"/>
    <w:multiLevelType w:val="hybridMultilevel"/>
    <w:lvl w:ilvl="0">
      <w:lvlJc w:val="left"/>
      <w:lvlText w:val="(%1)"/>
      <w:numFmt w:val="lowerLetter"/>
      <w:start w:val="35"/>
    </w:lvl>
    <w:lvl w:ilvl="1">
      <w:lvlJc w:val="left"/>
      <w:lvlText w:val="%2"/>
      <w:numFmt w:val="lowerLetter"/>
      <w:start w:val="1"/>
    </w:lvl>
  </w:abstractNum>
  <w:abstractNum w:abstractNumId="178">
    <w:nsid w:val="567BD50A"/>
    <w:multiLevelType w:val="hybridMultilevel"/>
    <w:lvl w:ilvl="0">
      <w:lvlJc w:val="left"/>
      <w:lvlText w:val="(%1)"/>
      <w:numFmt w:val="lowerLetter"/>
      <w:start w:val="4"/>
    </w:lvl>
  </w:abstractNum>
  <w:abstractNum w:abstractNumId="179">
    <w:nsid w:val="73BBD7F8"/>
    <w:multiLevelType w:val="hybridMultilevel"/>
    <w:lvl w:ilvl="0">
      <w:lvlJc w:val="left"/>
      <w:lvlText w:val="(%1)"/>
      <w:numFmt w:val="lowerLetter"/>
      <w:start w:val="5"/>
    </w:lvl>
  </w:abstractNum>
  <w:abstractNum w:abstractNumId="180">
    <w:nsid w:val="1876589D"/>
    <w:multiLevelType w:val="hybridMultilevel"/>
    <w:lvl w:ilvl="0">
      <w:lvlJc w:val="left"/>
      <w:lvlText w:val="%1"/>
      <w:numFmt w:val="decimal"/>
      <w:start w:val="1"/>
    </w:lvl>
    <w:lvl w:ilvl="1">
      <w:lvlJc w:val="left"/>
      <w:lvlText w:val="(%2)"/>
      <w:numFmt w:val="lowerLetter"/>
      <w:start w:val="7"/>
    </w:lvl>
  </w:abstractNum>
  <w:abstractNum w:abstractNumId="181">
    <w:nsid w:val="327FAC77"/>
    <w:multiLevelType w:val="hybridMultilevel"/>
    <w:lvl w:ilvl="0">
      <w:lvlJc w:val="left"/>
      <w:lvlText w:val="%1."/>
      <w:numFmt w:val="decimal"/>
      <w:start w:val="2"/>
    </w:lvl>
    <w:lvl w:ilvl="1">
      <w:lvlJc w:val="left"/>
      <w:lvlText w:val="(%2)"/>
      <w:numFmt w:val="lowerLetter"/>
      <w:start w:val="1"/>
    </w:lvl>
  </w:abstractNum>
  <w:abstractNum w:abstractNumId="182">
    <w:nsid w:val="5A606509"/>
    <w:multiLevelType w:val="hybridMultilevel"/>
    <w:lvl w:ilvl="0">
      <w:lvlJc w:val="left"/>
      <w:lvlText w:val="%1"/>
      <w:numFmt w:val="lowerLetter"/>
      <w:start w:val="1"/>
    </w:lvl>
    <w:lvl w:ilvl="1">
      <w:lvlJc w:val="left"/>
      <w:lvlText w:val="(%2)"/>
      <w:numFmt w:val="lowerLetter"/>
      <w:start w:val="2"/>
    </w:lvl>
  </w:abstractNum>
  <w:abstractNum w:abstractNumId="183">
    <w:nsid w:val="6F38E6D1"/>
    <w:multiLevelType w:val="hybridMultilevel"/>
    <w:lvl w:ilvl="0">
      <w:lvlJc w:val="left"/>
      <w:lvlText w:val="(%1)"/>
      <w:numFmt w:val="lowerLetter"/>
      <w:start w:val="4"/>
    </w:lvl>
    <w:lvl w:ilvl="1">
      <w:lvlJc w:val="left"/>
      <w:lvlText w:val="%2"/>
      <w:numFmt w:val="lowerLetter"/>
      <w:start w:val="1"/>
    </w:lvl>
  </w:abstractNum>
  <w:abstractNum w:abstractNumId="184">
    <w:nsid w:val="46111BA5"/>
    <w:multiLevelType w:val="hybridMultilevel"/>
    <w:lvl w:ilvl="0">
      <w:lvlJc w:val="left"/>
      <w:lvlText w:val="%1."/>
      <w:numFmt w:val="decimal"/>
      <w:start w:val="3"/>
    </w:lvl>
  </w:abstractNum>
  <w:abstractNum w:abstractNumId="185">
    <w:nsid w:val="5E963896"/>
    <w:multiLevelType w:val="hybridMultilevel"/>
    <w:lvl w:ilvl="0">
      <w:lvlJc w:val="left"/>
      <w:lvlText w:val="%1."/>
      <w:numFmt w:val="decimal"/>
      <w:start w:val="4"/>
    </w:lvl>
    <w:lvl w:ilvl="1">
      <w:lvlJc w:val="left"/>
      <w:lvlText w:val="(%2)"/>
      <w:numFmt w:val="lowerLetter"/>
      <w:start w:val="1"/>
    </w:lvl>
  </w:abstractNum>
  <w:abstractNum w:abstractNumId="186">
    <w:nsid w:val="775BA7C1"/>
    <w:multiLevelType w:val="hybridMultilevel"/>
    <w:lvl w:ilvl="0">
      <w:lvlJc w:val="left"/>
      <w:lvlText w:val="%1"/>
      <w:numFmt w:val="lowerLetter"/>
      <w:start w:val="1"/>
    </w:lvl>
    <w:lvl w:ilvl="1">
      <w:lvlJc w:val="left"/>
      <w:lvlText w:val="(%2)"/>
      <w:numFmt w:val="lowerLetter"/>
      <w:start w:val="3"/>
    </w:lvl>
  </w:abstractNum>
  <w:abstractNum w:abstractNumId="187">
    <w:nsid w:val="1DD6D6F4"/>
    <w:multiLevelType w:val="hybridMultilevel"/>
    <w:lvl w:ilvl="0">
      <w:lvlJc w:val="left"/>
      <w:lvlText w:val="(%1)"/>
      <w:numFmt w:val="lowerLetter"/>
      <w:start w:val="26"/>
    </w:lvl>
    <w:lvl w:ilvl="1">
      <w:lvlJc w:val="left"/>
      <w:lvlText w:val="(%2)"/>
      <w:numFmt w:val="lowerLetter"/>
      <w:start w:val="4"/>
    </w:lvl>
  </w:abstractNum>
  <w:abstractNum w:abstractNumId="188">
    <w:nsid w:val="769A091F"/>
    <w:multiLevelType w:val="hybridMultilevel"/>
    <w:lvl w:ilvl="0">
      <w:lvlJc w:val="left"/>
      <w:lvlText w:val="%1."/>
      <w:numFmt w:val="decimal"/>
      <w:start w:val="5"/>
    </w:lvl>
    <w:lvl w:ilvl="1">
      <w:lvlJc w:val="left"/>
      <w:lvlText w:val="(%2)"/>
      <w:numFmt w:val="lowerLetter"/>
      <w:start w:val="1"/>
    </w:lvl>
  </w:abstractNum>
  <w:abstractNum w:abstractNumId="189">
    <w:nsid w:val="4695AE95"/>
    <w:multiLevelType w:val="hybridMultilevel"/>
    <w:lvl w:ilvl="0">
      <w:lvlJc w:val="left"/>
      <w:lvlText w:val="%1."/>
      <w:numFmt w:val="decimal"/>
      <w:start w:val="7"/>
    </w:lvl>
    <w:lvl w:ilvl="1">
      <w:lvlJc w:val="left"/>
      <w:lvlText w:val="(%2)"/>
      <w:numFmt w:val="lowerLetter"/>
      <w:start w:val="1"/>
    </w:lvl>
  </w:abstractNum>
  <w:abstractNum w:abstractNumId="190">
    <w:nsid w:val="777A4EAA"/>
    <w:multiLevelType w:val="hybridMultilevel"/>
    <w:lvl w:ilvl="0">
      <w:lvlJc w:val="left"/>
      <w:lvlText w:val="%1"/>
      <w:numFmt w:val="lowerLetter"/>
      <w:start w:val="1"/>
    </w:lvl>
    <w:lvl w:ilvl="1">
      <w:lvlJc w:val="left"/>
      <w:lvlText w:val="(%2)"/>
      <w:numFmt w:val="lowerLetter"/>
      <w:start w:val="4"/>
    </w:lvl>
  </w:abstractNum>
  <w:abstractNum w:abstractNumId="191">
    <w:nsid w:val="3F48B982"/>
    <w:multiLevelType w:val="hybridMultilevel"/>
    <w:lvl w:ilvl="0">
      <w:lvlJc w:val="left"/>
      <w:lvlText w:val="(%1)"/>
      <w:numFmt w:val="lowerLetter"/>
      <w:start w:val="9"/>
    </w:lvl>
    <w:lvl w:ilvl="1">
      <w:lvlJc w:val="left"/>
      <w:lvlText w:val="%2"/>
      <w:numFmt w:val="lowerLetter"/>
      <w:start w:val="1"/>
    </w:lvl>
  </w:abstractNum>
  <w:abstractNum w:abstractNumId="192">
    <w:nsid w:val="46BA8FCA"/>
    <w:multiLevelType w:val="hybridMultilevel"/>
    <w:lvl w:ilvl="0">
      <w:lvlJc w:val="left"/>
      <w:lvlText w:val="%1."/>
      <w:numFmt w:val="decimal"/>
      <w:start w:val="9"/>
    </w:lvl>
  </w:abstractNum>
  <w:abstractNum w:abstractNumId="193">
    <w:nsid w:val="7835626C"/>
    <w:multiLevelType w:val="hybridMultilevel"/>
    <w:lvl w:ilvl="0">
      <w:lvlJc w:val="left"/>
      <w:lvlText w:val="%1."/>
      <w:numFmt w:val="decimal"/>
      <w:start w:val="12"/>
    </w:lvl>
  </w:abstractNum>
  <w:abstractNum w:abstractNumId="194">
    <w:nsid w:val="665ACA49"/>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95">
    <w:nsid w:val="6835B2AE"/>
    <w:multiLevelType w:val="hybridMultilevel"/>
    <w:lvl w:ilvl="0">
      <w:lvlJc w:val="left"/>
      <w:lvlText w:val="%1"/>
      <w:numFmt w:val="decimal"/>
      <w:start w:val="1"/>
    </w:lvl>
    <w:lvl w:ilvl="1">
      <w:lvlJc w:val="left"/>
      <w:lvlText w:val="%2)"/>
      <w:numFmt w:val="lowerLetter"/>
      <w:start w:val="2"/>
    </w:lvl>
  </w:abstractNum>
  <w:abstractNum w:abstractNumId="196">
    <w:nsid w:val="4C187C90"/>
    <w:multiLevelType w:val="hybridMultilevel"/>
    <w:lvl w:ilvl="0">
      <w:lvlJc w:val="left"/>
      <w:lvlText w:val="%1."/>
      <w:numFmt w:val="decimal"/>
      <w:start w:val="17"/>
    </w:lvl>
    <w:lvl w:ilvl="1">
      <w:lvlJc w:val="left"/>
      <w:lvlText w:val="%2"/>
      <w:numFmt w:val="lowerLetter"/>
      <w:start w:val="1"/>
    </w:lvl>
  </w:abstractNum>
  <w:abstractNum w:abstractNumId="197">
    <w:nsid w:val="541F28CD"/>
    <w:multiLevelType w:val="hybridMultilevel"/>
    <w:lvl w:ilvl="0">
      <w:lvlJc w:val="left"/>
      <w:lvlText w:val="(%1)"/>
      <w:numFmt w:val="lowerLetter"/>
      <w:start w:val="1"/>
    </w:lvl>
  </w:abstractNum>
  <w:abstractNum w:abstractNumId="198">
    <w:nsid w:val="7F65FD16"/>
    <w:multiLevelType w:val="hybridMultilevel"/>
    <w:lvl w:ilvl="0">
      <w:lvlJc w:val="left"/>
      <w:lvlText w:val="(%1)"/>
      <w:numFmt w:val="lowerLetter"/>
      <w:start w:val="2"/>
    </w:lvl>
  </w:abstractNum>
  <w:abstractNum w:abstractNumId="199">
    <w:nsid w:val="77C9FD68"/>
    <w:multiLevelType w:val="hybridMultilevel"/>
    <w:lvl w:ilvl="0">
      <w:lvlJc w:val="left"/>
      <w:lvlText w:val="(%1)"/>
      <w:numFmt w:val="lowerLetter"/>
      <w:start w:val="6"/>
    </w:lvl>
  </w:abstractNum>
  <w:abstractNum w:abstractNumId="200">
    <w:nsid w:val="298A92BA"/>
    <w:multiLevelType w:val="hybridMultilevel"/>
    <w:lvl w:ilvl="0">
      <w:lvlJc w:val="left"/>
      <w:lvlText w:val="(%1)"/>
      <w:numFmt w:val="lowerLetter"/>
      <w:start w:val="11"/>
    </w:lvl>
  </w:abstractNum>
  <w:abstractNum w:abstractNumId="201">
    <w:nsid w:val="6FE95EAC"/>
    <w:multiLevelType w:val="hybridMultilevel"/>
    <w:lvl w:ilvl="0">
      <w:lvlJc w:val="left"/>
      <w:lvlText w:val="(%1)"/>
      <w:numFmt w:val="lowerLetter"/>
      <w:start w:val="18"/>
    </w:lvl>
  </w:abstractNum>
  <w:abstractNum w:abstractNumId="202">
    <w:nsid w:val="4B697C7A"/>
    <w:multiLevelType w:val="hybridMultilevel"/>
    <w:lvl w:ilvl="0">
      <w:lvlJc w:val="left"/>
      <w:lvlText w:val="%1."/>
      <w:numFmt w:val="decimal"/>
      <w:start w:val="1"/>
    </w:lvl>
  </w:abstractNum>
  <w:abstractNum w:abstractNumId="203">
    <w:nsid w:val="51A27AA6"/>
    <w:multiLevelType w:val="hybridMultilevel"/>
    <w:lvl w:ilvl="0">
      <w:lvlJc w:val="left"/>
      <w:lvlText w:val="%1."/>
      <w:numFmt w:val="decimal"/>
      <w:start w:val="2"/>
    </w:lvl>
  </w:abstractNum>
  <w:abstractNum w:abstractNumId="204">
    <w:nsid w:val="613183F2"/>
    <w:multiLevelType w:val="hybridMultilevel"/>
    <w:lvl w:ilvl="0">
      <w:lvlJc w:val="left"/>
      <w:lvlText w:val="%1."/>
      <w:numFmt w:val="decimal"/>
      <w:start w:val="1"/>
    </w:lvl>
    <w:lvl w:ilvl="1">
      <w:lvlJc w:val="left"/>
      <w:lvlText w:val="(%2)"/>
      <w:numFmt w:val="lowerLetter"/>
      <w:start w:val="1"/>
    </w:lvl>
  </w:abstractNum>
  <w:abstractNum w:abstractNumId="205">
    <w:nsid w:val="634102B4"/>
    <w:multiLevelType w:val="hybridMultilevel"/>
    <w:lvl w:ilvl="0">
      <w:lvlJc w:val="left"/>
      <w:lvlText w:val="(%1)"/>
      <w:numFmt w:val="upperLetter"/>
      <w:start w:val="24"/>
    </w:lvl>
  </w:abstractNum>
  <w:abstractNum w:abstractNumId="206">
    <w:nsid w:val="65BF9DA8"/>
    <w:multiLevelType w:val="hybridMultilevel"/>
    <w:lvl w:ilvl="0">
      <w:lvlJc w:val="left"/>
      <w:lvlText w:val="%1"/>
      <w:numFmt w:val="lowerLetter"/>
      <w:start w:val="1"/>
    </w:lvl>
    <w:lvl w:ilvl="1">
      <w:lvlJc w:val="left"/>
      <w:lvlText w:val="(%2)"/>
      <w:numFmt w:val="lowerLetter"/>
      <w:start w:val="2"/>
    </w:lvl>
  </w:abstractNum>
  <w:abstractNum w:abstractNumId="207">
    <w:nsid w:val="21A2ECCA"/>
    <w:multiLevelType w:val="hybridMultilevel"/>
    <w:lvl w:ilvl="0">
      <w:lvlJc w:val="left"/>
      <w:lvlText w:val="(%1)"/>
      <w:numFmt w:val="lowerLetter"/>
      <w:start w:val="35"/>
    </w:lvl>
    <w:lvl w:ilvl="1">
      <w:lvlJc w:val="left"/>
      <w:lvlText w:val="%2"/>
      <w:numFmt w:val="lowerLetter"/>
      <w:start w:val="1"/>
    </w:lvl>
  </w:abstractNum>
  <w:abstractNum w:abstractNumId="208">
    <w:nsid w:val="4D5C4899"/>
    <w:multiLevelType w:val="hybridMultilevel"/>
    <w:lvl w:ilvl="0">
      <w:lvlJc w:val="left"/>
      <w:lvlText w:val="(%1)"/>
      <w:numFmt w:val="lowerLetter"/>
      <w:start w:val="4"/>
    </w:lvl>
  </w:abstractNum>
  <w:abstractNum w:abstractNumId="209">
    <w:nsid w:val="3C3B72B2"/>
    <w:multiLevelType w:val="hybridMultilevel"/>
    <w:lvl w:ilvl="0">
      <w:lvlJc w:val="left"/>
      <w:lvlText w:val="(%1)"/>
      <w:numFmt w:val="lowerLetter"/>
      <w:start w:val="5"/>
    </w:lvl>
  </w:abstractNum>
  <w:abstractNum w:abstractNumId="210">
    <w:nsid w:val="155EC4C2"/>
    <w:multiLevelType w:val="hybridMultilevel"/>
    <w:lvl w:ilvl="0">
      <w:lvlJc w:val="left"/>
      <w:lvlText w:val="%1"/>
      <w:numFmt w:val="decimal"/>
      <w:start w:val="1"/>
    </w:lvl>
    <w:lvl w:ilvl="1">
      <w:lvlJc w:val="left"/>
      <w:lvlText w:val="(%2)"/>
      <w:numFmt w:val="lowerLetter"/>
      <w:start w:val="7"/>
    </w:lvl>
  </w:abstractNum>
  <w:abstractNum w:abstractNumId="211">
    <w:nsid w:val="65D2A137"/>
    <w:multiLevelType w:val="hybridMultilevel"/>
    <w:lvl w:ilvl="0">
      <w:lvlJc w:val="left"/>
      <w:lvlText w:val="%1."/>
      <w:numFmt w:val="decimal"/>
      <w:start w:val="2"/>
    </w:lvl>
    <w:lvl w:ilvl="1">
      <w:lvlJc w:val="left"/>
      <w:lvlText w:val="(%2)"/>
      <w:numFmt w:val="lowerLetter"/>
      <w:start w:val="1"/>
    </w:lvl>
  </w:abstractNum>
  <w:abstractNum w:abstractNumId="212">
    <w:nsid w:val="6EBB1F2A"/>
    <w:multiLevelType w:val="hybridMultilevel"/>
    <w:lvl w:ilvl="0">
      <w:lvlJc w:val="left"/>
      <w:lvlText w:val="%1"/>
      <w:numFmt w:val="decimal"/>
      <w:start w:val="1"/>
    </w:lvl>
    <w:lvl w:ilvl="1">
      <w:lvlJc w:val="left"/>
      <w:lvlText w:val="(%2)"/>
      <w:numFmt w:val="lowerLetter"/>
      <w:start w:val="2"/>
    </w:lvl>
  </w:abstractNum>
  <w:abstractNum w:abstractNumId="213">
    <w:nsid w:val="6FBF29CB"/>
    <w:multiLevelType w:val="hybridMultilevel"/>
    <w:lvl w:ilvl="0">
      <w:lvlJc w:val="left"/>
      <w:lvlText w:val="%1."/>
      <w:numFmt w:val="decimal"/>
      <w:start w:val="3"/>
    </w:lvl>
    <w:lvl w:ilvl="1">
      <w:lvlJc w:val="left"/>
      <w:lvlText w:val="%2"/>
      <w:numFmt w:val="lowerLetter"/>
      <w:start w:val="1"/>
    </w:lvl>
  </w:abstractNum>
  <w:abstractNum w:abstractNumId="214">
    <w:nsid w:val="550B8808"/>
    <w:multiLevelType w:val="hybridMultilevel"/>
    <w:lvl w:ilvl="0">
      <w:lvlJc w:val="left"/>
      <w:lvlText w:val="%1."/>
      <w:numFmt w:val="decimal"/>
      <w:start w:val="4"/>
    </w:lvl>
    <w:lvl w:ilvl="1">
      <w:lvlJc w:val="left"/>
      <w:lvlText w:val="(%2)"/>
      <w:numFmt w:val="lowerLetter"/>
      <w:start w:val="1"/>
    </w:lvl>
  </w:abstractNum>
  <w:abstractNum w:abstractNumId="215">
    <w:nsid w:val="34CC3ACF"/>
    <w:multiLevelType w:val="hybridMultilevel"/>
    <w:lvl w:ilvl="0">
      <w:lvlJc w:val="left"/>
      <w:lvlText w:val="(%1)"/>
      <w:numFmt w:val="lowerLetter"/>
      <w:start w:val="3"/>
    </w:lvl>
  </w:abstractNum>
  <w:abstractNum w:abstractNumId="216">
    <w:nsid w:val="4E556261"/>
    <w:multiLevelType w:val="hybridMultilevel"/>
    <w:lvl w:ilvl="0">
      <w:lvlJc w:val="left"/>
      <w:lvlText w:val="%1."/>
      <w:numFmt w:val="decimal"/>
      <w:start w:val="5"/>
    </w:lvl>
  </w:abstractNum>
  <w:abstractNum w:abstractNumId="217">
    <w:nsid w:val="4C672FC9"/>
    <w:multiLevelType w:val="hybridMultilevel"/>
    <w:lvl w:ilvl="0">
      <w:lvlJc w:val="left"/>
      <w:lvlText w:val="%1."/>
      <w:numFmt w:val="decimal"/>
      <w:start w:val="7"/>
    </w:lvl>
    <w:lvl w:ilvl="1">
      <w:lvlJc w:val="left"/>
      <w:lvlText w:val="(%2)"/>
      <w:numFmt w:val="lowerLetter"/>
      <w:start w:val="1"/>
    </w:lvl>
  </w:abstractNum>
  <w:abstractNum w:abstractNumId="218">
    <w:nsid w:val="52A311C3"/>
    <w:multiLevelType w:val="hybridMultilevel"/>
    <w:lvl w:ilvl="0">
      <w:lvlJc w:val="left"/>
      <w:lvlText w:val="%1."/>
      <w:numFmt w:val="decimal"/>
      <w:start w:val="8"/>
    </w:lvl>
  </w:abstractNum>
  <w:abstractNum w:abstractNumId="219">
    <w:nsid w:val="44EF6B80"/>
    <w:multiLevelType w:val="hybridMultilevel"/>
    <w:lvl w:ilvl="0">
      <w:lvlJc w:val="left"/>
      <w:lvlText w:val="%1."/>
      <w:numFmt w:val="decimal"/>
      <w:start w:val="11"/>
    </w:lvl>
  </w:abstractNum>
  <w:abstractNum w:abstractNumId="220">
    <w:nsid w:val="12FCDE5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21">
    <w:nsid w:val="4A1D606E"/>
    <w:multiLevelType w:val="hybridMultilevel"/>
    <w:lvl w:ilvl="0">
      <w:lvlJc w:val="left"/>
      <w:lvlText w:val="%1"/>
      <w:numFmt w:val="decimal"/>
      <w:start w:val="1"/>
    </w:lvl>
    <w:lvl w:ilvl="1">
      <w:lvlJc w:val="left"/>
      <w:lvlText w:val="%2)"/>
      <w:numFmt w:val="lowerLetter"/>
      <w:start w:val="2"/>
    </w:lvl>
  </w:abstractNum>
  <w:abstractNum w:abstractNumId="222">
    <w:nsid w:val="4382503"/>
    <w:multiLevelType w:val="hybridMultilevel"/>
    <w:lvl w:ilvl="0">
      <w:lvlJc w:val="left"/>
      <w:lvlText w:val="%1."/>
      <w:numFmt w:val="decimal"/>
      <w:start w:val="16"/>
    </w:lvl>
    <w:lvl w:ilvl="1">
      <w:lvlJc w:val="left"/>
      <w:lvlText w:val="%2"/>
      <w:numFmt w:val="lowerLetter"/>
      <w:start w:val="1"/>
    </w:lvl>
  </w:abstractNum>
  <w:abstractNum w:abstractNumId="223">
    <w:nsid w:val="59B76E28"/>
    <w:multiLevelType w:val="hybridMultilevel"/>
    <w:lvl w:ilvl="0">
      <w:lvlJc w:val="left"/>
      <w:lvlText w:val="(%1)"/>
      <w:numFmt w:val="lowerLetter"/>
      <w:start w:val="1"/>
    </w:lvl>
  </w:abstractNum>
  <w:abstractNum w:abstractNumId="224">
    <w:nsid w:val="4252C2DA"/>
    <w:multiLevelType w:val="hybridMultilevel"/>
    <w:lvl w:ilvl="0">
      <w:lvlJc w:val="left"/>
      <w:lvlText w:val="(%1)"/>
      <w:numFmt w:val="lowerLetter"/>
      <w:start w:val="2"/>
    </w:lvl>
  </w:abstractNum>
  <w:abstractNum w:abstractNumId="225">
    <w:nsid w:val="6A92EF4C"/>
    <w:multiLevelType w:val="hybridMultilevel"/>
    <w:lvl w:ilvl="0">
      <w:lvlJc w:val="left"/>
      <w:lvlText w:val="(%1)"/>
      <w:numFmt w:val="lowerLetter"/>
      <w:start w:val="6"/>
    </w:lvl>
  </w:abstractNum>
  <w:abstractNum w:abstractNumId="226">
    <w:nsid w:val="41ED20D7"/>
    <w:multiLevelType w:val="hybridMultilevel"/>
    <w:lvl w:ilvl="0">
      <w:lvlJc w:val="left"/>
      <w:lvlText w:val="(%1)"/>
      <w:numFmt w:val="lowerLetter"/>
      <w:start w:val="11"/>
    </w:lvl>
  </w:abstractNum>
  <w:abstractNum w:abstractNumId="227">
    <w:nsid w:val="E6B3F6A"/>
    <w:multiLevelType w:val="hybridMultilevel"/>
    <w:lvl w:ilvl="0">
      <w:lvlJc w:val="left"/>
      <w:lvlText w:val="(%1)"/>
      <w:numFmt w:val="lowerLetter"/>
      <w:start w:val="20"/>
    </w:lvl>
  </w:abstractNum>
  <w:abstractNum w:abstractNumId="228">
    <w:nsid w:val="3EB21819"/>
    <w:multiLevelType w:val="hybridMultilevel"/>
    <w:lvl w:ilvl="0">
      <w:lvlJc w:val="left"/>
      <w:lvlText w:val="%1."/>
      <w:numFmt w:val="decimal"/>
      <w:start w:val="1"/>
    </w:lvl>
  </w:abstractNum>
  <w:abstractNum w:abstractNumId="229">
    <w:nsid w:val="41531DED"/>
    <w:multiLevelType w:val="hybridMultilevel"/>
    <w:lvl w:ilvl="0">
      <w:lvlJc w:val="left"/>
      <w:lvlText w:val="%1."/>
      <w:numFmt w:val="decimal"/>
      <w:start w:val="2"/>
    </w:lvl>
  </w:abstractNum>
  <w:abstractNum w:abstractNumId="230">
    <w:nsid w:val="6353CD2"/>
    <w:multiLevelType w:val="hybridMultilevel"/>
    <w:lvl w:ilvl="0">
      <w:lvlJc w:val="left"/>
      <w:lvlText w:val="%1."/>
      <w:numFmt w:val="decimal"/>
      <w:start w:val="1"/>
    </w:lvl>
    <w:lvl w:ilvl="1">
      <w:lvlJc w:val="left"/>
      <w:lvlText w:val="(%2)"/>
      <w:numFmt w:val="lowerLetter"/>
      <w:start w:val="1"/>
    </w:lvl>
  </w:abstractNum>
  <w:abstractNum w:abstractNumId="231">
    <w:nsid w:val="683CAAD3"/>
    <w:multiLevelType w:val="hybridMultilevel"/>
    <w:lvl w:ilvl="0">
      <w:lvlJc w:val="left"/>
      <w:lvlText w:val="(%1)"/>
      <w:numFmt w:val="upperLetter"/>
      <w:start w:val="24"/>
    </w:lvl>
  </w:abstractNum>
  <w:abstractNum w:abstractNumId="232">
    <w:nsid w:val="313C7C99"/>
    <w:multiLevelType w:val="hybridMultilevel"/>
    <w:lvl w:ilvl="0">
      <w:lvlJc w:val="left"/>
      <w:lvlText w:val="%1"/>
      <w:numFmt w:val="lowerLetter"/>
      <w:start w:val="1"/>
    </w:lvl>
    <w:lvl w:ilvl="1">
      <w:lvlJc w:val="left"/>
      <w:lvlText w:val="(%2)"/>
      <w:numFmt w:val="lowerLetter"/>
      <w:start w:val="2"/>
    </w:lvl>
  </w:abstractNum>
  <w:abstractNum w:abstractNumId="233">
    <w:nsid w:val="519EB94C"/>
    <w:multiLevelType w:val="hybridMultilevel"/>
    <w:lvl w:ilvl="0">
      <w:lvlJc w:val="left"/>
      <w:lvlText w:val="(%1)"/>
      <w:numFmt w:val="lowerLetter"/>
      <w:start w:val="35"/>
    </w:lvl>
    <w:lvl w:ilvl="1">
      <w:lvlJc w:val="left"/>
      <w:lvlText w:val="%2"/>
      <w:numFmt w:val="lowerLetter"/>
      <w:start w:val="1"/>
    </w:lvl>
  </w:abstractNum>
  <w:abstractNum w:abstractNumId="234">
    <w:nsid w:val="39DF2579"/>
    <w:multiLevelType w:val="hybridMultilevel"/>
    <w:lvl w:ilvl="0">
      <w:lvlJc w:val="left"/>
      <w:lvlText w:val="(%1)"/>
      <w:numFmt w:val="lowerLetter"/>
      <w:start w:val="4"/>
    </w:lvl>
  </w:abstractNum>
  <w:abstractNum w:abstractNumId="235">
    <w:nsid w:val="126E008B"/>
    <w:multiLevelType w:val="hybridMultilevel"/>
    <w:lvl w:ilvl="0">
      <w:lvlJc w:val="left"/>
      <w:lvlText w:val="(%1)"/>
      <w:numFmt w:val="lowerLetter"/>
      <w:start w:val="5"/>
    </w:lvl>
  </w:abstractNum>
  <w:abstractNum w:abstractNumId="236">
    <w:nsid w:val="34DFBC00"/>
    <w:multiLevelType w:val="hybridMultilevel"/>
    <w:lvl w:ilvl="0">
      <w:lvlJc w:val="left"/>
      <w:lvlText w:val="%1"/>
      <w:numFmt w:val="decimal"/>
      <w:start w:val="1"/>
    </w:lvl>
    <w:lvl w:ilvl="1">
      <w:lvlJc w:val="left"/>
      <w:lvlText w:val="(%2)"/>
      <w:numFmt w:val="lowerLetter"/>
      <w:start w:val="7"/>
    </w:lvl>
  </w:abstractNum>
  <w:abstractNum w:abstractNumId="237">
    <w:nsid w:val="1F9EC322"/>
    <w:multiLevelType w:val="hybridMultilevel"/>
    <w:lvl w:ilvl="0">
      <w:lvlJc w:val="left"/>
      <w:lvlText w:val="%1."/>
      <w:numFmt w:val="decimal"/>
      <w:start w:val="2"/>
    </w:lvl>
    <w:lvl w:ilvl="1">
      <w:lvlJc w:val="left"/>
      <w:lvlText w:val="(%2)"/>
      <w:numFmt w:val="lowerLetter"/>
      <w:start w:val="1"/>
    </w:lvl>
  </w:abstractNum>
  <w:abstractNum w:abstractNumId="238">
    <w:nsid w:val="3410ED56"/>
    <w:multiLevelType w:val="hybridMultilevel"/>
    <w:lvl w:ilvl="0">
      <w:lvlJc w:val="left"/>
      <w:lvlText w:val="%1"/>
      <w:numFmt w:val="decimal"/>
      <w:start w:val="1"/>
    </w:lvl>
    <w:lvl w:ilvl="1">
      <w:lvlJc w:val="left"/>
      <w:lvlText w:val="(%2)"/>
      <w:numFmt w:val="lowerLetter"/>
      <w:start w:val="2"/>
    </w:lvl>
  </w:abstractNum>
  <w:abstractNum w:abstractNumId="239">
    <w:nsid w:val="23C049A"/>
    <w:multiLevelType w:val="hybridMultilevel"/>
    <w:lvl w:ilvl="0">
      <w:lvlJc w:val="left"/>
      <w:lvlText w:val="%1."/>
      <w:numFmt w:val="decimal"/>
      <w:start w:val="3"/>
    </w:lvl>
    <w:lvl w:ilvl="1">
      <w:lvlJc w:val="left"/>
      <w:lvlText w:val="%2"/>
      <w:numFmt w:val="lowerLetter"/>
      <w:start w:val="1"/>
    </w:lvl>
  </w:abstractNum>
  <w:abstractNum w:abstractNumId="240">
    <w:nsid w:val="5BDA35D4"/>
    <w:multiLevelType w:val="hybridMultilevel"/>
    <w:lvl w:ilvl="0">
      <w:lvlJc w:val="left"/>
      <w:lvlText w:val="%1."/>
      <w:numFmt w:val="decimal"/>
      <w:start w:val="4"/>
    </w:lvl>
    <w:lvl w:ilvl="1">
      <w:lvlJc w:val="left"/>
      <w:lvlText w:val="(%2)"/>
      <w:numFmt w:val="lowerLetter"/>
      <w:start w:val="1"/>
    </w:lvl>
  </w:abstractNum>
  <w:abstractNum w:abstractNumId="241">
    <w:nsid w:val="496FB218"/>
    <w:multiLevelType w:val="hybridMultilevel"/>
    <w:lvl w:ilvl="0">
      <w:lvlJc w:val="left"/>
      <w:lvlText w:val="%1"/>
      <w:numFmt w:val="lowerLetter"/>
      <w:start w:val="1"/>
    </w:lvl>
    <w:lvl w:ilvl="1">
      <w:lvlJc w:val="left"/>
      <w:lvlText w:val="(%2)"/>
      <w:numFmt w:val="lowerLetter"/>
      <w:start w:val="3"/>
    </w:lvl>
  </w:abstractNum>
  <w:abstractNum w:abstractNumId="242">
    <w:nsid w:val="680EA5D1"/>
    <w:multiLevelType w:val="hybridMultilevel"/>
    <w:lvl w:ilvl="0">
      <w:lvlJc w:val="left"/>
      <w:lvlText w:val="(%1)"/>
      <w:numFmt w:val="lowerLetter"/>
      <w:start w:val="26"/>
    </w:lvl>
    <w:lvl w:ilvl="1">
      <w:lvlJc w:val="left"/>
      <w:lvlText w:val="(%2)"/>
      <w:numFmt w:val="lowerLetter"/>
      <w:start w:val="4"/>
    </w:lvl>
  </w:abstractNum>
  <w:abstractNum w:abstractNumId="243">
    <w:nsid w:val="4A9554FE"/>
    <w:multiLevelType w:val="hybridMultilevel"/>
    <w:lvl w:ilvl="0">
      <w:lvlJc w:val="left"/>
      <w:lvlText w:val="%1."/>
      <w:numFmt w:val="decimal"/>
      <w:start w:val="5"/>
    </w:lvl>
    <w:lvl w:ilvl="1">
      <w:lvlJc w:val="left"/>
      <w:lvlText w:val="(%2)"/>
      <w:numFmt w:val="lowerLetter"/>
      <w:start w:val="1"/>
    </w:lvl>
  </w:abstractNum>
  <w:abstractNum w:abstractNumId="244">
    <w:nsid w:val="392EDBE4"/>
    <w:multiLevelType w:val="hybridMultilevel"/>
    <w:lvl w:ilvl="0">
      <w:lvlJc w:val="left"/>
      <w:lvlText w:val="%1"/>
      <w:numFmt w:val="lowerLetter"/>
      <w:start w:val="1"/>
    </w:lvl>
    <w:lvl w:ilvl="1">
      <w:lvlJc w:val="left"/>
      <w:lvlText w:val="(%2)"/>
      <w:numFmt w:val="lowerLetter"/>
      <w:start w:val="2"/>
    </w:lvl>
  </w:abstractNum>
  <w:abstractNum w:abstractNumId="245">
    <w:nsid w:val="3D1A2DD9"/>
    <w:multiLevelType w:val="hybridMultilevel"/>
    <w:lvl w:ilvl="0">
      <w:lvlJc w:val="left"/>
      <w:lvlText w:val="(%1)"/>
      <w:numFmt w:val="lowerLetter"/>
      <w:start w:val="9"/>
    </w:lvl>
    <w:lvl w:ilvl="1">
      <w:lvlJc w:val="left"/>
      <w:lvlText w:val="%2"/>
      <w:numFmt w:val="lowerLetter"/>
      <w:start w:val="1"/>
    </w:lvl>
  </w:abstractNum>
  <w:abstractNum w:abstractNumId="246">
    <w:nsid w:val="7F618FCD"/>
    <w:multiLevelType w:val="hybridMultilevel"/>
    <w:lvl w:ilvl="0">
      <w:lvlJc w:val="left"/>
      <w:lvlText w:val="%1."/>
      <w:numFmt w:val="decimal"/>
      <w:start w:val="8"/>
    </w:lvl>
  </w:abstractNum>
  <w:abstractNum w:abstractNumId="247">
    <w:nsid w:val="7843E45"/>
    <w:multiLevelType w:val="hybridMultilevel"/>
    <w:lvl w:ilvl="0">
      <w:lvlJc w:val="left"/>
      <w:lvlText w:val="%1."/>
      <w:numFmt w:val="decimal"/>
      <w:start w:val="9"/>
    </w:lvl>
  </w:abstractNum>
  <w:abstractNum w:abstractNumId="248">
    <w:nsid w:val="9815DA3"/>
    <w:multiLevelType w:val="hybridMultilevel"/>
    <w:lvl w:ilvl="0">
      <w:lvlJc w:val="left"/>
      <w:lvlText w:val="%1."/>
      <w:numFmt w:val="decimal"/>
      <w:start w:val="12"/>
    </w:lvl>
  </w:abstractNum>
  <w:abstractNum w:abstractNumId="249">
    <w:nsid w:val="5204A19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50">
    <w:nsid w:val="4C73A9C6"/>
    <w:multiLevelType w:val="hybridMultilevel"/>
    <w:lvl w:ilvl="0">
      <w:lvlJc w:val="left"/>
      <w:lvlText w:val="%1"/>
      <w:numFmt w:val="decimal"/>
      <w:start w:val="1"/>
    </w:lvl>
    <w:lvl w:ilvl="1">
      <w:lvlJc w:val="left"/>
      <w:lvlText w:val="%2)"/>
      <w:numFmt w:val="lowerLetter"/>
      <w:start w:val="2"/>
    </w:lvl>
  </w:abstractNum>
  <w:abstractNum w:abstractNumId="251">
    <w:nsid w:val="1C7E3C01"/>
    <w:multiLevelType w:val="hybridMultilevel"/>
    <w:lvl w:ilvl="0">
      <w:lvlJc w:val="left"/>
      <w:lvlText w:val="%1."/>
      <w:numFmt w:val="decimal"/>
      <w:start w:val="16"/>
    </w:lvl>
    <w:lvl w:ilvl="1">
      <w:lvlJc w:val="left"/>
      <w:lvlText w:val="%2"/>
      <w:numFmt w:val="lowerLetter"/>
      <w:start w:val="1"/>
    </w:lvl>
  </w:abstractNum>
  <w:abstractNum w:abstractNumId="252">
    <w:nsid w:val="1C2201FF"/>
    <w:multiLevelType w:val="hybridMultilevel"/>
    <w:lvl w:ilvl="0">
      <w:lvlJc w:val="left"/>
      <w:lvlText w:val="(%1)"/>
      <w:numFmt w:val="lowerLetter"/>
      <w:start w:val="1"/>
    </w:lvl>
  </w:abstractNum>
  <w:abstractNum w:abstractNumId="253">
    <w:nsid w:val="50ABCEC9"/>
    <w:multiLevelType w:val="hybridMultilevel"/>
    <w:lvl w:ilvl="0">
      <w:lvlJc w:val="left"/>
      <w:lvlText w:val="(%1)"/>
      <w:numFmt w:val="lowerLetter"/>
      <w:start w:val="2"/>
    </w:lvl>
  </w:abstractNum>
  <w:abstractNum w:abstractNumId="254">
    <w:nsid w:val="7635AA2A"/>
    <w:multiLevelType w:val="hybridMultilevel"/>
    <w:lvl w:ilvl="0">
      <w:lvlJc w:val="left"/>
      <w:lvlText w:val="(%1)"/>
      <w:numFmt w:val="lowerLetter"/>
      <w:start w:val="6"/>
    </w:lvl>
  </w:abstractNum>
  <w:abstractNum w:abstractNumId="255">
    <w:nsid w:val="5E74C4D9"/>
    <w:multiLevelType w:val="hybridMultilevel"/>
    <w:lvl w:ilvl="0">
      <w:lvlJc w:val="left"/>
      <w:lvlText w:val="(%1)"/>
      <w:numFmt w:val="lowerLetter"/>
      <w:start w:val="11"/>
    </w:lvl>
  </w:abstractNum>
  <w:abstractNum w:abstractNumId="256">
    <w:nsid w:val="3B3EBE15"/>
    <w:multiLevelType w:val="hybridMultilevel"/>
    <w:lvl w:ilvl="0">
      <w:lvlJc w:val="left"/>
      <w:lvlText w:val="(%1)"/>
      <w:numFmt w:val="lowerLetter"/>
      <w:start w:val="20"/>
    </w:lvl>
  </w:abstractNum>
  <w:abstractNum w:abstractNumId="257">
    <w:nsid w:val="3822CB01"/>
    <w:multiLevelType w:val="hybridMultilevel"/>
    <w:lvl w:ilvl="0">
      <w:lvlJc w:val="left"/>
      <w:lvlText w:val="%1."/>
      <w:numFmt w:val="decimal"/>
      <w:start w:val="1"/>
    </w:lvl>
  </w:abstractNum>
  <w:abstractNum w:abstractNumId="258">
    <w:nsid w:val="6CE00443"/>
    <w:multiLevelType w:val="hybridMultilevel"/>
    <w:lvl w:ilvl="0">
      <w:lvlJc w:val="left"/>
      <w:lvlText w:val="%1."/>
      <w:numFmt w:val="decimal"/>
      <w:start w:val="2"/>
    </w:lvl>
  </w:abstractNum>
  <w:abstractNum w:abstractNumId="259">
    <w:nsid w:val="79F0D62F"/>
    <w:multiLevelType w:val="hybridMultilevel"/>
    <w:lvl w:ilvl="0">
      <w:lvlJc w:val="left"/>
      <w:lvlText w:val="(%1)"/>
      <w:numFmt w:val="lowerRoman"/>
      <w:start w:val="1"/>
    </w:lvl>
  </w:abstractNum>
  <w:abstractNum w:abstractNumId="260">
    <w:nsid w:val="7975E8EE"/>
    <w:multiLevelType w:val="hybridMultilevel"/>
    <w:lvl w:ilvl="0">
      <w:lvlJc w:val="left"/>
      <w:lvlText w:val="%1."/>
      <w:numFmt w:val="upperLetter"/>
      <w:start w:val="1"/>
    </w:lvl>
  </w:abstractNum>
  <w:abstractNum w:abstractNumId="261">
    <w:nsid w:val="73154115"/>
    <w:multiLevelType w:val="hybridMultilevel"/>
    <w:lvl w:ilvl="0">
      <w:lvlJc w:val="left"/>
      <w:lvlText w:val="%1."/>
      <w:numFmt w:val="upperLetter"/>
      <w:start w:val="3"/>
    </w:lvl>
  </w:abstractNum>
  <w:abstractNum w:abstractNumId="262">
    <w:nsid w:val="622D81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63">
    <w:nsid w:val="2AB265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64">
    <w:nsid w:val="44B3FA6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65">
    <w:nsid w:val="1C0CA67C"/>
    <w:multiLevelType w:val="hybridMultilevel"/>
    <w:lvl w:ilvl="0">
      <w:lvlJc w:val="left"/>
      <w:lvlText w:val="%1"/>
      <w:numFmt w:val="decimal"/>
      <w:start w:val="1"/>
    </w:lvl>
    <w:lvl w:ilvl="1">
      <w:lvlJc w:val="left"/>
      <w:lvlText w:val="(%2)"/>
      <w:numFmt w:val="lowerLetter"/>
      <w:start w:val="4"/>
    </w:lvl>
  </w:abstractNum>
  <w:abstractNum w:abstractNumId="266">
    <w:nsid w:val="3D206613"/>
    <w:multiLevelType w:val="hybridMultilevel"/>
    <w:lvl w:ilvl="0">
      <w:lvlJc w:val="left"/>
      <w:lvlText w:val="%1."/>
      <w:numFmt w:val="decimal"/>
      <w:start w:val="3"/>
    </w:lvl>
    <w:lvl w:ilvl="1">
      <w:lvlJc w:val="left"/>
      <w:lvlText w:val="(%2)"/>
      <w:numFmt w:val="lowerLetter"/>
      <w:start w:val="1"/>
    </w:lvl>
  </w:abstractNum>
  <w:abstractNum w:abstractNumId="267">
    <w:nsid w:val="7993B662"/>
    <w:multiLevelType w:val="hybridMultilevel"/>
    <w:lvl w:ilvl="0">
      <w:lvlJc w:val="left"/>
      <w:lvlText w:val="(%1)"/>
      <w:numFmt w:val="lowerLetter"/>
      <w:start w:val="2"/>
    </w:lvl>
  </w:abstractNum>
  <w:abstractNum w:abstractNumId="268">
    <w:nsid w:val="3BAB699E"/>
    <w:multiLevelType w:val="hybridMultilevel"/>
    <w:lvl w:ilvl="0">
      <w:lvlJc w:val="left"/>
      <w:lvlText w:val="(%1)"/>
      <w:numFmt w:val="lowerLetter"/>
      <w:start w:val="4"/>
    </w:lvl>
  </w:abstractNum>
  <w:abstractNum w:abstractNumId="269">
    <w:nsid w:val="71315369"/>
    <w:multiLevelType w:val="hybridMultilevel"/>
    <w:lvl w:ilvl="0">
      <w:lvlJc w:val="left"/>
      <w:lvlText w:val="(%1)"/>
      <w:numFmt w:val="lowerLetter"/>
      <w:start w:val="5"/>
    </w:lvl>
  </w:abstractNum>
  <w:abstractNum w:abstractNumId="270">
    <w:nsid w:val="7BCFBAFC"/>
    <w:multiLevelType w:val="hybridMultilevel"/>
    <w:lvl w:ilvl="0">
      <w:lvlJc w:val="left"/>
      <w:lvlText w:val="(%1)"/>
      <w:numFmt w:val="lowerLetter"/>
      <w:start w:val="8"/>
    </w:lvl>
  </w:abstractNum>
  <w:abstractNum w:abstractNumId="271">
    <w:nsid w:val="17859F72"/>
    <w:multiLevelType w:val="hybridMultilevel"/>
    <w:lvl w:ilvl="0">
      <w:lvlJc w:val="left"/>
      <w:lvlText w:val="(%1)"/>
      <w:numFmt w:val="lowerLetter"/>
      <w:start w:val="11"/>
    </w:lvl>
  </w:abstractNum>
  <w:abstractNum w:abstractNumId="272">
    <w:nsid w:val="3AA10581"/>
    <w:multiLevelType w:val="hybridMultilevel"/>
    <w:lvl w:ilvl="0">
      <w:lvlJc w:val="left"/>
      <w:lvlText w:val="(%1)"/>
      <w:numFmt w:val="lowerLetter"/>
      <w:start w:val="13"/>
    </w:lvl>
  </w:abstractNum>
  <w:abstractNum w:abstractNumId="273">
    <w:nsid w:val="63DE60CD"/>
    <w:multiLevelType w:val="hybridMultilevel"/>
    <w:lvl w:ilvl="0">
      <w:lvlJc w:val="left"/>
      <w:lvlText w:val="(%1)"/>
      <w:numFmt w:val="lowerLetter"/>
      <w:start w:val="15"/>
    </w:lvl>
  </w:abstractNum>
  <w:abstractNum w:abstractNumId="274">
    <w:nsid w:val="621AF471"/>
    <w:multiLevelType w:val="hybridMultilevel"/>
    <w:lvl w:ilvl="0">
      <w:lvlJc w:val="left"/>
      <w:lvlText w:val="%1"/>
      <w:numFmt w:val="upperLetter"/>
      <w:start w:val="1"/>
    </w:lvl>
    <w:lvl w:ilvl="1">
      <w:lvlJc w:val="left"/>
      <w:lvlText w:val="(%2)"/>
      <w:numFmt w:val="lowerLetter"/>
      <w:start w:val="18"/>
    </w:lvl>
  </w:abstractNum>
  <w:abstractNum w:abstractNumId="275">
    <w:nsid w:val="73CFE165"/>
    <w:multiLevelType w:val="hybridMultilevel"/>
    <w:lvl w:ilvl="0">
      <w:lvlJc w:val="left"/>
      <w:lvlText w:val="(%1)"/>
      <w:numFmt w:val="upperLetter"/>
      <w:start w:val="6"/>
    </w:lvl>
    <w:lvl w:ilvl="1">
      <w:lvlJc w:val="left"/>
      <w:lvlText w:val="%2"/>
      <w:numFmt w:val="lowerLetter"/>
      <w:start w:val="1"/>
    </w:lvl>
  </w:abstractNum>
  <w:abstractNum w:abstractNumId="276">
    <w:nsid w:val="20F88EA6"/>
    <w:multiLevelType w:val="hybridMultilevel"/>
    <w:lvl w:ilvl="0">
      <w:lvlJc w:val="left"/>
      <w:lvlText w:val="(%1)"/>
      <w:numFmt w:val="lowerLetter"/>
      <w:start w:val="19"/>
    </w:lvl>
  </w:abstractNum>
  <w:abstractNum w:abstractNumId="277">
    <w:nsid w:val="617C843E"/>
    <w:multiLevelType w:val="hybridMultilevel"/>
    <w:lvl w:ilvl="0">
      <w:lvlJc w:val="left"/>
      <w:lvlText w:val="(%1)"/>
      <w:numFmt w:val="lowerLetter"/>
      <w:start w:val="23"/>
    </w:lvl>
  </w:abstractNum>
  <w:abstractNum w:abstractNumId="278">
    <w:nsid w:val="7B541FAB"/>
    <w:multiLevelType w:val="hybridMultilevel"/>
    <w:lvl w:ilvl="0">
      <w:lvlJc w:val="left"/>
      <w:lvlText w:val="(%1)"/>
      <w:numFmt w:val="lowerLetter"/>
      <w:start w:val="27"/>
    </w:lvl>
  </w:abstractNum>
  <w:abstractNum w:abstractNumId="279">
    <w:nsid w:val="2A79EC49"/>
    <w:multiLevelType w:val="hybridMultilevel"/>
    <w:lvl w:ilvl="0">
      <w:lvlJc w:val="left"/>
      <w:lvlText w:val="(%1)"/>
      <w:numFmt w:val="lowerLetter"/>
      <w:start w:val="30"/>
    </w:lvl>
  </w:abstractNum>
  <w:abstractNum w:abstractNumId="280">
    <w:nsid w:val="338125CF"/>
    <w:multiLevelType w:val="hybridMultilevel"/>
    <w:lvl w:ilvl="0">
      <w:lvlJc w:val="left"/>
      <w:lvlText w:val="(%1)"/>
      <w:numFmt w:val="lowerLetter"/>
      <w:start w:val="35"/>
    </w:lvl>
  </w:abstractNum>
  <w:abstractNum w:abstractNumId="281">
    <w:nsid w:val="47C7C971"/>
    <w:multiLevelType w:val="hybridMultilevel"/>
    <w:lvl w:ilvl="0">
      <w:lvlJc w:val="left"/>
      <w:lvlText w:val="%1."/>
      <w:numFmt w:val="decimal"/>
      <w:start w:val="4"/>
    </w:lvl>
    <w:lvl w:ilvl="1">
      <w:lvlJc w:val="left"/>
      <w:lvlText w:val="(%2)"/>
      <w:numFmt w:val="lowerLetter"/>
      <w:start w:val="1"/>
    </w:lvl>
  </w:abstractNum>
  <w:abstractNum w:abstractNumId="282">
    <w:nsid w:val="46F8284B"/>
    <w:multiLevelType w:val="hybridMultilevel"/>
    <w:lvl w:ilvl="0">
      <w:lvlJc w:val="left"/>
      <w:lvlText w:val="(%1)"/>
      <w:numFmt w:val="lowerLetter"/>
      <w:start w:val="5"/>
    </w:lvl>
  </w:abstractNum>
  <w:abstractNum w:abstractNumId="283">
    <w:nsid w:val="4FA327CE"/>
    <w:multiLevelType w:val="hybridMultilevel"/>
    <w:lvl w:ilvl="0">
      <w:lvlJc w:val="left"/>
      <w:lvlText w:val="(%1)"/>
      <w:numFmt w:val="lowerLetter"/>
      <w:start w:val="8"/>
    </w:lvl>
  </w:abstractNum>
  <w:abstractNum w:abstractNumId="284">
    <w:nsid w:val="1873983A"/>
    <w:multiLevelType w:val="hybridMultilevel"/>
    <w:lvl w:ilvl="0">
      <w:lvlJc w:val="left"/>
      <w:lvlText w:val="(%1)"/>
      <w:numFmt w:val="lowerRoman"/>
      <w:start w:val="1"/>
    </w:lvl>
  </w:abstractNum>
  <w:abstractNum w:abstractNumId="285">
    <w:nsid w:val="3D2DD275"/>
    <w:multiLevelType w:val="hybridMultilevel"/>
    <w:lvl w:ilvl="0">
      <w:lvlJc w:val="left"/>
      <w:lvlText w:val="(%1)"/>
      <w:numFmt w:val="lowerLetter"/>
      <w:start w:val="10"/>
    </w:lvl>
  </w:abstractNum>
  <w:abstractNum w:abstractNumId="286">
    <w:nsid w:val="2E17ECA7"/>
    <w:multiLevelType w:val="hybridMultilevel"/>
    <w:lvl w:ilvl="0">
      <w:lvlJc w:val="left"/>
      <w:lvlText w:val="(%1)"/>
      <w:numFmt w:val="lowerLetter"/>
      <w:start w:val="13"/>
    </w:lvl>
    <w:lvl w:ilvl="1">
      <w:lvlJc w:val="left"/>
      <w:lvlText w:val="(%2)"/>
      <w:numFmt w:val="lowerRoman"/>
      <w:start w:val="1"/>
    </w:lvl>
  </w:abstractNum>
  <w:abstractNum w:abstractNumId="287">
    <w:nsid w:val="53B2564F"/>
    <w:multiLevelType w:val="hybridMultilevel"/>
    <w:lvl w:ilvl="0">
      <w:lvlJc w:val="left"/>
      <w:lvlText w:val="(%1)"/>
      <w:numFmt w:val="lowerRoman"/>
      <w:start w:val="3"/>
    </w:lvl>
  </w:abstractNum>
  <w:abstractNum w:abstractNumId="288">
    <w:nsid w:val="75509D76"/>
    <w:multiLevelType w:val="hybridMultilevel"/>
    <w:lvl w:ilvl="0">
      <w:lvlJc w:val="left"/>
      <w:lvlText w:val="%1"/>
      <w:numFmt w:val="lowerLetter"/>
      <w:start w:val="1"/>
    </w:lvl>
    <w:lvl w:ilvl="1">
      <w:lvlJc w:val="left"/>
      <w:lvlText w:val="(%2)"/>
      <w:numFmt w:val="lowerRoman"/>
      <w:start w:val="7"/>
    </w:lvl>
  </w:abstractNum>
  <w:abstractNum w:abstractNumId="289">
    <w:nsid w:val="1AF7F0EA"/>
    <w:multiLevelType w:val="hybridMultilevel"/>
    <w:lvl w:ilvl="0">
      <w:lvlJc w:val="left"/>
      <w:lvlText w:val="(%1)"/>
      <w:numFmt w:val="lowerLetter"/>
      <w:start w:val="15"/>
    </w:lvl>
    <w:lvl w:ilvl="1">
      <w:lvlJc w:val="left"/>
      <w:lvlText w:val="%2"/>
      <w:numFmt w:val="lowerRoman"/>
      <w:start w:val="1"/>
    </w:lvl>
  </w:abstractNum>
  <w:abstractNum w:abstractNumId="290">
    <w:nsid w:val="4DA32C7E"/>
    <w:multiLevelType w:val="hybridMultilevel"/>
    <w:lvl w:ilvl="0">
      <w:lvlJc w:val="left"/>
      <w:lvlText w:val="%1"/>
      <w:numFmt w:val="decimal"/>
      <w:start w:val="1"/>
    </w:lvl>
    <w:lvl w:ilvl="1">
      <w:lvlJc w:val="left"/>
      <w:lvlText w:val="(%2)"/>
      <w:numFmt w:val="lowerLetter"/>
      <w:start w:val="17"/>
    </w:lvl>
  </w:abstractNum>
  <w:abstractNum w:abstractNumId="291">
    <w:nsid w:val="6EC68664"/>
    <w:multiLevelType w:val="hybridMultilevel"/>
    <w:lvl w:ilvl="0">
      <w:lvlJc w:val="left"/>
      <w:lvlText w:val="%1."/>
      <w:numFmt w:val="decimal"/>
      <w:start w:val="5"/>
    </w:lvl>
    <w:lvl w:ilvl="1">
      <w:lvlJc w:val="left"/>
      <w:lvlText w:val="(%2)"/>
      <w:numFmt w:val="lowerLetter"/>
      <w:start w:val="1"/>
    </w:lvl>
  </w:abstractNum>
  <w:abstractNum w:abstractNumId="292">
    <w:nsid w:val="E0D31F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3">
    <w:nsid w:val="2FD0AD81"/>
    <w:multiLevelType w:val="hybridMultilevel"/>
    <w:lvl w:ilvl="0">
      <w:lvlJc w:val="left"/>
      <w:lvlText w:val="(%1)"/>
      <w:numFmt w:val="lowerRoman"/>
      <w:start w:val="7"/>
    </w:lvl>
  </w:abstractNum>
  <w:abstractNum w:abstractNumId="294">
    <w:nsid w:val="1978EBEB"/>
    <w:multiLevelType w:val="hybridMultilevel"/>
    <w:lvl w:ilvl="0">
      <w:lvlJc w:val="left"/>
      <w:lvlText w:val="%1."/>
      <w:numFmt w:val="decimal"/>
      <w:start w:val="7"/>
    </w:lvl>
  </w:abstractNum>
  <w:abstractNum w:abstractNumId="295">
    <w:nsid w:val="52C12C61"/>
    <w:multiLevelType w:val="hybridMultilevel"/>
    <w:lvl w:ilvl="0">
      <w:lvlJc w:val="left"/>
      <w:lvlText w:val="%1."/>
      <w:numFmt w:val="decimal"/>
      <w:start w:val="8"/>
    </w:lvl>
    <w:lvl w:ilvl="1">
      <w:lvlJc w:val="left"/>
      <w:lvlText w:val="(%2)"/>
      <w:numFmt w:val="lowerLetter"/>
      <w:start w:val="1"/>
    </w:lvl>
  </w:abstractNum>
  <w:abstractNum w:abstractNumId="296">
    <w:nsid w:val="4BDD53FD"/>
    <w:multiLevelType w:val="hybridMultilevel"/>
    <w:lvl w:ilvl="0">
      <w:lvlJc w:val="left"/>
      <w:lvlText w:val="(%1)"/>
      <w:numFmt w:val="lowerLetter"/>
      <w:start w:val="2"/>
    </w:lvl>
  </w:abstractNum>
  <w:abstractNum w:abstractNumId="297">
    <w:nsid w:val="569951FE"/>
    <w:multiLevelType w:val="hybridMultilevel"/>
    <w:lvl w:ilvl="0">
      <w:lvlJc w:val="left"/>
      <w:lvlText w:val="(%1)"/>
      <w:numFmt w:val="lowerLetter"/>
      <w:start w:val="5"/>
    </w:lvl>
  </w:abstractNum>
  <w:abstractNum w:abstractNumId="298">
    <w:nsid w:val="4C54E2C3"/>
    <w:multiLevelType w:val="hybridMultilevel"/>
    <w:lvl w:ilvl="0">
      <w:lvlJc w:val="left"/>
      <w:lvlText w:val="(%1)"/>
      <w:numFmt w:val="lowerLetter"/>
      <w:start w:val="6"/>
    </w:lvl>
  </w:abstractNum>
  <w:abstractNum w:abstractNumId="299">
    <w:nsid w:val="788BD9B"/>
    <w:multiLevelType w:val="hybridMultilevel"/>
    <w:lvl w:ilvl="0">
      <w:lvlJc w:val="left"/>
      <w:lvlText w:val="(%1)"/>
      <w:numFmt w:val="lowerLetter"/>
      <w:start w:val="7"/>
    </w:lvl>
  </w:abstractNum>
  <w:abstractNum w:abstractNumId="300">
    <w:nsid w:val="47CAA567"/>
    <w:multiLevelType w:val="hybridMultilevel"/>
    <w:lvl w:ilvl="0">
      <w:lvlJc w:val="left"/>
      <w:lvlText w:val="%1"/>
      <w:numFmt w:val="lowerRoman"/>
      <w:start w:val="1"/>
    </w:lvl>
    <w:lvl w:ilvl="1">
      <w:lvlJc w:val="left"/>
      <w:lvlText w:val="(%2)"/>
      <w:numFmt w:val="lowerLetter"/>
      <w:start w:val="10"/>
    </w:lvl>
    <w:lvl w:ilvl="2">
      <w:lvlJc w:val="left"/>
      <w:lvlText w:val="(%3)"/>
      <w:numFmt w:val="lowerLetter"/>
      <w:start w:val="9"/>
    </w:lvl>
  </w:abstractNum>
  <w:abstractNum w:abstractNumId="301">
    <w:nsid w:val="48249DB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02">
    <w:nsid w:val="1F0E5D0D"/>
    <w:multiLevelType w:val="hybridMultilevel"/>
    <w:lvl w:ilvl="0">
      <w:lvlJc w:val="left"/>
      <w:lvlText w:val="%1"/>
      <w:numFmt w:val="lowerLetter"/>
      <w:start w:val="1"/>
    </w:lvl>
    <w:lvl w:ilvl="1">
      <w:lvlJc w:val="left"/>
      <w:lvlText w:val="(%2)"/>
      <w:numFmt w:val="lowerRoman"/>
      <w:start w:val="3"/>
    </w:lvl>
  </w:abstractNum>
  <w:abstractNum w:abstractNumId="303">
    <w:nsid w:val="26BAAE9"/>
    <w:multiLevelType w:val="hybridMultilevel"/>
    <w:lvl w:ilvl="0">
      <w:lvlJc w:val="left"/>
      <w:lvlText w:val="(%1)"/>
      <w:numFmt w:val="lowerLetter"/>
      <w:start w:val="12"/>
    </w:lvl>
    <w:lvl w:ilvl="1">
      <w:lvlJc w:val="left"/>
      <w:lvlText w:val="%2"/>
      <w:numFmt w:val="lowerRoman"/>
      <w:start w:val="1"/>
    </w:lvl>
  </w:abstractNum>
  <w:abstractNum w:abstractNumId="304">
    <w:nsid w:val="2C02FE8C"/>
    <w:multiLevelType w:val="hybridMultilevel"/>
    <w:lvl w:ilvl="0">
      <w:lvlJc w:val="left"/>
      <w:lvlText w:val="(%1)"/>
      <w:numFmt w:val="lowerLetter"/>
      <w:start w:val="13"/>
    </w:lvl>
  </w:abstractNum>
  <w:abstractNum w:abstractNumId="305">
    <w:nsid w:val="129517E"/>
    <w:multiLevelType w:val="hybridMultilevel"/>
    <w:lvl w:ilvl="0">
      <w:lvlJc w:val="left"/>
      <w:lvlText w:val="(%1)"/>
      <w:numFmt w:val="lowerLetter"/>
      <w:start w:val="16"/>
    </w:lvl>
  </w:abstractNum>
  <w:abstractNum w:abstractNumId="306">
    <w:nsid w:val="763B8C4E"/>
    <w:multiLevelType w:val="hybridMultilevel"/>
    <w:lvl w:ilvl="0">
      <w:lvlJc w:val="left"/>
      <w:lvlText w:val="A"/>
      <w:numFmt w:val="bullet"/>
      <w:start w:val="1"/>
    </w:lvl>
    <w:lvl w:ilvl="1">
      <w:lvlJc w:val="left"/>
      <w:lvlText w:val="(%2)"/>
      <w:numFmt w:val="decimal"/>
      <w:start w:val="1"/>
    </w:lvl>
  </w:abstractNum>
  <w:abstractNum w:abstractNumId="307">
    <w:nsid w:val="4CFB8D32"/>
    <w:multiLevelType w:val="hybridMultilevel"/>
    <w:lvl w:ilvl="0">
      <w:lvlJc w:val="left"/>
      <w:lvlText w:val="%1"/>
      <w:numFmt w:val="upperLetter"/>
      <w:start w:val="1"/>
    </w:lvl>
    <w:lvl w:ilvl="1">
      <w:lvlJc w:val="left"/>
      <w:lvlText w:val="(%2)"/>
      <w:numFmt w:val="decimal"/>
      <w:start w:val="3"/>
    </w:lvl>
  </w:abstractNum>
  <w:abstractNum w:abstractNumId="308">
    <w:nsid w:val="62A5D5BD"/>
    <w:multiLevelType w:val="hybridMultilevel"/>
    <w:lvl w:ilvl="0">
      <w:lvlJc w:val="left"/>
      <w:lvlText w:val="%1."/>
      <w:numFmt w:val="upperLetter"/>
      <w:start w:val="2"/>
    </w:lvl>
    <w:lvl w:ilvl="1">
      <w:lvlJc w:val="left"/>
      <w:lvlText w:val="%2"/>
      <w:numFmt w:val="decimal"/>
      <w:start w:val="1"/>
    </w:lvl>
  </w:abstractNum>
  <w:abstractNum w:abstractNumId="309">
    <w:nsid w:val="718FABF9"/>
    <w:multiLevelType w:val="hybridMultilevel"/>
    <w:lvl w:ilvl="0">
      <w:lvlJc w:val="left"/>
      <w:lvlText w:val="%1."/>
      <w:numFmt w:val="lowerLetter"/>
      <w:start w:val="3"/>
    </w:lvl>
  </w:abstractNum>
  <w:abstractNum w:abstractNumId="310">
    <w:nsid w:val="7775797C"/>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311">
    <w:nsid w:val="1626FB8C"/>
    <w:multiLevelType w:val="hybridMultilevel"/>
    <w:lvl w:ilvl="0">
      <w:lvlJc w:val="left"/>
      <w:lvlText w:val="%1."/>
      <w:numFmt w:val="decimal"/>
      <w:start w:val="2"/>
    </w:lvl>
  </w:abstractNum>
  <w:abstractNum w:abstractNumId="312">
    <w:nsid w:val="3957756A"/>
    <w:multiLevelType w:val="hybridMultilevel"/>
    <w:lvl w:ilvl="0">
      <w:lvlJc w:val="left"/>
      <w:lvlText w:val="%1"/>
      <w:numFmt w:val="upperLetter"/>
      <w:start w:val="1"/>
    </w:lvl>
    <w:lvl w:ilvl="1">
      <w:lvlJc w:val="left"/>
      <w:lvlText w:val="%2."/>
      <w:numFmt w:val="decimal"/>
      <w:start w:val="5"/>
    </w:lvl>
  </w:abstractNum>
  <w:abstractNum w:abstractNumId="313">
    <w:nsid w:val="3E6DA1C7"/>
    <w:multiLevelType w:val="hybridMultilevel"/>
    <w:lvl w:ilvl="0">
      <w:lvlJc w:val="left"/>
      <w:lvlText w:val="%1."/>
      <w:numFmt w:val="upperLetter"/>
      <w:start w:val="7"/>
    </w:lvl>
    <w:lvl w:ilvl="1">
      <w:lvlJc w:val="left"/>
      <w:lvlText w:val="%2"/>
      <w:numFmt w:val="decimal"/>
      <w:start w:val="1"/>
    </w:lvl>
  </w:abstractNum>
  <w:abstractNum w:abstractNumId="314">
    <w:nsid w:val="65CA235B"/>
    <w:multiLevelType w:val="hybridMultilevel"/>
    <w:lvl w:ilvl="0">
      <w:lvlJc w:val="left"/>
      <w:lvlText w:val="%1."/>
      <w:numFmt w:val="upperLetter"/>
      <w:start w:val="9"/>
    </w:lvl>
  </w:abstractNum>
  <w:abstractNum w:abstractNumId="315">
    <w:nsid w:val="51CB0DA4"/>
    <w:multiLevelType w:val="hybridMultilevel"/>
    <w:lvl w:ilvl="0">
      <w:lvlJc w:val="left"/>
      <w:lvlText w:val="%1."/>
      <w:numFmt w:val="upperLetter"/>
      <w:start w:val="8"/>
    </w:lvl>
  </w:abstractNum>
  <w:abstractNum w:abstractNumId="316">
    <w:nsid w:val="7B9B743C"/>
    <w:multiLevelType w:val="hybridMultilevel"/>
    <w:lvl w:ilvl="0">
      <w:lvlJc w:val="left"/>
      <w:lvlText w:val="%1."/>
      <w:numFmt w:val="upperLetter"/>
      <w:start w:val="11"/>
    </w:lvl>
  </w:abstractNum>
  <w:abstractNum w:abstractNumId="317">
    <w:nsid w:val="13E21002"/>
    <w:multiLevelType w:val="hybridMultilevel"/>
    <w:lvl w:ilvl="0">
      <w:lvlJc w:val="left"/>
      <w:lvlText w:val="(%1)"/>
      <w:numFmt w:val="upperLetter"/>
      <w:start w:val="1"/>
    </w:lvl>
  </w:abstractNum>
  <w:abstractNum w:abstractNumId="318">
    <w:nsid w:val="257D63F4"/>
    <w:multiLevelType w:val="hybridMultilevel"/>
    <w:lvl w:ilvl="0">
      <w:lvlJc w:val="left"/>
      <w:lvlText w:val="(%1)"/>
      <w:numFmt w:val="upperLetter"/>
      <w:start w:val="4"/>
    </w:lvl>
  </w:abstractNum>
  <w:abstractNum w:abstractNumId="319">
    <w:nsid w:val="70EC11B2"/>
    <w:multiLevelType w:val="hybridMultilevel"/>
    <w:lvl w:ilvl="0">
      <w:lvlJc w:val="left"/>
      <w:lvlText w:val="(%1)"/>
      <w:numFmt w:val="upperLetter"/>
      <w:start w:val="6"/>
    </w:lvl>
  </w:abstractNum>
  <w:abstractNum w:abstractNumId="320">
    <w:nsid w:val="2EDA00ED"/>
    <w:multiLevelType w:val="hybridMultilevel"/>
    <w:lvl w:ilvl="0">
      <w:lvlJc w:val="left"/>
      <w:lvlText w:val="%1."/>
      <w:numFmt w:val="decimal"/>
      <w:start w:val="1"/>
    </w:lvl>
  </w:abstractNum>
  <w:abstractNum w:abstractNumId="321">
    <w:nsid w:val="73209072"/>
    <w:multiLevelType w:val="hybridMultilevel"/>
    <w:lvl w:ilvl="0">
      <w:lvlJc w:val="left"/>
      <w:lvlText w:val="%1."/>
      <w:numFmt w:val="decimal"/>
      <w:start w:val="2"/>
    </w:lvl>
  </w:abstractNum>
  <w:abstractNum w:abstractNumId="322">
    <w:nsid w:val="5FB2981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2020-01-22T03:38:34Z</dcterms:created>
  <dcterms:modified xsi:type="dcterms:W3CDTF">2020-01-22T03:38:34Z</dcterms:modified>
</cp:coreProperties>
</file>