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20,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1420" w:type="dxa"/>
            <w:vAlign w:val="bottom"/>
            <w:gridSpan w:val="2"/>
          </w:tcPr>
          <w:p>
            <w:pPr>
              <w:spacing w:after="0"/>
              <w:rPr>
                <w:sz w:val="17"/>
                <w:szCs w:val="17"/>
                <w:color w:val="auto"/>
              </w:rPr>
            </w:pPr>
          </w:p>
        </w:tc>
        <w:tc>
          <w:tcPr>
            <w:tcW w:w="4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3200 Southwest Freeway</w:t>
            </w:r>
          </w:p>
        </w:tc>
        <w:tc>
          <w:tcPr>
            <w:tcW w:w="1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2380" w:type="dxa"/>
            <w:vAlign w:val="bottom"/>
            <w:gridSpan w:val="4"/>
          </w:tcPr>
          <w:p>
            <w:pPr>
              <w:jc w:val="center"/>
              <w:ind w:right="1200"/>
              <w:spacing w:after="0"/>
              <w:rPr>
                <w:sz w:val="20"/>
                <w:szCs w:val="20"/>
                <w:color w:val="auto"/>
              </w:rPr>
            </w:pPr>
            <w:r>
              <w:rPr>
                <w:rFonts w:ascii="Arial" w:cs="Arial" w:eastAsia="Arial" w:hAnsi="Arial"/>
                <w:sz w:val="18"/>
                <w:szCs w:val="18"/>
                <w:b w:val="1"/>
                <w:bCs w:val="1"/>
                <w:color w:val="auto"/>
                <w:w w:val="87"/>
              </w:rPr>
              <w:t>Suite 2240</w:t>
            </w:r>
          </w:p>
        </w:tc>
        <w:tc>
          <w:tcPr>
            <w:tcW w:w="1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98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8"/>
              </w:rPr>
              <w:t>Houston, Texas</w:t>
            </w:r>
          </w:p>
        </w:tc>
        <w:tc>
          <w:tcPr>
            <w:tcW w:w="1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40" w:type="dxa"/>
            <w:vAlign w:val="bottom"/>
            <w:gridSpan w:val="4"/>
          </w:tcPr>
          <w:p>
            <w:pPr>
              <w:jc w:val="right"/>
              <w:ind w:right="220"/>
              <w:spacing w:after="0" w:line="188"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60" w:type="dxa"/>
            <w:vAlign w:val="bottom"/>
            <w:gridSpan w:val="5"/>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60" w:type="dxa"/>
            <w:vAlign w:val="bottom"/>
            <w:gridSpan w:val="5"/>
          </w:tcPr>
          <w:p>
            <w:pPr>
              <w:jc w:val="center"/>
              <w:ind w:right="22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3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60" w:type="dxa"/>
            <w:vAlign w:val="bottom"/>
          </w:tcPr>
          <w:p>
            <w:pPr>
              <w:spacing w:after="0"/>
              <w:rPr>
                <w:sz w:val="24"/>
                <w:szCs w:val="24"/>
                <w:color w:val="auto"/>
              </w:rPr>
            </w:pPr>
          </w:p>
        </w:tc>
        <w:tc>
          <w:tcPr>
            <w:tcW w:w="2300" w:type="dxa"/>
            <w:vAlign w:val="bottom"/>
          </w:tcPr>
          <w:p>
            <w:pPr>
              <w:jc w:val="center"/>
              <w:ind w:right="29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60" w:type="dxa"/>
            <w:vAlign w:val="bottom"/>
            <w:tcBorders>
              <w:bottom w:val="single" w:sz="8" w:color="auto"/>
            </w:tcBorders>
          </w:tcPr>
          <w:p>
            <w:pPr>
              <w:jc w:val="center"/>
              <w:ind w:right="1010"/>
              <w:spacing w:after="0"/>
              <w:rPr>
                <w:sz w:val="20"/>
                <w:szCs w:val="20"/>
                <w:color w:val="auto"/>
              </w:rPr>
            </w:pPr>
            <w:r>
              <w:rPr>
                <w:rFonts w:ascii="Arial" w:cs="Arial" w:eastAsia="Arial" w:hAnsi="Arial"/>
                <w:sz w:val="18"/>
                <w:szCs w:val="18"/>
                <w:color w:val="auto"/>
                <w:w w:val="90"/>
              </w:rPr>
              <w:t>Title of each class</w:t>
            </w:r>
          </w:p>
        </w:tc>
        <w:tc>
          <w:tcPr>
            <w:tcW w:w="230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color w:val="auto"/>
                <w:w w:val="91"/>
              </w:rPr>
              <w:t>Symbol(s)</w:t>
            </w:r>
          </w:p>
        </w:tc>
        <w:tc>
          <w:tcPr>
            <w:tcW w:w="4360" w:type="dxa"/>
            <w:vAlign w:val="bottom"/>
            <w:tcBorders>
              <w:bottom w:val="single" w:sz="8" w:color="auto"/>
            </w:tcBorders>
          </w:tcPr>
          <w:p>
            <w:pPr>
              <w:jc w:val="center"/>
              <w:ind w:left="63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60" w:type="dxa"/>
            <w:vAlign w:val="bottom"/>
          </w:tcPr>
          <w:p>
            <w:pPr>
              <w:jc w:val="center"/>
              <w:ind w:right="990"/>
              <w:spacing w:after="0"/>
              <w:rPr>
                <w:sz w:val="20"/>
                <w:szCs w:val="20"/>
                <w:color w:val="auto"/>
              </w:rPr>
            </w:pPr>
            <w:r>
              <w:rPr>
                <w:rFonts w:ascii="Arial" w:cs="Arial" w:eastAsia="Arial" w:hAnsi="Arial"/>
                <w:sz w:val="18"/>
                <w:szCs w:val="18"/>
                <w:color w:val="auto"/>
                <w:w w:val="89"/>
              </w:rPr>
              <w:t>Common Stock, par value $0.001 per share</w:t>
            </w:r>
          </w:p>
        </w:tc>
        <w:tc>
          <w:tcPr>
            <w:tcW w:w="2300" w:type="dxa"/>
            <w:vAlign w:val="bottom"/>
          </w:tcPr>
          <w:p>
            <w:pPr>
              <w:jc w:val="center"/>
              <w:ind w:right="270"/>
              <w:spacing w:after="0"/>
              <w:rPr>
                <w:sz w:val="20"/>
                <w:szCs w:val="20"/>
                <w:color w:val="auto"/>
              </w:rPr>
            </w:pPr>
            <w:r>
              <w:rPr>
                <w:rFonts w:ascii="Arial" w:cs="Arial" w:eastAsia="Arial" w:hAnsi="Arial"/>
                <w:sz w:val="18"/>
                <w:szCs w:val="18"/>
                <w:color w:val="auto"/>
              </w:rPr>
              <w:t>MRKR</w:t>
            </w:r>
          </w:p>
        </w:tc>
        <w:tc>
          <w:tcPr>
            <w:tcW w:w="4360" w:type="dxa"/>
            <w:vAlign w:val="bottom"/>
          </w:tcPr>
          <w:p>
            <w:pPr>
              <w:jc w:val="center"/>
              <w:ind w:left="63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On June 20, 2019, Marker Therapeutics, Inc. (the “Company”) issued a press release announcing an oral presentation on updated data from a Phase 1/2 trial in pancreatic cancer led by Baylor College of Medicine. The data will be presented at the American Association for Cancer Research’s Immune Cell Therapies for Cancer: Successes and Challenges of CAR T Cells and Other Forms of Adoptive Therapy conference on July 20, 2019. The Company also will host a presentation following the conference on July 22, 2019 at 1:30 p.m. PST, the webcast of which will be available on the Investors section of the Company’s website at </w:t>
      </w:r>
      <w:r>
        <w:rPr>
          <w:rFonts w:ascii="Arial" w:cs="Arial" w:eastAsia="Arial" w:hAnsi="Arial"/>
          <w:sz w:val="18"/>
          <w:szCs w:val="18"/>
          <w:i w:val="1"/>
          <w:iCs w:val="1"/>
          <w:color w:val="auto"/>
        </w:rPr>
        <w:t>https://www.markertherapeutics.com</w:t>
      </w:r>
      <w:r>
        <w:rPr>
          <w:rFonts w:ascii="Arial" w:cs="Arial" w:eastAsia="Arial" w:hAnsi="Arial"/>
          <w:sz w:val="18"/>
          <w:szCs w:val="18"/>
          <w:color w:val="auto"/>
        </w:rPr>
        <w:t>. A copy of that press release is furnished herewith as Exhibit 99.1 and is incorporated herein by reference.</w:t>
      </w:r>
    </w:p>
    <w:p>
      <w:pPr>
        <w:spacing w:after="0" w:line="19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spacing w:after="0"/>
        <w:tabs>
          <w:tab w:leader="none" w:pos="58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25" w:lineRule="exact"/>
        <w:rPr>
          <w:sz w:val="20"/>
          <w:szCs w:val="20"/>
          <w:color w:val="auto"/>
        </w:rPr>
      </w:pPr>
    </w:p>
    <w:p>
      <w:pPr>
        <w:ind w:left="420"/>
        <w:spacing w:after="0"/>
        <w:tabs>
          <w:tab w:leader="none" w:pos="11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issued on June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80"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 on this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June, 2019.</w:t>
      </w:r>
    </w:p>
    <w:p>
      <w:pPr>
        <w:spacing w:after="0" w:line="4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MARKER THERAPEUTICS,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Kim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Anthony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80"/>
          </w:cols>
          <w:pgMar w:left="240" w:top="904" w:right="4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938020" cy="43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802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Marker Therapeutics to Report Updated Results from Phase 1/2 Trial with MultiTAA Therapy in Patients with Pancreatic Adenocarcinoma</w:t>
      </w:r>
    </w:p>
    <w:p>
      <w:pPr>
        <w:spacing w:after="0" w:line="241" w:lineRule="exact"/>
        <w:rPr>
          <w:sz w:val="20"/>
          <w:szCs w:val="20"/>
          <w:color w:val="auto"/>
        </w:rPr>
      </w:pPr>
    </w:p>
    <w:p>
      <w:pPr>
        <w:jc w:val="center"/>
        <w:ind w:left="260" w:right="140"/>
        <w:spacing w:after="0" w:line="277" w:lineRule="auto"/>
        <w:rPr>
          <w:sz w:val="20"/>
          <w:szCs w:val="20"/>
          <w:color w:val="auto"/>
        </w:rPr>
      </w:pPr>
      <w:r>
        <w:rPr>
          <w:rFonts w:ascii="Arial" w:cs="Arial" w:eastAsia="Arial" w:hAnsi="Arial"/>
          <w:sz w:val="18"/>
          <w:szCs w:val="18"/>
          <w:i w:val="1"/>
          <w:iCs w:val="1"/>
          <w:color w:val="auto"/>
        </w:rPr>
        <w:t>Data selected for oral presentation during a plenary session at AACR’s Immune Cell Therapies for Cancer: Successes and Challenges of CAR T Cells and Other Forms of Adoptive Therapy Conference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host investor event and webcast on Monday, July 22</w:t>
      </w:r>
    </w:p>
    <w:p>
      <w:pPr>
        <w:spacing w:after="0" w:line="2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Houston, TX – June 20, 2019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Marker Therapeutics, Inc.</w:t>
      </w:r>
      <w:r>
        <w:rPr>
          <w:rFonts w:ascii="Arial" w:cs="Arial" w:eastAsia="Arial" w:hAnsi="Arial"/>
          <w:sz w:val="16"/>
          <w:szCs w:val="16"/>
          <w:b w:val="1"/>
          <w:bCs w:val="1"/>
          <w:color w:val="auto"/>
        </w:rPr>
        <w:t xml:space="preserve"> </w:t>
      </w:r>
      <w:r>
        <w:rPr>
          <w:rFonts w:ascii="Arial" w:cs="Arial" w:eastAsia="Arial" w:hAnsi="Arial"/>
          <w:sz w:val="16"/>
          <w:szCs w:val="16"/>
          <w:color w:val="auto"/>
        </w:rPr>
        <w:t>(Nasdaq:MRKR), a clinical-stage immuno-oncology company specializing in the development of</w:t>
      </w:r>
      <w:r>
        <w:rPr>
          <w:rFonts w:ascii="Arial" w:cs="Arial" w:eastAsia="Arial" w:hAnsi="Arial"/>
          <w:sz w:val="16"/>
          <w:szCs w:val="16"/>
          <w:b w:val="1"/>
          <w:bCs w:val="1"/>
          <w:color w:val="auto"/>
        </w:rPr>
        <w:t xml:space="preserve"> </w:t>
      </w:r>
      <w:r>
        <w:rPr>
          <w:rFonts w:ascii="Arial" w:cs="Arial" w:eastAsia="Arial" w:hAnsi="Arial"/>
          <w:sz w:val="16"/>
          <w:szCs w:val="16"/>
          <w:color w:val="auto"/>
        </w:rPr>
        <w:t>next-generation T cell-based immunotherapies for the treatment of hematological malignancies and solid tumor indications, today announced that updated clinical data from an investigator-sponsored Phase 1/2 trial led by Baylor College of Medicine were selected for oral presentation during a plenary session at the upcoming American Association for Cancer Research’s (AACR) Immune Cell Therapies for Cancer: Successes and Challenges of CAR T Cells and Other Forms of Adoptive Therapy conference. The data—which will also be presented in a poster session—will be reviewed by Brandon G. Smaglo, M.D., FACP, Assistant Professor, Medical Director of Hematology/Oncology at the Baylor College of Medicine, Houston, Texas.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Oral Presentation Details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w:t>
      </w:r>
      <w:r>
        <w:rPr>
          <w:rFonts w:ascii="Arial" w:cs="Arial" w:eastAsia="Arial" w:hAnsi="Arial"/>
          <w:sz w:val="18"/>
          <w:szCs w:val="18"/>
          <w:color w:val="auto"/>
        </w:rPr>
        <w:t>Targeting pancreatic cancer using nonengineered, multiantigen-specific T cells (TACTOPS)”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Saturday, July 20,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(Plenary Session #1)</w:t>
      </w:r>
      <w:r>
        <w:rPr>
          <w:rFonts w:ascii="Arial" w:cs="Arial" w:eastAsia="Arial" w:hAnsi="Arial"/>
          <w:sz w:val="18"/>
          <w:szCs w:val="18"/>
          <w:color w:val="auto"/>
        </w:rPr>
        <w:t>: 8:00 a.m. - 10:00 a.m. PST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Hyatt Regency, San Francisco, 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Poster Presentation Details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w:t>
      </w:r>
      <w:r>
        <w:rPr>
          <w:rFonts w:ascii="Arial" w:cs="Arial" w:eastAsia="Arial" w:hAnsi="Arial"/>
          <w:sz w:val="18"/>
          <w:szCs w:val="18"/>
          <w:color w:val="auto"/>
        </w:rPr>
        <w:t>Targeting pancreatic cancer using nonengineered, multiantigen-specific T cells (TACTOPS)”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Saturday, July 20,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(Poster Session A): </w:t>
      </w:r>
      <w:r>
        <w:rPr>
          <w:rFonts w:ascii="Arial" w:cs="Arial" w:eastAsia="Arial" w:hAnsi="Arial"/>
          <w:sz w:val="18"/>
          <w:szCs w:val="18"/>
          <w:color w:val="auto"/>
        </w:rPr>
        <w:t>12:30 p.m. – 2:30 p.m. PST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Hyatt Regency, San Francisco, 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Event</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those unable to attend the presentations at AACR, Marker will host a live investor event following the conference on Monday, July 22nd at 1:30 p.m. PST in San Francisco featuring Dr. Brandon Smaglo, as well as Marker senior management. A live webcast of the investor presentation will be available in the investors section of the Company’s website at https://www.markertherapeutics.com/ and will be available for replay following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cells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therapeutic product profile, as compared to current gene-modified CAR-T and TCR-based therapies.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Marker is also advancing a number of innovative peptide- and gene-based immuno-therapeutics for the treatment of metastatic solid tumors, including the Folate Receptor Alpha program (TPIV200) for breast and ovarian cancers and the HER2/neu program (TPIV100/110) for breast cancer, currently in Phase 2 clinical trials.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please call toll free at (904) 862-6490 or visit: </w:t>
      </w:r>
      <w:r>
        <w:rPr>
          <w:rFonts w:ascii="Arial" w:cs="Arial" w:eastAsia="Arial" w:hAnsi="Arial"/>
          <w:sz w:val="18"/>
          <w:szCs w:val="18"/>
          <w:u w:val="single" w:color="auto"/>
          <w:color w:val="auto"/>
        </w:rPr>
        <w:t>https://www.markertherapeutics.com/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https://markertherapeutics.com/email-alerts/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 us on Twitter </w:t>
      </w:r>
      <w:r>
        <w:rPr>
          <w:rFonts w:ascii="Arial" w:cs="Arial" w:eastAsia="Arial" w:hAnsi="Arial"/>
          <w:sz w:val="18"/>
          <w:szCs w:val="18"/>
          <w:u w:val="single" w:color="auto"/>
          <w:color w:val="auto"/>
        </w:rPr>
        <w:t>@MRKRTherapeutic</w:t>
      </w:r>
      <w:r>
        <w:rPr>
          <w:rFonts w:ascii="Arial" w:cs="Arial" w:eastAsia="Arial" w:hAnsi="Arial"/>
          <w:sz w:val="18"/>
          <w:szCs w:val="18"/>
          <w:color w:val="auto"/>
        </w:rPr>
        <w:t xml:space="preserve">, or follow us on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and development activities relating to our non-engineered multi-tumor antigen specific T cell therapies; our TPIV200 and TPIV100/110 programs; the effectiveness of these programs or the possible range of application and potential curative effects and safety in the treatment of diseases; and, the timing and success of our clinical trials, as well as clinical trials conducted by our collaborators.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396" w:lineRule="exact"/>
        <w:rPr>
          <w:sz w:val="20"/>
          <w:szCs w:val="20"/>
          <w:color w:val="auto"/>
        </w:rPr>
      </w:pPr>
    </w:p>
    <w:p>
      <w:pPr>
        <w:ind w:left="112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Chiara Russo</w:t>
      </w:r>
    </w:p>
    <w:p>
      <w:pPr>
        <w:spacing w:after="0" w:line="9" w:lineRule="exact"/>
        <w:rPr>
          <w:sz w:val="20"/>
          <w:szCs w:val="20"/>
          <w:color w:val="auto"/>
        </w:rPr>
      </w:pPr>
    </w:p>
    <w:p>
      <w:pPr>
        <w:ind w:right="962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221-9197 crusso@troutgroup.com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 Miles</w:t>
      </w:r>
    </w:p>
    <w:p>
      <w:pPr>
        <w:spacing w:after="0" w:line="9" w:lineRule="exact"/>
        <w:rPr>
          <w:sz w:val="20"/>
          <w:szCs w:val="20"/>
          <w:color w:val="auto"/>
        </w:rPr>
      </w:pPr>
    </w:p>
    <w:p>
      <w:pPr>
        <w:ind w:right="940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513-3125 bmiles@soleburytrout.com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23" w:lineRule="exact"/>
        <w:rPr>
          <w:sz w:val="20"/>
          <w:szCs w:val="20"/>
          <w:color w:val="auto"/>
        </w:rPr>
      </w:pPr>
    </w:p>
    <w:p>
      <w:pPr>
        <w:ind w:right="918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60"/>
      </w:cols>
      <w:pgMar w:left="240" w:top="90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617"/>
    </w:lvl>
  </w:abstractNum>
  <w:abstractNum w:abstractNumId="2">
    <w:nsid w:val="2AE8944A"/>
    <w:multiLevelType w:val="hybridMultilevel"/>
    <w:lvl w:ilvl="0">
      <w:lvlJc w:val="left"/>
      <w:lvlText w:val="(%1)"/>
      <w:numFmt w:val="decimal"/>
      <w:start w:val="646"/>
    </w:lvl>
  </w:abstractNum>
  <w:abstractNum w:abstractNumId="3">
    <w:nsid w:val="625558EC"/>
    <w:multiLevelType w:val="hybridMultilevel"/>
    <w:lvl w:ilvl="0">
      <w:lvlJc w:val="left"/>
      <w:lvlText w:val="(%1)"/>
      <w:numFmt w:val="decimal"/>
      <w:start w:val="91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2019-12-01T14:12:02Z</dcterms:created>
  <dcterms:modified xsi:type="dcterms:W3CDTF">2019-12-01T14:12:02Z</dcterms:modified>
</cp:coreProperties>
</file>