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4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3742690</wp:posOffset>
            </wp:positionH>
            <wp:positionV relativeFrom="paragraph">
              <wp:posOffset>-19050</wp:posOffset>
            </wp:positionV>
            <wp:extent cx="11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380" w:space="340"/>
            <w:col w:w="5159"/>
          </w:cols>
          <w:pgMar w:left="580" w:top="205" w:right="1440" w:bottom="1440" w:gutter="0" w:footer="0" w:header="0"/>
          <w:type w:val="continuous"/>
        </w:sectPr>
      </w:pP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879"/>
          </w:cols>
          <w:pgMar w:left="580" w:top="205" w:right="1440" w:bottom="1440" w:gutter="0" w:footer="0" w:header="0"/>
          <w:type w:val="continuous"/>
        </w:sectPr>
      </w:pPr>
    </w:p>
    <w:p>
      <w:pPr>
        <w:spacing w:after="0" w:line="225" w:lineRule="exact"/>
        <w:rPr>
          <w:sz w:val="24"/>
          <w:szCs w:val="24"/>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1940" w:hanging="680"/>
        <w:spacing w:after="0"/>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1940" w:right="419" w:hanging="680"/>
        <w:spacing w:after="0" w:line="249" w:lineRule="auto"/>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4513580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509905</wp:posOffset>
            </wp:positionV>
            <wp:extent cx="257175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4551 Kennedy Commerce Drive</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Houston, Texas 77032</w:t>
      </w:r>
    </w:p>
    <w:p>
      <w:pPr>
        <w:spacing w:after="0" w:line="8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June 6, 2023</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0"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 xml:space="preserve">a Delaware corporation (the “Company”). The meeting will be held on Tuesday, June 6, 2023 at 8:00 a.m. Central Time and will be a virtual stockholder meeting through which you can listen to the meeting, submit questions and vote online. You must register for the virtual meeting via </w:t>
      </w:r>
      <w:r>
        <w:rPr>
          <w:rFonts w:ascii="Times New Roman" w:cs="Times New Roman" w:eastAsia="Times New Roman" w:hAnsi="Times New Roman"/>
          <w:sz w:val="18"/>
          <w:szCs w:val="18"/>
          <w:i w:val="1"/>
          <w:iCs w:val="1"/>
          <w:color w:val="auto"/>
        </w:rPr>
        <w:t xml:space="preserve">http://viewproxy.com/markertherapeutics/2023/htype.asp </w:t>
      </w:r>
      <w:r>
        <w:rPr>
          <w:rFonts w:ascii="Times New Roman" w:cs="Times New Roman" w:eastAsia="Times New Roman" w:hAnsi="Times New Roman"/>
          <w:sz w:val="18"/>
          <w:szCs w:val="18"/>
          <w:color w:val="auto"/>
        </w:rPr>
        <w:t>no later than 11:59 p.m. Eastern Time on Monday,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5, 2023. The meeting will be held for the following purposes:</w:t>
      </w:r>
    </w:p>
    <w:p>
      <w:pPr>
        <w:spacing w:after="0" w:line="100" w:lineRule="exact"/>
        <w:rPr>
          <w:sz w:val="20"/>
          <w:szCs w:val="20"/>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five nominees for director to hold office until the next Annual Meeting of Stockholders.</w:t>
      </w:r>
    </w:p>
    <w:p>
      <w:pPr>
        <w:spacing w:after="0" w:line="6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6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indicate, on an advisory basis, the preferred frequency of future shareholder advisory votes on the compensation of the Company’s named executive officers.</w:t>
      </w:r>
    </w:p>
    <w:p>
      <w:pPr>
        <w:spacing w:after="0" w:line="80"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Marcum LLP as the independent registered public accounting firm of the Company for its fiscal year ending December 31, 2023.</w:t>
      </w:r>
    </w:p>
    <w:p>
      <w:pPr>
        <w:spacing w:after="0" w:line="8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4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10, 2023. Only stockholders of record at the close of business on that date may vote at the meeting or any adjournment thereof.</w:t>
      </w:r>
    </w:p>
    <w:p>
      <w:pPr>
        <w:spacing w:after="0" w:line="106" w:lineRule="exact"/>
        <w:rPr>
          <w:sz w:val="20"/>
          <w:szCs w:val="20"/>
          <w:color w:val="auto"/>
        </w:rPr>
      </w:pPr>
    </w:p>
    <w:tbl>
      <w:tblPr>
        <w:tblLayout w:type="fixed"/>
        <w:tblInd w:w="1270" w:type="dxa"/>
        <w:tblCellMar>
          <w:top w:w="0" w:type="dxa"/>
          <w:left w:w="0" w:type="dxa"/>
          <w:bottom w:w="0" w:type="dxa"/>
          <w:right w:w="0" w:type="dxa"/>
        </w:tblCellMar>
      </w:tblPr>
      <w:tr>
        <w:trPr>
          <w:trHeight w:val="252"/>
        </w:trPr>
        <w:tc>
          <w:tcPr>
            <w:tcW w:w="78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6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Important Notice Regarding the Availability of Proxy Materials</w:t>
            </w:r>
          </w:p>
        </w:tc>
        <w:tc>
          <w:tcPr>
            <w:tcW w:w="80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3"/>
        </w:trPr>
        <w:tc>
          <w:tcPr>
            <w:tcW w:w="780" w:type="dxa"/>
            <w:vAlign w:val="bottom"/>
            <w:tcBorders>
              <w:left w:val="single" w:sz="8" w:color="auto"/>
            </w:tcBorders>
          </w:tcPr>
          <w:p>
            <w:pPr>
              <w:spacing w:after="0"/>
              <w:rPr>
                <w:sz w:val="5"/>
                <w:szCs w:val="5"/>
                <w:color w:val="auto"/>
              </w:rPr>
            </w:pPr>
          </w:p>
        </w:tc>
        <w:tc>
          <w:tcPr>
            <w:tcW w:w="6640" w:type="dxa"/>
            <w:vAlign w:val="bottom"/>
            <w:vMerge w:val="continue"/>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6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for the Virtual Annual Meeting of Stockholders</w:t>
            </w: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tcBorders>
              <w:left w:val="single" w:sz="8" w:color="auto"/>
            </w:tcBorders>
          </w:tcPr>
          <w:p>
            <w:pPr>
              <w:spacing w:after="0"/>
              <w:rPr>
                <w:sz w:val="20"/>
                <w:szCs w:val="20"/>
                <w:color w:val="auto"/>
              </w:rPr>
            </w:pPr>
          </w:p>
        </w:tc>
        <w:tc>
          <w:tcPr>
            <w:tcW w:w="6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to Be Held on Tuesday, June 6, 2023 at 8:00 a.m. Central Time.</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780" w:type="dxa"/>
            <w:vAlign w:val="bottom"/>
            <w:tcBorders>
              <w:left w:val="single" w:sz="8" w:color="auto"/>
            </w:tcBorders>
          </w:tcPr>
          <w:p>
            <w:pPr>
              <w:spacing w:after="0"/>
              <w:rPr>
                <w:sz w:val="24"/>
                <w:szCs w:val="24"/>
                <w:color w:val="auto"/>
              </w:rPr>
            </w:pPr>
          </w:p>
        </w:tc>
        <w:tc>
          <w:tcPr>
            <w:tcW w:w="6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Register for the virtual Annual Meeting</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80" w:type="dxa"/>
            <w:vAlign w:val="bottom"/>
            <w:tcBorders>
              <w:left w:val="single" w:sz="8" w:color="auto"/>
            </w:tcBorders>
          </w:tcPr>
          <w:p>
            <w:pPr>
              <w:spacing w:after="0"/>
              <w:rPr>
                <w:sz w:val="20"/>
                <w:szCs w:val="20"/>
                <w:color w:val="auto"/>
              </w:rPr>
            </w:pPr>
          </w:p>
        </w:tc>
        <w:tc>
          <w:tcPr>
            <w:tcW w:w="6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 xml:space="preserve">via </w:t>
            </w:r>
            <w:r>
              <w:rPr>
                <w:rFonts w:ascii="Times New Roman" w:cs="Times New Roman" w:eastAsia="Times New Roman" w:hAnsi="Times New Roman"/>
                <w:sz w:val="18"/>
                <w:szCs w:val="18"/>
                <w:b w:val="1"/>
                <w:bCs w:val="1"/>
                <w:i w:val="1"/>
                <w:iCs w:val="1"/>
                <w:color w:val="auto"/>
                <w:w w:val="94"/>
              </w:rPr>
              <w:t>http://viewproxy.com/markertherapeutics/2023/htype.asp</w:t>
            </w:r>
            <w:r>
              <w:rPr>
                <w:rFonts w:ascii="Times New Roman" w:cs="Times New Roman" w:eastAsia="Times New Roman" w:hAnsi="Times New Roman"/>
                <w:sz w:val="18"/>
                <w:szCs w:val="18"/>
                <w:b w:val="1"/>
                <w:bCs w:val="1"/>
                <w:color w:val="auto"/>
                <w:w w:val="94"/>
              </w:rPr>
              <w:t>.</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tcBorders>
          </w:tcPr>
          <w:p>
            <w:pPr>
              <w:spacing w:after="0"/>
              <w:rPr>
                <w:sz w:val="24"/>
                <w:szCs w:val="24"/>
                <w:color w:val="auto"/>
              </w:rPr>
            </w:pPr>
          </w:p>
        </w:tc>
        <w:tc>
          <w:tcPr>
            <w:tcW w:w="6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80" w:type="dxa"/>
            <w:vAlign w:val="bottom"/>
            <w:tcBorders>
              <w:left w:val="single" w:sz="8" w:color="auto"/>
            </w:tcBorders>
          </w:tcPr>
          <w:p>
            <w:pPr>
              <w:spacing w:after="0"/>
              <w:rPr>
                <w:sz w:val="20"/>
                <w:szCs w:val="20"/>
                <w:color w:val="auto"/>
              </w:rPr>
            </w:pPr>
          </w:p>
        </w:tc>
        <w:tc>
          <w:tcPr>
            <w:tcW w:w="66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http://www.viewproxy.com/markertherapeutics/2023.</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814070" cy="368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140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J. Loiacono</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TX</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591820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400" w:right="519" w:hanging="134"/>
        <w:spacing w:after="0" w:line="241" w:lineRule="auto"/>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You are cordially invited to attend the virtual Annual Meeting. You will not be able to attend the Annual</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-1174115</wp:posOffset>
            </wp:positionV>
            <wp:extent cx="5212080" cy="1251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2515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6964680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5"/>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29"/>
        </w:trPr>
        <w:tc>
          <w:tcPr>
            <w:tcW w:w="20" w:type="dxa"/>
            <w:vAlign w:val="bottom"/>
          </w:tcPr>
          <w:p>
            <w:pPr>
              <w:spacing w:after="0"/>
              <w:rPr>
                <w:sz w:val="19"/>
                <w:szCs w:val="19"/>
                <w:color w:val="auto"/>
              </w:rPr>
            </w:pPr>
          </w:p>
        </w:tc>
        <w:tc>
          <w:tcPr>
            <w:tcW w:w="66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34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shd w:val="clear" w:color="auto" w:fill="CCEEFF"/>
              </w:rPr>
              <w:t xml:space="preserve">INFORMATION REGARDING THE BOARD OF DIRECTORS AND CORPORATE GOVERNANCE </w:t>
            </w:r>
            <w:r>
              <w:rPr>
                <w:rFonts w:ascii="Times New Roman" w:cs="Times New Roman" w:eastAsia="Times New Roman" w:hAnsi="Times New Roman"/>
                <w:sz w:val="18"/>
                <w:szCs w:val="18"/>
                <w:color w:val="000000"/>
                <w:shd w:val="clear" w:color="auto" w:fill="CCEEFF"/>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shd w:val="clear" w:color="auto" w:fill="CCEEFF"/>
              </w:rPr>
              <w:t>11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5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PROPOSAL 2 ADVISORY VOTE ON EXECUTIVE COMPENSATION</w:t>
            </w:r>
          </w:p>
        </w:tc>
        <w:tc>
          <w:tcPr>
            <w:tcW w:w="32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17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PROPOSAL 3 ADVISORY VOTE ON THE FREQUENCY OF SOLICITATION OF ADVISORY</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20" w:type="dxa"/>
            <w:vAlign w:val="bottom"/>
            <w:tcBorders>
              <w:top w:val="single" w:sz="8" w:color="0000EE"/>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EE"/>
              </w:rPr>
              <w:t>SHAREHOLDER APPROVAL OF EXECUTIVE COMPENSATION</w:t>
            </w:r>
          </w:p>
        </w:tc>
        <w:tc>
          <w:tcPr>
            <w:tcW w:w="2000" w:type="dxa"/>
            <w:vAlign w:val="bottom"/>
            <w:tcBorders>
              <w:top w:val="single" w:sz="8" w:color="0000EE"/>
            </w:tcBorders>
            <w:gridSpan w:val="6"/>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0000EE"/>
                <w:w w:val="77"/>
              </w:rPr>
              <w:t>18</w:t>
            </w: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63"/>
        </w:trPr>
        <w:tc>
          <w:tcPr>
            <w:tcW w:w="7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PROPOSAL 4 RATIFICATION OF SELECTION OF INDEPENDENT REGISTERED PUBLIC</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080" w:type="dxa"/>
            <w:vAlign w:val="bottom"/>
            <w:tcBorders>
              <w:top w:val="single" w:sz="8" w:color="0000EE"/>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EE"/>
              </w:rPr>
              <w:t>ACCOUNTING FIRM</w:t>
            </w:r>
          </w:p>
        </w:tc>
        <w:tc>
          <w:tcPr>
            <w:tcW w:w="540" w:type="dxa"/>
            <w:vAlign w:val="bottom"/>
            <w:gridSpan w:val="2"/>
          </w:tcPr>
          <w:p>
            <w:pPr>
              <w:spacing w:after="0"/>
              <w:rPr>
                <w:sz w:val="17"/>
                <w:szCs w:val="17"/>
                <w:color w:val="auto"/>
              </w:rPr>
            </w:pPr>
          </w:p>
        </w:tc>
        <w:tc>
          <w:tcPr>
            <w:tcW w:w="14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EE"/>
              </w:rPr>
              <w:t>19</w:t>
            </w: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2320" w:type="dxa"/>
            <w:vAlign w:val="bottom"/>
            <w:gridSpan w:val="3"/>
          </w:tcPr>
          <w:p>
            <w:pPr>
              <w:spacing w:after="0"/>
              <w:rPr>
                <w:sz w:val="24"/>
                <w:szCs w:val="24"/>
                <w:color w:val="auto"/>
              </w:rPr>
            </w:pPr>
          </w:p>
        </w:tc>
        <w:tc>
          <w:tcPr>
            <w:tcW w:w="1120" w:type="dxa"/>
            <w:vAlign w:val="bottom"/>
            <w:gridSpan w:val="2"/>
          </w:tcPr>
          <w:p>
            <w:pPr>
              <w:spacing w:after="0"/>
              <w:rPr>
                <w:sz w:val="24"/>
                <w:szCs w:val="24"/>
                <w:color w:val="auto"/>
              </w:rPr>
            </w:pPr>
          </w:p>
        </w:tc>
        <w:tc>
          <w:tcPr>
            <w:tcW w:w="840" w:type="dxa"/>
            <w:vAlign w:val="bottom"/>
            <w:gridSpan w:val="3"/>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20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20" w:type="dxa"/>
            <w:vAlign w:val="bottom"/>
          </w:tcPr>
          <w:p>
            <w:pPr>
              <w:spacing w:after="0"/>
              <w:rPr>
                <w:sz w:val="22"/>
                <w:szCs w:val="22"/>
                <w:color w:val="auto"/>
              </w:rPr>
            </w:pPr>
          </w:p>
        </w:tc>
        <w:tc>
          <w:tcPr>
            <w:tcW w:w="69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40" w:type="dxa"/>
            <w:vAlign w:val="bottom"/>
            <w:gridSpan w:val="3"/>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21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3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160" w:type="dxa"/>
            <w:vAlign w:val="bottom"/>
            <w:gridSpan w:val="2"/>
          </w:tcPr>
          <w:p>
            <w:pPr>
              <w:spacing w:after="0"/>
              <w:rPr>
                <w:sz w:val="22"/>
                <w:szCs w:val="22"/>
                <w:color w:val="auto"/>
              </w:rPr>
            </w:pPr>
          </w:p>
        </w:tc>
        <w:tc>
          <w:tcPr>
            <w:tcW w:w="2320" w:type="dxa"/>
            <w:vAlign w:val="bottom"/>
            <w:gridSpan w:val="3"/>
          </w:tcPr>
          <w:p>
            <w:pPr>
              <w:spacing w:after="0"/>
              <w:rPr>
                <w:sz w:val="22"/>
                <w:szCs w:val="22"/>
                <w:color w:val="auto"/>
              </w:rPr>
            </w:pPr>
          </w:p>
        </w:tc>
        <w:tc>
          <w:tcPr>
            <w:tcW w:w="1960" w:type="dxa"/>
            <w:vAlign w:val="bottom"/>
            <w:gridSpan w:val="5"/>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23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2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1000" w:type="dxa"/>
            <w:vAlign w:val="bottom"/>
            <w:gridSpan w:val="3"/>
          </w:tcPr>
          <w:p>
            <w:pPr>
              <w:spacing w:after="0"/>
              <w:rPr>
                <w:sz w:val="22"/>
                <w:szCs w:val="22"/>
                <w:color w:val="auto"/>
              </w:rPr>
            </w:pPr>
          </w:p>
        </w:tc>
        <w:tc>
          <w:tcPr>
            <w:tcW w:w="2320" w:type="dxa"/>
            <w:vAlign w:val="bottom"/>
            <w:gridSpan w:val="3"/>
          </w:tcPr>
          <w:p>
            <w:pPr>
              <w:spacing w:after="0"/>
              <w:rPr>
                <w:sz w:val="22"/>
                <w:szCs w:val="22"/>
                <w:color w:val="auto"/>
              </w:rPr>
            </w:pPr>
          </w:p>
        </w:tc>
        <w:tc>
          <w:tcPr>
            <w:tcW w:w="1960" w:type="dxa"/>
            <w:vAlign w:val="bottom"/>
            <w:gridSpan w:val="5"/>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24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2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1120" w:type="dxa"/>
            <w:vAlign w:val="bottom"/>
            <w:gridSpan w:val="4"/>
          </w:tcPr>
          <w:p>
            <w:pPr>
              <w:spacing w:after="0"/>
              <w:rPr>
                <w:sz w:val="22"/>
                <w:szCs w:val="22"/>
                <w:color w:val="auto"/>
              </w:rPr>
            </w:pPr>
          </w:p>
        </w:tc>
        <w:tc>
          <w:tcPr>
            <w:tcW w:w="2320" w:type="dxa"/>
            <w:vAlign w:val="bottom"/>
            <w:gridSpan w:val="3"/>
          </w:tcPr>
          <w:p>
            <w:pPr>
              <w:spacing w:after="0"/>
              <w:rPr>
                <w:sz w:val="22"/>
                <w:szCs w:val="22"/>
                <w:color w:val="auto"/>
              </w:rPr>
            </w:pPr>
          </w:p>
        </w:tc>
        <w:tc>
          <w:tcPr>
            <w:tcW w:w="1960" w:type="dxa"/>
            <w:vAlign w:val="bottom"/>
            <w:gridSpan w:val="5"/>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37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58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TRANSACTIONS WITH RELATED PERSONS AND INDEMNIFICATION</w:t>
            </w:r>
          </w:p>
        </w:tc>
        <w:tc>
          <w:tcPr>
            <w:tcW w:w="1960" w:type="dxa"/>
            <w:vAlign w:val="bottom"/>
            <w:gridSpan w:val="5"/>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39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35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4280" w:type="dxa"/>
            <w:vAlign w:val="bottom"/>
            <w:gridSpan w:val="8"/>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41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280" w:type="dxa"/>
            <w:vAlign w:val="bottom"/>
            <w:gridSpan w:val="15"/>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42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-2759710</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-2056765</wp:posOffset>
            </wp:positionV>
            <wp:extent cx="5212080"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31686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-1422400</wp:posOffset>
            </wp:positionV>
            <wp:extent cx="521208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521208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-702310</wp:posOffset>
            </wp:positionV>
            <wp:extent cx="52120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52120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1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4551 Kennedy Commerce Drive</w:t>
      </w:r>
    </w:p>
    <w:p>
      <w:pPr>
        <w:ind w:left="4560"/>
        <w:spacing w:after="0"/>
        <w:rPr>
          <w:sz w:val="20"/>
          <w:szCs w:val="20"/>
          <w:color w:val="auto"/>
        </w:rPr>
      </w:pPr>
      <w:r>
        <w:rPr>
          <w:rFonts w:ascii="Times New Roman" w:cs="Times New Roman" w:eastAsia="Times New Roman" w:hAnsi="Times New Roman"/>
          <w:sz w:val="18"/>
          <w:szCs w:val="18"/>
          <w:b w:val="1"/>
          <w:bCs w:val="1"/>
          <w:color w:val="auto"/>
        </w:rPr>
        <w:t>Houston, Texas 77032</w:t>
      </w:r>
    </w:p>
    <w:p>
      <w:pPr>
        <w:spacing w:after="0" w:line="1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2023 ANNUAL MEETING OF STOCKHOLDERS</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JUNE 6, 2023</w:t>
      </w:r>
    </w:p>
    <w:p>
      <w:pPr>
        <w:spacing w:after="0" w:line="20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35"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Marker Therapeutics, Inc. (sometimes referred to as the “Company” or “Marker”) is soliciting your proxy to vote at the 2023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2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intend to mail these proxy materials on or about April 28, 2023 to all stockholders of record entitled to vote at the Annual Meeting.</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35"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 xml:space="preserve">The Annual Meeting will be a virtual stockholder meeting through which you can listen to the meeting, submit questions and vote online. In order to attend the Annual Meeting, you must first register at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viewproxy.com/markertherapeutics/2023/htype.asp </w:t>
      </w:r>
      <w:r>
        <w:rPr>
          <w:rFonts w:ascii="Times New Roman" w:cs="Times New Roman" w:eastAsia="Times New Roman" w:hAnsi="Times New Roman"/>
          <w:sz w:val="18"/>
          <w:szCs w:val="18"/>
          <w:color w:val="auto"/>
        </w:rPr>
        <w:t>by 11:59 p.m. Eastern Time on Monday, June 5,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Please follow the instructions on the registration page. You will then receive a meeting invitation by email with your unique link to join the Annual Meeting along with a password prior to the meeting date. We recommend that you log on a few minutes before the Annual Meeting to ensure that you are logged in when the meeting begins. Information on how to vote online during the Annual Meeting is discussed below.</w:t>
      </w:r>
    </w:p>
    <w:p>
      <w:pPr>
        <w:spacing w:after="0" w:line="120"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We have decided to hold a virtual stockholder meeting to enable our stockholders to participate from any location around the world that is convenient to them. Stockholders that attend the virtual meeting will be afforded the same rights and opportunities to participate as they would at an in-person meeting. You will not be able to attend the Annual Meeting in person.</w:t>
      </w:r>
    </w:p>
    <w:p>
      <w:pPr>
        <w:spacing w:after="0" w:line="10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Both stockholders of record and street name stockholders will be able to attend the Annual Meeting via live audio webcast, submit their questions during the meeting and vote their shares electronically at the Annual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10, 2023 will be entitled to vote at the Annual Meeting. On this record date, there were 8,798,829 shares of common stock outstanding and entitled to vote.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If on April 10, 2023 your shares were registered directly in your name with Marker’s transfer agent, American Stock Transfer &amp;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If you are a registered holder, your virtual control number will be on your Notice of Internet Availability of Proxy Materials or proxy card.</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46"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If on April 10, 2023 your shares were held, not in your name, but rather in an account at a brokerage firm, bank or other similar organization, then you are the beneficial owner of shares held in “street name” and these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However, since you are not the stockholder of record, you may not vote your shares online during the Annual Meeting unless you request and obtain a legal proxy from your broker, bank or other agent. During the registration process, you will be asked to upload or email the legal proxy provided to you by your broker, bank or other agent. You are also invited to attend the Annual Meeting so long as you demonstrate proof of stock ownership. Instructions on how to demonstrate proof of stock ownership are posted at </w:t>
      </w:r>
      <w:r>
        <w:rPr>
          <w:rFonts w:ascii="Times New Roman" w:cs="Times New Roman" w:eastAsia="Times New Roman" w:hAnsi="Times New Roman"/>
          <w:sz w:val="18"/>
          <w:szCs w:val="18"/>
          <w:i w:val="1"/>
          <w:iCs w:val="1"/>
          <w:color w:val="auto"/>
        </w:rPr>
        <w:t>http:// viewproxy.com/markertherapeutics/2023/htype.asp</w:t>
      </w:r>
      <w:r>
        <w:rPr>
          <w:rFonts w:ascii="Times New Roman" w:cs="Times New Roman" w:eastAsia="Times New Roman" w:hAnsi="Times New Roman"/>
          <w:sz w:val="18"/>
          <w:szCs w:val="18"/>
          <w:color w:val="auto"/>
        </w:rPr>
        <w:t xml:space="preserve"> . On the day of the Annual Meeting, if you are a beneficial holder, you may vote during the meeting only if, during registration and in advance of the meeting, you emailed or uploaded a copy of your legal proxy to </w:t>
      </w:r>
      <w:r>
        <w:rPr>
          <w:rFonts w:ascii="Times New Roman" w:cs="Times New Roman" w:eastAsia="Times New Roman" w:hAnsi="Times New Roman"/>
          <w:sz w:val="18"/>
          <w:szCs w:val="18"/>
          <w:i w:val="1"/>
          <w:iCs w:val="1"/>
          <w:color w:val="auto"/>
        </w:rPr>
        <w:t>VirtualMeeting@viewproxy.com</w:t>
      </w:r>
      <w:r>
        <w:rPr>
          <w:rFonts w:ascii="Times New Roman" w:cs="Times New Roman" w:eastAsia="Times New Roman" w:hAnsi="Times New Roman"/>
          <w:sz w:val="18"/>
          <w:szCs w:val="18"/>
          <w:color w:val="auto"/>
        </w:rPr>
        <w:t xml:space="preserve"> as instructed below.</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117"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five directors (Proposal 1);</w:t>
      </w:r>
    </w:p>
    <w:p>
      <w:pPr>
        <w:spacing w:after="0" w:line="9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the Company’s named executive officers, as disclosed in this proxy statement (Proposal 2);</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indication of the preferred frequency of future shareholder advisory votes on the compensation of the Company’s named executive officers (Proposal 3); and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Committee of the Board of Directors of Marcum LLP as the independent registered public accounting firm of the Company for its fiscal year ending December 31, 2023 (Proposal 4).</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Proposals 2 and 4, you may vote “For” or “Against” or abstain from voting. With regard to Proposal 3, your advisory vote on how frequently we should solicit shareholder advisory approval of compensation of the Company’s named executive officers, you may vote for any one of the following: “One Year”, “Two Years” or “Three Years”, or you may abstain from voting.</w:t>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69" w:lineRule="exact"/>
        <w:rPr>
          <w:sz w:val="20"/>
          <w:szCs w:val="20"/>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you may vote using the link that will be provided on the virtual meeting screen, or you may visit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while the polls are open. In order to vote during the meeting, you will need your virtual control number, which will be on your Notice of Internet Availability of Proxy Materials or proxy card.</w:t>
      </w:r>
    </w:p>
    <w:p>
      <w:pPr>
        <w:spacing w:after="0" w:line="58"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1-866-804-9616 using a touch-tone phone and follow the recorded instructions. You will be asked to provide the virtual control number from your Notice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Internet Availability of Proxy Materials or proxy card. Your telephone vote must be received by 11:59 p.m. Eastern Time on Monday, June 5, 2023 to be counted.</w:t>
      </w:r>
    </w:p>
    <w:p>
      <w:pPr>
        <w:spacing w:after="0" w:line="38" w:lineRule="exact"/>
        <w:rPr>
          <w:sz w:val="20"/>
          <w:szCs w:val="20"/>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to complete an electronic proxy card. Please have your enclosed proxy card available when you access the voting website and follow the prompts to vote your shares. Your internet vote must be received by 11:59 p.m. Eastern Time on Monday, June 5, 2023 to be counted.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46"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Marker. Simply complete and mail the voting instruction form to ensure that your vote is counted. Alternatively, you may vote by telephone or over the internet as instructed by your broker or bank. To vote online during the Annual Meeting, you must obtain a legal proxy from your broker, bank or other agent. Follow the instructions from your broker, bank or other agent included with these proxy materials, or contact that organization to request a proxy form. In advance of the Annual Meeting, you will need to upload or email a copy of the legal proxy from your broker, bank or other agent to </w:t>
      </w:r>
      <w:r>
        <w:rPr>
          <w:rFonts w:ascii="Times New Roman" w:cs="Times New Roman" w:eastAsia="Times New Roman" w:hAnsi="Times New Roman"/>
          <w:sz w:val="18"/>
          <w:szCs w:val="18"/>
          <w:i w:val="1"/>
          <w:iCs w:val="1"/>
          <w:color w:val="auto"/>
        </w:rPr>
        <w:t xml:space="preserve">VirtualMeeting@viewproxy.com </w:t>
      </w:r>
      <w:r>
        <w:rPr>
          <w:rFonts w:ascii="Times New Roman" w:cs="Times New Roman" w:eastAsia="Times New Roman" w:hAnsi="Times New Roman"/>
          <w:sz w:val="18"/>
          <w:szCs w:val="18"/>
          <w:color w:val="auto"/>
        </w:rPr>
        <w:t>in order to vote at the Annual Meeting. To vote online during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you may vote using the link that will be provided on the virtual meeting screen, or you may visit </w:t>
      </w:r>
      <w:r>
        <w:rPr>
          <w:rFonts w:ascii="Times New Roman" w:cs="Times New Roman" w:eastAsia="Times New Roman" w:hAnsi="Times New Roman"/>
          <w:sz w:val="18"/>
          <w:szCs w:val="18"/>
          <w:i w:val="1"/>
          <w:iCs w:val="1"/>
          <w:color w:val="auto"/>
        </w:rPr>
        <w:t xml:space="preserve">www.AALvote.com/MRKR </w:t>
      </w:r>
      <w:r>
        <w:rPr>
          <w:rFonts w:ascii="Times New Roman" w:cs="Times New Roman" w:eastAsia="Times New Roman" w:hAnsi="Times New Roman"/>
          <w:sz w:val="18"/>
          <w:szCs w:val="18"/>
          <w:color w:val="auto"/>
        </w:rPr>
        <w:t>while the polls are open. You will need your virtual control number,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assigned to you in your confirmation of registration email, in order to vote during the meeting.</w:t>
      </w:r>
    </w:p>
    <w:p>
      <w:pPr>
        <w:spacing w:after="0" w:line="377" w:lineRule="exact"/>
        <w:rPr>
          <w:sz w:val="20"/>
          <w:szCs w:val="20"/>
          <w:color w:val="auto"/>
        </w:rPr>
      </w:pPr>
    </w:p>
    <w:p>
      <w:pPr>
        <w:ind w:left="1320" w:right="439" w:hanging="39"/>
        <w:spacing w:after="0" w:line="277" w:lineRule="auto"/>
        <w:rPr>
          <w:sz w:val="20"/>
          <w:szCs w:val="20"/>
          <w:color w:val="auto"/>
        </w:rPr>
      </w:pPr>
      <w:r>
        <w:rPr>
          <w:rFonts w:ascii="Times New Roman" w:cs="Times New Roman" w:eastAsia="Times New Roman" w:hAnsi="Times New Roman"/>
          <w:sz w:val="18"/>
          <w:szCs w:val="18"/>
          <w:b w:val="1"/>
          <w:bCs w:val="1"/>
          <w:color w:val="auto"/>
        </w:rPr>
        <w:t>​Internet proxy voting has been provided to allow you to vote your shares online, with procedures designed to</w:t>
      </w:r>
      <w:r>
        <w:rPr>
          <w:sz w:val="20"/>
          <w:szCs w:val="20"/>
          <w:color w:val="auto"/>
        </w:rPr>
        <w:t xml:space="preserve"> </w:t>
      </w:r>
      <w:r>
        <w:rPr>
          <w:rFonts w:ascii="Times New Roman" w:cs="Times New Roman" w:eastAsia="Times New Roman" w:hAnsi="Times New Roman"/>
          <w:sz w:val="18"/>
          <w:szCs w:val="18"/>
          <w:b w:val="1"/>
          <w:bCs w:val="1"/>
          <w:color w:val="auto"/>
        </w:rPr>
        <w:t>​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-448945</wp:posOffset>
            </wp:positionV>
            <wp:extent cx="5212080"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651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April 10, 2023.</w:t>
      </w:r>
    </w:p>
    <w:p>
      <w:pPr>
        <w:spacing w:after="0" w:line="158"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7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pacing w:after="0" w:line="95"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54"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five nominees for director;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advisory approval of compensation of the Company’s named executive officers;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Year” as the preferred frequency of future shareholder advisory votes to approve compensation of the Company’s named executive officers;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Marcum LLP as independent auditors for the year ending December 31, 2023.</w:t>
      </w:r>
    </w:p>
    <w:p>
      <w:pPr>
        <w:spacing w:after="0" w:line="355"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58"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7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discretion. In this regard, 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2 and 3 are considered to be “non-routine” under such rules, meaning that your broker may not vote your shares on those proposals in the absence of your voting instructions. However, Proposal 4 is considered to be “routine” under such rules, meaning that if you do not return voting instructions to your broker by its deadline, your shares may be voted by your broker in its discretion on Proposal 4.</w:t>
      </w:r>
    </w:p>
    <w:p>
      <w:pPr>
        <w:spacing w:after="0" w:line="19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54"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Marker Therapeutics, Inc., Attention: Secretary at 4551 Kennedy Commerce Drive, Houston, Texas 77032.</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virtually and vote online. Simply attending the meeting virtually will not, by itself, revoke your proxy.</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4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written proposal must be received by our Secretary by December 30, 2023. If you wish to submit a proposal (including a director nomination) at the meeting that is not to be included in next year’s proxy materials, you must do so not earlier than February 7, 2024 and not later than March 8, 2024. Stockholder proposals and director nominations should be addressed to Marker Therapeutics, Inc., Attention: Secretary, 4551 Kennedy Commerce Drive, Houston, Texas 77032. Your notice to the Secretary must set forth information specified in our bylaws.</w:t>
      </w:r>
    </w:p>
    <w:p>
      <w:pPr>
        <w:spacing w:after="0" w:line="12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 propose to bring business before an annual meeting of stockholders other than a director nomination, your notice must include, as to each matter proposed, the following: (1) a brief description of the business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desired to be brought before such annual meeting and the reasons for conducting that business at the annual meeting, (2) the text of the proposal, including the text of any resolutions proposed for consideration and (3) any material interest you have in that proposal.</w:t>
      </w:r>
    </w:p>
    <w:p>
      <w:pPr>
        <w:spacing w:after="0" w:line="10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2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bylaws filed as Exhibit 3.6 to our Current Report on Form 8-K (File No. 001-37939), filed with the SEC on October 17, 2018.</w:t>
      </w:r>
    </w:p>
    <w:p>
      <w:pPr>
        <w:spacing w:after="0" w:line="8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provide notice and the additional information required by Rule 14a-19 under the Exchange Act.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with respect to Proposals 2 and 4, votes “For” and “Against,” abstentions and, if applicable, broker non-votes; and with respect to Proposal 3, votes for “One Year,” “Two Years,” “Three Years,” abstentions and broker non-votes. Abstentions will be counted towards the vote total for each of Proposals 2, 3 and 4 and, with respect to Proposals 2 and 4, will have the same effect as “Against” votes. With respect to Proposal 3, abstentions will have the same effect as votes against each of the proposed voting frequencies. Broker non-votes on Proposals 2 and 3 will have no effect and will not be counted towards the vote total for any of those proposals. Since brokers have authority to vote on your behalf with respect to Proposal 4, we do not expect broker non-votes on this proposal.</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62"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are counted as “broker non-votes.” Proposals 1, 2 and 3 are considered to be “non-routine” under stock exchange rules and we therefore expect broker non-votes on these proposals. However, as Proposal 4 is considered “routine” under stock exchange rules, we do not expect broker non-votes on this proposal.</w:t>
      </w:r>
    </w:p>
    <w:p>
      <w:pPr>
        <w:spacing w:after="0" w:line="400"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reminder, if you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Proposal 1, the election of directors, the five nominees receiving the most “For” votes from the holders of shares present online at the meeting or represented by proxy and entitled to vote on the election of directors will be elected. Only votes “For” will affect the outcome.</w:t>
      </w:r>
    </w:p>
    <w:p>
      <w:pPr>
        <w:spacing w:after="0" w:line="108"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Proposal 2, the advisory approval of the compensation of the Company’s named executive officers, will be considered to be approved if it receives “For” votes from the holders of a majority of shares present online 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meeting or represented by proxy and entitled to vote on the matter. If you “Abstain” from voting, it will have the same effect as an “Against” vote. Broker non-votes will have no effect.</w:t>
      </w:r>
    </w:p>
    <w:p>
      <w:pPr>
        <w:spacing w:after="0" w:line="9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For Proposal 3, the advisory vote on the frequency of future shareholder advisory votes on executive compensation, the frequency receiving the votes of the holders of a majority of shares present online at the meeting or represented by proxy and entitled to vote on the matter will be considered the frequency preferred by the shareholders. If you “Abstain” from voting, it will have the same effect as an “Against” vote. Broker non-votes will have no effect.</w:t>
      </w:r>
    </w:p>
    <w:p>
      <w:pPr>
        <w:spacing w:after="0" w:line="11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For Proposal 4, the ratification of the selection of Marcum LLP as the Company’s independent registered public accounting firm for fiscal year 2023, will be approved if it receives “For” votes from the holders of a majority of shares present online at the meeting or represented by proxy and entitled to vote on the matter. If you “Abstain” from voting, it will have the same effect as an “Against” vote. Since brokers have authority to vote on your behalf with respect to Proposal 4, we do not expect broker non-votes on this proposal.</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online at the virtual meeting or represented by proxy. On the record date, there were 8,798,829 shares outstanding and entitled to vote. Thus, the holders of 4,399,415 shares must be present online at the virtual meeting or represented by proxy at the meeting to have a quorum.</w:t>
      </w:r>
    </w:p>
    <w:p>
      <w:pPr>
        <w:spacing w:after="0" w:line="11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the holders of a majority of shares present online at the meeting at the virtual meeting or represented by proxy may adjourn the meeting to another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 xml:space="preserve">Only stockholders of record as of April 10, 2023 may submit questions or comments at the Annual Meeting. If you would like to submit a question, you must first register for the Annual Meeting at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viewproxy.com/markertherapeutics/2023/htype.asp </w:t>
      </w:r>
      <w:r>
        <w:rPr>
          <w:rFonts w:ascii="Times New Roman" w:cs="Times New Roman" w:eastAsia="Times New Roman" w:hAnsi="Times New Roman"/>
          <w:sz w:val="18"/>
          <w:szCs w:val="18"/>
          <w:color w:val="auto"/>
        </w:rPr>
        <w:t>by 11:59 p.m. Eastern Time on Monday, June 5,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once you join the meeting, you can type your question in the questions/chat box in the meeting portal.</w:t>
      </w:r>
    </w:p>
    <w:p>
      <w:pPr>
        <w:spacing w:after="0" w:line="9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annual meeting live audio webcast. Please be sure to check in by 7:45 a.m. Central Time on June 6, 2023, the day of the meeting, so that any technical difficulties may be addressed before the annual meeting live audio webcast begins. If you encounter any difficulties accessing the webcast during the check-in or meeting time, please email VirtualMeeting@viewproxy.com or call 1-866-612-8937.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list of our record stockholders as of the close of business on the record date will be made available to stockholders during the meeting. In addition, for the ten days prior to the date of the annual meeting, the list will be available for examination by any stockholder of record for a legally valid purpose at our corporate headquarters during regular business hours.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1</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p>
    <w:p>
      <w:pPr>
        <w:spacing w:after="0" w:line="17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Our Board of Directors consists of six directors, five of whom are nominees for re- election as a director this year. On April 27, 2023, Peter Hoang informed the Board of his resignation as President and Chief Executive Officer, effective May 1, 2023, and Director, effective immediately. Also on April 27, 2023, David Laskow-Pooley informed the Board that he will not be standing for reelection at the Annual Meeting. Mr. Laskow-Pooley will continue to serve as director and as chair of the Audit Committee and chair of the Compensation Committee until the expiration of his current term at the conclusion of the Annual Meeting.</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See “Information Regarding the Board of Directors and Corporate Governance – Nominating and Corporate Governance Committee.”</w:t>
      </w:r>
    </w:p>
    <w:p>
      <w:pPr>
        <w:spacing w:after="0" w:line="11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It is our policy to invite and encourage nominees for directors to attend the Annual Meeting. All eight of the directors then in office attended the 2022 Annual Meeting of Stockholders.</w:t>
      </w:r>
    </w:p>
    <w:p>
      <w:pPr>
        <w:spacing w:after="0" w:line="9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at the virtual meeting or represented by proxy and entitled to vote on the election of directors. Accordingly, the five nominees receiving the highest number of affirmative votes will be elected. Shares represented by executed proxies will be voted, if authority to do so is not withheld, for the election of the eight nominees named below. If any nominee becomes unavailable for election as a result of an unexpected occurrence, shares that would have been voted for that nominee will instead be voted for the election of a substitute nominee that we propose. Each person nominated for election has agreed to serve if elected. We have no reason to believe that any nominee will be unable to serve.</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OMINEES</w:t>
      </w:r>
    </w:p>
    <w:p>
      <w:pPr>
        <w:spacing w:after="0" w:line="17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following is a brief biography, as of the date of this proxy statement,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11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To provide a mix of experience and perspective on the Board, the Committee also takes into account gender, age, and ethnic diversity.</w:t>
      </w:r>
    </w:p>
    <w:p>
      <w:pPr>
        <w:spacing w:after="0" w:line="32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The brief biographies below include information, as of April 28, 2023, regarding the specific and particular experience, qualifications, attributes or skills of each director or nominee that led the Nominating and Corporate Governance Committee to believe that that nominee should continue to serve on the Board. However, each of the members of the Nominating and Corporate Governance Committee may have a variety of reasons why he believes a particular person would be an appropriate nominee for the Board, and these views may differ from the views of other members.</w:t>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Eansor, </w:t>
      </w:r>
      <w:r>
        <w:rPr>
          <w:rFonts w:ascii="Times New Roman" w:cs="Times New Roman" w:eastAsia="Times New Roman" w:hAnsi="Times New Roman"/>
          <w:sz w:val="18"/>
          <w:szCs w:val="18"/>
          <w:i w:val="1"/>
          <w:iCs w:val="1"/>
          <w:color w:val="auto"/>
        </w:rPr>
        <w:t>age 62</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Mr. Eansor joined the Board in October 2018 and became the chair of the Board following the Annual Meeting in 2022. Mr. Eansor served as the President of the Protein Sciences Segment of Bio-Techne Corporation from April 2018 until his retirement in March 2022. From 2014 to April 2018, Mr. Eansor served as Senior Vice President of Bio-Techne’s Biotechnology Division, which he joined as result of Bio-Techne’s acquisition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Novus Biologicals. Mr. Eansor earned a B.S. in Chemistry from University of Western Ontario, as well as a Bachelor of Commerce in General Business and Economics and an M.B.A. from the University of Windsor, Ontario, Canada. The Board believes that Mr. Eansor’s extensive experience in the life sciences manufacturing industry qualifies him to serve on the Board.</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Elms, </w:t>
      </w:r>
      <w:r>
        <w:rPr>
          <w:rFonts w:ascii="Times New Roman" w:cs="Times New Roman" w:eastAsia="Times New Roman" w:hAnsi="Times New Roman"/>
          <w:sz w:val="18"/>
          <w:szCs w:val="18"/>
          <w:i w:val="1"/>
          <w:iCs w:val="1"/>
          <w:color w:val="auto"/>
        </w:rPr>
        <w:t>age 59</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Mr. Elms joined the Board in August 2019, and previously served as a non-voting board observer. Mr. Elms currently serves as Managing Partner at Aisling Capital, a life sciences investment firm, which he joined in 2000. Mr. Elms has served as chairman of the board of directors of ADMA Biologics, Inc. since 2007 and Elevation Oncology, Inc. since May 2019. He previously served as a member of the board of directors of Zosano Pharma Corp. from May 2018 to May 2022 and as a director of LOXO Oncology from 2013 to February 2019. Mr. Elms earned a B.A. in Human Biology from Stanford University and an M.B.A. from the Kellogg Graduate School of Management at Northwestern University. The Board believes that Mr. Elms’ background in financial services and extensive experience in the pharmaceutical and healthcare industries qualify him to serve on the Board.</w:t>
      </w: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Katharine Knobil, </w:t>
      </w:r>
      <w:r>
        <w:rPr>
          <w:rFonts w:ascii="Times New Roman" w:cs="Times New Roman" w:eastAsia="Times New Roman" w:hAnsi="Times New Roman"/>
          <w:sz w:val="18"/>
          <w:szCs w:val="18"/>
          <w:i w:val="1"/>
          <w:iCs w:val="1"/>
          <w:color w:val="auto"/>
        </w:rPr>
        <w:t>age 59</w:t>
      </w:r>
    </w:p>
    <w:p>
      <w:pPr>
        <w:spacing w:after="0" w:line="148"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Dr. Knobil joined the Board in December 2021. Dr. Knobil currently serves as Chief Medical Officer of Agilent Technologies Inc., a position she has held since April 2021. Dr. Knobil previously served as Chief Medical Officer and Head of Research &amp; Development at Kaleido Biosciences, Inc. from December 2018 to January 2021. Previously, Dr. Knobil spent more than 20 years in roles of increasing responsibility at GlaxoSmithKline plc, most recently serving as the corporate Chief Medical Officer from 2017 to December 2018, and as Chief Medical Officer for Pharmaceuticals at GSK from 2015 to 2017. She served as a member of the board of directors of Arena Pharmaceuticals, Inc. from June 2020 until its acquisition by Pfizer Inc. in March 2022. Dr. Knobil received her B.A. from Cornell University, her M.D. from University of Texas Southwestern Medical School, and completed a Fellowship in Pulmonary and Critical Care Medicine at the Johns Hopkins Medical School. The Board believes that Dr. Knobil’s years of leadership experience in the pharmaceutical and healthcare industry and her medical degree qualify her to serve on the Board.</w:t>
      </w:r>
    </w:p>
    <w:p>
      <w:pPr>
        <w:spacing w:after="0" w:line="3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Juan Vera, M.D., </w:t>
      </w:r>
      <w:r>
        <w:rPr>
          <w:rFonts w:ascii="Times New Roman" w:cs="Times New Roman" w:eastAsia="Times New Roman" w:hAnsi="Times New Roman"/>
          <w:sz w:val="18"/>
          <w:szCs w:val="18"/>
          <w:i w:val="1"/>
          <w:iCs w:val="1"/>
          <w:color w:val="auto"/>
        </w:rPr>
        <w:t>age 43</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Dr. Vera will begin service as our President and Chief Executive Officer effective May 1, 2023. He joined the Board in October 2018 and previously served as our Chief Operating Officer from November 2021 to April 2023 and previously served as our Chief Scientific Officer from October 2018 to April 2023. Dr. Vera is a co-inventor of the multi-tumor associated antigen technology and co-founder of our predecessor, Marker Cell Therapy, Inc. Dr. Vera has held various positions at the Center for Cell and Gene Therapy at Baylor College of Medicine, most recently as an Associate Professor from 2015 to present. Dr. Vera is also a co-founder of AlloVir, Inc. where he has served as a member of the board of directors since 2014 and previously served as its Chief Product Development Officer from 2014 to June 2020. Dr. Vera received the Idea Development Award from the Department of Defense and Mentored Research Scholar Award from the American Cancer Society. Dr. Vera earned an M.D. from the University El Bosque in Bogota, Colombia. The Board believes that Dr. Vera’s extensive scientific and medical experience, including as the co-inventor of the multi-tumor associated antigen technology, qualifies him to serve on the Board.</w:t>
      </w: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John Wilson, </w:t>
      </w:r>
      <w:r>
        <w:rPr>
          <w:rFonts w:ascii="Times New Roman" w:cs="Times New Roman" w:eastAsia="Times New Roman" w:hAnsi="Times New Roman"/>
          <w:sz w:val="18"/>
          <w:szCs w:val="18"/>
          <w:i w:val="1"/>
          <w:iCs w:val="1"/>
          <w:color w:val="auto"/>
        </w:rPr>
        <w:t>age 63</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Mr. Wilson joined the Board in October 2018. Mr. Wilson is a co-inventor of the multi-tumor associated antigen technology and co-founder of our predecessor, Marker Cell Therapy, Inc. Since 1996, he has been the Chief Executive Officer of Wilson Wolf Manufacturing Corporation. He is also a co-founder of AlloVir, Inc. and served as its Managing Director from 2013 to 2018. He previously served on the board of directors of AlloVir from 2018 to May 2022. Mr. Wilson earned a B.A. in Business Administration and a B.A in Economics from Hamline University and a B.S. in Mechanical Engineering from the University of Minnesota. The Board believes that Mr. Wilson’s extensive scientific and manufacturing experience qualifies him to serve on 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r>
        <w:rPr>
          <w:rFonts w:ascii="Times New Roman" w:cs="Times New Roman" w:eastAsia="Times New Roman" w:hAnsi="Times New Roman"/>
          <w:sz w:val="18"/>
          <w:szCs w:val="18"/>
          <w:b w:val="1"/>
          <w:bCs w:val="1"/>
          <w:color w:val="auto"/>
        </w:rPr>
        <w:t>.</w:t>
      </w:r>
    </w:p>
    <w:p>
      <w:pPr>
        <w:spacing w:after="0" w:line="16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Mr. Hoang, who has served as a member of our Board since 2017, resigned from the Board effective April 27, 2023. Mr. Laskow-Pooley, who has served as a member of our Board since 2015, is not standing for reelection at the Annual Meeting. The Board thanks Messrs. Hoang and Laskow-Pooley for their years of service and significant contributions to the Company and wishes them luck in their future endeavors.</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Peter Hoang, </w:t>
      </w:r>
      <w:r>
        <w:rPr>
          <w:rFonts w:ascii="Times New Roman" w:cs="Times New Roman" w:eastAsia="Times New Roman" w:hAnsi="Times New Roman"/>
          <w:sz w:val="18"/>
          <w:szCs w:val="18"/>
          <w:i w:val="1"/>
          <w:iCs w:val="1"/>
          <w:color w:val="auto"/>
        </w:rPr>
        <w:t>age 51</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Mr. Hoang served as a member of our Board, from September 2017 until April 2023. On April 27, 2023, Mr. Hoang also announced his resignation as our President and Chief Executive Officer, effective May 1, 2023, a position he had held since September 2017. Mr. Hoang previously served as Senior Vice President of Business Development and Strategy at Bellicum Pharmaceuticals from 2014 to 2017 and as the Managing Director of Innovations at The University of Texas MD Anderson Cancer Center from 2012 to 2014. Mr. Hoang earned a B.A. from Yale University and an M.B.A. from the Anderson School of Management at the University of California, Los Angeles.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Laskow-Pooley, </w:t>
      </w:r>
      <w:r>
        <w:rPr>
          <w:rFonts w:ascii="Times New Roman" w:cs="Times New Roman" w:eastAsia="Times New Roman" w:hAnsi="Times New Roman"/>
          <w:sz w:val="18"/>
          <w:szCs w:val="18"/>
          <w:i w:val="1"/>
          <w:iCs w:val="1"/>
          <w:color w:val="auto"/>
        </w:rPr>
        <w:t>age 68</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Mr. Laskow-Pooley joined the Board in March 2015. He co-founded Pharmafor Ltd., an incubator for pharmaceutical and medical technology companies, in 2009. Mr. Laskow-Pooley served as Chief Executive Officer of LondonPharma Ltd from 2012 to 2017. He has served as a director of Abliva AB (f/k/a NeuroVive Pharmaceutical AB) since 2016, and as the chairman since 2017. Mr. Laskow-Pooley earned a B.Sc. in Pharmacy from the Sunderland School of Pharmacy. The Board believes that Mr. Laskow-Pooley’s extensive international experience in the pharmaceutical industry, including on the launches of drugs and medical devices, qualifies him to serve on the Board.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IVERSITY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ATRIX</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summarizes certain self-identified personal characteristics of our six directors serving on the Board as of April 28, 2023, in accordance with Nasdaq listing Rule 5605(f). Each term used in the table has the definition provided in the rule and related instructions.</w:t>
      </w:r>
    </w:p>
    <w:p>
      <w:pPr>
        <w:spacing w:after="0" w:line="147" w:lineRule="exact"/>
        <w:rPr>
          <w:sz w:val="20"/>
          <w:szCs w:val="20"/>
          <w:color w:val="auto"/>
        </w:rPr>
      </w:pPr>
    </w:p>
    <w:tbl>
      <w:tblPr>
        <w:tblLayout w:type="fixed"/>
        <w:tblInd w:w="1630" w:type="dxa"/>
        <w:tblCellMar>
          <w:top w:w="0" w:type="dxa"/>
          <w:left w:w="0" w:type="dxa"/>
          <w:bottom w:w="0" w:type="dxa"/>
          <w:right w:w="0" w:type="dxa"/>
        </w:tblCellMar>
      </w:tblPr>
      <w:tr>
        <w:trPr>
          <w:trHeight w:val="338"/>
        </w:trPr>
        <w:tc>
          <w:tcPr>
            <w:tcW w:w="20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0" w:type="dxa"/>
            <w:vAlign w:val="bottom"/>
            <w:tcBorders>
              <w:top w:val="single" w:sz="8" w:color="auto"/>
              <w:bottom w:val="single" w:sz="8" w:color="auto"/>
            </w:tcBorders>
            <w:gridSpan w:val="4"/>
          </w:tcPr>
          <w:p>
            <w:pPr>
              <w:ind w:left="190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28, 2023)</w:t>
            </w: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820" w:type="dxa"/>
            <w:vAlign w:val="bottom"/>
            <w:tcBorders>
              <w:left w:val="single" w:sz="8" w:color="auto"/>
              <w:bottom w:val="single" w:sz="8" w:color="auto"/>
            </w:tcBorders>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Total Number of Directors</w:t>
            </w:r>
          </w:p>
        </w:tc>
        <w:tc>
          <w:tcPr>
            <w:tcW w:w="112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0" w:type="dxa"/>
            <w:vAlign w:val="bottom"/>
            <w:tcBorders>
              <w:left w:val="single" w:sz="8" w:color="auto"/>
              <w:bottom w:val="single" w:sz="8" w:color="auto"/>
            </w:tcBorders>
            <w:gridSpan w:val="2"/>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Borders>
              <w:bottom w:val="single" w:sz="8" w:color="auto"/>
            </w:tcBorders>
            <w:shd w:val="clear" w:color="auto" w:fill="CCCCCC"/>
          </w:tcPr>
          <w:p>
            <w:pPr>
              <w:spacing w:after="0"/>
              <w:rPr>
                <w:sz w:val="21"/>
                <w:szCs w:val="21"/>
                <w:color w:val="auto"/>
              </w:rPr>
            </w:pP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Male</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CCCCCC"/>
          </w:tcPr>
          <w:p>
            <w:pPr>
              <w:spacing w:after="0"/>
              <w:rPr>
                <w:sz w:val="21"/>
                <w:szCs w:val="21"/>
                <w:color w:val="auto"/>
              </w:rPr>
            </w:pPr>
          </w:p>
        </w:tc>
        <w:tc>
          <w:tcPr>
            <w:tcW w:w="3620" w:type="dxa"/>
            <w:vAlign w:val="bottom"/>
            <w:tcBorders>
              <w:bottom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Borders>
              <w:bottom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Hispanic or Latinx</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-1379220</wp:posOffset>
            </wp:positionV>
            <wp:extent cx="4318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342900"/>
                    </a:xfrm>
                    <a:prstGeom prst="rect">
                      <a:avLst/>
                    </a:prstGeom>
                    <a:noFill/>
                  </pic:spPr>
                </pic:pic>
              </a:graphicData>
            </a:graphic>
          </wp:anchor>
        </w:drawing>
      </w:r>
    </w:p>
    <w:p>
      <w:pPr>
        <w:spacing w:after="0" w:line="97"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Our Board Diversity Matrix as of April 1, 2022 can be found in our proxy statement for the 2022 Annual Meeting filed with the SEC on April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EGARDING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OARD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ORPORATE</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OVERNANCE</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32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three directors who are standing for re-election at the Annual Meeting are independent directors within the meaning of the applicable Nasdaq listing standards: David Eansor, Steven Elms, and Katharine Knobil.. In making this determination, the Board found that none of these directors or nominees for director had a material or other disqualifying relationship with the Company.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7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Board of Directors of the Company has an independent chair, currently Mr. Eansor. The Board Chair has authority, among other things, to call and preside over Board meetings and to set meeting agendas.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75"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information security risk management.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Typically, the Board committees meet at least annually with the employees responsible for risk management in the committees’ respective areas of oversight. Both the Board as a whole and the various standing committees receive periodic risk assessment reports from management, as well as incidental reports as matters may arise. It is the responsibility of the committee chairs to report findings regarding material risk exposures to the Board as quickly as possible.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Board of Directors met eight times during the last fiscal year. Each director attended 75% or more of the aggregate number of meetings of the Board and of the committees on which he served held during the portion of the last fiscal year for which he was a director or committee member.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fiscal 2022 for each of the Board committees:</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Eansor</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Elms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Peter Hoang**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Katharine Knobil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Laskow-Pooley***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Juan Vera</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John Wilson</w:t>
      </w:r>
    </w:p>
    <w:p>
      <w:pPr>
        <w:spacing w:after="0" w:line="2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meetings in fiscal 2022</w:t>
      </w:r>
    </w:p>
    <w:p>
      <w:pPr>
        <w:spacing w:after="0" w:line="90" w:lineRule="exact"/>
        <w:rPr>
          <w:sz w:val="20"/>
          <w:szCs w:val="20"/>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Chairperson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Nominating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​Audit ​ ​Compensation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-2780665</wp:posOffset>
            </wp:positionH>
            <wp:positionV relativeFrom="paragraph">
              <wp:posOffset>13335</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​X  ​​ ​</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​X  ​​ ​</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​X* ​​ ​</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  ​5  ​​ ​</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-2780665</wp:posOffset>
            </wp:positionH>
            <wp:positionV relativeFrom="paragraph">
              <wp:posOffset>-1165225</wp:posOffset>
            </wp:positionV>
            <wp:extent cx="52120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-839470</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-496570</wp:posOffset>
            </wp:positionV>
            <wp:extent cx="52120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32" w:lineRule="exact"/>
        <w:rPr>
          <w:sz w:val="20"/>
          <w:szCs w:val="20"/>
          <w:color w:val="auto"/>
        </w:rPr>
      </w:pPr>
    </w:p>
    <w:p>
      <w:pPr>
        <w:sectPr>
          <w:pgSz w:w="11900" w:h="16838" w:orient="portrait"/>
          <w:cols w:equalWidth="0" w:num="2">
            <w:col w:w="4920" w:space="720"/>
            <w:col w:w="4239"/>
          </w:cols>
          <w:pgMar w:left="580" w:top="97" w:right="1440" w:bottom="1440" w:gutter="0" w:footer="0" w:header="0"/>
          <w:type w:val="continuous"/>
        </w:sect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Mr. Hoang resigned from the Board effective April 27, 2023.</w:t>
      </w:r>
    </w:p>
    <w:p>
      <w:pPr>
        <w:spacing w:after="0" w:line="77" w:lineRule="exact"/>
        <w:rPr>
          <w:sz w:val="20"/>
          <w:szCs w:val="20"/>
          <w:color w:val="auto"/>
        </w:rPr>
      </w:pPr>
    </w:p>
    <w:p>
      <w:pPr>
        <w:jc w:val="both"/>
        <w:ind w:left="1620" w:right="419" w:hanging="359"/>
        <w:spacing w:after="0" w:line="282" w:lineRule="auto"/>
        <w:rPr>
          <w:sz w:val="20"/>
          <w:szCs w:val="20"/>
          <w:color w:val="auto"/>
        </w:rPr>
      </w:pPr>
      <w:r>
        <w:rPr>
          <w:rFonts w:ascii="Times New Roman" w:cs="Times New Roman" w:eastAsia="Times New Roman" w:hAnsi="Times New Roman"/>
          <w:sz w:val="18"/>
          <w:szCs w:val="18"/>
          <w:color w:val="auto"/>
        </w:rPr>
        <w:t>*** Following the expiration of his term as a director at the conclusion of the Annual Meeting, Mr. Laskow-Pooley will no longer serve on any committee of the Board.</w:t>
      </w:r>
    </w:p>
    <w:p>
      <w:pPr>
        <w:spacing w:after="0" w:line="9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Each of the committees has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12"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The Audit Committee currently is composed of three directors: David Laskow-Pooley (until the expiration of his term at the conclusion of the Annual Meeting), David Eansor and Steven Elms, with Mr. Laskow-Pooley serving as chairman. The Board intends to appoint Katharine Knobil to serve on the Audit Committee and David Eansor to serve as chairman of the Audit Committee following the expiration of Mr. Laskow-Pooley’s term at the conclusion of the Annual Meeting. The Audit Committee met five times during fiscal 2022. The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 xml:space="preserve">Board has adopted a written Audit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 The Board of Directors has also determined that Mr. Eansor qualifies as an “audit committee financial expert,” as defined in applicable SEC rules.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2022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2022.</w:t>
      </w:r>
    </w:p>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Laskow-Pooley, Chair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Elms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Eansor</w:t>
      </w:r>
    </w:p>
    <w:p>
      <w:pPr>
        <w:spacing w:after="0" w:line="205"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“Compensation Committee”) acts on behalf of the Board to review and oversee the Company’s compensation strategy, policies, plans and programs, including:</w:t>
      </w:r>
    </w:p>
    <w:p>
      <w:pPr>
        <w:spacing w:after="0" w:line="282" w:lineRule="exact"/>
        <w:rPr>
          <w:sz w:val="20"/>
          <w:szCs w:val="20"/>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corporate and individual performance objectives relevant to the compensation of the Company’s executive officers, directors and other senior management and evaluation of performance in light of these stated objectives;</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and approval of the individual elements of total compensation and other terms of employment or service, including severance and change-in-control arrangements, of the Company’s executive officers, other than the Chief Executive Officer;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of, and recommendation to the Board for approval, the individual elements of total compensation and other terms of employment or service, including severance and change-in-control arrangements, of the Chief Executive Officer; and</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and other benefit plans.</w:t>
      </w:r>
    </w:p>
    <w:p>
      <w:pPr>
        <w:spacing w:after="0" w:line="14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 xml:space="preserve">The Compensation Committee currently is composed of four directors: David Laskow-Pooley (until the expiration of his term at the conclusion of the Annual Meeting), David Eansor, Steven Elms and Katharine Knobil, with Mr. Laskow-Pooley serving as chairman. The Board intends to appoint David Eansor to serve as chairman of the Compensation Committee following the expiration of Mr. Laskow-Pooley’s term at the conclusion of the Annual Meeting. All current members of the Company’s Compensation Committee are independent (as independence is currently defined in Rule 5605(d)(2) of the Nasdaq listing standards. The Compensation Committee met four times during fiscal 2022. The Board has adopted a written Compensation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agenda for each meeting is usually developed by the chair of the Compensation Committee, in consultation with the Chief Executive Officer and Radford, the compensation consultant engaged by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In 2022, after taking into consideration the six factors prescribed by the SEC and Nasdaq described above, the Compensation Committee engaged Radford as its compensation consultant. See “Executive Compensation – Summary Compensation Table –  Narrative to Summary Compensation Table – Role of the Compensation Committee and Executive Officers in Setting Executive Compensation.”</w:t>
      </w:r>
    </w:p>
    <w:p>
      <w:pPr>
        <w:spacing w:after="0" w:line="200" w:lineRule="exact"/>
        <w:rPr>
          <w:sz w:val="20"/>
          <w:szCs w:val="20"/>
          <w:color w:val="auto"/>
        </w:rPr>
      </w:pPr>
    </w:p>
    <w:p>
      <w:pPr>
        <w:spacing w:after="0" w:line="3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The Compensation Committee has formed a Non-Officer Stock Option Subcommittee, composed of Peter Hoang, during his service as our President and Chief Executive Officer to which it has delegated authority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Typically, as part of its oversight function, the Compensation Committee will review on a quarterly basis the list of grants made by the subcommittee. During fiscal 2022, the subcommittee exercised its authority to grant options to purchase an aggregate of 95,000 shares to non-officer employees. The Compensation Committee will consider delegating such authority to Juan Vera as our new President and Chief Executive Officer in the future.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w:t>
      </w:r>
    </w:p>
    <w:p>
      <w:pPr>
        <w:spacing w:after="0" w:line="10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currently is composed of two directors: Katharine Knobil and David Eansor, with Ms. Knobil serving as chairperson. All members of the Nominating and Corporate Governance Committee are independent (as independence is currently defined in Rule 5605(a)(2) of the Nasdaq listing standards). The Nominating and Corporate Governance Committee met three times during fiscal 2022. The Board has adopted a written Nominating and Corporate Governance Committee charter that is available to stockholders on the Company’s website and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w:t>
      </w:r>
    </w:p>
    <w:p>
      <w:pPr>
        <w:spacing w:after="0" w:line="325"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However, the Nominating and Corporate Governance Committee retains the right to modify these qualifications from time to time. Board diversity and inclusion is critical to the Company’s success. Candidates for director nominees are reviewed in the context of the current composition of the Board, the operating requirements of the Company and the long- 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 business, as well as members who have different skill sets and points of view on substantive matters pertaining to our business. Our nomination process and our Board’s approach to assessment and evaluation of our nominees support our continued commitment to diversity and inclusion.</w:t>
      </w:r>
    </w:p>
    <w:p>
      <w:pPr>
        <w:spacing w:after="0" w:line="121"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333"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Company previously granted board observer rights to Aisling Capital, pursuant to which Mr. Elms was designated as a board observer prior to being appointed as a director, and New Enterprise Associates 16, L.P. (“NEA”), pursuant to which NEA may designate either a board observer or a director until a change of control transaction occurs or NEA ceases to own at least 250,000 shares (as adjusted for the ten-for-one (10:1) reverse stock split we completed on January 26, 2023 (the “Reverse Stock Split”)) of the Company’s common stock. NEA has currently designated a non-voting board observer.</w:t>
      </w:r>
    </w:p>
    <w:p>
      <w:pPr>
        <w:spacing w:after="0" w:line="120"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Marker Therapeutics, Inc., Attention: Secretary, 4551 Kennedy Commerce Drive, Houston, Texas 77032, at least 90 days, but not more than 120 days prior to the anniversary date of the preceding year’s annual meeting of stockholders. Submissions must include (1) all information related to such nominee that would be required to be disclosed in solicitations of proxies for the election of such nominee as a director pursuant to Regulation 14A under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the nominating stockholder and his, her or its affiliates, on the one hand, and the proposed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may do so by sending written communications addressed to the Secretary of the Company Secretary, 4551 Kennedy Commerce Drive, Houston, Texas 77032. All communications will be compiled by the Secretary of the Company and submitted to the Board or the individual directors on a periodic basis.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17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applies to all officers, directors and employees, including our principal executive officer, principal financial officer, principal accounting officer or persons performing similar functions. The Code of Business Conduct and Ethics is available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UIDELINES</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In 2020,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as well as the charters for each committee of the Board, may be viewed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7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Company’s insider trading policy prohibits all employees, including our executive officers, and non-employee directors from engaging in short sales, transactions in put or call options, hedging transactions, using margin accounts, pledges, or other inherently speculative transactions involving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2</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DVISORY</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6"/>
          <w:szCs w:val="16"/>
          <w:b w:val="1"/>
          <w:bCs w:val="1"/>
          <w:color w:val="auto"/>
        </w:rPr>
        <w:t>OTE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70"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Board has adopted a policy of soliciting a non-binding advisory vote on the compensation of the named executive officers, commonly referred to as a “say-on-pay vote,” every year. In accordance with that policy, this year, the Company is again asking the stockholders to approve, on an advisory basis, the compensation of the Company’s named executive officers as disclosed in this proxy statement in accordance with SEC rules.</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 contained in this proxy statement. As discussed in those disclosures, the Company believes that its compensation policies and decisions are strongly aligned with our stockholders’ interests and consistent with current market practices for similarly situated companies. Compensation of the Company’s named executive officers is designed to enable the Company to attract and retain talented and experienced executives to lead the Company successfully in a competitive environment.</w:t>
      </w:r>
    </w:p>
    <w:p>
      <w:pPr>
        <w:spacing w:after="0" w:line="34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this proxy statement by casting a non-binding advisory vote “FOR” the following resolution:</w:t>
      </w:r>
    </w:p>
    <w:p>
      <w:pPr>
        <w:spacing w:after="0" w:line="108" w:lineRule="exact"/>
        <w:rPr>
          <w:sz w:val="20"/>
          <w:szCs w:val="20"/>
          <w:color w:val="auto"/>
        </w:rPr>
      </w:pPr>
    </w:p>
    <w:p>
      <w:pPr>
        <w:jc w:val="both"/>
        <w:ind w:left="1980" w:right="105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compensation tables and narrative discussion, is hereby APPROVED.”</w:t>
      </w:r>
    </w:p>
    <w:p>
      <w:pPr>
        <w:spacing w:after="0" w:line="9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1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shares online at the virtual meeting or represented by proxy and entitled to vote on the matter at the annual meeting. The next scheduled say-on-pay vote will be determined by our Board and will depend, in part, on the outcome of the vote on Proposal 3, which is the advisory vote regarding the frequency of soliciting future shareholder advisory votes on the compensation of the Company’s named executive officers.</w:t>
      </w:r>
    </w:p>
    <w:p>
      <w:pPr>
        <w:spacing w:after="0" w:line="17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3</w:t>
      </w:r>
    </w:p>
    <w:p>
      <w:pPr>
        <w:spacing w:after="0" w:line="229" w:lineRule="exact"/>
        <w:rPr>
          <w:sz w:val="20"/>
          <w:szCs w:val="20"/>
          <w:color w:val="auto"/>
        </w:rPr>
      </w:pPr>
    </w:p>
    <w:p>
      <w:pPr>
        <w:jc w:val="center"/>
        <w:ind w:left="1860" w:right="100"/>
        <w:spacing w:after="0" w:line="245"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DVISORY</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6"/>
          <w:szCs w:val="16"/>
          <w:b w:val="1"/>
          <w:bCs w:val="1"/>
          <w:color w:val="auto"/>
        </w:rPr>
        <w:t>OTE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REQUENCY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OLICITATION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DVISORY</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HAREHOLDER</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1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and Section 14A of the Exchange Act enable the Company’s shareholders, at least once every six years, to indicate their preference regarding how frequently the Company should solicit a say-on-pay vote. Currently, consistent with the preference expressed by the shareholders at the Company’s 2017 Annual Meeting of Shareholders, the policy of the Board is to solicit a say-on-pay vote every year. The Company is again asking shareholders to indicate whether they would prefer an advisory vote every year, every other year or every three years. Alternatively, shareholders may abstain from casting a vote. For the reasons described below, the Board recommends that the shareholders select a frequency of one year.</w:t>
      </w:r>
    </w:p>
    <w:p>
      <w:pPr>
        <w:spacing w:after="0" w:line="11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After considering the benefits and consequences of each alternative, the Board recommends that the advisory vote on the compensation of the Company’s named executive officers be submitted to the shareholders once every year.</w:t>
      </w:r>
    </w:p>
    <w:p>
      <w:pPr>
        <w:spacing w:after="0" w:line="10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Board believes that an annual advisory vote on the compensation of the Company’s named executive officers will allow our stockholders to provide timely and direct input on the Company’s executive compensation philosophy, policies and practices as disclosed in the proxy statement each year. Accordingly, the Board is asking shareholders to indicate their preferred voting frequency by voting for one, two or three years or abstaining from voting on this proposal. The alternative among one year, two years or three years that receives the votes of the holders of a majority of the shares online at the virtual meeting or represented by proxy and entitled to vote on the matter at the annual meeting will be deemed to be the frequency preferred by the shareholders and will be the alternative selected in the following resolution to be submitted to the shareholders for a vote at the annual meeting:</w:t>
      </w:r>
    </w:p>
    <w:p>
      <w:pPr>
        <w:spacing w:after="0" w:line="121" w:lineRule="exact"/>
        <w:rPr>
          <w:sz w:val="20"/>
          <w:szCs w:val="20"/>
          <w:color w:val="auto"/>
        </w:rPr>
      </w:pPr>
    </w:p>
    <w:p>
      <w:pPr>
        <w:jc w:val="both"/>
        <w:ind w:left="1620" w:right="419"/>
        <w:spacing w:after="0" w:line="266" w:lineRule="auto"/>
        <w:rPr>
          <w:sz w:val="20"/>
          <w:szCs w:val="20"/>
          <w:color w:val="auto"/>
        </w:rPr>
      </w:pPr>
      <w:r>
        <w:rPr>
          <w:rFonts w:ascii="Times New Roman" w:cs="Times New Roman" w:eastAsia="Times New Roman" w:hAnsi="Times New Roman"/>
          <w:sz w:val="18"/>
          <w:szCs w:val="18"/>
          <w:color w:val="auto"/>
        </w:rPr>
        <w:t>“RESOLVED, that the frequency of every [one year][two years][three years] is hereby APPROVED as the frequency preferred by shareholders for the solicitation of advisory shareholder approval of the compensation paid to the Company’s named executive officers.”</w:t>
      </w:r>
    </w:p>
    <w:p>
      <w:pPr>
        <w:spacing w:after="0" w:line="95"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While the Board believes that its recommendation is appropriate at this time, the shareholders are not voting to approve or disapprove that recommendation, but are instead asked to indicate their preferences, on an advisory basis, as to whether the non-binding advisory vote on the approval of the Company’s executive officer compensation practices should be held every year, every other year or every three years. The option among those choices that receives the votes of the holders of a majority of shares present virtually or represented by proxy and entitled to vote at the annual meeting will be deemed to be the frequency preferred by the shareholders.</w:t>
      </w:r>
    </w:p>
    <w:p>
      <w:pPr>
        <w:spacing w:after="0" w:line="33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Board and the Compensation Committee value the opinions of the shareholders in this matter and, to the extent there is any significant vote in favor of one frequency over the other options, even if less than a majority, the Board will consider the shareholders’ concerns and evaluate any appropriate next steps. However, because this vote is advisory and, therefore, not binding on the Board of Directors or the Company, the Board may decide that it is in the best interests of the shareholders that the Company hold an advisory vote on executive compensation more or less frequently than the option preferred by the shareholders. The vote will not be construed to create or imply any change or addition to the fiduciary duties of the Company or the Board.</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NE</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4</w:t>
      </w:r>
    </w:p>
    <w:p>
      <w:pPr>
        <w:spacing w:after="0" w:line="24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ATIFICATION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NDEPENDENT</w:t>
      </w:r>
    </w:p>
    <w:p>
      <w:pPr>
        <w:spacing w:after="0" w:line="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EGISTERED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UBLIC</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IRM</w:t>
      </w:r>
    </w:p>
    <w:p>
      <w:pPr>
        <w:spacing w:after="0" w:line="151"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Marcum LLP as the Company’s independent registered public accounting firm for the fiscal year ending December 31, 2023 and has further directed that management submit the selection of its independent registered public accounting firm for ratification by the stockholders at the Annual Meeting. Marcum LLP has audited the Company’s financial statements since 2014. Representatives of Marcum LLP are expected to be present online at the Annual Meeting. They will have an opportunity to make a statement if they so desire and will be available to respond to appropriate questions.</w:t>
      </w:r>
    </w:p>
    <w:p>
      <w:pPr>
        <w:spacing w:after="0" w:line="33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Marcum LLP as the Company’s independent registered public accounting firm. However, the Audit Committee of the Board is submitting the selection of Marcum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3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online at the virtual meeting or represented by proxy and entitled to vote on the matter at the Annual Meeting will be required to ratify the selection of Marcum LLP.</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RINCIPAL</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CCOUNTANT</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EES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ERVICES</w:t>
      </w:r>
    </w:p>
    <w:p>
      <w:pPr>
        <w:spacing w:after="0" w:line="17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years ended December 31, 2022 and 2021 by Marcum LLP, the Company’s principal accountant.</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92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CED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20" w:type="dxa"/>
            <w:vAlign w:val="bottom"/>
            <w:tcBorders>
              <w:right w:val="single" w:sz="8" w:color="auto"/>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380" w:type="dxa"/>
            <w:vAlign w:val="bottom"/>
            <w:vMerge w:val="continue"/>
            <w:shd w:val="clear" w:color="auto" w:fill="CCEDFF"/>
          </w:tcPr>
          <w:p>
            <w:pPr>
              <w:spacing w:after="0"/>
              <w:rPr>
                <w:sz w:val="24"/>
                <w:szCs w:val="24"/>
                <w:color w:val="auto"/>
              </w:rPr>
            </w:pPr>
          </w:p>
        </w:tc>
        <w:tc>
          <w:tcPr>
            <w:tcW w:w="220" w:type="dxa"/>
            <w:vAlign w:val="bottom"/>
            <w:tcBorders>
              <w:right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DFF"/>
          </w:tcPr>
          <w:p>
            <w:pP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322,000</w:t>
            </w: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238,000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shd w:val="clear" w:color="auto" w:fill="CCEDFF"/>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$322,000</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$238,000</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-506730</wp:posOffset>
            </wp:positionV>
            <wp:extent cx="4766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63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15875</wp:posOffset>
            </wp:positionV>
            <wp:extent cx="18256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39" w:lineRule="exact"/>
        <w:rPr>
          <w:sz w:val="20"/>
          <w:szCs w:val="20"/>
          <w:color w:val="auto"/>
        </w:rPr>
      </w:pPr>
    </w:p>
    <w:p>
      <w:pPr>
        <w:jc w:val="both"/>
        <w:ind w:left="1620" w:right="419" w:hanging="360"/>
        <w:spacing w:after="0"/>
        <w:tabs>
          <w:tab w:leader="none" w:pos="162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Audit fees consist of the aggregate fees billed for professional services rendered by our independent auditors for the audit of our annual financial statements, the review of the financial statements, including internal control attestations, included in each of our quarterly reports and services provided in connection with statutory and regulatory filings or engagements.</w:t>
      </w:r>
    </w:p>
    <w:p>
      <w:pPr>
        <w:spacing w:after="0" w:line="2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RE</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OLICIES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ROCEDURES</w:t>
      </w:r>
    </w:p>
    <w:p>
      <w:pPr>
        <w:spacing w:after="0" w:line="157"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rendered by the Company’s independent registered public accounting firm, Marcum LLP.</w:t>
      </w:r>
    </w:p>
    <w:p>
      <w:pPr>
        <w:spacing w:after="0" w:line="9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Marcum LLP is compatible with maintaining the principal accountant’s independence.</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4.</w:t>
      </w: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FFICERS</w:t>
      </w:r>
    </w:p>
    <w:p>
      <w:pPr>
        <w:spacing w:after="0" w:line="17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Our executive officers, and their respective ages as of the management transition effective May 1, 2023, are as follows:</w:t>
      </w:r>
    </w:p>
    <w:tbl>
      <w:tblPr>
        <w:tblLayout w:type="fixed"/>
        <w:tblInd w:w="1260" w:type="dxa"/>
        <w:tblCellMar>
          <w:top w:w="0" w:type="dxa"/>
          <w:left w:w="0" w:type="dxa"/>
          <w:bottom w:w="0" w:type="dxa"/>
          <w:right w:w="0" w:type="dxa"/>
        </w:tblCellMar>
      </w:tblPr>
      <w:tr>
        <w:trPr>
          <w:trHeight w:val="405"/>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500" w:type="dxa"/>
            <w:vAlign w:val="bottom"/>
            <w:gridSpan w:val="4"/>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Age</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Position(s)</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Juan Vera, M.D.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Michael Loiacono</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Accounting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Nadia Agopyan, Ph.D.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Vice President, Regulatory Affairs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Tsvetelina Hoang, Ph.D.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9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Vice President, Research &amp; Development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Anna Szymanska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96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Vice President, Quality</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spacing w:after="0"/>
        <w:rPr>
          <w:sz w:val="20"/>
          <w:szCs w:val="20"/>
          <w:color w:val="auto"/>
        </w:rPr>
      </w:pPr>
      <w:r>
        <w:rPr>
          <w:rFonts w:ascii="Times New Roman" w:cs="Times New Roman" w:eastAsia="Times New Roman" w:hAnsi="Times New Roman"/>
          <w:sz w:val="18"/>
          <w:szCs w:val="18"/>
          <w:color w:val="auto"/>
        </w:rPr>
        <w:t>The biography of Juan Vera is set forth in “Proposal 1: Election of Directors” above.</w:t>
      </w:r>
    </w:p>
    <w:p>
      <w:pPr>
        <w:spacing w:after="0" w:line="134"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Loiacono </w:t>
      </w:r>
      <w:r>
        <w:rPr>
          <w:rFonts w:ascii="Times New Roman" w:cs="Times New Roman" w:eastAsia="Times New Roman" w:hAnsi="Times New Roman"/>
          <w:sz w:val="18"/>
          <w:szCs w:val="18"/>
          <w:color w:val="auto"/>
        </w:rPr>
        <w:t>has served as our Chief Accounting Officer, Secretary and Treasurer since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Loiacono also previously served as our Chief Financial Officer from 2016 until November 2018 when the roles of Chief Accounting Officer and Chief Financial Officer of the Company were separated. Mr. Loiacono previously was responsible for strategic development at FTCI, Inc. from 2013 to August 2016. Mr. Loiacono earned a B.S. from Rutgers University.</w:t>
      </w:r>
    </w:p>
    <w:p>
      <w:pPr>
        <w:spacing w:after="0" w:line="112"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Nadia Agopyan, Ph.D. </w:t>
      </w:r>
      <w:r>
        <w:rPr>
          <w:rFonts w:ascii="Times New Roman" w:cs="Times New Roman" w:eastAsia="Times New Roman" w:hAnsi="Times New Roman"/>
          <w:sz w:val="18"/>
          <w:szCs w:val="18"/>
          <w:color w:val="auto"/>
        </w:rPr>
        <w:t>has served as our Vice President of Regulatory Affairs since August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Agopyan previously served as Director of Regulatory Affairs of Kite Pharma, a subsidiary of Gilead Sciences, from 2015 to August 2019. She also served as Global Regulatory Lead at Baxter Biosciences from 2012 to 2015. Ms. Agopyan earned a B.Sc. and a Ph.D. in Neurophysiology from McGill University.</w:t>
      </w:r>
    </w:p>
    <w:p>
      <w:pPr>
        <w:spacing w:after="0" w:line="95"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Tsvetelina P. Hoang, Ph.D. </w:t>
      </w:r>
      <w:r>
        <w:rPr>
          <w:rFonts w:ascii="Times New Roman" w:cs="Times New Roman" w:eastAsia="Times New Roman" w:hAnsi="Times New Roman"/>
          <w:sz w:val="18"/>
          <w:szCs w:val="18"/>
          <w:color w:val="auto"/>
        </w:rPr>
        <w:t>has served as our Vice President of Research and Development since July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 previously served in positions of increasing responsibility at Bellicum Pharmaceuticals, Inc. from 2015 to July 2018, including as Senior Scientist and most recently as Director of Translational Research. Previously, she was a member of the faculty at The University of Texas MD Anderson Cancer Center from 2013 to 2015. Ms. Hoang earned a combined B.S./M.S. in Molecular Biophysics and Biochemistry from Yale University and a Ph.D. in Biology from Johns Hopkins University.</w:t>
      </w:r>
    </w:p>
    <w:p>
      <w:pPr>
        <w:spacing w:after="0" w:line="115"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Anna Szymanska </w:t>
      </w:r>
      <w:r>
        <w:rPr>
          <w:rFonts w:ascii="Times New Roman" w:cs="Times New Roman" w:eastAsia="Times New Roman" w:hAnsi="Times New Roman"/>
          <w:sz w:val="18"/>
          <w:szCs w:val="18"/>
          <w:color w:val="auto"/>
        </w:rPr>
        <w:t>has served as our Vice President of Quality since December 2019. She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Senior Director of Quality from April 2019 to December 2019. Prior to joining our Company, Ms. Szymanska served as Director of Quality Control for Bellicum Pharmaceuticals, Inc. from 2016 to March 2019. She also served as Quality Validation Specialists and Project Manager of Opexa Therapeutics, Inc. from 2015 to 2016 and in roles of increasing responsibility at Woodfield Pharmaceutical, LLC (formerly Pernix Manufacturing, LLC) from 2008 to 2015, most recently as Director of Microbiology. Ms. Szymanska earned an M.S. in Microbiology from the University of Warsaw.</w:t>
      </w:r>
    </w:p>
    <w:p>
      <w:pPr>
        <w:spacing w:after="0" w:line="1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Management Transition</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On April 27, 2023, Peter Hoang resigned from our Board of Directors, effective immediately, and as our President and Chief Executive Officer, effective May 1, 2023. The Board appointed Juan Vera to serve as our President and Chief Executive Officer, effective May 1, 2023. The biography of Peter Hoang is set forth in “Proposal 1: Election of Directors”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ENEFICIAL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ANAGEMENT</w:t>
      </w:r>
    </w:p>
    <w:p>
      <w:pPr>
        <w:spacing w:after="0" w:line="17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31, 2023 by: (i) each director and nominee for director; (ii) each named executive officer;</w:t>
      </w:r>
    </w:p>
    <w:p>
      <w:pPr>
        <w:jc w:val="both"/>
        <w:ind w:left="1260" w:right="419"/>
        <w:spacing w:after="0" w:line="242" w:lineRule="auto"/>
        <w:tabs>
          <w:tab w:leader="none" w:pos="1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March 31, 2023.</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267"/>
        </w:trPr>
        <w:tc>
          <w:tcPr>
            <w:tcW w:w="96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9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4080" w:type="dxa"/>
            <w:vAlign w:val="bottom"/>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80" w:type="dxa"/>
            <w:vAlign w:val="bottom"/>
            <w:vMerge w:val="continue"/>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Percent of Total</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5%​ or greater stockholders:</w:t>
      </w:r>
    </w:p>
    <w:p>
      <w:pPr>
        <w:ind w:left="1440" w:hanging="180"/>
        <w:spacing w:after="0" w:line="191" w:lineRule="auto"/>
        <w:tabs>
          <w:tab w:leader="none" w:pos="1440" w:val="left"/>
        </w:tabs>
        <w:numPr>
          <w:ilvl w:val="0"/>
          <w:numId w:val="1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New Enterprise Associates</w:t>
      </w:r>
      <w:r>
        <w:rPr>
          <w:rFonts w:ascii="Times New Roman" w:cs="Times New Roman" w:eastAsia="Times New Roman" w:hAnsi="Times New Roman"/>
          <w:sz w:val="23"/>
          <w:szCs w:val="23"/>
          <w:color w:val="auto"/>
          <w:vertAlign w:val="superscript"/>
        </w:rPr>
        <w:t>(2)</w:t>
      </w:r>
    </w:p>
    <w:p>
      <w:pPr>
        <w:ind w:left="1440" w:hanging="180"/>
        <w:spacing w:after="0" w:line="180" w:lineRule="auto"/>
        <w:tabs>
          <w:tab w:leader="none" w:pos="1440" w:val="left"/>
        </w:tabs>
        <w:numPr>
          <w:ilvl w:val="0"/>
          <w:numId w:val="1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Aisling Capital IV LP</w:t>
      </w:r>
      <w:r>
        <w:rPr>
          <w:rFonts w:ascii="Times New Roman" w:cs="Times New Roman" w:eastAsia="Times New Roman" w:hAnsi="Times New Roman"/>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52120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440" w:hanging="180"/>
        <w:spacing w:after="0" w:line="193" w:lineRule="auto"/>
        <w:tabs>
          <w:tab w:leader="none" w:pos="1440" w:val="left"/>
        </w:tabs>
        <w:numPr>
          <w:ilvl w:val="0"/>
          <w:numId w:val="1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Peter Hoang</w:t>
      </w:r>
      <w:r>
        <w:rPr>
          <w:rFonts w:ascii="Times New Roman" w:cs="Times New Roman" w:eastAsia="Times New Roman" w:hAnsi="Times New Roman"/>
          <w:sz w:val="23"/>
          <w:szCs w:val="23"/>
          <w:color w:val="auto"/>
          <w:vertAlign w:val="superscript"/>
        </w:rPr>
        <w:t>(4)</w:t>
      </w:r>
    </w:p>
    <w:p>
      <w:pPr>
        <w:ind w:left="1440" w:hanging="180"/>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Kim</w:t>
      </w:r>
    </w:p>
    <w:p>
      <w:pPr>
        <w:spacing w:after="0" w:line="48" w:lineRule="exact"/>
        <w:rPr>
          <w:rFonts w:ascii="Times New Roman" w:cs="Times New Roman" w:eastAsia="Times New Roman" w:hAnsi="Times New Roman"/>
          <w:sz w:val="18"/>
          <w:szCs w:val="18"/>
          <w:color w:val="auto"/>
        </w:rPr>
      </w:pPr>
    </w:p>
    <w:p>
      <w:pPr>
        <w:ind w:left="1440" w:hanging="180"/>
        <w:spacing w:after="0" w:line="180" w:lineRule="auto"/>
        <w:tabs>
          <w:tab w:leader="none" w:pos="1440" w:val="left"/>
        </w:tabs>
        <w:numPr>
          <w:ilvl w:val="0"/>
          <w:numId w:val="15"/>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Mythili Koneru</w:t>
      </w:r>
      <w:r>
        <w:rPr>
          <w:rFonts w:ascii="Times New Roman" w:cs="Times New Roman" w:eastAsia="Times New Roman" w:hAnsi="Times New Roman"/>
          <w:sz w:val="21"/>
          <w:szCs w:val="21"/>
          <w:color w:val="auto"/>
          <w:vertAlign w:val="superscript"/>
        </w:rPr>
        <w:t>(5)</w:t>
      </w:r>
    </w:p>
    <w:p>
      <w:pPr>
        <w:ind w:left="1440" w:hanging="180"/>
        <w:spacing w:after="0" w:line="184" w:lineRule="auto"/>
        <w:tabs>
          <w:tab w:leader="none" w:pos="144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David Eansor</w:t>
      </w:r>
      <w:r>
        <w:rPr>
          <w:rFonts w:ascii="Times New Roman" w:cs="Times New Roman" w:eastAsia="Times New Roman" w:hAnsi="Times New Roman"/>
          <w:sz w:val="21"/>
          <w:szCs w:val="21"/>
          <w:color w:val="auto"/>
          <w:vertAlign w:val="superscript"/>
        </w:rPr>
        <w:t>(6)</w:t>
      </w:r>
    </w:p>
    <w:p>
      <w:pPr>
        <w:spacing w:after="0" w:line="1" w:lineRule="exact"/>
        <w:rPr>
          <w:rFonts w:ascii="Times New Roman" w:cs="Times New Roman" w:eastAsia="Times New Roman" w:hAnsi="Times New Roman"/>
          <w:sz w:val="32"/>
          <w:szCs w:val="32"/>
          <w:color w:val="auto"/>
          <w:vertAlign w:val="subscript"/>
        </w:rPr>
      </w:pPr>
    </w:p>
    <w:p>
      <w:pPr>
        <w:ind w:left="1440" w:hanging="180"/>
        <w:spacing w:after="0" w:line="184" w:lineRule="auto"/>
        <w:tabs>
          <w:tab w:leader="none" w:pos="144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Steven Elms</w:t>
      </w:r>
      <w:r>
        <w:rPr>
          <w:rFonts w:ascii="Times New Roman" w:cs="Times New Roman" w:eastAsia="Times New Roman" w:hAnsi="Times New Roman"/>
          <w:sz w:val="21"/>
          <w:szCs w:val="21"/>
          <w:color w:val="auto"/>
          <w:vertAlign w:val="superscript"/>
        </w:rPr>
        <w:t>(7)</w:t>
      </w:r>
    </w:p>
    <w:p>
      <w:pPr>
        <w:spacing w:after="0" w:line="1" w:lineRule="exact"/>
        <w:rPr>
          <w:rFonts w:ascii="Times New Roman" w:cs="Times New Roman" w:eastAsia="Times New Roman" w:hAnsi="Times New Roman"/>
          <w:sz w:val="32"/>
          <w:szCs w:val="32"/>
          <w:color w:val="auto"/>
          <w:vertAlign w:val="subscript"/>
        </w:rPr>
      </w:pPr>
    </w:p>
    <w:p>
      <w:pPr>
        <w:ind w:left="1440" w:hanging="180"/>
        <w:spacing w:after="0" w:line="183" w:lineRule="auto"/>
        <w:tabs>
          <w:tab w:leader="none" w:pos="1440" w:val="left"/>
        </w:tabs>
        <w:numPr>
          <w:ilvl w:val="0"/>
          <w:numId w:val="15"/>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David Laskow-Pooley</w:t>
      </w:r>
      <w:r>
        <w:rPr>
          <w:rFonts w:ascii="Times New Roman" w:cs="Times New Roman" w:eastAsia="Times New Roman" w:hAnsi="Times New Roman"/>
          <w:sz w:val="20"/>
          <w:szCs w:val="20"/>
          <w:color w:val="auto"/>
          <w:vertAlign w:val="superscript"/>
        </w:rPr>
        <w:t>(8)</w:t>
      </w:r>
    </w:p>
    <w:p>
      <w:pPr>
        <w:ind w:left="1440" w:hanging="180"/>
        <w:spacing w:after="0" w:line="184" w:lineRule="auto"/>
        <w:tabs>
          <w:tab w:leader="none" w:pos="144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Juan Vera</w:t>
      </w:r>
      <w:r>
        <w:rPr>
          <w:rFonts w:ascii="Times New Roman" w:cs="Times New Roman" w:eastAsia="Times New Roman" w:hAnsi="Times New Roman"/>
          <w:sz w:val="21"/>
          <w:szCs w:val="21"/>
          <w:color w:val="auto"/>
          <w:vertAlign w:val="superscript"/>
        </w:rPr>
        <w:t>(9)</w:t>
      </w:r>
    </w:p>
    <w:p>
      <w:pPr>
        <w:spacing w:after="0" w:line="1" w:lineRule="exact"/>
        <w:rPr>
          <w:rFonts w:ascii="Times New Roman" w:cs="Times New Roman" w:eastAsia="Times New Roman" w:hAnsi="Times New Roman"/>
          <w:sz w:val="32"/>
          <w:szCs w:val="32"/>
          <w:color w:val="auto"/>
          <w:vertAlign w:val="subscript"/>
        </w:rPr>
      </w:pPr>
    </w:p>
    <w:p>
      <w:pPr>
        <w:ind w:left="1440" w:hanging="180"/>
        <w:spacing w:after="0" w:line="180" w:lineRule="auto"/>
        <w:tabs>
          <w:tab w:leader="none" w:pos="1440" w:val="left"/>
        </w:tabs>
        <w:numPr>
          <w:ilvl w:val="0"/>
          <w:numId w:val="1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John Wilson</w:t>
      </w:r>
      <w:r>
        <w:rPr>
          <w:rFonts w:ascii="Times New Roman" w:cs="Times New Roman" w:eastAsia="Times New Roman" w:hAnsi="Times New Roman"/>
          <w:sz w:val="22"/>
          <w:szCs w:val="22"/>
          <w:color w:val="auto"/>
          <w:vertAlign w:val="superscript"/>
        </w:rPr>
        <w:t>(10)</w:t>
      </w:r>
    </w:p>
    <w:p>
      <w:pPr>
        <w:spacing w:after="0" w:line="1" w:lineRule="exact"/>
        <w:rPr>
          <w:rFonts w:ascii="Times New Roman" w:cs="Times New Roman" w:eastAsia="Times New Roman" w:hAnsi="Times New Roman"/>
          <w:sz w:val="34"/>
          <w:szCs w:val="34"/>
          <w:color w:val="auto"/>
          <w:vertAlign w:val="subscript"/>
        </w:rPr>
      </w:pPr>
    </w:p>
    <w:p>
      <w:pPr>
        <w:ind w:left="1440" w:hanging="180"/>
        <w:spacing w:after="0" w:line="184" w:lineRule="auto"/>
        <w:tabs>
          <w:tab w:leader="none" w:pos="144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Katharine Knobil</w:t>
      </w:r>
      <w:r>
        <w:rPr>
          <w:rFonts w:ascii="Times New Roman" w:cs="Times New Roman" w:eastAsia="Times New Roman" w:hAnsi="Times New Roman"/>
          <w:sz w:val="21"/>
          <w:szCs w:val="21"/>
          <w:color w:val="auto"/>
          <w:vertAlign w:val="superscript"/>
        </w:rPr>
        <w:t>(11)</w:t>
      </w:r>
    </w:p>
    <w:p>
      <w:pPr>
        <w:spacing w:after="0" w:line="1" w:lineRule="exact"/>
        <w:rPr>
          <w:rFonts w:ascii="Times New Roman" w:cs="Times New Roman" w:eastAsia="Times New Roman" w:hAnsi="Times New Roman"/>
          <w:sz w:val="32"/>
          <w:szCs w:val="32"/>
          <w:color w:val="auto"/>
          <w:vertAlign w:val="subscript"/>
        </w:rPr>
      </w:pPr>
    </w:p>
    <w:p>
      <w:pPr>
        <w:ind w:left="1440" w:hanging="180"/>
        <w:spacing w:after="0" w:line="184" w:lineRule="auto"/>
        <w:tabs>
          <w:tab w:leader="none" w:pos="144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All executive officers and directors as a group (12 persons)</w:t>
      </w:r>
      <w:r>
        <w:rPr>
          <w:rFonts w:ascii="Times New Roman" w:cs="Times New Roman" w:eastAsia="Times New Roman" w:hAnsi="Times New Roman"/>
          <w:sz w:val="21"/>
          <w:szCs w:val="2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-1456690</wp:posOffset>
            </wp:positionV>
            <wp:extent cx="52120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-1096645</wp:posOffset>
            </wp:positionV>
            <wp:extent cx="521208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-736600</wp:posOffset>
            </wp:positionV>
            <wp:extent cx="521208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-376555</wp:posOffset>
            </wp:positionV>
            <wp:extent cx="521208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3" w:lineRule="exact"/>
        <w:rPr>
          <w:sz w:val="20"/>
          <w:szCs w:val="20"/>
          <w:color w:val="auto"/>
        </w:rPr>
      </w:pPr>
    </w:p>
    <w:p>
      <w:pPr>
        <w:ind w:left="1620" w:hanging="360"/>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 ​</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​1,446,428</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464,285</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5.2%</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 ​</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7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240,922</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2.7%</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58,221</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476,503</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5.3%</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405,580</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4.5%</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​1,010,244</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​2,337,283</w:t>
            </w:r>
          </w:p>
        </w:tc>
        <w:tc>
          <w:tcPr>
            <w:tcW w:w="1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616" w:lineRule="exact"/>
        <w:rPr>
          <w:sz w:val="20"/>
          <w:szCs w:val="20"/>
          <w:color w:val="auto"/>
        </w:rPr>
      </w:pPr>
    </w:p>
    <w:p>
      <w:pPr>
        <w:sectPr>
          <w:pgSz w:w="11900" w:h="16838" w:orient="portrait"/>
          <w:cols w:equalWidth="0" w:num="2">
            <w:col w:w="6120" w:space="240"/>
            <w:col w:w="3519"/>
          </w:cols>
          <w:pgMar w:left="580" w:top="97" w:right="1440" w:bottom="1440" w:gutter="0" w:footer="0" w:header="0"/>
          <w:type w:val="continuous"/>
        </w:sectPr>
      </w:pPr>
    </w:p>
    <w:p>
      <w:pPr>
        <w:jc w:val="both"/>
        <w:ind w:left="1620" w:right="419" w:hanging="360"/>
        <w:spacing w:after="0" w:line="25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13D and 13G filed with the SEC and takes into account the impacts of the Reverse Stock Split.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8,798,829 shares outstanding on March 31, 2023, adjusted as required by rules promulgated by the SEC.</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filed on March 26, 2021 with the SEC by New Enterprise Associates 16, L.P. (“NEA 16”) and its affiliates, except as has been adjusted to account for the Reverse Stock Split. Consists of (a) 1,071,428 shares of common stock held directly by NEA 16 and (b) 375,000 shares of common stock issuable upon the exercise of warrants held directly by NEA 16. NEA Partners 16, L.P. (“NEA Partners 16”) is the sole general partner of NEA 16, and NEA 16 GP, LLC (“NEA 16 LLC”) is the sole general partner of NEA Partner 16. The mangers of NEA 16 LLC are Peter J. Barris, Forest Baskett, Ali Behbahani, Carmen Chang, Anthony A. Florence, Jr., Mohamad H. Makhzoumi, Joshua Makower, David M. Mott, Scott D. Sandell, Peter W. Sonsini, Ravi Viswanathan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w:t>
      </w:r>
    </w:p>
    <w:p>
      <w:pPr>
        <w:spacing w:after="0" w:line="41"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March 3, 2023 with the SEC by Aisling Capital IV, LP (“Aisling”) and its affiliates. Consists of (a) 314,285 shares of common stock held directly by Aisling and (b) 150,000 shares of common stock issuable upon exercise of warrants held directly by Aisling. Aisling Capital Partners IV, LP, (“Aisling LP”) is the general partner of Aisling and Aisling</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6" w:lineRule="auto"/>
        <w:rPr>
          <w:sz w:val="20"/>
          <w:szCs w:val="20"/>
          <w:color w:val="auto"/>
        </w:rPr>
      </w:pPr>
      <w:r>
        <w:rPr>
          <w:rFonts w:ascii="Times New Roman" w:cs="Times New Roman" w:eastAsia="Times New Roman" w:hAnsi="Times New Roman"/>
          <w:sz w:val="18"/>
          <w:szCs w:val="18"/>
          <w:color w:val="auto"/>
        </w:rPr>
        <w:t>Capital Partners IV LLC, (“Aisling LLC”) is the general partner of Aisling LLC. Steven Elms, a member of the Company’s board of directors, and Mr. Andrew Schiff are the managing members of Aisling LLC (together, the “Managing Members”). Aisling, Aisling LP, Aisling LLC and the Managing Members share voting and dispositive power with regard to the shares owned directly by Aisling. The principal business address for all entities and individuals affiliated with Aisling is Aisling Capital, 888 Seventh Avenue, 12th Floor, New York, NY 10106.</w:t>
      </w:r>
    </w:p>
    <w:p>
      <w:pPr>
        <w:spacing w:after="0" w:line="52" w:lineRule="exact"/>
        <w:rPr>
          <w:sz w:val="20"/>
          <w:szCs w:val="20"/>
          <w:color w:val="auto"/>
        </w:rPr>
      </w:pPr>
    </w:p>
    <w:p>
      <w:pPr>
        <w:jc w:val="both"/>
        <w:ind w:left="1620" w:right="41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33,256 shares of common stock and (b) 207,666 shares of common stock issuable upon exercise of options within 60 days of March 31, 2023. Peter Hoang resigned as President and Chief Executive Officer, effective May 1, 2023, and Director, effective April 27, 2023.</w:t>
      </w:r>
    </w:p>
    <w:p>
      <w:pPr>
        <w:spacing w:after="0" w:line="27"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58,221 shares of common stock issuable upon exercise of options within 60 days of March 31, 2023. Mythili Koneru resigned as Chief Medical Officer effective April 9, 2023.</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3,694 shares of common stock and (b) 9,250 shares of common stock issuable upon exercise of options within 60 days of March 31, 2023.</w:t>
      </w:r>
    </w:p>
    <w:p>
      <w:pPr>
        <w:spacing w:after="0" w:line="26" w:lineRule="exact"/>
        <w:rPr>
          <w:rFonts w:ascii="Times New Roman" w:cs="Times New Roman" w:eastAsia="Times New Roman" w:hAnsi="Times New Roman"/>
          <w:sz w:val="18"/>
          <w:szCs w:val="18"/>
          <w:color w:val="auto"/>
        </w:rPr>
      </w:pPr>
    </w:p>
    <w:p>
      <w:pPr>
        <w:jc w:val="both"/>
        <w:ind w:left="1620" w:right="419" w:hanging="360"/>
        <w:spacing w:after="0" w:line="257"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2,968 shares of common stock held directly by Mr. Elms, (b) 314,285 shares of common stock held directly by Aisling as described above in footnote 3, (c) 150,000 shares of common stock issuable upon exercise of warrants held directly by Aisling as described above in footnote 3 and</w:t>
      </w:r>
    </w:p>
    <w:p>
      <w:pPr>
        <w:spacing w:after="0" w:line="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9,250 shares of common stock issuable upon exercise of options within 60 days of March 31, 2023.</w:t>
      </w:r>
    </w:p>
    <w:p>
      <w:pPr>
        <w:spacing w:after="0" w:line="58"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5,522 shares of common stock and (b) 9,250 shares of common stock issuable upon exercise of options within 60 days of March 31, 2023.</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256,448 shares of common stock, (b) 72,278 shares of common stock issuable upon exercise of warrants within 60 days of March 31, 2023 and (c) 76,854 shares of common stock issuable upon exercise of options within 60 days of March 31, 2023.</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781,200 shares of common stock, (b) 219,794 shares of common stock issuable upon exercise of warrants within 60 days of March 31, 2021 and (c) 9,250 shares of common stock issuable upon exercise of options within 60 days of March 31, 2023.</w:t>
      </w:r>
    </w:p>
    <w:p>
      <w:pPr>
        <w:spacing w:after="0" w:line="27"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150 shares of common stock and (b) 13,899 shares of common stock issuable upon exercise of options within 60 days of March 31, 2023.</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1,430,779 shares of common stock, (b) 442,072 shares of common stock issuable upon exercise of warrants within 60 days of March 31, 2023 and (c) 464,432 shares of common stock issuable upon exercise of options within 60 days of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ELINQUENT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16(A) R</w:t>
      </w:r>
      <w:r>
        <w:rPr>
          <w:rFonts w:ascii="Times New Roman" w:cs="Times New Roman" w:eastAsia="Times New Roman" w:hAnsi="Times New Roman"/>
          <w:sz w:val="16"/>
          <w:szCs w:val="16"/>
          <w:b w:val="1"/>
          <w:bCs w:val="1"/>
          <w:color w:val="auto"/>
        </w:rPr>
        <w:t>EPORTS</w:t>
      </w:r>
    </w:p>
    <w:p>
      <w:pPr>
        <w:spacing w:after="0" w:line="17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fiscal year ended December 31, 2022, all Section 16(a) filing requirements applicable to its officers, directors and greater than ten percent beneficial owners were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7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are currently a smaller reporting company and have elected to be subject to the scaled reporting rules applicable to smaller reporting companies. The following section describes, under the scaled reporting rules applicable to smaller reporting companies, the compensation we paid to our “named executive officers” for the fiscal years ended December 31, 2022 and 2021. Our named executive officers for the fiscal year ended December 31, 2022 are as follows:</w:t>
      </w:r>
    </w:p>
    <w:p>
      <w:pPr>
        <w:spacing w:after="0" w:line="89" w:lineRule="exact"/>
        <w:rPr>
          <w:sz w:val="20"/>
          <w:szCs w:val="20"/>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our Former President and Chief Executive Officer, who has resigned from that role effective May 1, 2023;</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Vera, our President and Chief Executive Officer, effective May 1, 2023, who served as our Chief Scientific Officer and Chief Operating Officer during the fiscal year ended December 31, 2022;</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Mythili Koneru, our former Chief Medical Officer;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Kim, our former Chief Financial Officer.</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6"/>
          <w:szCs w:val="16"/>
          <w:b w:val="1"/>
          <w:bCs w:val="1"/>
          <w:color w:val="auto"/>
        </w:rPr>
        <w:t>UMMARY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6"/>
          <w:szCs w:val="16"/>
          <w:b w:val="1"/>
          <w:bCs w:val="1"/>
          <w:color w:val="auto"/>
        </w:rPr>
        <w:t>ABLE</w:t>
      </w:r>
    </w:p>
    <w:p>
      <w:pPr>
        <w:spacing w:after="0" w:line="17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years ended December 31, 2022 and 2021, respectively.</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4"/>
                <w:szCs w:val="14"/>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8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2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40" w:type="dxa"/>
            <w:vAlign w:val="bottom"/>
            <w:gridSpan w:val="3"/>
          </w:tcPr>
          <w:p>
            <w:pPr>
              <w:jc w:val="right"/>
              <w:ind w:righ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w:t>
            </w:r>
          </w:p>
        </w:tc>
        <w:tc>
          <w:tcPr>
            <w:tcW w:w="8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center"/>
              <w:ind w:right="39"/>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820" w:type="dxa"/>
            <w:vAlign w:val="bottom"/>
            <w:gridSpan w:val="9"/>
          </w:tcPr>
          <w:p>
            <w:pPr>
              <w:jc w:val="center"/>
              <w:ind w:righ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Compensation ($)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Compensation ($) </w:t>
            </w:r>
            <w:r>
              <w:rPr>
                <w:rFonts w:ascii="Times New Roman" w:cs="Times New Roman" w:eastAsia="Times New Roman" w:hAnsi="Times New Roman"/>
                <w:sz w:val="24"/>
                <w:szCs w:val="24"/>
                <w:b w:val="1"/>
                <w:bCs w:val="1"/>
                <w:color w:val="auto"/>
                <w:vertAlign w:val="subscript"/>
              </w:rPr>
              <w:t>​ ​</w:t>
            </w: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CCED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740" w:type="dxa"/>
            <w:vAlign w:val="bottom"/>
            <w:tcBorders>
              <w:bottom w:val="single" w:sz="8" w:color="CCEDFF"/>
              <w:right w:val="single" w:sz="8" w:color="CCEDFF"/>
            </w:tcBorders>
            <w:shd w:val="clear" w:color="auto" w:fill="CCEDFF"/>
          </w:tcPr>
          <w:p>
            <w:pPr>
              <w:spacing w:after="0" w:line="245" w:lineRule="exact"/>
              <w:rPr>
                <w:sz w:val="20"/>
                <w:szCs w:val="20"/>
                <w:color w:val="auto"/>
              </w:rPr>
            </w:pPr>
            <w:r>
              <w:rPr>
                <w:rFonts w:ascii="Times New Roman" w:cs="Times New Roman" w:eastAsia="Times New Roman" w:hAnsi="Times New Roman"/>
                <w:sz w:val="18"/>
                <w:szCs w:val="18"/>
                <w:color w:val="auto"/>
              </w:rPr>
              <w:t>Peter Hoang</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CCEDFF"/>
            </w:tcBorders>
            <w:gridSpan w:val="3"/>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CCEDFF"/>
            </w:tcBorders>
            <w:gridSpan w:val="2"/>
            <w:shd w:val="clear" w:color="auto" w:fill="CCEDFF"/>
          </w:tcPr>
          <w:p>
            <w:pPr>
              <w:jc w:val="center"/>
              <w:ind w:right="488"/>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DFF"/>
              <w:right w:val="single" w:sz="8" w:color="CCEDFF"/>
            </w:tcBorders>
            <w:shd w:val="clear" w:color="auto" w:fill="CCEDFF"/>
          </w:tcPr>
          <w:p>
            <w:pPr>
              <w:spacing w:after="0"/>
              <w:rPr>
                <w:sz w:val="22"/>
                <w:szCs w:val="22"/>
                <w:color w:val="auto"/>
              </w:rPr>
            </w:pPr>
          </w:p>
        </w:tc>
        <w:tc>
          <w:tcPr>
            <w:tcW w:w="180" w:type="dxa"/>
            <w:vAlign w:val="bottom"/>
            <w:tcBorders>
              <w:bottom w:val="single" w:sz="8" w:color="CCEDFF"/>
            </w:tcBorders>
            <w:vMerge w:val="continue"/>
            <w:shd w:val="clear" w:color="auto" w:fill="CCEDFF"/>
          </w:tcPr>
          <w:p>
            <w:pPr>
              <w:spacing w:after="0"/>
              <w:rPr>
                <w:sz w:val="22"/>
                <w:szCs w:val="22"/>
                <w:color w:val="auto"/>
              </w:rPr>
            </w:pPr>
          </w:p>
        </w:tc>
        <w:tc>
          <w:tcPr>
            <w:tcW w:w="46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DFF"/>
            </w:tcBorders>
            <w:shd w:val="clear" w:color="auto" w:fill="CCEDFF"/>
          </w:tcPr>
          <w:p>
            <w:pPr>
              <w:spacing w:after="0"/>
              <w:rPr>
                <w:sz w:val="22"/>
                <w:szCs w:val="22"/>
                <w:color w:val="auto"/>
              </w:rPr>
            </w:pPr>
          </w:p>
        </w:tc>
        <w:tc>
          <w:tcPr>
            <w:tcW w:w="240" w:type="dxa"/>
            <w:vAlign w:val="bottom"/>
            <w:tcBorders>
              <w:bottom w:val="single" w:sz="8" w:color="CCEDFF"/>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vMerge w:val="continue"/>
            <w:shd w:val="clear" w:color="auto" w:fill="CCEDFF"/>
          </w:tcPr>
          <w:p>
            <w:pPr>
              <w:spacing w:after="0"/>
              <w:rPr>
                <w:sz w:val="22"/>
                <w:szCs w:val="22"/>
                <w:color w:val="auto"/>
              </w:rPr>
            </w:pPr>
          </w:p>
        </w:tc>
        <w:tc>
          <w:tcPr>
            <w:tcW w:w="460" w:type="dxa"/>
            <w:vAlign w:val="bottom"/>
            <w:tcBorders>
              <w:bottom w:val="single" w:sz="8" w:color="CCEDFF"/>
            </w:tcBorders>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DFF"/>
              <w:right w:val="single" w:sz="8" w:color="CCEDFF"/>
            </w:tcBorders>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bottom w:val="single" w:sz="8" w:color="CCEDFF"/>
            </w:tcBorders>
            <w:shd w:val="clear" w:color="auto" w:fill="CCEDFF"/>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740" w:type="dxa"/>
            <w:vAlign w:val="bottom"/>
            <w:tcBorders>
              <w:bottom w:val="single" w:sz="8" w:color="CCEDFF"/>
              <w:right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President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DFF"/>
            </w:tcBorders>
            <w:gridSpan w:val="2"/>
            <w:shd w:val="clear" w:color="auto" w:fill="CCED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2022</w:t>
            </w:r>
          </w:p>
        </w:tc>
        <w:tc>
          <w:tcPr>
            <w:tcW w:w="800" w:type="dxa"/>
            <w:vAlign w:val="bottom"/>
            <w:tcBorders>
              <w:bottom w:val="single" w:sz="8" w:color="CCEDFF"/>
            </w:tcBorders>
            <w:gridSpan w:val="2"/>
            <w:shd w:val="clear" w:color="auto" w:fill="CCED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424,270</w:t>
            </w:r>
          </w:p>
        </w:tc>
        <w:tc>
          <w:tcPr>
            <w:tcW w:w="28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DFF"/>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141,900</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right w:val="single" w:sz="8" w:color="CCEDFF"/>
            </w:tcBorders>
            <w:shd w:val="clear" w:color="auto" w:fill="CCEDFF"/>
          </w:tcPr>
          <w:p>
            <w:pPr>
              <w:spacing w:after="0"/>
              <w:rPr>
                <w:sz w:val="24"/>
                <w:szCs w:val="24"/>
                <w:color w:val="auto"/>
              </w:rPr>
            </w:pPr>
          </w:p>
        </w:tc>
        <w:tc>
          <w:tcPr>
            <w:tcW w:w="20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DFF"/>
            </w:tcBorders>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DFF"/>
              <w:right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566,170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40" w:type="dxa"/>
            <w:vAlign w:val="bottom"/>
            <w:tcBorders>
              <w:right w:val="single" w:sz="8" w:color="CCEDFF"/>
            </w:tcBorders>
            <w:shd w:val="clear" w:color="auto" w:fill="CCEDFF"/>
          </w:tcPr>
          <w:p>
            <w:pPr>
              <w:ind w:left="360"/>
              <w:spacing w:after="0" w:line="189" w:lineRule="exact"/>
              <w:rPr>
                <w:sz w:val="20"/>
                <w:szCs w:val="20"/>
                <w:color w:val="auto"/>
              </w:rPr>
            </w:pPr>
            <w:r>
              <w:rPr>
                <w:rFonts w:ascii="Times New Roman" w:cs="Times New Roman" w:eastAsia="Times New Roman" w:hAnsi="Times New Roman"/>
                <w:sz w:val="18"/>
                <w:szCs w:val="18"/>
                <w:i w:val="1"/>
                <w:iCs w:val="1"/>
                <w:color w:val="auto"/>
              </w:rPr>
              <w:t>and Chief</w:t>
            </w:r>
          </w:p>
        </w:tc>
        <w:tc>
          <w:tcPr>
            <w:tcW w:w="80" w:type="dxa"/>
            <w:vAlign w:val="bottom"/>
          </w:tcPr>
          <w:p>
            <w:pPr>
              <w:spacing w:after="0"/>
              <w:rPr>
                <w:sz w:val="16"/>
                <w:szCs w:val="16"/>
                <w:color w:val="auto"/>
              </w:rPr>
            </w:pPr>
          </w:p>
        </w:tc>
        <w:tc>
          <w:tcPr>
            <w:tcW w:w="4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 ​​424,089</w:t>
            </w:r>
          </w:p>
        </w:tc>
        <w:tc>
          <w:tcPr>
            <w:tcW w:w="9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 ​​1,001,900</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7"/>
                <w:szCs w:val="17"/>
                <w:color w:val="auto"/>
              </w:rPr>
              <w:t>​193,043</w:t>
            </w:r>
            <w:r>
              <w:rPr>
                <w:rFonts w:ascii="Times New Roman" w:cs="Times New Roman" w:eastAsia="Times New Roman" w:hAnsi="Times New Roman"/>
                <w:sz w:val="21"/>
                <w:szCs w:val="21"/>
                <w:color w:val="auto"/>
                <w:vertAlign w:val="superscript"/>
              </w:rPr>
              <w:t>(3)</w:t>
            </w:r>
          </w:p>
        </w:tc>
        <w:tc>
          <w:tcPr>
            <w:tcW w:w="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 ​​1,619,032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CCEDFF"/>
            </w:tcBorders>
            <w:shd w:val="clear" w:color="auto" w:fill="CCEDFF"/>
          </w:tcPr>
          <w:p>
            <w:pPr>
              <w:ind w:left="36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5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Juan Vera</w:t>
            </w:r>
            <w:r>
              <w:rPr>
                <w:rFonts w:ascii="Times New Roman" w:cs="Times New Roman" w:eastAsia="Times New Roman" w:hAnsi="Times New Roman"/>
                <w:sz w:val="23"/>
                <w:szCs w:val="23"/>
                <w:color w:val="auto"/>
                <w:vertAlign w:val="superscript"/>
              </w:rPr>
              <w:t>(5)</w:t>
            </w:r>
          </w:p>
        </w:tc>
        <w:tc>
          <w:tcPr>
            <w:tcW w:w="540" w:type="dxa"/>
            <w:vAlign w:val="bottom"/>
            <w:gridSpan w:val="3"/>
            <w:vMerge w:val="continue"/>
          </w:tcPr>
          <w:p>
            <w:pPr>
              <w:spacing w:after="0"/>
              <w:rPr>
                <w:sz w:val="23"/>
                <w:szCs w:val="23"/>
                <w:color w:val="auto"/>
              </w:rPr>
            </w:pPr>
          </w:p>
        </w:tc>
        <w:tc>
          <w:tcPr>
            <w:tcW w:w="800" w:type="dxa"/>
            <w:vAlign w:val="bottom"/>
            <w:gridSpan w:val="2"/>
          </w:tcPr>
          <w:p>
            <w:pPr>
              <w:jc w:val="center"/>
              <w:ind w:right="4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54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52,800</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581,923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740" w:type="dxa"/>
            <w:vAlign w:val="bottom"/>
            <w:vMerge w:val="continue"/>
          </w:tcPr>
          <w:p>
            <w:pPr>
              <w:spacing w:after="0"/>
              <w:rPr>
                <w:sz w:val="5"/>
                <w:szCs w:val="5"/>
                <w:color w:val="auto"/>
              </w:rPr>
            </w:pPr>
          </w:p>
        </w:tc>
        <w:tc>
          <w:tcPr>
            <w:tcW w:w="540" w:type="dxa"/>
            <w:vAlign w:val="bottom"/>
            <w:gridSpan w:val="3"/>
          </w:tcPr>
          <w:p>
            <w:pPr>
              <w:jc w:val="right"/>
              <w:spacing w:after="0" w:line="61" w:lineRule="exact"/>
              <w:rPr>
                <w:sz w:val="20"/>
                <w:szCs w:val="20"/>
                <w:color w:val="auto"/>
              </w:rPr>
            </w:pPr>
            <w:r>
              <w:rPr>
                <w:rFonts w:ascii="Times New Roman" w:cs="Times New Roman" w:eastAsia="Times New Roman" w:hAnsi="Times New Roman"/>
                <w:sz w:val="7"/>
                <w:szCs w:val="7"/>
                <w:color w:val="auto"/>
              </w:rPr>
              <w:t>2022</w:t>
            </w:r>
          </w:p>
        </w:tc>
        <w:tc>
          <w:tcPr>
            <w:tcW w:w="800" w:type="dxa"/>
            <w:vAlign w:val="bottom"/>
            <w:gridSpan w:val="2"/>
          </w:tcPr>
          <w:p>
            <w:pPr>
              <w:ind w:left="220"/>
              <w:spacing w:after="0" w:line="61" w:lineRule="exact"/>
              <w:rPr>
                <w:sz w:val="20"/>
                <w:szCs w:val="20"/>
                <w:color w:val="auto"/>
              </w:rPr>
            </w:pPr>
            <w:r>
              <w:rPr>
                <w:rFonts w:ascii="Times New Roman" w:cs="Times New Roman" w:eastAsia="Times New Roman" w:hAnsi="Times New Roman"/>
                <w:sz w:val="7"/>
                <w:szCs w:val="7"/>
                <w:color w:val="auto"/>
              </w:rPr>
              <w:t>379,981</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2"/>
          </w:tcPr>
          <w:p>
            <w:pPr>
              <w:jc w:val="right"/>
              <w:spacing w:after="0" w:line="61" w:lineRule="exact"/>
              <w:rPr>
                <w:sz w:val="20"/>
                <w:szCs w:val="20"/>
                <w:color w:val="auto"/>
              </w:rPr>
            </w:pPr>
            <w:r>
              <w:rPr>
                <w:rFonts w:ascii="Times New Roman" w:cs="Times New Roman" w:eastAsia="Times New Roman" w:hAnsi="Times New Roman"/>
                <w:sz w:val="7"/>
                <w:szCs w:val="7"/>
                <w:color w:val="auto"/>
              </w:rPr>
              <w:t>149,142</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740" w:type="dxa"/>
            <w:vAlign w:val="bottom"/>
            <w:tcBorders>
              <w:bottom w:val="single" w:sz="8" w:color="CCEDFF"/>
              <w:right w:val="single" w:sz="8" w:color="CCEDFF"/>
            </w:tcBorders>
            <w:shd w:val="clear" w:color="auto" w:fill="CCEDFF"/>
          </w:tcPr>
          <w:p>
            <w:pPr>
              <w:spacing w:after="0" w:line="258" w:lineRule="exact"/>
              <w:rPr>
                <w:sz w:val="20"/>
                <w:szCs w:val="20"/>
                <w:color w:val="auto"/>
              </w:rPr>
            </w:pPr>
            <w:r>
              <w:rPr>
                <w:rFonts w:ascii="Times New Roman" w:cs="Times New Roman" w:eastAsia="Times New Roman" w:hAnsi="Times New Roman"/>
                <w:sz w:val="18"/>
                <w:szCs w:val="18"/>
                <w:color w:val="auto"/>
              </w:rPr>
              <w:t>Mythili Koneru</w:t>
            </w:r>
            <w:r>
              <w:rPr>
                <w:rFonts w:ascii="Times New Roman" w:cs="Times New Roman" w:eastAsia="Times New Roman" w:hAnsi="Times New Roman"/>
                <w:sz w:val="23"/>
                <w:szCs w:val="23"/>
                <w:color w:val="auto"/>
                <w:vertAlign w:val="superscript"/>
              </w:rPr>
              <w:t>(6)</w:t>
            </w:r>
          </w:p>
        </w:tc>
        <w:tc>
          <w:tcPr>
            <w:tcW w:w="540" w:type="dxa"/>
            <w:vAlign w:val="bottom"/>
            <w:tcBorders>
              <w:bottom w:val="single" w:sz="8" w:color="CCEDFF"/>
            </w:tcBorders>
            <w:gridSpan w:val="3"/>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CCEDFF"/>
            </w:tcBorders>
            <w:gridSpan w:val="2"/>
            <w:shd w:val="clear" w:color="auto" w:fill="CCEDFF"/>
          </w:tcPr>
          <w:p>
            <w:pPr>
              <w:jc w:val="center"/>
              <w:ind w:right="488"/>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DFF"/>
              <w:right w:val="single" w:sz="8" w:color="CCEDFF"/>
            </w:tcBorders>
            <w:shd w:val="clear" w:color="auto" w:fill="CCEDFF"/>
          </w:tcPr>
          <w:p>
            <w:pPr>
              <w:spacing w:after="0"/>
              <w:rPr>
                <w:sz w:val="23"/>
                <w:szCs w:val="23"/>
                <w:color w:val="auto"/>
              </w:rPr>
            </w:pPr>
          </w:p>
        </w:tc>
        <w:tc>
          <w:tcPr>
            <w:tcW w:w="1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DFF"/>
            </w:tcBorders>
            <w:shd w:val="clear" w:color="auto" w:fill="CCEDFF"/>
          </w:tcPr>
          <w:p>
            <w:pPr>
              <w:spacing w:after="0"/>
              <w:rPr>
                <w:sz w:val="23"/>
                <w:szCs w:val="23"/>
                <w:color w:val="auto"/>
              </w:rPr>
            </w:pPr>
          </w:p>
        </w:tc>
        <w:tc>
          <w:tcPr>
            <w:tcW w:w="240" w:type="dxa"/>
            <w:vAlign w:val="bottom"/>
            <w:tcBorders>
              <w:bottom w:val="single" w:sz="8" w:color="CCEDFF"/>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DFF"/>
            </w:tcBorders>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DFF"/>
              <w:right w:val="single" w:sz="8" w:color="CCEDFF"/>
            </w:tcBorders>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bottom w:val="single" w:sz="8" w:color="CCEDFF"/>
            </w:tcBorders>
            <w:shd w:val="clear" w:color="auto" w:fill="CCEDFF"/>
          </w:tcPr>
          <w:p>
            <w:pPr>
              <w:spacing w:after="0"/>
              <w:rPr>
                <w:sz w:val="23"/>
                <w:szCs w:val="23"/>
                <w:color w:val="auto"/>
              </w:rPr>
            </w:pPr>
          </w:p>
        </w:tc>
        <w:tc>
          <w:tcPr>
            <w:tcW w:w="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740" w:type="dxa"/>
            <w:vAlign w:val="bottom"/>
            <w:tcBorders>
              <w:bottom w:val="single" w:sz="8" w:color="CCEDFF"/>
              <w:right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DFF"/>
            </w:tcBorders>
            <w:gridSpan w:val="2"/>
            <w:shd w:val="clear" w:color="auto" w:fill="CCED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2022</w:t>
            </w:r>
          </w:p>
        </w:tc>
        <w:tc>
          <w:tcPr>
            <w:tcW w:w="800" w:type="dxa"/>
            <w:vAlign w:val="bottom"/>
            <w:tcBorders>
              <w:bottom w:val="single" w:sz="8" w:color="CCEDFF"/>
            </w:tcBorders>
            <w:gridSpan w:val="2"/>
            <w:shd w:val="clear" w:color="auto" w:fill="CCED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424,269</w:t>
            </w:r>
          </w:p>
        </w:tc>
        <w:tc>
          <w:tcPr>
            <w:tcW w:w="28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DFF"/>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52,800</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CCEDFF"/>
              <w:right w:val="single" w:sz="8" w:color="CCEDFF"/>
            </w:tcBorders>
            <w:gridSpan w:val="3"/>
            <w:shd w:val="clear" w:color="auto" w:fill="CCEDFF"/>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155,313</w:t>
            </w:r>
            <w:r>
              <w:rPr>
                <w:rFonts w:ascii="Times New Roman" w:cs="Times New Roman" w:eastAsia="Times New Roman" w:hAnsi="Times New Roman"/>
                <w:sz w:val="19"/>
                <w:szCs w:val="19"/>
                <w:color w:val="auto"/>
                <w:vertAlign w:val="superscript"/>
              </w:rPr>
              <w:t>(4)</w:t>
            </w:r>
          </w:p>
        </w:tc>
        <w:tc>
          <w:tcPr>
            <w:tcW w:w="20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DFF"/>
            </w:tcBorders>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DFF"/>
              <w:right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632,382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Borders>
              <w:bottom w:val="single" w:sz="8" w:color="CCEDFF"/>
              <w:right w:val="single" w:sz="8" w:color="CCEDFF"/>
            </w:tcBorders>
            <w:shd w:val="clear" w:color="auto" w:fill="CCEDFF"/>
          </w:tcPr>
          <w:p>
            <w:pPr>
              <w:ind w:left="360"/>
              <w:spacing w:after="0" w:line="189" w:lineRule="exact"/>
              <w:rPr>
                <w:sz w:val="20"/>
                <w:szCs w:val="20"/>
                <w:color w:val="auto"/>
              </w:rPr>
            </w:pPr>
            <w:r>
              <w:rPr>
                <w:rFonts w:ascii="Times New Roman" w:cs="Times New Roman" w:eastAsia="Times New Roman" w:hAnsi="Times New Roman"/>
                <w:sz w:val="18"/>
                <w:szCs w:val="18"/>
                <w:i w:val="1"/>
                <w:iCs w:val="1"/>
                <w:color w:val="auto"/>
              </w:rPr>
              <w:t>Medical Officer</w:t>
            </w:r>
          </w:p>
        </w:tc>
        <w:tc>
          <w:tcPr>
            <w:tcW w:w="80" w:type="dxa"/>
            <w:vAlign w:val="bottom"/>
          </w:tcPr>
          <w:p>
            <w:pPr>
              <w:spacing w:after="0"/>
              <w:rPr>
                <w:sz w:val="21"/>
                <w:szCs w:val="21"/>
                <w:color w:val="auto"/>
              </w:rPr>
            </w:pPr>
          </w:p>
        </w:tc>
        <w:tc>
          <w:tcPr>
            <w:tcW w:w="46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2021</w:t>
            </w:r>
          </w:p>
        </w:tc>
        <w:tc>
          <w:tcPr>
            <w:tcW w:w="800" w:type="dxa"/>
            <w:vAlign w:val="bottom"/>
            <w:gridSpan w:val="2"/>
          </w:tcPr>
          <w:p>
            <w:pPr>
              <w:ind w:left="4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405,827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24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144,311</w:t>
            </w:r>
          </w:p>
        </w:tc>
        <w:tc>
          <w:tcPr>
            <w:tcW w:w="240" w:type="dxa"/>
            <w:vAlign w:val="bottom"/>
          </w:tcPr>
          <w:p>
            <w:pPr>
              <w:spacing w:after="0"/>
              <w:rPr>
                <w:sz w:val="21"/>
                <w:szCs w:val="21"/>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Anthony Kim</w:t>
            </w:r>
            <w:r>
              <w:rPr>
                <w:rFonts w:ascii="Times New Roman" w:cs="Times New Roman" w:eastAsia="Times New Roman" w:hAnsi="Times New Roman"/>
                <w:sz w:val="23"/>
                <w:szCs w:val="23"/>
                <w:color w:val="auto"/>
                <w:vertAlign w:val="superscript"/>
              </w:rPr>
              <w:t>(7)</w:t>
            </w:r>
          </w:p>
        </w:tc>
        <w:tc>
          <w:tcPr>
            <w:tcW w:w="5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center"/>
              <w:ind w:right="488"/>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21"/>
                <w:szCs w:val="21"/>
                <w:color w:val="auto"/>
              </w:rPr>
            </w:pP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1"/>
                <w:szCs w:val="21"/>
                <w:color w:val="auto"/>
              </w:rPr>
            </w:pP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w:t>
            </w:r>
          </w:p>
        </w:tc>
        <w:tc>
          <w:tcPr>
            <w:tcW w:w="540" w:type="dxa"/>
            <w:vAlign w:val="bottom"/>
            <w:gridSpan w:val="3"/>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2022</w:t>
            </w:r>
          </w:p>
        </w:tc>
        <w:tc>
          <w:tcPr>
            <w:tcW w:w="800" w:type="dxa"/>
            <w:vAlign w:val="bottom"/>
            <w:gridSpan w:val="2"/>
          </w:tcPr>
          <w:p>
            <w:pPr>
              <w:ind w:left="4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330,370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220"/>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546,000</w:t>
            </w:r>
            <w:r>
              <w:rPr>
                <w:rFonts w:ascii="Times New Roman" w:cs="Times New Roman" w:eastAsia="Times New Roman" w:hAnsi="Times New Roman"/>
                <w:sz w:val="21"/>
                <w:szCs w:val="21"/>
                <w:color w:val="auto"/>
                <w:vertAlign w:val="superscript"/>
              </w:rPr>
              <w:t>(8)</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i w:val="1"/>
                <w:iCs w:val="1"/>
                <w:color w:val="auto"/>
              </w:rPr>
              <w:t>Financial Officer</w:t>
            </w:r>
          </w:p>
        </w:tc>
        <w:tc>
          <w:tcPr>
            <w:tcW w:w="80" w:type="dxa"/>
            <w:vAlign w:val="bottom"/>
          </w:tcPr>
          <w:p>
            <w:pPr>
              <w:spacing w:after="0"/>
              <w:rPr>
                <w:sz w:val="17"/>
                <w:szCs w:val="17"/>
                <w:color w:val="auto"/>
              </w:rPr>
            </w:pPr>
          </w:p>
        </w:tc>
        <w:tc>
          <w:tcPr>
            <w:tcW w:w="4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401,600</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948,291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400,754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145,937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-2094230</wp:posOffset>
            </wp:positionV>
            <wp:extent cx="3643630" cy="462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43630" cy="46291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-970915</wp:posOffset>
            </wp:positionV>
            <wp:extent cx="3643630" cy="360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43630" cy="36004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-2282825</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-2282825</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-2282825</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-2282825</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-2282825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-2282825</wp:posOffset>
            </wp:positionV>
            <wp:extent cx="1028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116840</wp:posOffset>
            </wp:positionV>
            <wp:extent cx="18345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08" w:lineRule="exact"/>
        <w:rPr>
          <w:sz w:val="20"/>
          <w:szCs w:val="20"/>
          <w:color w:val="auto"/>
        </w:rPr>
      </w:pPr>
    </w:p>
    <w:p>
      <w:pPr>
        <w:jc w:val="both"/>
        <w:ind w:left="2340" w:right="419" w:hanging="360"/>
        <w:spacing w:after="0" w:line="252" w:lineRule="auto"/>
        <w:tabs>
          <w:tab w:leader="none" w:pos="2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2022, as computed in accordance with Financial Accounting Standard Board Accounting Standards Codification Topic 718 for stock-based compensation transactions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w:t>
      </w:r>
    </w:p>
    <w:p>
      <w:pPr>
        <w:spacing w:after="0" w:line="279"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Hoang resigned as our President and Chief Executive Officer effective May 1, 2023. Mr. Hoang did not earn compensation during 2021 or 2022 for his service on the Board.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340" w:right="419" w:hanging="360"/>
        <w:spacing w:after="0" w:line="256" w:lineRule="auto"/>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Messrs. Hoang and Kim the Board determined to pay half of the 2021 annual incentives in the form of fully vested restricted stock units, as described below in “–Narrative to Summary Compensation Table – Executive Compensation Program – Annual Incentive Compensation.” Pursuant to SEC rules, the amount of the annual incentives awarded to each named executive officer has been reported in the Summary Compensation Table under the “Non-Equity Incentive Plan Compensation” column for fiscal year 2021.</w:t>
      </w:r>
    </w:p>
    <w:p>
      <w:pPr>
        <w:spacing w:after="0" w:line="52" w:lineRule="exact"/>
        <w:rPr>
          <w:rFonts w:ascii="Times New Roman" w:cs="Times New Roman" w:eastAsia="Times New Roman" w:hAnsi="Times New Roman"/>
          <w:sz w:val="18"/>
          <w:szCs w:val="18"/>
          <w:color w:val="auto"/>
        </w:rPr>
      </w:pPr>
    </w:p>
    <w:p>
      <w:pPr>
        <w:jc w:val="both"/>
        <w:ind w:left="2340" w:right="419" w:hanging="360"/>
        <w:spacing w:after="0" w:line="259" w:lineRule="auto"/>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Vera and Dr. Koneru, the Board determined to pay 51% and 55% respectively, of the 2022 annual incentives in the form of equity awards under the Company’s 2020 Equity Incentive Plan (as amended, the “2020 Plan), as described below in “–Narrative to Summary Compensation Table – Executive Compensation Program – Annual Incentive Compensation”.</w:t>
      </w:r>
    </w:p>
    <w:p>
      <w:pPr>
        <w:spacing w:after="0" w:line="254" w:lineRule="exact"/>
        <w:rPr>
          <w:rFonts w:ascii="Times New Roman" w:cs="Times New Roman" w:eastAsia="Times New Roman" w:hAnsi="Times New Roman"/>
          <w:sz w:val="18"/>
          <w:szCs w:val="18"/>
          <w:color w:val="auto"/>
        </w:rPr>
      </w:pPr>
    </w:p>
    <w:p>
      <w:pPr>
        <w:jc w:val="both"/>
        <w:ind w:left="2340" w:right="419" w:hanging="360"/>
        <w:spacing w:after="0" w:line="256" w:lineRule="auto"/>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Vera was not a named executive officer for 2021, and as a result his compensation for that year has been omitted pursuant to applicable SEC rules and regulations. Dr. Vera did not earn compensation during 2022 for his service on the Board. Dr. Vera was appointed President and Chief Executive officer effective May 1, 2023. The Compensation Committee has not determined the terms of Dr. Vera’s compensation as President and Chief Executive Officer as of the date of this proxy statement.</w:t>
      </w:r>
    </w:p>
    <w:p>
      <w:pPr>
        <w:spacing w:after="0" w:line="3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9, 2023, Dr. Koneru is no longer with the Company.</w:t>
      </w:r>
    </w:p>
    <w:p>
      <w:pPr>
        <w:spacing w:after="0" w:line="76"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Kim ceased serving as our Chief Financial Officer in September 2022.</w:t>
      </w:r>
    </w:p>
    <w:p>
      <w:pPr>
        <w:spacing w:after="0" w:line="76" w:lineRule="exact"/>
        <w:rPr>
          <w:rFonts w:ascii="Times New Roman" w:cs="Times New Roman" w:eastAsia="Times New Roman" w:hAnsi="Times New Roman"/>
          <w:sz w:val="18"/>
          <w:szCs w:val="18"/>
          <w:color w:val="auto"/>
        </w:rPr>
      </w:pPr>
    </w:p>
    <w:p>
      <w:pPr>
        <w:jc w:val="both"/>
        <w:ind w:left="2340" w:right="419" w:hanging="360"/>
        <w:spacing w:after="0" w:line="255" w:lineRule="auto"/>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$546,000 in separation-related payments as described below. In recognition of Mr. Kim’s service to the Company, the Company provided Mr. Kim with severance benefits consistent with those contemplated by his Employment Agreement, dated as of November 27, 2018, by and between the Company and Mr. Kim (the “Employment Agreement”). Pursuant to the Employment Agreement, we agreed to pay (i) Mr. Kim’s base salary for the 12-month period following the separation date of September 30, 2022, totaling $420,000 and (ii) a pro-rated bonus of $126,000.</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compensation program is designed to achieve the following objectives:</w:t>
      </w:r>
    </w:p>
    <w:p>
      <w:pPr>
        <w:spacing w:after="0" w:line="117" w:lineRule="exact"/>
        <w:rPr>
          <w:sz w:val="20"/>
          <w:szCs w:val="20"/>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reward our named executive officers whose knowledge, skills, performance and business relationships are critical to our success;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named executive officers to manage our business to meet short-term and long-range goals designed to drive the responsible creation of stockholder value and reward accomplishment of these goals;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linking their long-term incentive compensation opportunities to stockholder value creation;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within the context of responsible cost management.</w:t>
      </w:r>
    </w:p>
    <w:p>
      <w:pPr>
        <w:spacing w:after="0" w:line="14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review compensation annually for all employees, including our named executive officers. In setting executive base salaries and granting equity and non-equity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the Company. We do not target a specific mix of compensation among base salary, bonus or long-term incentives, but we structure a significant portion of our executives’ compensation to be variable, at risk and tied directly to the measurable performance of our Company and each executive officer.</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Executive Officers in Setting Executive Compensation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Compensation Committee of our Board (“Compensation Committee”) is responsible for determining our executives’ compensation. Our Compensation Committee typically reviews and discusses management’s proposed compensation with the Chief Executive Officer for all executives other than the Chief Executive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Officer. Based on those discussions and its discretion, the Compensation Committee then approves the compensation of each executive officer without members of management present. The Chief Executive Officer may not participate in, or be present during, any deliberations or determinations of the Compensation Committee regarding his compensation. The Compensation Committee makes recommendations to the Board regarding the Chief Executive Officer’s compensation for approval by the full Board.</w:t>
      </w:r>
    </w:p>
    <w:p>
      <w:pPr>
        <w:spacing w:after="0" w:line="334" w:lineRule="exact"/>
        <w:rPr>
          <w:sz w:val="20"/>
          <w:szCs w:val="20"/>
          <w:color w:val="auto"/>
        </w:rPr>
      </w:pPr>
    </w:p>
    <w:p>
      <w:pPr>
        <w:jc w:val="both"/>
        <w:ind w:left="1260" w:right="419"/>
        <w:spacing w:after="0" w:line="27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factors prescribed by the SEC and Nasdaq described above, the Compensation Committee engaged Radford, which is part of the Rewards Solutions practice at Aon plc, as its compensation consultant (“Radford”). Our Compensation Committee identified Radford based on Radford’s general reputation in the industry. The Compensation Committee requested that Radford:</w:t>
      </w:r>
    </w:p>
    <w:p>
      <w:pPr>
        <w:spacing w:after="0" w:line="304" w:lineRule="exact"/>
        <w:rPr>
          <w:sz w:val="20"/>
          <w:szCs w:val="20"/>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81"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As part of its engagement, Radford was also requested by the Compensation Committee to develop a comparative group of companies and to perform analyses of competitive performance and compensation levels for that group and ultimately developed recommendations that were presented to the Compensation Committee for its consideration. Following an active dialogue with Radford, the Compensation Committee approved the recommendations.</w:t>
      </w:r>
    </w:p>
    <w:p>
      <w:pPr>
        <w:spacing w:after="0" w:line="105"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recommends to the Board for approval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Radford, including analyses of executive and director compensation paid at other companies identified by Radford.</w:t>
      </w:r>
    </w:p>
    <w:p>
      <w:pPr>
        <w:spacing w:after="0" w:line="135"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Compensation Committee also evaluates our executive compensation program in light of our stockholders’ views and our transforming business needs and expects to continue to consider the outcome of our “say on pay” votes and our stockholders’ views when making future executive compensation decisions.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annual compensation arrangements for our named executive officers consist of an annual base salary and long-term incentive compensation in the form of equity awards. Our named executive officers are also eligible to receive short-term incentive compensation in the form of annual incentive awards, which may be paid in cash or equity-based awards. We have historically emphasized the use of equity to provide incentives for our named executive officers to focus on the growth of our overall enterprise value and, correspondingly, to create sustainable value for our stockholders.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individual executive’s performance, the recommendations made by the Chief Executive Officer to the Compensation Committee and the competitive market in which the Company operates for talent.</w:t>
      </w:r>
    </w:p>
    <w:p>
      <w:pPr>
        <w:spacing w:after="0" w:line="32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annual base salaries for each of our named executive officers for 2022 and 2021, as determined by the Board or Compensation Committee, as applicable:</w:t>
      </w:r>
    </w:p>
    <w:p>
      <w:pPr>
        <w:spacing w:after="0" w:line="129"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2022 Annual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2021 Annual</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CCE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76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DFF"/>
          </w:tcPr>
          <w:p>
            <w:pPr>
              <w:jc w:val="center"/>
              <w:ind w:left="78"/>
              <w:spacing w:after="0"/>
              <w:rPr>
                <w:sz w:val="20"/>
                <w:szCs w:val="20"/>
                <w:color w:val="auto"/>
              </w:rPr>
            </w:pPr>
            <w:r>
              <w:rPr>
                <w:rFonts w:ascii="Times New Roman" w:cs="Times New Roman" w:eastAsia="Times New Roman" w:hAnsi="Times New Roman"/>
                <w:sz w:val="18"/>
                <w:szCs w:val="18"/>
                <w:color w:val="auto"/>
              </w:rPr>
              <w:t>​424,270</w:t>
            </w:r>
          </w:p>
        </w:tc>
        <w:tc>
          <w:tcPr>
            <w:tcW w:w="3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DFF"/>
          </w:tcPr>
          <w:p>
            <w:pPr>
              <w:jc w:val="center"/>
              <w:ind w:left="78"/>
              <w:spacing w:after="0"/>
              <w:rPr>
                <w:sz w:val="20"/>
                <w:szCs w:val="20"/>
                <w:color w:val="auto"/>
              </w:rPr>
            </w:pPr>
            <w:r>
              <w:rPr>
                <w:rFonts w:ascii="Times New Roman" w:cs="Times New Roman" w:eastAsia="Times New Roman" w:hAnsi="Times New Roman"/>
                <w:sz w:val="18"/>
                <w:szCs w:val="18"/>
                <w:color w:val="auto"/>
              </w:rPr>
              <w:t>​424,270</w:t>
            </w:r>
          </w:p>
        </w:tc>
        <w:tc>
          <w:tcPr>
            <w:tcW w:w="160" w:type="dxa"/>
            <w:vAlign w:val="bottom"/>
            <w:shd w:val="clear" w:color="auto" w:fill="CCED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Juan Vera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​380,544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​371,843</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76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DFF"/>
          </w:tcPr>
          <w:p>
            <w:pPr>
              <w:jc w:val="center"/>
              <w:ind w:left="78"/>
              <w:spacing w:after="0"/>
              <w:rPr>
                <w:sz w:val="20"/>
                <w:szCs w:val="20"/>
                <w:color w:val="auto"/>
              </w:rPr>
            </w:pPr>
            <w:r>
              <w:rPr>
                <w:rFonts w:ascii="Times New Roman" w:cs="Times New Roman" w:eastAsia="Times New Roman" w:hAnsi="Times New Roman"/>
                <w:sz w:val="18"/>
                <w:szCs w:val="18"/>
                <w:color w:val="auto"/>
              </w:rPr>
              <w:t>​425,000</w:t>
            </w:r>
          </w:p>
        </w:tc>
        <w:tc>
          <w:tcPr>
            <w:tcW w:w="3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DFF"/>
          </w:tcPr>
          <w:p>
            <w:pPr>
              <w:jc w:val="center"/>
              <w:ind w:left="78"/>
              <w:spacing w:after="0"/>
              <w:rPr>
                <w:sz w:val="20"/>
                <w:szCs w:val="20"/>
                <w:color w:val="auto"/>
              </w:rPr>
            </w:pPr>
            <w:r>
              <w:rPr>
                <w:rFonts w:ascii="Times New Roman" w:cs="Times New Roman" w:eastAsia="Times New Roman" w:hAnsi="Times New Roman"/>
                <w:sz w:val="18"/>
                <w:szCs w:val="18"/>
                <w:color w:val="auto"/>
              </w:rPr>
              <w:t>​406,000</w:t>
            </w:r>
          </w:p>
        </w:tc>
        <w:tc>
          <w:tcPr>
            <w:tcW w:w="160" w:type="dxa"/>
            <w:vAlign w:val="bottom"/>
            <w:shd w:val="clear" w:color="auto" w:fill="CCED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Anthony Kim</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​420,000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​400,925</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-676910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-676910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4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Our named executive officers are eligible to receive annual incentive compensation based on the satisfaction of individual and corporate performance objectives established by the Board. Each named executive officer has a target annual incentive opportunity, calculated as a percentage of annual base salary, and may earn more or less than the target amount based on our company’s and his or her individual performance. For 2022 and 2021, the target annual incentive opportunities as a percentage of base salary for our named executive officers were 50% for Mr. Hoang, 40% for Mr. Kim and Dr. Vera and 35% for Dr. Koneru. The amounts of any annual incentives earned are determined after the end of the year, based on the achievement of the designated corporate and individual performance objectives, and may be paid in cash or equity-based awards.</w:t>
      </w:r>
    </w:p>
    <w:p>
      <w:pPr>
        <w:spacing w:after="0" w:line="32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For 2022 and 2021, annual incentives were earned based on the Compensation Committee’s assessment of each executive’s performance. The amounts of such annual incentives, which are set forth in the “Summary Compensation Table” above, were recommended by the Compensation Committee and approved by the Board in February 2023 and March 2022 based on each executive’s and our corporate performance in 2022 and 2021, respectively. The Board determined that our percentage attainment of our corporate goals for 2022 was 95% and for 2021 it was 91% and approved individual performance payouts for each named executive officer for each such year. The annual incentives paid to the named executive officers for 2022 performance are included in the “Non-Equity Incentive Plan Compensation” column of the Summary Compensation Table above.</w:t>
      </w:r>
    </w:p>
    <w:p>
      <w:pPr>
        <w:spacing w:after="0" w:line="31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For 2022, the Board determined not to pay Mr. Hoang an award and to pay 51% and 55% of these awards for Dr. Vera and Dr. Koneru, respectively, in the form of stock options. Such stock options were granted under the Company’s 2020 Plan and are set forth in the table below. Mr. Kim was not eligible to receive an award for 2022 performance. These stock options vest in equal monthly installments over a four-year period commencing on March 27, 2023, subject to each officer’s continuous service with us at each vesting date.</w:t>
      </w:r>
    </w:p>
    <w:p>
      <w:pPr>
        <w:spacing w:after="0" w:line="131"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In Lieu</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Earned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Annual Incentive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Compensation 2022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Underlying Options)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CCE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4"/>
              </w:rPr>
              <w:t>Fair Value ($)</w:t>
            </w:r>
            <w:r>
              <w:rPr>
                <w:rFonts w:ascii="Times New Roman" w:cs="Times New Roman" w:eastAsia="Times New Roman" w:hAnsi="Times New Roman"/>
                <w:sz w:val="17"/>
                <w:szCs w:val="17"/>
                <w:b w:val="1"/>
                <w:bCs w:val="1"/>
                <w:color w:val="auto"/>
                <w:w w:val="94"/>
                <w:vertAlign w:val="superscript"/>
              </w:rPr>
              <w:t>(1)</w:t>
            </w: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36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46,487</w:t>
            </w:r>
          </w:p>
        </w:tc>
        <w:tc>
          <w:tcPr>
            <w:tcW w:w="30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DFF"/>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75,918</w:t>
            </w:r>
          </w:p>
        </w:tc>
        <w:tc>
          <w:tcPr>
            <w:tcW w:w="160" w:type="dxa"/>
            <w:vAlign w:val="bottom"/>
            <w:shd w:val="clear" w:color="auto" w:fill="CCED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51,918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84,788</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-333375</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-333375</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553085</wp:posOffset>
            </wp:positionV>
            <wp:extent cx="18345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2340" w:right="419" w:hanging="360"/>
        <w:spacing w:after="0" w:line="254" w:lineRule="auto"/>
        <w:tabs>
          <w:tab w:leader="none" w:pos="2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2022, as computed in accordance with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w:t>
      </w:r>
    </w:p>
    <w:p>
      <w:pPr>
        <w:spacing w:after="0" w:line="12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For 2021, the Board determined to pay half of these awards for Messrs. Hoang and Kim in 50% in the form of fully vested restricted stock units and all of this award in cash for Dr. Koneru. Such restricted stock units were granted under our 2020 Plan and are set forth in the table below. Each restricted stock unit was fully vested upon grant.</w:t>
      </w:r>
    </w:p>
    <w:p>
      <w:pPr>
        <w:spacing w:after="0" w:line="130"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Restricted Stock</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Grant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Lieu of 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Earned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Annual Incentive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8"/>
              </w:rPr>
              <w:t>Compensation 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4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CCE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3"/>
              </w:rPr>
              <w:t>Value ($)</w:t>
            </w:r>
            <w:r>
              <w:rPr>
                <w:rFonts w:ascii="Times New Roman" w:cs="Times New Roman" w:eastAsia="Times New Roman" w:hAnsi="Times New Roman"/>
                <w:sz w:val="17"/>
                <w:szCs w:val="17"/>
                <w:b w:val="1"/>
                <w:bCs w:val="1"/>
                <w:color w:val="auto"/>
                <w:w w:val="93"/>
                <w:vertAlign w:val="superscript"/>
              </w:rPr>
              <w:t>(1)</w:t>
            </w: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3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DFF"/>
          </w:tcPr>
          <w:p>
            <w:pPr>
              <w:jc w:val="center"/>
              <w:ind w:left="4"/>
              <w:spacing w:after="0"/>
              <w:rPr>
                <w:sz w:val="20"/>
                <w:szCs w:val="20"/>
                <w:color w:val="auto"/>
              </w:rPr>
            </w:pPr>
            <w:r>
              <w:rPr>
                <w:rFonts w:ascii="Times New Roman" w:cs="Times New Roman" w:eastAsia="Times New Roman" w:hAnsi="Times New Roman"/>
                <w:sz w:val="18"/>
                <w:szCs w:val="18"/>
                <w:color w:val="auto"/>
              </w:rPr>
              <w:t>​199,094</w:t>
            </w:r>
          </w:p>
        </w:tc>
        <w:tc>
          <w:tcPr>
            <w:tcW w:w="32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DFF"/>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96,521</w:t>
            </w:r>
          </w:p>
        </w:tc>
        <w:tc>
          <w:tcPr>
            <w:tcW w:w="160" w:type="dxa"/>
            <w:vAlign w:val="bottom"/>
            <w:shd w:val="clear" w:color="auto" w:fill="CCED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Anthony Kim</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center"/>
              <w:ind w:left="4"/>
              <w:spacing w:after="0"/>
              <w:rPr>
                <w:sz w:val="20"/>
                <w:szCs w:val="20"/>
                <w:color w:val="auto"/>
              </w:rPr>
            </w:pPr>
            <w:r>
              <w:rPr>
                <w:rFonts w:ascii="Times New Roman" w:cs="Times New Roman" w:eastAsia="Times New Roman" w:hAnsi="Times New Roman"/>
                <w:sz w:val="18"/>
                <w:szCs w:val="18"/>
                <w:color w:val="auto"/>
              </w:rPr>
              <w:t>​150,512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72,968</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-351155</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-351155</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128905</wp:posOffset>
            </wp:positionV>
            <wp:extent cx="18345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26" w:lineRule="exact"/>
        <w:rPr>
          <w:sz w:val="20"/>
          <w:szCs w:val="20"/>
          <w:color w:val="auto"/>
        </w:rPr>
      </w:pPr>
    </w:p>
    <w:p>
      <w:pPr>
        <w:jc w:val="both"/>
        <w:ind w:left="2340" w:right="419" w:hanging="360"/>
        <w:spacing w:after="0" w:line="261" w:lineRule="auto"/>
        <w:tabs>
          <w:tab w:leader="none" w:pos="2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Messrs. Hoang and Kim the Board determined the number of shares subject to the restricted stock unit by dividing 50% of the amount of the cash bonus approved by the Board by the closing price of the Company’s common stock on the date of grant, which was March 24, 2022.</w:t>
      </w:r>
    </w:p>
    <w:p>
      <w:pPr>
        <w:spacing w:after="0" w:line="9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annual incentives paid to the named executive officers for 2022 and 2021 performance are included in the “Non-Equity Incentive Plan Compensation” column of the Summary Compensation Table above.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Our equity- 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Awards are granted pursuant to our 2020 Plan. Our executives generally are awarded an initial new hire grant upon commencement of employment and thereafter on an annual basis, subject to the discretion of the Board or Compensation Committee, as applicable. The equity awards described in this section are included in the “Option Awards” column of the Summary Compensation Table above.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ETIREMENT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75"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2022. Our named executive officers are eligible to participate in our benefit programs on the same basis as all employees of our company. We generally do not provide perquisites or personal benefits to our named executive officers except in limited circumstances, and we did not provide any perquisites or personal benefits to our named executive officers in 2022.</w:t>
      </w:r>
    </w:p>
    <w:p>
      <w:pPr>
        <w:spacing w:after="0" w:line="200" w:lineRule="exact"/>
        <w:rPr>
          <w:sz w:val="20"/>
          <w:szCs w:val="20"/>
          <w:color w:val="auto"/>
        </w:rPr>
      </w:pPr>
    </w:p>
    <w:p>
      <w:pPr>
        <w:spacing w:after="0" w:line="20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p>
    <w:p>
      <w:pPr>
        <w:spacing w:after="0" w:line="9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provide for the basic terms of their employment, including base salary, annual incentive opportunity and equity grants, as well as certain severance and change of control benefits. Each of our named executive officers is employed at will and may be terminated at any time for any reason.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Peter Hoang</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entered into an employment agreement with Mr. Hoang in September 2017 and an amendment thereto in March 2019. The term of the agreement was for three years and automatically extended for successive additional 12 months terms unless terminated by Mr. Hoang or us. Under the terms of his employment agreement, Mr. Hoang was eligible to receive a base salary of $362,500, which was subsequently increased by the Board to $380,000 by the March 2019 amendment, and an annual target incentive opportunity of up to 50% of his annual base salary based upon the assessment by the Board of Mr. Hoang’s performance and other conditions as the Board shall have determined in its sole discretion on an annual basis. Pursuant his employment agreement, Mr. Hoang was subject to a covenant not to disclose our confidential information during his employment term and an assignment of intellectual property rights. Also, during his employment term and for a period of 12 months thereafter, Mr. Hoang covenanted not to compete with us and not to solicit any of our customers, vendors or employees.</w:t>
      </w:r>
    </w:p>
    <w:p>
      <w:pPr>
        <w:spacing w:after="0" w:line="2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46"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Under Mr. Hoang’s employment agreement, if his employment had been terminated by us for cause or by Mr. Hoang without good reason (each, as defined in his employment agreement) during the term of the agreement, he would have been entitled to received (i) his then-current annual base salary through the date of termination; (ii) any reimbursable expenses for which he had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 If Mr. Hoang’s employment was terminated by us without cause or by Mr. Hoang for good reason, subject to Mr. Hoang’s execution of a release of claims against us, and in addition to the payment of the Accrued Compensation, Mr. Hoang would have been entitled to (i) a payment equal to 12 months of his annual base salary, as in effect at the termination date; (ii) any earned but unpaid bonus for the prior calendar year; and (iii) a pro-rated bonus payment equal to his target annual performance bonus for the calendar year in which his employment was terminated provided that, Mr. Hoang had served a minimum of six months during the calendar year in which his termination occurred (the “Hoang Additional Severance Payments”). Mr. Hoang is eligible for continued health insurance coverage for 12 months after the date of Mr. Hoang’s termination. Further, if we did not renew Mr. Hoang’s employment agreement at the end of the term, Mr. Hoang would have been entitled to be paid 12 months of his annual base salary over a 12-month period.</w:t>
      </w:r>
    </w:p>
    <w:p>
      <w:pPr>
        <w:spacing w:after="0" w:line="333"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Mr. Hoang’s employment had been terminated by us without cause or by him for good reason during the period of six months following a change in control (as defined in his employment agreement), in lieu of the Hoang Additional Severance Payments and health insurance coverage described above, Mr. Hoang would have been entitled to receive a severance payment equal to the sum of (i) 18 months of his annual base salary, at the higher of the base salary rate in effect on the date of termination or the base salary rate in effect immediately before the effective date of the change in control, and (ii) his performance bonus for the year, which includes the effective date of the change in control, payable at the limit of performance amount. In addition, he would have also received in the same payment the amount of any performance bonus that, as of the date of termination, he had earned but had not yet been paid by us, and he would have been entitled to the vesting of all of outstanding equity awards, such that all such equity awards would have been fully vested as of the date of Mr. Hoang’s termination. Mr. Hoang would also have been eligible for continued health insurance coverage for 18 months after the date of his termination.</w:t>
      </w:r>
    </w:p>
    <w:p>
      <w:pPr>
        <w:spacing w:after="0" w:line="12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Mr. Hoang resigned as our President and Chief Executive Officer effective May 1, 2023. In connection with his resignation, Mr. Hoang and the Company entered into the Separation Agreement (the “Separation Agreement”), dated as of April 27, 2023, providing for the terms of Mr. Hoang’s separation from employment with the Company effective May 1, 2023. Under the Separation Agreement, the Company has agreed, provided that Mr. Hoang does not revoke the Separation Agreement during the seven-day period following his signing of the agreement, to provide Mr. Hoang with the following separation payments and benefits: (i) a payment equal to 12 months of his annual base salary, as in effect at the date of his separation from the Company, less all applicable taxes and withholdings, to be paid in a lump sum; and (ii) subject to Mr. Hoang’s election of COBRA, payment of the premiums for group health and/or dental insurance coverage under COBRA until the earlier of (a) May 30, 2024, (b) the date on which Mr. Hoang becomes eligible to receive group health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insurance coverage through another employer, or (c) the date Mr. Hoang ceases to be eligible for COBRA continuation coverage for any reason. The Separation Agreement contains releases, subject to customary exceptions, and covenants not to disparage.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Juan Vera</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entered into an employment agreement with Dr. Vera in July 2019. Under the terms of his employment agreement, Dr. Vera is eligible to receive a base salary of $350,000 and an annual target incentive opportunity of 35% of his annual base salary based upon the assessment by the Compensation Committee of Dr. Vera’s performance and other conditions as the Board shall have determined in its sole discretion on an annual basis. Pursuant to his employment agreement, Dr. Vera is subject to a covenant not to disclose our confidential information during his employment term and an assignment of intellectual property rights. Also, during his employment term and for a period of 12 months thereafter, Dr. Vera has covenanted not to compete with us and not to solicit any of our customers, vendors or employees.</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46"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Under Dr. Vera’s employment agreement, if his employment is terminated by us for cause or by Dr. Vera without good reason (each as defined in his employment agreement) during the term of the agreement, he will be entitled to receive his Accrued Compensation. If Dr. Vera’s employment is terminated by us without cause or by Dr. Vera for good reason, subject to Dr. Vera’s execution of a release of claims against us, and in addition to the payment of the Accrued Compensation, Dr. Vera will be entitled to (i) a payment equal to 12 months of his annual base salary as in effect at the termination date and (ii) a pro-rated bonus payment equal to his target annual performance bonus for the calendar year in which his employment was terminated (the “Vera Additional Severance Payments”). Dr. Vera will also be eligible for continued health insurance coverage until the earliest of (i) 12 months after the date of Dr. Vera’s termination, (ii) the expiration of Dr. Vera’s eligibility for COBRA coverage and (iii) the date Dr. Vera becomes eligible for substantially equivalent health insurance coverage.</w:t>
      </w:r>
    </w:p>
    <w:p>
      <w:pPr>
        <w:spacing w:after="0" w:line="326"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If Dr. Vera’s employment is terminated by us without cause or by him for good reason during the period of 12 months following a change in control of us (as defined in his employment agreement), in lieu of the Additional Severance Payments and health insurance coverage described above and subject to Dr. Vera’s execution of a release of claims, Dr. Vera will be entitled to (i) a payment equal to 12 months of his annual base salary as in effect at the termination date, (ii) a bonus payment equal to his target annual performance bonus for the year of termination and (iii) vesting of all of Dr. Vera’s outstanding equity awards subject to time-based vesting requirements, such that all such equity awards will be fully vested as of the date of Dr. Vera’s termination.</w:t>
      </w:r>
    </w:p>
    <w:p>
      <w:pPr>
        <w:spacing w:after="0" w:line="32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Dr. Vera was appointed President and Chief Executive Officer in April 2023. As of the date of this proxy statement, the Compensation Committee has not determined the terms of Dr. Vera’s compensation as President and Chief Executive Officer.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Mythili Koneru</w:t>
      </w:r>
    </w:p>
    <w:p>
      <w:pPr>
        <w:spacing w:after="0" w:line="14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entered into an employment agreement with Dr. Koneru in February 2019. Under the terms of her employment agreement, Dr. Koneru was eligible to receive a base salary of $350,000 and an annual target incentive opportunity of 35% of her annual base salary based upon the assessment by the Compensation Committee of Dr. Koneru’s performance and other conditions as the Board shall have determined in its sole discretion on an annual basis. Pursuant to her employment agreement, Dr. Koneru was subject to a covenant not to disclose our confidential information during her employment term and an assignment of intellectual property rights. Also, during her employment term and for a period of 12 months thereafter, Dr. Koneru covenanted not to compete with us and not to solicit any of our customers, vendors or employees.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6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Under Dr. Koneru’s employment agreement, if her employment had been terminated by us for cause or by Dr. Koneru without good reason (each as defined in her employment agreement) during the term of the agreement, she would have been entitled to receive her Accrued Compensation. If Dr. Koneru’s employment</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was terminated by us without cause or by Dr. Koneru for good reason, subject to Dr. Koneru’s execution of a release of claims against us, and in addition to the payment of the Accrued Compensation, Dr. Koneru would have been entitled to (i) a payment equal to 12 months of her annual base salary as in effect at the termination date and (ii) a pro-rated bonus payment equal to her target annual performance bonus for the calendar year in which her employment was terminated (the “Koneru Additional Severance Payments”). Dr. Koneru would have also been eligible for continued health insurance coverage until the earliest of</w:t>
      </w:r>
    </w:p>
    <w:p>
      <w:pPr>
        <w:spacing w:after="0" w:line="5" w:lineRule="exact"/>
        <w:rPr>
          <w:sz w:val="20"/>
          <w:szCs w:val="20"/>
          <w:color w:val="auto"/>
        </w:rPr>
      </w:pPr>
    </w:p>
    <w:p>
      <w:pPr>
        <w:jc w:val="both"/>
        <w:ind w:left="1260" w:right="419"/>
        <w:spacing w:after="0" w:line="255" w:lineRule="auto"/>
        <w:tabs>
          <w:tab w:leader="none" w:pos="15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after the date of Dr. Koneru’s termination, (ii) the expiration of Dr. Koneru’s eligibility for COBRA coverage and (iii) the date Dr. Koneru becomes eligible for substantially equivalent health insurance coverage.</w:t>
      </w:r>
    </w:p>
    <w:p>
      <w:pPr>
        <w:spacing w:after="0" w:line="11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Dr. Koneru’s employment had been terminated by us without cause or by her for good reason during the period of 12 months following a change in control of us (as defined in her employment agreement), in lieu of the Additional Severance Payments and health insurance coverage described above and subject to Dr. Koneru’s execution of a release of claims, Dr. Koneru would have been entitled to (i) a payment equal to 12 months of her annual base salary as in effect at the termination date, (ii) a bonus payment equal to her target annual performance bonus for the year of termination and (iii) vesting of all of Dr. Koneru’s outstanding equity awards subject to time-based vesting requirements, such that all such equity awards would have been fully vested as of the date of Dr. Koneru’s termination.</w:t>
      </w:r>
    </w:p>
    <w:p>
      <w:pPr>
        <w:spacing w:after="0" w:line="12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Dr. Koneru resigned as our Chief Medical Officer in April 2023 and pursuant to the terms of her employment agreement was not eligible for any of the severance benefits described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Anthony Kim</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Kim in November 2018. Under the terms of his employment agreement, Mr. Kim was eligible to receive a base salary of $375,000 and an annual target incentive opportunity of 40% of his annual base salary based upon the assessment by the Compensation Committee of Mr. Kim’s performance and other conditions as the Board shall have determined in its sole discretion on an annual basis. Pursuant to his employment agreement, Mr. Kim was subject to a covenant not to disclose our confidential information during his employment term and an assignment of intellectual property rights. Also, during his employment term and for a period of 12 months thereafter, Mr. Kim covenanted not to compete with us and not to solicit any of our customers, vendors or employees.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60"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Under Mr. Kim’s employment agreement, if his employment had been terminated by us for cause or by Mr. Kim without good reason (each as defined in his employment agreement) during the term of the agreement, he would have been entitled to receive his Accrued Compensation. If Mr. Kim’s employment was terminated by us without cause or by Mr. Kim for good reason, subject to Mr. Kim’s execution of a release of claims against us, and in addition to the payment of the Accrued Compensation, Mr. Kim would have been entitled to (i) a payment equal to 12 months of his annual base salary as in effect at the termination date and (ii) a pro-rated bonus payment equal to his target annual performance bonus for the calendar year in which his employment was terminated (the “Kim Additional Severance Payments”). Mr. Kim would have also been eligible for continued health insurance coverage until the earliest of</w:t>
      </w:r>
    </w:p>
    <w:p>
      <w:pPr>
        <w:spacing w:after="0" w:line="6" w:lineRule="exact"/>
        <w:rPr>
          <w:sz w:val="20"/>
          <w:szCs w:val="20"/>
          <w:color w:val="auto"/>
        </w:rPr>
      </w:pPr>
    </w:p>
    <w:p>
      <w:pPr>
        <w:jc w:val="both"/>
        <w:ind w:left="1260" w:right="419"/>
        <w:spacing w:after="0" w:line="260" w:lineRule="auto"/>
        <w:tabs>
          <w:tab w:leader="none" w:pos="14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after the date of Mr. Kim’s termination, (ii) the expiration of Mr. Kim’s eligibility for COBRA coverage and (iii) the date Mr. Kim becomes eligible for substantially equivalent health insurance coverage.</w:t>
      </w:r>
    </w:p>
    <w:p>
      <w:pPr>
        <w:spacing w:after="0" w:line="11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Mr. Kim’s employment had been terminated by us without cause or by him for good reason during the period of 12 months following a change in control of us (as defined in his employment agreement), in lieu of the Kim Additional Severance Payments described above and subject to Mr. Kim’s execution of a release of claims, Mr. Kim would have been entitled to (i) a payment equal to 12 months of his annual base salary as in effect at the termination date, (ii) a bonus payment equal to his target annual performance bonus for the year of termination and (iii) vesting of all of Mr. Kim’s outstanding equity awards subject to time-based vesting requirements, such that all such equity awards would have been fully vested as of the date of Mr. Kim’s termination. Mr. Kim would have also been eligible for continued health insurance coverage until the earliest of (i) 12 months after the date of Mr. Kim’s termination, (ii) the expiration of Mr. Kim’s eligibility for COBRA coverage and (iii) the date Mr. Kim becomes eligible for substantially equivalent health insurance coverage.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Mr. Kim’s employment with us ended on September 30, 2022. In recognition of Mr. Kim’s service to the Company, we provided Mr. Kim with severance benefits consistent with those contemplated by his employment agreement as if he had been terminated without cause.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31, 2022</w:t>
      </w:r>
    </w:p>
    <w:p>
      <w:pPr>
        <w:spacing w:after="0" w:line="175"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2022, as adjusted for Reverse Stock Split.</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Option</w:t>
            </w:r>
          </w:p>
        </w:tc>
      </w:tr>
      <w:tr>
        <w:trPr>
          <w:trHeight w:val="21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Grant Date  </w:t>
            </w:r>
            <w:r>
              <w:rPr>
                <w:rFonts w:ascii="Times New Roman" w:cs="Times New Roman" w:eastAsia="Times New Roman" w:hAnsi="Times New Roman"/>
                <w:sz w:val="24"/>
                <w:szCs w:val="24"/>
                <w:b w:val="1"/>
                <w:bCs w:val="1"/>
                <w:color w:val="auto"/>
                <w:vertAlign w:val="subscript"/>
              </w:rPr>
              <w:t>​</w:t>
            </w:r>
          </w:p>
        </w:tc>
        <w:tc>
          <w:tcPr>
            <w:tcW w:w="10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 Exercisable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 Unexercisable</w:t>
            </w:r>
            <w:r>
              <w:rPr>
                <w:rFonts w:ascii="Times New Roman" w:cs="Times New Roman" w:eastAsia="Times New Roman" w:hAnsi="Times New Roman"/>
                <w:sz w:val="15"/>
                <w:szCs w:val="15"/>
                <w:b w:val="1"/>
                <w:bCs w:val="1"/>
                <w:color w:val="auto"/>
                <w:vertAlign w:val="superscript"/>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Expiration Date </w:t>
            </w:r>
            <w:r>
              <w:rPr>
                <w:rFonts w:ascii="Times New Roman" w:cs="Times New Roman" w:eastAsia="Times New Roman" w:hAnsi="Times New Roman"/>
                <w:sz w:val="24"/>
                <w:szCs w:val="24"/>
                <w:b w:val="1"/>
                <w:bCs w:val="1"/>
                <w:color w:val="auto"/>
                <w:vertAlign w:val="subscript"/>
              </w:rPr>
              <w:t>​</w:t>
            </w:r>
          </w:p>
        </w:tc>
      </w:tr>
      <w:tr>
        <w:trPr>
          <w:trHeight w:val="20"/>
        </w:trPr>
        <w:tc>
          <w:tcPr>
            <w:tcW w:w="2620" w:type="dxa"/>
            <w:vAlign w:val="bottom"/>
            <w:shd w:val="clear" w:color="auto" w:fill="000000"/>
          </w:tcPr>
          <w:p>
            <w:pPr>
              <w:spacing w:after="0" w:line="20" w:lineRule="exact"/>
              <w:rPr>
                <w:sz w:val="1"/>
                <w:szCs w:val="1"/>
                <w:color w:val="auto"/>
              </w:rPr>
            </w:pPr>
          </w:p>
        </w:tc>
        <w:tc>
          <w:tcPr>
            <w:tcW w:w="100" w:type="dxa"/>
            <w:vAlign w:val="bottom"/>
            <w:shd w:val="clear" w:color="auto" w:fill="CCEDFF"/>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2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2/17/2022​​</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DFF"/>
            </w:tcBorders>
            <w:shd w:val="clear" w:color="auto" w:fill="CCEDFF"/>
          </w:tcPr>
          <w:p>
            <w:pPr>
              <w:jc w:val="right"/>
              <w:ind w:right="92"/>
              <w:spacing w:after="0"/>
              <w:rPr>
                <w:sz w:val="20"/>
                <w:szCs w:val="20"/>
                <w:color w:val="auto"/>
              </w:rPr>
            </w:pPr>
            <w:r>
              <w:rPr>
                <w:rFonts w:ascii="Times New Roman" w:cs="Times New Roman" w:eastAsia="Times New Roman" w:hAnsi="Times New Roman"/>
                <w:sz w:val="18"/>
                <w:szCs w:val="18"/>
                <w:color w:val="auto"/>
              </w:rPr>
              <w:t>8,958</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DFF"/>
            </w:tcBorders>
            <w:gridSpan w:val="2"/>
            <w:shd w:val="clear" w:color="auto" w:fill="CCEDFF"/>
          </w:tcPr>
          <w:p>
            <w:pPr>
              <w:ind w:left="360"/>
              <w:spacing w:after="0" w:line="25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34,042</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2/17/2032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2/11/2021​​</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DFF"/>
            </w:tcBorders>
            <w:gridSpan w:val="2"/>
            <w:shd w:val="clear" w:color="auto" w:fill="CCEDFF"/>
          </w:tcPr>
          <w:p>
            <w:pPr>
              <w:jc w:val="right"/>
              <w:ind w:right="92"/>
              <w:spacing w:after="0"/>
              <w:rPr>
                <w:sz w:val="20"/>
                <w:szCs w:val="20"/>
                <w:color w:val="auto"/>
              </w:rPr>
            </w:pPr>
            <w:r>
              <w:rPr>
                <w:rFonts w:ascii="Times New Roman" w:cs="Times New Roman" w:eastAsia="Times New Roman" w:hAnsi="Times New Roman"/>
                <w:sz w:val="18"/>
                <w:szCs w:val="18"/>
                <w:color w:val="auto"/>
              </w:rPr>
              <w:t>​ 19,708</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DFF"/>
            </w:tcBorders>
            <w:gridSpan w:val="2"/>
            <w:shd w:val="clear" w:color="auto" w:fill="CCEDFF"/>
          </w:tcPr>
          <w:p>
            <w:pPr>
              <w:ind w:left="360"/>
              <w:spacing w:after="0" w:line="25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23,292</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30.60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8"/>
              </w:rPr>
              <w:t>2/11/2031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 3/10/2020​​</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DFF"/>
            </w:tcBorders>
            <w:gridSpan w:val="2"/>
            <w:shd w:val="clear" w:color="auto" w:fill="CCEDFF"/>
          </w:tcPr>
          <w:p>
            <w:pPr>
              <w:jc w:val="right"/>
              <w:ind w:right="92"/>
              <w:spacing w:after="0"/>
              <w:rPr>
                <w:sz w:val="20"/>
                <w:szCs w:val="20"/>
                <w:color w:val="auto"/>
              </w:rPr>
            </w:pPr>
            <w:r>
              <w:rPr>
                <w:rFonts w:ascii="Times New Roman" w:cs="Times New Roman" w:eastAsia="Times New Roman" w:hAnsi="Times New Roman"/>
                <w:sz w:val="18"/>
                <w:szCs w:val="18"/>
                <w:color w:val="auto"/>
              </w:rPr>
              <w:t>​ 29,561</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DFF"/>
            </w:tcBorders>
            <w:gridSpan w:val="2"/>
            <w:shd w:val="clear" w:color="auto" w:fill="CCEDFF"/>
          </w:tcPr>
          <w:p>
            <w:pPr>
              <w:ind w:left="360"/>
              <w:spacing w:after="0" w:line="25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13,439</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3/10/2030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​10/18/2018​​</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DFF"/>
            </w:tcBorders>
            <w:gridSpan w:val="2"/>
            <w:shd w:val="clear" w:color="auto" w:fill="CCEDFF"/>
          </w:tcPr>
          <w:p>
            <w:pPr>
              <w:jc w:val="right"/>
              <w:ind w:right="92"/>
              <w:spacing w:after="0"/>
              <w:rPr>
                <w:sz w:val="20"/>
                <w:szCs w:val="20"/>
                <w:color w:val="auto"/>
              </w:rPr>
            </w:pPr>
            <w:r>
              <w:rPr>
                <w:rFonts w:ascii="Times New Roman" w:cs="Times New Roman" w:eastAsia="Times New Roman" w:hAnsi="Times New Roman"/>
                <w:sz w:val="18"/>
                <w:szCs w:val="18"/>
                <w:color w:val="auto"/>
              </w:rPr>
              <w:t>​135,986</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right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91.80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10/19/2028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Juan Vera</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2/17/2022​​</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12,667</w:t>
            </w:r>
            <w:r>
              <w:rPr>
                <w:rFonts w:ascii="Times New Roman" w:cs="Times New Roman" w:eastAsia="Times New Roman" w:hAnsi="Times New Roman"/>
                <w:sz w:val="23"/>
                <w:szCs w:val="23"/>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2/17/2032</w:t>
            </w:r>
            <w:r>
              <w:rPr>
                <w:rFonts w:ascii="Times New Roman" w:cs="Times New Roman" w:eastAsia="Times New Roman" w:hAnsi="Times New Roman"/>
                <w:sz w:val="18"/>
                <w:szCs w:val="18"/>
                <w:b w:val="1"/>
                <w:bCs w:val="1"/>
                <w:color w:val="auto"/>
              </w:rPr>
              <w:t xml:space="preserve"> ​</w:t>
            </w: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2/10/2021​​</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6,417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7,583</w:t>
            </w:r>
            <w:r>
              <w:rPr>
                <w:rFonts w:ascii="Times New Roman" w:cs="Times New Roman" w:eastAsia="Times New Roman" w:hAnsi="Times New Roman"/>
                <w:sz w:val="23"/>
                <w:szCs w:val="23"/>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32.90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2/10/2031</w:t>
            </w:r>
            <w:r>
              <w:rPr>
                <w:rFonts w:ascii="Times New Roman" w:cs="Times New Roman" w:eastAsia="Times New Roman" w:hAnsi="Times New Roman"/>
                <w:sz w:val="18"/>
                <w:szCs w:val="18"/>
                <w:b w:val="1"/>
                <w:bCs w:val="1"/>
                <w:color w:val="auto"/>
              </w:rPr>
              <w:t xml:space="preserve"> ​</w:t>
            </w:r>
          </w:p>
        </w:tc>
      </w:tr>
      <w:tr>
        <w:trPr>
          <w:trHeight w:val="28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3/10/2020​​</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9,626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4,374</w:t>
            </w:r>
            <w:r>
              <w:rPr>
                <w:rFonts w:ascii="Times New Roman" w:cs="Times New Roman" w:eastAsia="Times New Roman" w:hAnsi="Times New Roman"/>
                <w:sz w:val="23"/>
                <w:szCs w:val="23"/>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21.20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3/10/2030</w:t>
            </w:r>
            <w:r>
              <w:rPr>
                <w:rFonts w:ascii="Times New Roman" w:cs="Times New Roman" w:eastAsia="Times New Roman" w:hAnsi="Times New Roman"/>
                <w:sz w:val="18"/>
                <w:szCs w:val="18"/>
                <w:b w:val="1"/>
                <w:bCs w:val="1"/>
                <w:color w:val="auto"/>
              </w:rPr>
              <w:t xml:space="preserve"> ​</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​​11/27/2018​​</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 50,000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91.80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10/19/2028</w:t>
            </w:r>
            <w:r>
              <w:rPr>
                <w:rFonts w:ascii="Times New Roman" w:cs="Times New Roman" w:eastAsia="Times New Roman" w:hAnsi="Times New Roman"/>
                <w:sz w:val="18"/>
                <w:szCs w:val="18"/>
                <w:b w:val="1"/>
                <w:bCs w:val="1"/>
                <w:color w:val="auto"/>
              </w:rPr>
              <w:t xml:space="preserve"> ​</w:t>
            </w:r>
          </w:p>
        </w:tc>
      </w:tr>
      <w:tr>
        <w:trPr>
          <w:trHeight w:val="270"/>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2/17/2022​​</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DFF"/>
            </w:tcBorders>
            <w:shd w:val="clear" w:color="auto" w:fill="CCEDFF"/>
          </w:tcPr>
          <w:p>
            <w:pPr>
              <w:jc w:val="right"/>
              <w:ind w:right="92"/>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DFF"/>
            </w:tcBorders>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12,667</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2/17/2032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2/10/2021​​</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DFF"/>
            </w:tcBorders>
            <w:shd w:val="clear" w:color="auto" w:fill="CCEDFF"/>
          </w:tcPr>
          <w:p>
            <w:pPr>
              <w:jc w:val="right"/>
              <w:ind w:right="92"/>
              <w:spacing w:after="0"/>
              <w:rPr>
                <w:sz w:val="20"/>
                <w:szCs w:val="20"/>
                <w:color w:val="auto"/>
              </w:rPr>
            </w:pPr>
            <w:r>
              <w:rPr>
                <w:rFonts w:ascii="Times New Roman" w:cs="Times New Roman" w:eastAsia="Times New Roman" w:hAnsi="Times New Roman"/>
                <w:sz w:val="18"/>
                <w:szCs w:val="18"/>
                <w:color w:val="auto"/>
              </w:rPr>
              <w:t>6,417</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DFF"/>
            </w:tcBorders>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7,583</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32.90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2/10/2031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 3/10/2020​​</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DFF"/>
            </w:tcBorders>
            <w:shd w:val="clear" w:color="auto" w:fill="CCEDFF"/>
          </w:tcPr>
          <w:p>
            <w:pPr>
              <w:jc w:val="right"/>
              <w:ind w:right="92"/>
              <w:spacing w:after="0"/>
              <w:rPr>
                <w:sz w:val="20"/>
                <w:szCs w:val="20"/>
                <w:color w:val="auto"/>
              </w:rPr>
            </w:pPr>
            <w:r>
              <w:rPr>
                <w:rFonts w:ascii="Times New Roman" w:cs="Times New Roman" w:eastAsia="Times New Roman" w:hAnsi="Times New Roman"/>
                <w:sz w:val="18"/>
                <w:szCs w:val="18"/>
                <w:color w:val="auto"/>
              </w:rPr>
              <w:t>9,626</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DFF"/>
            </w:tcBorders>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4,374</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3/10/2030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2/7/2019​​</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DFF"/>
            </w:tcBorders>
            <w:shd w:val="clear" w:color="auto" w:fill="CCEDFF"/>
          </w:tcPr>
          <w:p>
            <w:pPr>
              <w:jc w:val="right"/>
              <w:ind w:right="9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right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51.00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2/7/2029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6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2/7/2019​​</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DFF"/>
            </w:tcBorders>
            <w:gridSpan w:val="2"/>
            <w:shd w:val="clear" w:color="auto" w:fill="CCEDFF"/>
          </w:tcPr>
          <w:p>
            <w:pPr>
              <w:jc w:val="right"/>
              <w:ind w:right="92"/>
              <w:spacing w:after="0"/>
              <w:rPr>
                <w:sz w:val="20"/>
                <w:szCs w:val="20"/>
                <w:color w:val="auto"/>
              </w:rPr>
            </w:pPr>
            <w:r>
              <w:rPr>
                <w:rFonts w:ascii="Times New Roman" w:cs="Times New Roman" w:eastAsia="Times New Roman" w:hAnsi="Times New Roman"/>
                <w:sz w:val="18"/>
                <w:szCs w:val="18"/>
                <w:color w:val="auto"/>
              </w:rPr>
              <w:t>​ 28,750</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DFF"/>
            </w:tcBorders>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1,250</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51.00 ​​</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2/7/2029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Anthony Kim</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-2391410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-2391410</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-2391410</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-2391410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-2391410</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18256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26" w:lineRule="exact"/>
        <w:rPr>
          <w:sz w:val="20"/>
          <w:szCs w:val="20"/>
          <w:color w:val="auto"/>
        </w:rPr>
      </w:pPr>
    </w:p>
    <w:p>
      <w:pPr>
        <w:jc w:val="both"/>
        <w:ind w:left="1620" w:right="419" w:hanging="360"/>
        <w:spacing w:after="0" w:line="26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awards listed in the table granted prior to June 2020 were granted under our 2014 Omnibus Stock Ownership Plan. The option awards listed in the table granted after June 2020 were granted under our 2020 Plan.</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75"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award vest in substantially equal monthly installments over 48 months from the date of grant, subject to the named executive officer’s continued service as of each such vesting date.</w:t>
      </w:r>
    </w:p>
    <w:p>
      <w:pPr>
        <w:spacing w:after="0" w:line="254" w:lineRule="exact"/>
        <w:rPr>
          <w:rFonts w:ascii="Times New Roman" w:cs="Times New Roman" w:eastAsia="Times New Roman" w:hAnsi="Times New Roman"/>
          <w:sz w:val="18"/>
          <w:szCs w:val="18"/>
          <w:color w:val="auto"/>
        </w:rPr>
      </w:pPr>
    </w:p>
    <w:p>
      <w:pPr>
        <w:jc w:val="both"/>
        <w:ind w:left="1620" w:right="419" w:hanging="360"/>
        <w:spacing w:after="0" w:line="263"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of the shares subject to this award vested upon the first anniversary of the date of grant, with the remainder of the shares vesting in substantially equal monthly installments over 48 months from the date of grant, subject to the named executive officer’s continued service as of each such vesting date.</w:t>
      </w:r>
    </w:p>
    <w:p>
      <w:pPr>
        <w:spacing w:after="0" w:line="251"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subject to these option awards may be subject to accelerated vesting upon a qualifying termination of employment following a “change in control”, see “Agreements with Our Named Executive Officers and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TEM 402(V)</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ERFORMANCE</w:t>
      </w:r>
    </w:p>
    <w:p>
      <w:pPr>
        <w:spacing w:after="0" w:line="175"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named executive officers (“Non-PEO NEOs”) and Company performance for the fiscal years listed below. The Compensation Committee did not consider the pay versus performance disclosure below in making its pay decisions for any of the years shown.</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 for the fiscal years listed below. In calculating the compensation actually paid amounts reflected in these columns, the fair value or change in fair value, as applicable, of the equity award adjustments included in such calculations were computed in accordance with FASB ASC Topic 718.</w:t>
      </w:r>
    </w:p>
    <w:p>
      <w:pPr>
        <w:spacing w:after="0" w:line="36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Initial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Non-PEO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Non-PEO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based 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Net Income</w:t>
            </w:r>
          </w:p>
        </w:tc>
        <w:tc>
          <w:tcPr>
            <w:tcW w:w="60" w:type="dxa"/>
            <w:vAlign w:val="bottom"/>
          </w:tcPr>
          <w:p>
            <w:pPr>
              <w:spacing w:after="0"/>
              <w:rPr>
                <w:sz w:val="12"/>
                <w:szCs w:val="12"/>
                <w:color w:val="auto"/>
              </w:rPr>
            </w:pPr>
          </w:p>
        </w:tc>
      </w:tr>
      <w:tr>
        <w:trPr>
          <w:trHeight w:val="189"/>
        </w:trPr>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0"/>
              </w:rPr>
              <w:t>PEO</w:t>
            </w:r>
            <w:r>
              <w:rPr>
                <w:rFonts w:ascii="Times New Roman" w:cs="Times New Roman" w:eastAsia="Times New Roman" w:hAnsi="Times New Roman"/>
                <w:sz w:val="17"/>
                <w:szCs w:val="17"/>
                <w:b w:val="1"/>
                <w:bCs w:val="1"/>
                <w:color w:val="auto"/>
                <w:w w:val="90"/>
                <w:vertAlign w:val="superscript"/>
              </w:rPr>
              <w:t>(1)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5"/>
              </w:rPr>
              <w:t>PEO</w:t>
            </w:r>
            <w:r>
              <w:rPr>
                <w:rFonts w:ascii="Times New Roman" w:cs="Times New Roman" w:eastAsia="Times New Roman" w:hAnsi="Times New Roman"/>
                <w:sz w:val="17"/>
                <w:szCs w:val="17"/>
                <w:b w:val="1"/>
                <w:bCs w:val="1"/>
                <w:color w:val="auto"/>
                <w:w w:val="95"/>
                <w:vertAlign w:val="superscript"/>
              </w:rPr>
              <w:t>(2)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17"/>
                <w:szCs w:val="17"/>
                <w:b w:val="1"/>
                <w:bCs w:val="1"/>
                <w:color w:val="auto"/>
                <w:w w:val="93"/>
                <w:vertAlign w:val="superscript"/>
              </w:rPr>
              <w:t>(3)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17"/>
                <w:szCs w:val="17"/>
                <w:b w:val="1"/>
                <w:bCs w:val="1"/>
                <w:color w:val="auto"/>
                <w:w w:val="93"/>
                <w:vertAlign w:val="superscript"/>
              </w:rPr>
              <w:t>(4)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3"/>
              </w:rPr>
              <w:t>TSR</w:t>
            </w:r>
            <w:r>
              <w:rPr>
                <w:rFonts w:ascii="Times New Roman" w:cs="Times New Roman" w:eastAsia="Times New Roman" w:hAnsi="Times New Roman"/>
                <w:sz w:val="17"/>
                <w:szCs w:val="17"/>
                <w:b w:val="1"/>
                <w:bCs w:val="1"/>
                <w:color w:val="auto"/>
                <w:w w:val="93"/>
                <w:vertAlign w:val="superscript"/>
              </w:rPr>
              <w:t>(5)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2"/>
              </w:rPr>
              <w:t>(Loss)</w:t>
            </w:r>
            <w:r>
              <w:rPr>
                <w:rFonts w:ascii="Times New Roman" w:cs="Times New Roman" w:eastAsia="Times New Roman" w:hAnsi="Times New Roman"/>
                <w:sz w:val="17"/>
                <w:szCs w:val="17"/>
                <w:b w:val="1"/>
                <w:bCs w:val="1"/>
                <w:color w:val="auto"/>
                <w:w w:val="92"/>
                <w:vertAlign w:val="superscript"/>
              </w:rPr>
              <w:t>(6)</w:t>
            </w:r>
          </w:p>
        </w:tc>
        <w:tc>
          <w:tcPr>
            <w:tcW w:w="60" w:type="dxa"/>
            <w:vAlign w:val="bottom"/>
          </w:tcPr>
          <w:p>
            <w:pPr>
              <w:spacing w:after="0"/>
              <w:rPr>
                <w:sz w:val="16"/>
                <w:szCs w:val="16"/>
                <w:color w:val="auto"/>
              </w:rPr>
            </w:pPr>
          </w:p>
        </w:tc>
      </w:tr>
      <w:tr>
        <w:trPr>
          <w:trHeight w:val="214"/>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 Millions) </w:t>
            </w:r>
            <w:r>
              <w:rPr>
                <w:rFonts w:ascii="Times New Roman" w:cs="Times New Roman" w:eastAsia="Times New Roman" w:hAnsi="Times New Roman"/>
                <w:sz w:val="24"/>
                <w:szCs w:val="24"/>
                <w:b w:val="1"/>
                <w:bCs w:val="1"/>
                <w:color w:val="auto"/>
                <w:vertAlign w:val="subscript"/>
              </w:rPr>
              <w:t>​</w:t>
            </w:r>
          </w:p>
        </w:tc>
      </w:tr>
      <w:tr>
        <w:trPr>
          <w:trHeight w:val="237"/>
        </w:trPr>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0" w:type="dxa"/>
            <w:vAlign w:val="bottom"/>
            <w:tcBorders>
              <w:top w:val="single" w:sz="8" w:color="auto"/>
            </w:tcBorders>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0" w:type="dxa"/>
            <w:vAlign w:val="bottom"/>
            <w:tcBorders>
              <w:top w:val="single" w:sz="8" w:color="auto"/>
            </w:tcBorders>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40" w:type="dxa"/>
            <w:vAlign w:val="bottom"/>
            <w:tcBorders>
              <w:top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20" w:type="dxa"/>
            <w:vAlign w:val="bottom"/>
            <w:tcBorders>
              <w:top w:val="single" w:sz="8" w:color="auto"/>
            </w:tcBorders>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0" w:type="dxa"/>
            <w:vAlign w:val="bottom"/>
            <w:tcBorders>
              <w:top w:val="single" w:sz="8" w:color="auto"/>
            </w:tcBorders>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176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gridSpan w:val="2"/>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566,170</w:t>
            </w:r>
          </w:p>
        </w:tc>
        <w:tc>
          <w:tcPr>
            <w:tcW w:w="24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​278,141</w:t>
            </w:r>
          </w:p>
        </w:tc>
        <w:tc>
          <w:tcPr>
            <w:tcW w:w="24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​613,007</w:t>
            </w:r>
          </w:p>
        </w:tc>
        <w:tc>
          <w:tcPr>
            <w:tcW w:w="24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497,603</w:t>
            </w:r>
          </w:p>
        </w:tc>
        <w:tc>
          <w:tcPr>
            <w:tcW w:w="24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D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(29.93)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​1,619,032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​914,489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​924,915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640,117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​65.53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(41.88)</w:t>
            </w:r>
            <w:r>
              <w:rPr>
                <w:rFonts w:ascii="Times New Roman" w:cs="Times New Roman" w:eastAsia="Times New Roman" w:hAnsi="Times New Roman"/>
                <w:sz w:val="18"/>
                <w:szCs w:val="18"/>
                <w:b w:val="1"/>
                <w:bCs w:val="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8256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99" w:lineRule="exact"/>
        <w:rPr>
          <w:sz w:val="20"/>
          <w:szCs w:val="20"/>
          <w:color w:val="auto"/>
        </w:rPr>
      </w:pPr>
    </w:p>
    <w:p>
      <w:pPr>
        <w:jc w:val="both"/>
        <w:ind w:left="1620" w:right="41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are the amounts of total compensation reported for Peter Hoang (our Former Chief Executive Officer) for each corresponding year in the “Total” column of the Summary Compensation Table. Refer to “Executive Compensation – Summary Compensation Table.”</w:t>
      </w:r>
    </w:p>
    <w:p>
      <w:pPr>
        <w:spacing w:after="0" w:line="27"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requirements of Item 402(v) of Regulation S-K, the following adjustments were made to Peter Hoang’s total compensation for each year to determine the compensation actually paid:</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Less, Grant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Date Fair Value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Option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Reported in the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for</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Applicable Year</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22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0"/>
              </w:rPr>
              <w:t>for PEO</w:t>
            </w:r>
            <w:r>
              <w:rPr>
                <w:rFonts w:ascii="Times New Roman" w:cs="Times New Roman" w:eastAsia="Times New Roman" w:hAnsi="Times New Roman"/>
                <w:sz w:val="17"/>
                <w:szCs w:val="17"/>
                <w:b w:val="1"/>
                <w:bCs w:val="1"/>
                <w:color w:val="auto"/>
                <w:w w:val="90"/>
                <w:vertAlign w:val="superscript"/>
              </w:rPr>
              <w:t>(a)(b)</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(a)</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860" w:type="dxa"/>
            <w:vAlign w:val="bottom"/>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566,170</w:t>
            </w:r>
          </w:p>
        </w:tc>
        <w:tc>
          <w:tcPr>
            <w:tcW w:w="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(141,900) ​​ ​</w:t>
            </w:r>
          </w:p>
        </w:tc>
        <w:tc>
          <w:tcPr>
            <w:tcW w:w="108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(146,129) ​​ ​</w:t>
            </w:r>
          </w:p>
        </w:tc>
        <w:tc>
          <w:tcPr>
            <w:tcW w:w="100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​278,141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​1,619,032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(1,001,900) ​​ ​</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297,357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​914,489</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-350520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-350520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-350520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-350520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jc w:val="both"/>
        <w:ind w:left="1980" w:right="419" w:hanging="360"/>
        <w:spacing w:after="0" w:line="254"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equity awards were calculated using valuation assumptions that materially differ from those disclosed at the time of grant, including the fair value of options was estimated using the Black-Scholes option-pricing model (which reflects for each particular award and valuation date: expected stock price volatility, risk-free interest rate, dividend yield, expected term – calculated using the simplified method, and stock price). Declining stock price served as the primary driver of change in the fair value of options, partially offset by an increase in risk-free interest rate – in particular for options granted prior to 2021, none of which were in-the-money as of any valuation date applicable to this table.</w:t>
      </w:r>
    </w:p>
    <w:p>
      <w:pPr>
        <w:spacing w:after="0" w:line="38"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Plus, Year-End</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Plus, Year Over</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Plus, Year Over</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Fair Value of</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Change in</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Plus, Vesting-</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Change in</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Less, Fair Value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Date Fair Value</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 from</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at Prior Year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Granted During</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from Prior Year</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Year End</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End of Equity</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That</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End to Year</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 Vesting Date</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Awards Failed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Remained</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End of</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Granted During</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 Meet Vesting</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 as of</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that</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Conditions</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Last Day of</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 During</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 During</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During Year for</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for PEO</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 PEO</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for PEO</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for PEO</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59,653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​(137,243)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22,968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(91,507)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34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(146,129)</w:t>
            </w:r>
            <w:r>
              <w:rPr>
                <w:rFonts w:ascii="Times New Roman" w:cs="Times New Roman" w:eastAsia="Times New Roman" w:hAnsi="Times New Roman"/>
                <w:sz w:val="18"/>
                <w:szCs w:val="18"/>
                <w:b w:val="1"/>
                <w:bCs w:val="1"/>
                <w:color w:val="auto"/>
              </w:rPr>
              <w:t xml:space="preserve"> ​</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​146,684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​(143,953)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​123,195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171,431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34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297,357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-350520</wp:posOffset>
            </wp:positionV>
            <wp:extent cx="474916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jc w:val="both"/>
        <w:ind w:left="1620" w:right="419" w:hanging="360"/>
        <w:spacing w:after="0" w:line="253"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the Non-PEO NEOs in the “Total” column of the Summary Compensation Table for each applicable year. The Non-PEO NEOs included for purposes of calculating the average amounts in each applicable year are as follows: (i) for 2022, Juan Vera, Anthony Kim and Mythili Koneru; and (ii) for 2021, Anthony Kim and Mythili Koneru.</w:t>
      </w:r>
    </w:p>
    <w:p>
      <w:pPr>
        <w:spacing w:after="0" w:line="11"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requirements of Item 402(v) of Regulation S-K, the following adjustments were made to determine the average Non-PEO NEO compensation actually paid:</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Less, Grant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Fair</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Reported in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the Summary</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Plus, Average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Table for</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Inclusion of</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Applicable</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r>
      <w:tr>
        <w:trPr>
          <w:trHeight w:val="160"/>
        </w:trPr>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200" w:type="dxa"/>
            <w:vAlign w:val="bottom"/>
          </w:tcPr>
          <w:p>
            <w:pPr>
              <w:spacing w:after="0"/>
              <w:rPr>
                <w:sz w:val="13"/>
                <w:szCs w:val="13"/>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5"/>
              </w:rPr>
              <w:t>Year for Non-</w:t>
            </w:r>
          </w:p>
        </w:tc>
        <w:tc>
          <w:tcPr>
            <w:tcW w:w="2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2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40" w:type="dxa"/>
            <w:vAlign w:val="bottom"/>
          </w:tcPr>
          <w:p>
            <w:pPr>
              <w:spacing w:after="0"/>
              <w:rPr>
                <w:sz w:val="13"/>
                <w:szCs w:val="13"/>
                <w:color w:val="auto"/>
              </w:rPr>
            </w:pPr>
          </w:p>
        </w:tc>
      </w:tr>
      <w:tr>
        <w:trPr>
          <w:trHeight w:val="178"/>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200" w:type="dxa"/>
            <w:vAlign w:val="bottom"/>
          </w:tcPr>
          <w:p>
            <w:pPr>
              <w:spacing w:after="0"/>
              <w:rPr>
                <w:sz w:val="15"/>
                <w:szCs w:val="15"/>
                <w:color w:val="auto"/>
              </w:rPr>
            </w:pPr>
          </w:p>
        </w:tc>
        <w:tc>
          <w:tcPr>
            <w:tcW w:w="960" w:type="dxa"/>
            <w:vAlign w:val="bottom"/>
          </w:tcPr>
          <w:p>
            <w:pPr>
              <w:jc w:val="center"/>
              <w:spacing w:after="0" w:line="178" w:lineRule="exact"/>
              <w:rPr>
                <w:sz w:val="20"/>
                <w:szCs w:val="20"/>
                <w:color w:val="auto"/>
              </w:rPr>
            </w:pPr>
            <w:r>
              <w:rPr>
                <w:rFonts w:ascii="Times New Roman" w:cs="Times New Roman" w:eastAsia="Times New Roman" w:hAnsi="Times New Roman"/>
                <w:sz w:val="14"/>
                <w:szCs w:val="14"/>
                <w:b w:val="1"/>
                <w:bCs w:val="1"/>
                <w:color w:val="auto"/>
                <w:w w:val="93"/>
              </w:rPr>
              <w:t>PEO NEOs</w:t>
            </w:r>
            <w:r>
              <w:rPr>
                <w:rFonts w:ascii="Times New Roman" w:cs="Times New Roman" w:eastAsia="Times New Roman" w:hAnsi="Times New Roman"/>
                <w:sz w:val="17"/>
                <w:szCs w:val="17"/>
                <w:b w:val="1"/>
                <w:bCs w:val="1"/>
                <w:color w:val="auto"/>
                <w:w w:val="93"/>
                <w:vertAlign w:val="superscript"/>
              </w:rPr>
              <w:t>(a)</w:t>
            </w:r>
          </w:p>
        </w:tc>
        <w:tc>
          <w:tcPr>
            <w:tcW w:w="220" w:type="dxa"/>
            <w:vAlign w:val="bottom"/>
          </w:tcPr>
          <w:p>
            <w:pPr>
              <w:spacing w:after="0"/>
              <w:rPr>
                <w:sz w:val="15"/>
                <w:szCs w:val="15"/>
                <w:color w:val="auto"/>
              </w:rPr>
            </w:pPr>
          </w:p>
        </w:tc>
        <w:tc>
          <w:tcPr>
            <w:tcW w:w="860" w:type="dxa"/>
            <w:vAlign w:val="bottom"/>
          </w:tcPr>
          <w:p>
            <w:pPr>
              <w:jc w:val="center"/>
              <w:spacing w:after="0" w:line="178" w:lineRule="exact"/>
              <w:rPr>
                <w:sz w:val="20"/>
                <w:szCs w:val="20"/>
                <w:color w:val="auto"/>
              </w:rPr>
            </w:pPr>
            <w:r>
              <w:rPr>
                <w:rFonts w:ascii="Times New Roman" w:cs="Times New Roman" w:eastAsia="Times New Roman" w:hAnsi="Times New Roman"/>
                <w:sz w:val="14"/>
                <w:szCs w:val="14"/>
                <w:b w:val="1"/>
                <w:bCs w:val="1"/>
                <w:color w:val="auto"/>
                <w:w w:val="92"/>
              </w:rPr>
              <w:t>NEOs</w:t>
            </w:r>
            <w:r>
              <w:rPr>
                <w:rFonts w:ascii="Times New Roman" w:cs="Times New Roman" w:eastAsia="Times New Roman" w:hAnsi="Times New Roman"/>
                <w:sz w:val="17"/>
                <w:szCs w:val="17"/>
                <w:b w:val="1"/>
                <w:bCs w:val="1"/>
                <w:color w:val="auto"/>
                <w:w w:val="92"/>
                <w:vertAlign w:val="superscript"/>
              </w:rPr>
              <w:t>(b)</w:t>
            </w: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Non-PEO NEOs</w:t>
            </w:r>
          </w:p>
        </w:tc>
        <w:tc>
          <w:tcPr>
            <w:tcW w:w="40" w:type="dxa"/>
            <w:vAlign w:val="bottom"/>
          </w:tcPr>
          <w:p>
            <w:pPr>
              <w:spacing w:after="0"/>
              <w:rPr>
                <w:sz w:val="15"/>
                <w:szCs w:val="15"/>
                <w:color w:val="auto"/>
              </w:rPr>
            </w:pPr>
          </w:p>
        </w:tc>
      </w:t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700" w:type="dxa"/>
            <w:vAlign w:val="bottom"/>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7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​613,007</w:t>
            </w:r>
          </w:p>
        </w:tc>
        <w:tc>
          <w:tcPr>
            <w:tcW w:w="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(52,800) ​​ ​</w:t>
            </w:r>
          </w:p>
        </w:tc>
        <w:tc>
          <w:tcPr>
            <w:tcW w:w="860" w:type="dxa"/>
            <w:vAlign w:val="bottom"/>
            <w:tcBorders>
              <w:right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(62,604)</w:t>
            </w:r>
          </w:p>
        </w:tc>
        <w:tc>
          <w:tcPr>
            <w:tcW w:w="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​497,603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​924,915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​(376,500) ​​ ​</w:t>
            </w: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91,702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​640,117</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-343535</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-343535</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-343535</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-343535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jc w:val="both"/>
        <w:ind w:left="1980" w:right="419" w:hanging="360"/>
        <w:spacing w:after="0" w:line="251"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equity awards were calculated using valuation assumptions that materially differ from those disclosed at the time of grant, including the fair value of options was estimated using the Black-Scholes option-pricing model (which reflects for each particular award and valuation date: expected stock price volatility, risk-free interest rate, dividend yield, expected term – calculated using the simplified method, and stock price). Declining stock price served as the primary driver of change in the fair value of options, partially offset by an increase in risk-free interest rate – in particular for options granted prior to 2021, none of which were in-the-money as of any valuation date applicable to this table.</w:t>
      </w:r>
    </w:p>
    <w:p>
      <w:pPr>
        <w:spacing w:after="0" w:line="16"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Plus, Average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Year-End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Plus, Average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Fair Value of</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Plus, Average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Less, Average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Plus, Average</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Change</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Change</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Vesting-Date</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Fair Value</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Fair Value</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Fair Value of</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Prior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9"/>
              </w:rPr>
              <w:t>End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Prior</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 to</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 to</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Vesting Date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Remained</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 of</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Failed to</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Unvested as</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Meet Vesting</w:t>
            </w:r>
          </w:p>
        </w:tc>
        <w:tc>
          <w:tcPr>
            <w:tcW w:w="2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Inclusion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Last Day</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that Vested</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Year for</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for</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Values for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Non-PEO</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Non-PEO</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8"/>
                <w:szCs w:val="18"/>
                <w:color w:val="auto"/>
              </w:rPr>
            </w:pPr>
          </w:p>
        </w:tc>
        <w:tc>
          <w:tcPr>
            <w:tcW w:w="6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80" w:type="dxa"/>
            <w:vAlign w:val="bottom"/>
            <w:shd w:val="clear" w:color="auto" w:fill="000000"/>
          </w:tcPr>
          <w:p>
            <w:pPr>
              <w:spacing w:after="0" w:line="20" w:lineRule="exact"/>
              <w:rPr>
                <w:sz w:val="1"/>
                <w:szCs w:val="1"/>
                <w:color w:val="auto"/>
              </w:rPr>
            </w:pPr>
          </w:p>
        </w:tc>
        <w:tc>
          <w:tcPr>
            <w:tcW w:w="200" w:type="dxa"/>
            <w:vAlign w:val="bottom"/>
            <w:tcBorders>
              <w:right w:val="single" w:sz="8" w:color="CCEDFF"/>
            </w:tcBorders>
            <w:shd w:val="clear" w:color="auto" w:fill="CCED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8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CCED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8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right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14,792</w:t>
            </w:r>
          </w:p>
        </w:tc>
        <w:tc>
          <w:tcPr>
            <w:tcW w:w="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(30,213) ​​ ​</w:t>
            </w:r>
          </w:p>
        </w:tc>
        <w:tc>
          <w:tcPr>
            <w:tcW w:w="84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7,701</w:t>
            </w:r>
          </w:p>
        </w:tc>
        <w:tc>
          <w:tcPr>
            <w:tcW w:w="22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(31,657)</w:t>
            </w:r>
          </w:p>
        </w:tc>
        <w:tc>
          <w:tcPr>
            <w:tcW w:w="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DFF"/>
            </w:tcBorders>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(23,227)</w:t>
            </w:r>
          </w:p>
        </w:tc>
        <w:tc>
          <w:tcPr>
            <w:tcW w:w="940" w:type="dxa"/>
            <w:vAlign w:val="bottom"/>
            <w:gridSpan w:val="4"/>
            <w:shd w:val="clear" w:color="auto" w:fill="CCED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(62,604)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49,514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(53,965) ​​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41,758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54,395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85"/>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91,702</w:t>
            </w:r>
            <w:r>
              <w:rPr>
                <w:rFonts w:ascii="Times New Roman" w:cs="Times New Roman" w:eastAsia="Times New Roman" w:hAnsi="Times New Roman"/>
                <w:sz w:val="18"/>
                <w:szCs w:val="18"/>
                <w:b w:val="1"/>
                <w:bCs w:val="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-333375</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-333375</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-333375</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-333375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-333375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-333375</wp:posOffset>
            </wp:positionV>
            <wp:extent cx="128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27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60"/>
        <w:spacing w:after="0" w:line="261"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in column (f) represents the Total Shareholder Return (“TSR”) for each applicable year calculated based on a fixed investment of $100 in the Company for the period starting December 31, 2020, through the end of the listed year on the same cumulative basis as is used in Item 201(e) of Regulation S-K. Historical stock performance is not necessarily indicative of future stock performance.</w:t>
      </w:r>
    </w:p>
    <w:p>
      <w:pPr>
        <w:spacing w:after="0" w:line="58"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the Company’s audited financial statements for the applicable year.</w:t>
      </w:r>
    </w:p>
    <w:p>
      <w:pPr>
        <w:spacing w:after="0" w:line="21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PEO and Non-PEO NEO Compensation Actually Paid and Company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104140</wp:posOffset>
            </wp:positionV>
            <wp:extent cx="5031740" cy="27857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3174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two most recently completed fiscal years.</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Description of Relationship Between PEO and Non-PEO NEO Compensation Actually Paid and Net Income (Loss)</w:t>
      </w:r>
    </w:p>
    <w:p>
      <w:pPr>
        <w:spacing w:after="0" w:line="241"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(loss) during the two most recently completed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569595</wp:posOffset>
            </wp:positionV>
            <wp:extent cx="4980305" cy="2768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8030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“Item 402(v) Pay Versus Performance” heading will not be deemed to be incorporated by reference into any filing of the Company under the Securities Act of 1933, as amended, or the Exchange Act, whether made before or after the date hereof and irrespective of any general incorporation language in any such filing, except to the extent the Company specifically incorporates such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2022 certain information with respect to the compensation of our non-employee directors: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Fees Earned or</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4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Paid in Cash</w:t>
            </w:r>
          </w:p>
        </w:tc>
        <w:tc>
          <w:tcPr>
            <w:tcW w:w="220" w:type="dxa"/>
            <w:vAlign w:val="bottom"/>
          </w:tcPr>
          <w:p>
            <w:pPr>
              <w:spacing w:after="0"/>
              <w:rPr>
                <w:sz w:val="15"/>
                <w:szCs w:val="15"/>
                <w:color w:val="auto"/>
              </w:rPr>
            </w:pPr>
          </w:p>
        </w:tc>
        <w:tc>
          <w:tcPr>
            <w:tcW w:w="10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4"/>
              </w:rPr>
              <w:t>Option Awards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59"/>
        </w:trPr>
        <w:tc>
          <w:tcPr>
            <w:tcW w:w="4260" w:type="dxa"/>
            <w:vAlign w:val="bottom"/>
          </w:tcPr>
          <w:p>
            <w:pPr>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Name</w:t>
            </w:r>
            <w:r>
              <w:rPr>
                <w:rFonts w:ascii="Times New Roman" w:cs="Times New Roman" w:eastAsia="Times New Roman" w:hAnsi="Times New Roman"/>
                <w:sz w:val="10"/>
                <w:szCs w:val="10"/>
                <w:b w:val="1"/>
                <w:bCs w:val="1"/>
                <w:color w:val="auto"/>
              </w:rPr>
              <w:t>(1)(2)</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3"/>
              </w:rPr>
              <w:t>($)</w:t>
            </w:r>
            <w:r>
              <w:rPr>
                <w:rFonts w:ascii="Times New Roman" w:cs="Times New Roman" w:eastAsia="Times New Roman" w:hAnsi="Times New Roman"/>
                <w:sz w:val="19"/>
                <w:szCs w:val="19"/>
                <w:b w:val="1"/>
                <w:bCs w:val="1"/>
                <w:color w:val="auto"/>
                <w:w w:val="83"/>
                <w:vertAlign w:val="superscript"/>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380" w:type="dxa"/>
            <w:vAlign w:val="bottom"/>
          </w:tcPr>
          <w:p>
            <w:pPr>
              <w:spacing w:after="0"/>
              <w:rPr>
                <w:sz w:val="22"/>
                <w:szCs w:val="22"/>
                <w:color w:val="auto"/>
              </w:rPr>
            </w:pPr>
          </w:p>
        </w:tc>
        <w:tc>
          <w:tcPr>
            <w:tcW w:w="6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30"/>
                <w:szCs w:val="30"/>
                <w:b w:val="1"/>
                <w:bCs w:val="1"/>
                <w:color w:val="auto"/>
                <w:vertAlign w:val="subscript"/>
              </w:rPr>
              <w:t>​</w:t>
            </w:r>
          </w:p>
        </w:tc>
      </w:tr>
      <w:tr>
        <w:trPr>
          <w:trHeight w:val="20"/>
        </w:trPr>
        <w:tc>
          <w:tcPr>
            <w:tcW w:w="4260" w:type="dxa"/>
            <w:vAlign w:val="bottom"/>
            <w:shd w:val="clear" w:color="auto" w:fill="000000"/>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10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26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David Eansor</w:t>
            </w:r>
          </w:p>
        </w:tc>
        <w:tc>
          <w:tcPr>
            <w:tcW w:w="220" w:type="dxa"/>
            <w:vAlign w:val="bottom"/>
            <w:tcBorders>
              <w:right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tcBorders>
              <w:right w:val="single" w:sz="8" w:color="CCEDFF"/>
            </w:tcBorders>
            <w:shd w:val="clear" w:color="auto" w:fill="CCED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74,116</w:t>
            </w:r>
          </w:p>
        </w:tc>
        <w:tc>
          <w:tcPr>
            <w:tcW w:w="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60" w:type="dxa"/>
            <w:vAlign w:val="bottom"/>
            <w:tcBorders>
              <w:right w:val="single" w:sz="8" w:color="CCEDFF"/>
            </w:tcBorders>
            <w:gridSpan w:val="2"/>
            <w:shd w:val="clear" w:color="auto" w:fill="CCEDFF"/>
          </w:tcPr>
          <w:p>
            <w:pPr>
              <w:jc w:val="right"/>
              <w:ind w:right="219"/>
              <w:spacing w:after="0"/>
              <w:rPr>
                <w:sz w:val="20"/>
                <w:szCs w:val="20"/>
                <w:color w:val="auto"/>
              </w:rPr>
            </w:pPr>
            <w:r>
              <w:rPr>
                <w:rFonts w:ascii="Times New Roman" w:cs="Times New Roman" w:eastAsia="Times New Roman" w:hAnsi="Times New Roman"/>
                <w:sz w:val="16"/>
                <w:szCs w:val="16"/>
                <w:color w:val="auto"/>
              </w:rPr>
              <w:t>​19,200</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2"/>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 ​93,316</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Steven Elms</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52,500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​19,200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​71,700​</w:t>
            </w:r>
          </w:p>
        </w:tc>
      </w:tr>
      <w:tr>
        <w:trPr>
          <w:trHeight w:val="243"/>
        </w:trPr>
        <w:tc>
          <w:tcPr>
            <w:tcW w:w="426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Katharine Knobil</w:t>
            </w:r>
          </w:p>
        </w:tc>
        <w:tc>
          <w:tcPr>
            <w:tcW w:w="220" w:type="dxa"/>
            <w:vAlign w:val="bottom"/>
            <w:tcBorders>
              <w:right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tcBorders>
              <w:right w:val="single" w:sz="8" w:color="CCEDFF"/>
            </w:tcBorders>
            <w:shd w:val="clear" w:color="auto" w:fill="CCED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43,511</w:t>
            </w:r>
          </w:p>
        </w:tc>
        <w:tc>
          <w:tcPr>
            <w:tcW w:w="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60" w:type="dxa"/>
            <w:vAlign w:val="bottom"/>
            <w:tcBorders>
              <w:right w:val="single" w:sz="8" w:color="CCEDFF"/>
            </w:tcBorders>
            <w:gridSpan w:val="2"/>
            <w:shd w:val="clear" w:color="auto" w:fill="CCEDFF"/>
          </w:tcPr>
          <w:p>
            <w:pPr>
              <w:jc w:val="right"/>
              <w:ind w:right="219"/>
              <w:spacing w:after="0"/>
              <w:rPr>
                <w:sz w:val="20"/>
                <w:szCs w:val="20"/>
                <w:color w:val="auto"/>
              </w:rPr>
            </w:pPr>
            <w:r>
              <w:rPr>
                <w:rFonts w:ascii="Times New Roman" w:cs="Times New Roman" w:eastAsia="Times New Roman" w:hAnsi="Times New Roman"/>
                <w:sz w:val="16"/>
                <w:szCs w:val="16"/>
                <w:color w:val="auto"/>
              </w:rPr>
              <w:t>​19,200</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2"/>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 ​62,711</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David Laskow-Pooley</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60,405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​19,200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​79,605​</w:t>
            </w:r>
          </w:p>
        </w:tc>
      </w:tr>
      <w:tr>
        <w:trPr>
          <w:trHeight w:val="243"/>
        </w:trPr>
        <w:tc>
          <w:tcPr>
            <w:tcW w:w="426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Frederick Wasserman</w:t>
            </w:r>
          </w:p>
        </w:tc>
        <w:tc>
          <w:tcPr>
            <w:tcW w:w="220" w:type="dxa"/>
            <w:vAlign w:val="bottom"/>
            <w:tcBorders>
              <w:right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tcBorders>
              <w:right w:val="single" w:sz="8" w:color="CCEDFF"/>
            </w:tcBorders>
            <w:shd w:val="clear" w:color="auto" w:fill="CCED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34,360</w:t>
            </w:r>
            <w:r>
              <w:rPr>
                <w:rFonts w:ascii="Times New Roman" w:cs="Times New Roman" w:eastAsia="Times New Roman" w:hAnsi="Times New Roman"/>
                <w:sz w:val="19"/>
                <w:szCs w:val="19"/>
                <w:color w:val="auto"/>
                <w:vertAlign w:val="superscript"/>
              </w:rPr>
              <w:t>(4)</w:t>
            </w:r>
          </w:p>
        </w:tc>
        <w:tc>
          <w:tcPr>
            <w:tcW w:w="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shd w:val="clear" w:color="auto" w:fill="CCED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DFF"/>
            </w:tcBorders>
            <w:shd w:val="clear" w:color="auto" w:fill="CCED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2"/>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 ​34,360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John Wilson</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48,000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​19,200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​67,200​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-947420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-947420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-947420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140970</wp:posOffset>
            </wp:positionV>
            <wp:extent cx="1834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46" w:lineRule="exact"/>
        <w:rPr>
          <w:sz w:val="20"/>
          <w:szCs w:val="20"/>
          <w:color w:val="auto"/>
        </w:rPr>
      </w:pPr>
    </w:p>
    <w:p>
      <w:pPr>
        <w:jc w:val="both"/>
        <w:ind w:left="2340" w:right="1139" w:hanging="360"/>
        <w:spacing w:after="0" w:line="263" w:lineRule="auto"/>
        <w:tabs>
          <w:tab w:leader="none" w:pos="2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and Juan Vera did not earn compensation during 2022 for their service on the Board of Directors. As named executive officers, each of Mr. Hoang’s and Dr. Vera’s compensation is fully reflected in the “Summary Compensation Table” above.</w:t>
      </w:r>
    </w:p>
    <w:p>
      <w:pPr>
        <w:spacing w:after="0" w:line="251" w:lineRule="exact"/>
        <w:rPr>
          <w:rFonts w:ascii="Times New Roman" w:cs="Times New Roman" w:eastAsia="Times New Roman" w:hAnsi="Times New Roman"/>
          <w:sz w:val="18"/>
          <w:szCs w:val="18"/>
          <w:color w:val="auto"/>
        </w:rPr>
      </w:pPr>
    </w:p>
    <w:p>
      <w:pPr>
        <w:jc w:val="both"/>
        <w:ind w:left="2340" w:right="1139" w:hanging="360"/>
        <w:spacing w:after="0" w:line="258" w:lineRule="auto"/>
        <w:tabs>
          <w:tab w:leader="none" w:pos="2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Messrs. Eansor, Elms, Laskow-Pooley and Wilson each held options to purchase 9,250 shares of our common stock, as adjusted for the Reverse Stock Split. Dr. Knobil, Mr. Hoang and Dr. Vera held options to purchase 20,500 shares, 264,985 shares and 94,000 shares, respectively, as of the same date, each as adjusted for the Reverse Stock Split.</w:t>
      </w:r>
    </w:p>
    <w:p>
      <w:pPr>
        <w:spacing w:after="0" w:line="48" w:lineRule="exact"/>
        <w:rPr>
          <w:rFonts w:ascii="Times New Roman" w:cs="Times New Roman" w:eastAsia="Times New Roman" w:hAnsi="Times New Roman"/>
          <w:sz w:val="18"/>
          <w:szCs w:val="18"/>
          <w:color w:val="auto"/>
        </w:rPr>
      </w:pPr>
    </w:p>
    <w:p>
      <w:pPr>
        <w:jc w:val="both"/>
        <w:ind w:left="2340" w:right="1139" w:hanging="360"/>
        <w:spacing w:after="0" w:line="255" w:lineRule="auto"/>
        <w:tabs>
          <w:tab w:leader="none" w:pos="2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grant date fair value of stock options awarded to the directors during the fiscal year ended December 31, 2022 for his or her service on the Board of Directors, as computed in accordance with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w:t>
      </w:r>
    </w:p>
    <w:p>
      <w:pPr>
        <w:spacing w:after="0" w:line="256" w:lineRule="exact"/>
        <w:rPr>
          <w:rFonts w:ascii="Times New Roman" w:cs="Times New Roman" w:eastAsia="Times New Roman" w:hAnsi="Times New Roman"/>
          <w:sz w:val="18"/>
          <w:szCs w:val="18"/>
          <w:color w:val="auto"/>
        </w:rPr>
      </w:pPr>
    </w:p>
    <w:p>
      <w:pPr>
        <w:ind w:left="2340" w:right="1579" w:hanging="360"/>
        <w:spacing w:after="0" w:line="282" w:lineRule="auto"/>
        <w:tabs>
          <w:tab w:leader="none" w:pos="2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Wasserman resigned from the board in May 2022. This amount reflects the pro rata portion of his fees earned during 2022.</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7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Our Director Compensation Program is assessed periodically relative to our comparators by Radford, the Compensation Committee’s independent compensation consultant. The program was most recently amended in February 2022. Pursuant to this program, each of our directors who is not an employee of the Company is eligible to receive compensation for service on our Board of Directors and committees thereof.</w:t>
      </w:r>
    </w:p>
    <w:p>
      <w:pPr>
        <w:spacing w:after="0" w:line="11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Under our current compensation policy, each eligible director receives an annual cash retainer in the amount of $40,000 for serving on our Board of Directors. In addition, the Chair of our Board of Directors receives an annual cash retainer in the amount of $30,000 (in addition to the annual cash retainer given to all eligible directors). The chairperson of the Audit Committee of our Board of Directors is entitled to receive an additional annual cash retainer in the amount of $15,000, the chairperson of the Compensation Committee of our Board of Directors is entitled to receive an additional annual cash retainer in the amount of $10,000 and the chairperson of the Nominating and Corporate Governance Committee of our Board of Directors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$5,000 and the other members of the Nominating and Corporate Governance Committee are entitled to receive an additional annual cash retainer in the amount of $4,000.</w:t>
      </w:r>
    </w:p>
    <w:p>
      <w:pPr>
        <w:spacing w:after="0" w:line="9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of Directors is entitled to receive a non-statutory stock option to purchase shares of our common stock having a value of $120,000 under our 2020 Plan, with the shares vesting in 36 equal monthly installments, subject to continued service as a director through the vesting dates.</w:t>
      </w:r>
    </w:p>
    <w:p>
      <w:pPr>
        <w:spacing w:after="0" w:line="11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having a value of $100,000 under our 2020 Plan (the “Annual Grant”), provided that no Annual Grant shall total more than 8,000 shares (as adjusted for the Reverse Stock Split) shares, with the Annual Grant shares vesting on the first anniversary of the date of grant, subject to continued service as a director though the vesting date.</w:t>
      </w:r>
    </w:p>
    <w:p>
      <w:pPr>
        <w:spacing w:after="0" w:line="10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RANSACTIONS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ITH</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ELATED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ERSONS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NDEMNIFICATION</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has adopted a written Related Party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is reasonably expected to exceed $120,000 in any calendar year.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33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w:t>
      </w:r>
    </w:p>
    <w:p>
      <w:pPr>
        <w:spacing w:after="0" w:line="4" w:lineRule="exact"/>
        <w:rPr>
          <w:sz w:val="20"/>
          <w:szCs w:val="20"/>
          <w:color w:val="auto"/>
        </w:rPr>
      </w:pPr>
    </w:p>
    <w:p>
      <w:pPr>
        <w:ind w:left="1520" w:hanging="260"/>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(d) the availability of other sources for comparable services or products and</w:t>
      </w:r>
    </w:p>
    <w:p>
      <w:pPr>
        <w:spacing w:after="0" w:line="9" w:lineRule="exact"/>
        <w:rPr>
          <w:rFonts w:ascii="Times New Roman" w:cs="Times New Roman" w:eastAsia="Times New Roman" w:hAnsi="Times New Roman"/>
          <w:sz w:val="18"/>
          <w:szCs w:val="18"/>
          <w:color w:val="auto"/>
        </w:rPr>
      </w:pPr>
    </w:p>
    <w:p>
      <w:pPr>
        <w:jc w:val="both"/>
        <w:ind w:left="1260" w:right="419"/>
        <w:spacing w:after="0" w:line="252" w:lineRule="auto"/>
        <w:tabs>
          <w:tab w:leader="none" w:pos="15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Committee consider, in light of known circumstances, whether the transaction is in, or is not inconsistent with, the best interests of the Company and its stockholders, as the Committee determines in the good faith exercise of its discretion.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7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2021 to which we have been a party, in which the amount involved in the transaction exceeded the lesser of one percent of our average total assets at year-end for the last two completed fiscal years or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Bio-Techne Corporation</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contract with Bio-Techne Corporation and two of its brands for the purchases of reagents, primarily cytokines. Mr. David Eansor, a member of our board of directors, served as the President of the Protein Sciences Segment of Bio-Techne Corporation until his retirement in March 2022. In 2022, we purchased $196,700 of reagents from Bio-Techne Corporation. In 2021, we purchased $306,000 of reagents from Bio-Techne Corporation.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Wilson Wolf Manufacturing Corporation</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contract with Wilson Wolf Manufacturing Corporation for the purchases of cell culture devices called G-Rexes. Mr. John Wilson, a member of our board of directors, is the CEO of Wilson Wolf Manufacturing</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Corporation. In 2022, we purchased $265,000 of cell culture devices from Wilson Wolf Manufacturing Corporation. In 2021, we purchased $280,000 of cell culture devices from Wilson Wolf Manufacturing Corporation.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Wilson Wolf</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On April 21, 2022, we entered into a binding Services Agreement, dated April 12, 2022, with Wilson Wolf (the “Services Agreement”) pursuant to which we agreed to provide Wilson Wolf with certain training and research services. Pursuant to the Services Agreement, Wilson Wolf made a cash payment to us in the amount of $8.0 million. Pursuant to the Services Agreement, in the event that we become insolvent, go out of business, or an event other than force majeure occurs that prevents us from fulfilling the Services Agreement, Wilson Wolf will have right of first offer and right of first refusal for our manufacturing facility provided it is able and willing to meet whatever financial obligations are required to do so, subject to certain exceptions.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AlloVir, Inc.</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are party to a services agreement with AlloVir, Inc. (“AlloVir”), pursuant to which we provide AlloVir with development services. Juan Vera, our Chief Executive Officer, President and director, serves on the board of directors of AlloVir. During the term of the services agreement, we and AlloVir may prepare work orders setting forth services to be provided by our company. AlloVir has a $400,000 work order under the services agreement for long range process development and scale optimization services.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16"/>
          <w:szCs w:val="16"/>
          <w:b w:val="1"/>
          <w:bCs w:val="1"/>
          <w:color w:val="auto"/>
        </w:rPr>
        <w:t>OUSEHOLDING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ATERIALS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Marker Therapeutics, Inc., Attn: Secretary, 4551 Kennedy Commerce Drive, Houston, Texas 77032.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ATTERS</w:t>
      </w:r>
    </w:p>
    <w:p>
      <w:pPr>
        <w:spacing w:after="0" w:line="17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0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128905</wp:posOffset>
            </wp:positionV>
            <wp:extent cx="814705" cy="3689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470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Michael J. Loiacono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April 28, 2023</w:t>
      </w:r>
    </w:p>
    <w:p>
      <w:pPr>
        <w:spacing w:after="0" w:line="140" w:lineRule="exact"/>
        <w:rPr>
          <w:sz w:val="20"/>
          <w:szCs w:val="20"/>
          <w:color w:val="auto"/>
        </w:rPr>
      </w:pPr>
    </w:p>
    <w:p>
      <w:pPr>
        <w:jc w:val="both"/>
        <w:ind w:left="1260" w:right="399"/>
        <w:spacing w:after="0" w:line="291" w:lineRule="auto"/>
        <w:rPr>
          <w:sz w:val="20"/>
          <w:szCs w:val="20"/>
          <w:color w:val="auto"/>
        </w:rPr>
      </w:pPr>
      <w:r>
        <w:rPr>
          <w:rFonts w:ascii="Times New Roman" w:cs="Times New Roman" w:eastAsia="Times New Roman" w:hAnsi="Times New Roman"/>
          <w:sz w:val="17"/>
          <w:szCs w:val="17"/>
          <w:b w:val="1"/>
          <w:bCs w:val="1"/>
          <w:color w:val="auto"/>
        </w:rPr>
        <w:t>A copy of the Company’s Annual Report to the Securities and Exchange Commission on Form 10-K for the fiscal year ended December 31, 2022 is available without charge upon written request to Marker Therapeutics, Inc., Attention: Secretary, Marker Therapeutics, Inc., 4551 Kennedy Commerce Drive, Houston, Texas 77032.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512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88512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12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885126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lowerRoman"/>
      <w:start w:val="3"/>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4"/>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3"/>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1)"/>
      <w:numFmt w:val="lowerRoman"/>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3"/>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lowerLetter"/>
      <w:start w:val="3"/>
    </w:lvl>
  </w:abstractNum>
  <w:abstractNum w:abstractNumId="35">
    <w:nsid w:val="507236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2023-04-28T15:32:43Z</dcterms:created>
  <dcterms:modified xsi:type="dcterms:W3CDTF">2023-04-28T15:32:43Z</dcterms:modified>
</cp:coreProperties>
</file>