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2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60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restart"/>
          </w:tcPr>
          <w:p>
            <w:pPr>
              <w:jc w:val="center"/>
              <w:ind w:right="367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jc w:val="center"/>
              <w:ind w:left="62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92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Eansor Norman David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ind w:left="112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Marker Therapeutics,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-1313180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-1321435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-1296035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-1126490</wp:posOffset>
            </wp:positionV>
            <wp:extent cx="6963410" cy="2536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-1126490</wp:posOffset>
            </wp:positionV>
            <wp:extent cx="6963410" cy="2536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20" w:right="70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3200 SOUTHWEST FREEWAY SUITE 2240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74930</wp:posOffset>
            </wp:positionV>
            <wp:extent cx="6963410" cy="1128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2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24,282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-1752600</wp:posOffset>
            </wp:positionV>
            <wp:extent cx="7031355" cy="17983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60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portion of the annual board retainer for each non-employee director payable in immediately vested common stock under the Company's 2014 Omnibus Stock Ownership Plan, as amended and based on the closing price of $2.35 per share, on the day immediately preceding the date of the Company's 2019 annual meeting.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Michael Loiacono,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8" Type="http://schemas.openxmlformats.org/officeDocument/2006/relationships/hyperlink" Target="http://www.sec.gov/cgi-bin/browse-edgar?action=getcompany&amp;CIK=0001270905" TargetMode="External"/><Relationship Id="rId9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2021-02-12T16:13:55Z</dcterms:created>
  <dcterms:modified xsi:type="dcterms:W3CDTF">2021-02-12T16:13:55Z</dcterms:modified>
</cp:coreProperties>
</file>