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944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944745"/>
                    </a:xfrm>
                    <a:prstGeom prst="rect">
                      <a:avLst/>
                    </a:prstGeom>
                    <a:noFill/>
                  </pic:spPr>
                </pic:pic>
              </a:graphicData>
            </a:graphic>
          </wp:anchor>
        </w:drawing>
      </w:r>
    </w:p>
    <w:p>
      <w:pPr>
        <w:spacing w:after="0" w:line="1197"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ELMS STEVE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MARKER THERAPEUTICS, INC. 2450</w:t>
      </w:r>
    </w:p>
    <w:p>
      <w:pPr>
        <w:spacing w:after="0" w:line="68" w:lineRule="exact"/>
        <w:rPr>
          <w:sz w:val="24"/>
          <w:szCs w:val="24"/>
          <w:color w:val="auto"/>
        </w:rPr>
      </w:pPr>
    </w:p>
    <w:p>
      <w:pPr>
        <w:ind w:left="120"/>
        <w:spacing w:after="0" w:line="301" w:lineRule="auto"/>
        <w:rPr>
          <w:sz w:val="20"/>
          <w:szCs w:val="20"/>
          <w:color w:val="auto"/>
        </w:rPr>
      </w:pPr>
      <w:r>
        <w:rPr>
          <w:rFonts w:ascii="Times New Roman" w:cs="Times New Roman" w:eastAsia="Times New Roman" w:hAnsi="Times New Roman"/>
          <w:sz w:val="16"/>
          <w:szCs w:val="16"/>
          <w:color w:val="0000FF"/>
        </w:rPr>
        <w:t>HOLCOMBE BLVD, TMC PARTNERS OFFICE 1.311</w:t>
      </w:r>
    </w:p>
    <w:p>
      <w:pPr>
        <w:spacing w:after="0" w:line="2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Marker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8"/>
                <w:szCs w:val="18"/>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60" w:type="dxa"/>
            <w:vAlign w:val="bottom"/>
            <w:tcBorders>
              <w:top w:val="single" w:sz="8" w:color="0000EE"/>
            </w:tcBorders>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r>
      <w:tr>
        <w:trPr>
          <w:trHeight w:val="166"/>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14"/>
        </w:trPr>
        <w:tc>
          <w:tcPr>
            <w:tcW w:w="2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11/17/2025</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00" w:space="440"/>
            <w:col w:w="7240"/>
          </w:cols>
          <w:pgMar w:left="460" w:top="215" w:right="359" w:bottom="1440" w:gutter="0" w:footer="0" w:header="0"/>
          <w:type w:val="continuous"/>
        </w:sectPr>
      </w:pPr>
    </w:p>
    <w:p>
      <w:pPr>
        <w:spacing w:after="0" w:line="4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11/17/2025</w:t>
            </w:r>
          </w:p>
        </w:tc>
        <w:tc>
          <w:tcPr>
            <w:tcW w:w="106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rPr>
              <w:t>84,411</w:t>
            </w:r>
            <w:r>
              <w:rPr>
                <w:rFonts w:ascii="Times New Roman" w:cs="Times New Roman" w:eastAsia="Times New Roman" w:hAnsi="Times New Roman"/>
                <w:sz w:val="20"/>
                <w:szCs w:val="20"/>
                <w:color w:val="008000"/>
                <w:vertAlign w:val="superscript"/>
              </w:rPr>
              <w:t>(1)</w:t>
            </w:r>
          </w:p>
        </w:tc>
        <w:tc>
          <w:tcPr>
            <w:tcW w:w="220" w:type="dxa"/>
            <w:vAlign w:val="bottom"/>
          </w:tcPr>
          <w:p>
            <w:pPr>
              <w:spacing w:after="0"/>
              <w:rPr>
                <w:sz w:val="12"/>
                <w:szCs w:val="12"/>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11/17/2035</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84,411</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color w:val="0000FF"/>
              </w:rPr>
              <w:t>84,411</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11/17/2025</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jc w:val="center"/>
              <w:ind w:right="42"/>
              <w:spacing w:after="0" w:line="202" w:lineRule="exact"/>
              <w:rPr>
                <w:sz w:val="20"/>
                <w:szCs w:val="20"/>
                <w:color w:val="auto"/>
              </w:rPr>
            </w:pPr>
            <w:r>
              <w:rPr>
                <w:rFonts w:ascii="Times New Roman" w:cs="Times New Roman" w:eastAsia="Times New Roman" w:hAnsi="Times New Roman"/>
                <w:sz w:val="13"/>
                <w:szCs w:val="13"/>
                <w:color w:val="0000FF"/>
              </w:rPr>
              <w:t>137,330</w:t>
            </w:r>
            <w:r>
              <w:rPr>
                <w:rFonts w:ascii="Times New Roman" w:cs="Times New Roman" w:eastAsia="Times New Roman" w:hAnsi="Times New Roman"/>
                <w:sz w:val="20"/>
                <w:szCs w:val="20"/>
                <w:color w:val="008000"/>
                <w:vertAlign w:val="superscript"/>
              </w:rPr>
              <w:t>(2)</w:t>
            </w:r>
          </w:p>
        </w:tc>
        <w:tc>
          <w:tcPr>
            <w:tcW w:w="220" w:type="dxa"/>
            <w:vAlign w:val="bottom"/>
          </w:tcPr>
          <w:p>
            <w:pPr>
              <w:spacing w:after="0"/>
              <w:rPr>
                <w:sz w:val="17"/>
                <w:szCs w:val="17"/>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11/17/2035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137,330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137,330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the remaining options due as service as a director for the year 2024. 30,000 shares were previously granted on February 12, 2025. The options vest on the anniversary of the grant date. The option exercise price is the closing price on the date of the grant, November 17, 2025.</w:t>
      </w:r>
    </w:p>
    <w:p>
      <w:pPr>
        <w:spacing w:after="0" w:line="21"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service as a director for the year 2025. The options vest on the anniversary of the grant date. The option exercise price is the closing price on the date of the grant, November 17, 2025.</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Julio C. Esquivel, as</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11/19/2025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 for Steve Elms</w:t>
            </w:r>
          </w:p>
        </w:tc>
        <w:tc>
          <w:tcPr>
            <w:tcW w:w="72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019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2025-11-19T15:11:43Z</dcterms:created>
  <dcterms:modified xsi:type="dcterms:W3CDTF">2025-11-19T15:11:43Z</dcterms:modified>
</cp:coreProperties>
</file>