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August 19,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MARKER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50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gridSpan w:val="3"/>
          </w:tcPr>
          <w:p>
            <w:pPr>
              <w:jc w:val="center"/>
              <w:ind w:right="1280"/>
              <w:spacing w:after="0"/>
              <w:rPr>
                <w:sz w:val="20"/>
                <w:szCs w:val="20"/>
                <w:color w:val="auto"/>
              </w:rPr>
            </w:pPr>
            <w:r>
              <w:rPr>
                <w:rFonts w:ascii="Arial" w:cs="Arial" w:eastAsia="Arial" w:hAnsi="Arial"/>
                <w:sz w:val="18"/>
                <w:szCs w:val="18"/>
                <w:b w:val="1"/>
                <w:bCs w:val="1"/>
                <w:color w:val="auto"/>
                <w:w w:val="91"/>
              </w:rPr>
              <w:t>Delaware</w:t>
            </w:r>
          </w:p>
        </w:tc>
        <w:tc>
          <w:tcPr>
            <w:tcW w:w="42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001-37939</w:t>
            </w:r>
          </w:p>
        </w:tc>
        <w:tc>
          <w:tcPr>
            <w:tcW w:w="280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2"/>
        </w:trPr>
        <w:tc>
          <w:tcPr>
            <w:tcW w:w="3060" w:type="dxa"/>
            <w:vAlign w:val="bottom"/>
            <w:gridSpan w:val="5"/>
          </w:tcPr>
          <w:p>
            <w:pPr>
              <w:ind w:left="360"/>
              <w:spacing w:after="0"/>
              <w:rPr>
                <w:sz w:val="20"/>
                <w:szCs w:val="20"/>
                <w:color w:val="auto"/>
              </w:rPr>
            </w:pPr>
            <w:r>
              <w:rPr>
                <w:rFonts w:ascii="Arial" w:cs="Arial" w:eastAsia="Arial" w:hAnsi="Arial"/>
                <w:sz w:val="18"/>
                <w:szCs w:val="18"/>
                <w:color w:val="auto"/>
              </w:rPr>
              <w:t>(State or other jurisdiction of</w:t>
            </w:r>
          </w:p>
        </w:tc>
        <w:tc>
          <w:tcPr>
            <w:tcW w:w="4220" w:type="dxa"/>
            <w:vAlign w:val="bottom"/>
            <w:gridSpan w:val="3"/>
          </w:tcPr>
          <w:p>
            <w:pPr>
              <w:jc w:val="center"/>
              <w:ind w:right="80"/>
              <w:spacing w:after="0"/>
              <w:rPr>
                <w:sz w:val="20"/>
                <w:szCs w:val="20"/>
                <w:color w:val="auto"/>
              </w:rPr>
            </w:pPr>
            <w:r>
              <w:rPr>
                <w:rFonts w:ascii="Arial" w:cs="Arial" w:eastAsia="Arial" w:hAnsi="Arial"/>
                <w:sz w:val="18"/>
                <w:szCs w:val="18"/>
                <w:color w:val="auto"/>
                <w:w w:val="92"/>
              </w:rPr>
              <w:t>(Commission File Number)</w:t>
            </w:r>
          </w:p>
        </w:tc>
        <w:tc>
          <w:tcPr>
            <w:tcW w:w="2800" w:type="dxa"/>
            <w:vAlign w:val="bottom"/>
            <w:gridSpan w:val="5"/>
          </w:tcPr>
          <w:p>
            <w:pPr>
              <w:jc w:val="center"/>
              <w:ind w:left="23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840" w:type="dxa"/>
            <w:vAlign w:val="bottom"/>
          </w:tcPr>
          <w:p>
            <w:pPr>
              <w:spacing w:after="0"/>
              <w:rPr>
                <w:sz w:val="20"/>
                <w:szCs w:val="20"/>
                <w:color w:val="auto"/>
              </w:rPr>
            </w:pPr>
          </w:p>
        </w:tc>
        <w:tc>
          <w:tcPr>
            <w:tcW w:w="2220" w:type="dxa"/>
            <w:vAlign w:val="bottom"/>
            <w:gridSpan w:val="4"/>
          </w:tcPr>
          <w:p>
            <w:pPr>
              <w:jc w:val="center"/>
              <w:ind w:right="1060"/>
              <w:spacing w:after="0"/>
              <w:rPr>
                <w:sz w:val="20"/>
                <w:szCs w:val="20"/>
                <w:color w:val="auto"/>
              </w:rPr>
            </w:pPr>
            <w:r>
              <w:rPr>
                <w:rFonts w:ascii="Arial" w:cs="Arial" w:eastAsia="Arial" w:hAnsi="Arial"/>
                <w:sz w:val="18"/>
                <w:szCs w:val="18"/>
                <w:color w:val="auto"/>
                <w:w w:val="94"/>
              </w:rPr>
              <w:t>incorporation)</w:t>
            </w:r>
          </w:p>
        </w:tc>
        <w:tc>
          <w:tcPr>
            <w:tcW w:w="1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14"/>
        </w:trPr>
        <w:tc>
          <w:tcPr>
            <w:tcW w:w="30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8"/>
              </w:rPr>
              <w:t>3200 Southwest Freeway</w:t>
            </w:r>
          </w:p>
        </w:tc>
        <w:tc>
          <w:tcPr>
            <w:tcW w:w="1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840" w:type="dxa"/>
            <w:vAlign w:val="bottom"/>
          </w:tcPr>
          <w:p>
            <w:pPr>
              <w:spacing w:after="0"/>
              <w:rPr>
                <w:sz w:val="18"/>
                <w:szCs w:val="18"/>
                <w:color w:val="auto"/>
              </w:rPr>
            </w:pPr>
          </w:p>
        </w:tc>
        <w:tc>
          <w:tcPr>
            <w:tcW w:w="2220" w:type="dxa"/>
            <w:vAlign w:val="bottom"/>
            <w:gridSpan w:val="4"/>
          </w:tcPr>
          <w:p>
            <w:pPr>
              <w:jc w:val="center"/>
              <w:ind w:right="1060"/>
              <w:spacing w:after="0"/>
              <w:rPr>
                <w:sz w:val="20"/>
                <w:szCs w:val="20"/>
                <w:color w:val="auto"/>
              </w:rPr>
            </w:pPr>
            <w:r>
              <w:rPr>
                <w:rFonts w:ascii="Arial" w:cs="Arial" w:eastAsia="Arial" w:hAnsi="Arial"/>
                <w:sz w:val="18"/>
                <w:szCs w:val="18"/>
                <w:b w:val="1"/>
                <w:bCs w:val="1"/>
                <w:color w:val="auto"/>
                <w:w w:val="89"/>
              </w:rPr>
              <w:t>Suite 2500</w:t>
            </w:r>
          </w:p>
        </w:tc>
        <w:tc>
          <w:tcPr>
            <w:tcW w:w="1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4"/>
        </w:trPr>
        <w:tc>
          <w:tcPr>
            <w:tcW w:w="840" w:type="dxa"/>
            <w:vAlign w:val="bottom"/>
          </w:tcPr>
          <w:p>
            <w:pPr>
              <w:spacing w:after="0"/>
              <w:rPr>
                <w:sz w:val="16"/>
                <w:szCs w:val="16"/>
                <w:color w:val="auto"/>
              </w:rPr>
            </w:pPr>
          </w:p>
        </w:tc>
        <w:tc>
          <w:tcPr>
            <w:tcW w:w="1160" w:type="dxa"/>
            <w:vAlign w:val="bottom"/>
            <w:tcBorders>
              <w:bottom w:val="single" w:sz="8" w:color="auto"/>
            </w:tcBorders>
            <w:gridSpan w:val="3"/>
          </w:tcPr>
          <w:p>
            <w:pPr>
              <w:jc w:val="center"/>
              <w:spacing w:after="0" w:line="174" w:lineRule="exact"/>
              <w:rPr>
                <w:sz w:val="20"/>
                <w:szCs w:val="20"/>
                <w:color w:val="auto"/>
              </w:rPr>
            </w:pPr>
            <w:r>
              <w:rPr>
                <w:rFonts w:ascii="Arial" w:cs="Arial" w:eastAsia="Arial" w:hAnsi="Arial"/>
                <w:sz w:val="18"/>
                <w:szCs w:val="18"/>
                <w:b w:val="1"/>
                <w:bCs w:val="1"/>
                <w:color w:val="auto"/>
                <w:w w:val="86"/>
              </w:rPr>
              <w:t>Houston, Texas</w:t>
            </w:r>
          </w:p>
        </w:tc>
        <w:tc>
          <w:tcPr>
            <w:tcW w:w="10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00" w:type="dxa"/>
            <w:vAlign w:val="bottom"/>
            <w:gridSpan w:val="4"/>
          </w:tcPr>
          <w:p>
            <w:pPr>
              <w:jc w:val="right"/>
              <w:ind w:right="220"/>
              <w:spacing w:after="0" w:line="188" w:lineRule="exact"/>
              <w:rPr>
                <w:sz w:val="20"/>
                <w:szCs w:val="20"/>
                <w:color w:val="auto"/>
              </w:rPr>
            </w:pPr>
            <w:r>
              <w:rPr>
                <w:rFonts w:ascii="Arial" w:cs="Arial" w:eastAsia="Arial" w:hAnsi="Arial"/>
                <w:sz w:val="18"/>
                <w:szCs w:val="18"/>
                <w:b w:val="1"/>
                <w:bCs w:val="1"/>
                <w:color w:val="auto"/>
              </w:rPr>
              <w:t>77027</w:t>
            </w:r>
          </w:p>
        </w:tc>
        <w:tc>
          <w:tcPr>
            <w:tcW w:w="800" w:type="dxa"/>
            <w:vAlign w:val="bottom"/>
          </w:tcPr>
          <w:p>
            <w:pPr>
              <w:spacing w:after="0"/>
              <w:rPr>
                <w:sz w:val="16"/>
                <w:szCs w:val="16"/>
                <w:color w:val="auto"/>
              </w:rPr>
            </w:pPr>
          </w:p>
        </w:tc>
      </w:tr>
      <w:tr>
        <w:trPr>
          <w:trHeight w:val="20"/>
        </w:trPr>
        <w:tc>
          <w:tcPr>
            <w:tcW w:w="3060" w:type="dxa"/>
            <w:vAlign w:val="bottom"/>
            <w:gridSpan w:val="5"/>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224"/>
        </w:trPr>
        <w:tc>
          <w:tcPr>
            <w:tcW w:w="3060" w:type="dxa"/>
            <w:vAlign w:val="bottom"/>
            <w:gridSpan w:val="5"/>
          </w:tcPr>
          <w:p>
            <w:pPr>
              <w:jc w:val="center"/>
              <w:ind w:right="220"/>
              <w:spacing w:after="0"/>
              <w:rPr>
                <w:sz w:val="20"/>
                <w:szCs w:val="20"/>
                <w:color w:val="auto"/>
              </w:rPr>
            </w:pPr>
            <w:r>
              <w:rPr>
                <w:rFonts w:ascii="Arial" w:cs="Arial" w:eastAsia="Arial" w:hAnsi="Arial"/>
                <w:sz w:val="18"/>
                <w:szCs w:val="18"/>
                <w:color w:val="auto"/>
                <w:w w:val="92"/>
              </w:rPr>
              <w:t>(Address of principal executive offices)</w:t>
            </w:r>
          </w:p>
        </w:tc>
        <w:tc>
          <w:tcPr>
            <w:tcW w:w="1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80" w:type="dxa"/>
            <w:vAlign w:val="bottom"/>
            <w:gridSpan w:val="4"/>
          </w:tcPr>
          <w:p>
            <w:pPr>
              <w:jc w:val="center"/>
              <w:ind w:right="800"/>
              <w:spacing w:after="0"/>
              <w:rPr>
                <w:sz w:val="20"/>
                <w:szCs w:val="20"/>
                <w:color w:val="auto"/>
              </w:rPr>
            </w:pPr>
            <w:r>
              <w:rPr>
                <w:rFonts w:ascii="Arial" w:cs="Arial" w:eastAsia="Arial" w:hAnsi="Arial"/>
                <w:sz w:val="18"/>
                <w:szCs w:val="18"/>
                <w:color w:val="auto"/>
                <w:w w:val="94"/>
              </w:rPr>
              <w:t>(Zip Code)</w:t>
            </w:r>
          </w:p>
        </w:tc>
      </w:tr>
      <w:tr>
        <w:trPr>
          <w:trHeight w:val="418"/>
        </w:trPr>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(713) 400-6400</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2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Registrant’s telephone number, including area code</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18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418"/>
        </w:trPr>
        <w:tc>
          <w:tcPr>
            <w:tcW w:w="4700" w:type="dxa"/>
            <w:vAlign w:val="bottom"/>
          </w:tcPr>
          <w:p>
            <w:pPr>
              <w:spacing w:after="0"/>
              <w:rPr>
                <w:sz w:val="24"/>
                <w:szCs w:val="24"/>
                <w:color w:val="auto"/>
              </w:rPr>
            </w:pPr>
          </w:p>
        </w:tc>
        <w:tc>
          <w:tcPr>
            <w:tcW w:w="2180" w:type="dxa"/>
            <w:vAlign w:val="bottom"/>
          </w:tcPr>
          <w:p>
            <w:pPr>
              <w:jc w:val="center"/>
              <w:ind w:right="210"/>
              <w:spacing w:after="0"/>
              <w:rPr>
                <w:sz w:val="20"/>
                <w:szCs w:val="20"/>
                <w:color w:val="auto"/>
              </w:rPr>
            </w:pPr>
            <w:r>
              <w:rPr>
                <w:rFonts w:ascii="Arial" w:cs="Arial" w:eastAsia="Arial" w:hAnsi="Arial"/>
                <w:sz w:val="18"/>
                <w:szCs w:val="18"/>
                <w:color w:val="auto"/>
                <w:w w:val="91"/>
              </w:rPr>
              <w:t>Trading</w:t>
            </w:r>
          </w:p>
        </w:tc>
        <w:tc>
          <w:tcPr>
            <w:tcW w:w="4360" w:type="dxa"/>
            <w:vAlign w:val="bottom"/>
          </w:tcPr>
          <w:p>
            <w:pPr>
              <w:spacing w:after="0"/>
              <w:rPr>
                <w:sz w:val="24"/>
                <w:szCs w:val="24"/>
                <w:color w:val="auto"/>
              </w:rPr>
            </w:pPr>
          </w:p>
        </w:tc>
      </w:tr>
      <w:tr>
        <w:trPr>
          <w:trHeight w:val="230"/>
        </w:trPr>
        <w:tc>
          <w:tcPr>
            <w:tcW w:w="4700" w:type="dxa"/>
            <w:vAlign w:val="bottom"/>
            <w:tcBorders>
              <w:bottom w:val="single" w:sz="8" w:color="auto"/>
            </w:tcBorders>
          </w:tcPr>
          <w:p>
            <w:pPr>
              <w:jc w:val="center"/>
              <w:ind w:right="790"/>
              <w:spacing w:after="0"/>
              <w:rPr>
                <w:sz w:val="20"/>
                <w:szCs w:val="20"/>
                <w:color w:val="auto"/>
              </w:rPr>
            </w:pPr>
            <w:r>
              <w:rPr>
                <w:rFonts w:ascii="Arial" w:cs="Arial" w:eastAsia="Arial" w:hAnsi="Arial"/>
                <w:sz w:val="18"/>
                <w:szCs w:val="18"/>
                <w:color w:val="auto"/>
                <w:w w:val="90"/>
              </w:rPr>
              <w:t>Title of each class</w:t>
            </w:r>
          </w:p>
        </w:tc>
        <w:tc>
          <w:tcPr>
            <w:tcW w:w="21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3"/>
              </w:rPr>
              <w:t>Symbol(s)</w:t>
            </w:r>
          </w:p>
        </w:tc>
        <w:tc>
          <w:tcPr>
            <w:tcW w:w="436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700" w:type="dxa"/>
            <w:vAlign w:val="bottom"/>
          </w:tcPr>
          <w:p>
            <w:pPr>
              <w:jc w:val="center"/>
              <w:ind w:right="770"/>
              <w:spacing w:after="0"/>
              <w:rPr>
                <w:sz w:val="20"/>
                <w:szCs w:val="20"/>
                <w:color w:val="auto"/>
              </w:rPr>
            </w:pPr>
            <w:r>
              <w:rPr>
                <w:rFonts w:ascii="Arial" w:cs="Arial" w:eastAsia="Arial" w:hAnsi="Arial"/>
                <w:sz w:val="18"/>
                <w:szCs w:val="18"/>
                <w:color w:val="auto"/>
                <w:w w:val="89"/>
              </w:rPr>
              <w:t>Common Stock, par value $0.001 per share</w:t>
            </w:r>
          </w:p>
        </w:tc>
        <w:tc>
          <w:tcPr>
            <w:tcW w:w="2180" w:type="dxa"/>
            <w:vAlign w:val="bottom"/>
          </w:tcPr>
          <w:p>
            <w:pPr>
              <w:jc w:val="center"/>
              <w:ind w:right="210"/>
              <w:spacing w:after="0"/>
              <w:rPr>
                <w:sz w:val="20"/>
                <w:szCs w:val="20"/>
                <w:color w:val="auto"/>
              </w:rPr>
            </w:pPr>
            <w:r>
              <w:rPr>
                <w:rFonts w:ascii="Arial" w:cs="Arial" w:eastAsia="Arial" w:hAnsi="Arial"/>
                <w:sz w:val="18"/>
                <w:szCs w:val="18"/>
                <w:color w:val="auto"/>
                <w:w w:val="98"/>
              </w:rPr>
              <w:t>MRKR</w:t>
            </w:r>
          </w:p>
        </w:tc>
        <w:tc>
          <w:tcPr>
            <w:tcW w:w="4360" w:type="dxa"/>
            <w:vAlign w:val="bottom"/>
          </w:tcPr>
          <w:p>
            <w:pPr>
              <w:jc w:val="center"/>
              <w:ind w:left="470"/>
              <w:spacing w:after="0"/>
              <w:rPr>
                <w:sz w:val="20"/>
                <w:szCs w:val="20"/>
                <w:color w:val="auto"/>
              </w:rPr>
            </w:pPr>
            <w:r>
              <w:rPr>
                <w:rFonts w:ascii="Arial" w:cs="Arial" w:eastAsia="Arial" w:hAnsi="Arial"/>
                <w:sz w:val="18"/>
                <w:szCs w:val="18"/>
                <w:color w:val="auto"/>
                <w:w w:val="92"/>
              </w:rPr>
              <w:t>The Nasdaq Stock Market LLC</w:t>
            </w:r>
          </w:p>
        </w:tc>
      </w:tr>
    </w:tbl>
    <w:p>
      <w:pPr>
        <w:spacing w:after="0" w:line="187"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84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On August 19, 2021, Marker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issued a press release entitled “Marker Therapeutics Awarded $13.1 Million Grant from the Cancer Prevention and Research Institute of Texas.” A copy of the press release is furnished herewith as Exhibit 99.1 and is incorporated herein by reference.</w:t>
      </w:r>
    </w:p>
    <w:p>
      <w:pPr>
        <w:spacing w:after="0" w:line="18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information in this Item 7.01 of this Current Report on 8-K (including Exhibit 99.1) is furnished and shall not be deemed “filed” for purposes of Section 18 of the Securities Exchange Act of 1934, as amended, or subject to the liabilities of that section or Sections 11 and 12(a)(2) of the Securities Act of 1933, as amended. The information shall not be deemed incorporated by reference into any other filing with the Securities and Exchange Commission made by the Company, whether made before or after today’s date, regardless of any general incorporation language in such filing, except as shall be expressly set forth by specific references in such filing.</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2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7240" w:type="dxa"/>
            <w:vAlign w:val="bottom"/>
          </w:tcPr>
          <w:p>
            <w:pPr>
              <w:spacing w:after="0"/>
              <w:rPr>
                <w:sz w:val="20"/>
                <w:szCs w:val="20"/>
                <w:color w:val="auto"/>
              </w:rPr>
            </w:pPr>
          </w:p>
        </w:tc>
      </w:tr>
      <w:tr>
        <w:trPr>
          <w:trHeight w:val="432"/>
        </w:trPr>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7240" w:type="dxa"/>
            <w:vAlign w:val="bottom"/>
            <w:tcBorders>
              <w:bottom w:val="single" w:sz="8" w:color="auto"/>
            </w:tcBorders>
          </w:tcPr>
          <w:p>
            <w:pPr>
              <w:ind w:left="186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140" w:type="dxa"/>
            <w:vAlign w:val="bottom"/>
            <w:gridSpan w:val="2"/>
          </w:tcPr>
          <w:p>
            <w:pPr>
              <w:spacing w:after="0" w:line="169" w:lineRule="exact"/>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220" w:type="dxa"/>
            <w:vAlign w:val="bottom"/>
          </w:tcPr>
          <w:p>
            <w:pPr>
              <w:spacing w:after="0"/>
              <w:rPr>
                <w:sz w:val="14"/>
                <w:szCs w:val="14"/>
                <w:color w:val="auto"/>
              </w:rPr>
            </w:pPr>
          </w:p>
        </w:tc>
        <w:tc>
          <w:tcPr>
            <w:tcW w:w="9880" w:type="dxa"/>
            <w:vAlign w:val="bottom"/>
            <w:gridSpan w:val="2"/>
          </w:tcPr>
          <w:p>
            <w:pPr>
              <w:spacing w:after="0" w:line="169"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dated August 19, 2021</w:t>
              </w:r>
            </w:hyperlink>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Inline XBRL for the cover page of this Current Report on Form 8-K</w:t>
            </w:r>
          </w:p>
        </w:tc>
      </w:tr>
      <w:tr>
        <w:trPr>
          <w:trHeight w:val="675"/>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7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560" w:type="dxa"/>
            <w:vAlign w:val="bottom"/>
            <w:gridSpan w:val="2"/>
          </w:tcPr>
          <w:p>
            <w:pPr>
              <w:ind w:left="1960"/>
              <w:spacing w:after="0"/>
              <w:rPr>
                <w:sz w:val="20"/>
                <w:szCs w:val="20"/>
                <w:color w:val="auto"/>
              </w:rPr>
            </w:pPr>
            <w:r>
              <w:rPr>
                <w:rFonts w:ascii="Arial" w:cs="Arial" w:eastAsia="Arial" w:hAnsi="Arial"/>
                <w:sz w:val="18"/>
                <w:szCs w:val="18"/>
                <w:b w:val="1"/>
                <w:bCs w:val="1"/>
                <w:color w:val="auto"/>
              </w:rPr>
              <w:t>Marker Therapeutics, Inc.</w:t>
            </w:r>
          </w:p>
        </w:tc>
      </w:tr>
      <w:tr>
        <w:trPr>
          <w:trHeight w:val="432"/>
        </w:trPr>
        <w:tc>
          <w:tcPr>
            <w:tcW w:w="3680" w:type="dxa"/>
            <w:vAlign w:val="bottom"/>
          </w:tcPr>
          <w:p>
            <w:pPr>
              <w:spacing w:after="0"/>
              <w:rPr>
                <w:sz w:val="20"/>
                <w:szCs w:val="20"/>
                <w:color w:val="auto"/>
              </w:rPr>
            </w:pPr>
            <w:r>
              <w:rPr>
                <w:rFonts w:ascii="Arial" w:cs="Arial" w:eastAsia="Arial" w:hAnsi="Arial"/>
                <w:sz w:val="18"/>
                <w:szCs w:val="18"/>
                <w:color w:val="auto"/>
              </w:rPr>
              <w:t>Dated: August 19, 2021</w:t>
            </w:r>
          </w:p>
        </w:tc>
        <w:tc>
          <w:tcPr>
            <w:tcW w:w="7560" w:type="dxa"/>
            <w:vAlign w:val="bottom"/>
            <w:gridSpan w:val="2"/>
          </w:tcPr>
          <w:p>
            <w:pPr>
              <w:ind w:left="1960"/>
              <w:spacing w:after="0"/>
              <w:rPr>
                <w:sz w:val="20"/>
                <w:szCs w:val="20"/>
                <w:color w:val="auto"/>
              </w:rPr>
            </w:pPr>
            <w:r>
              <w:rPr>
                <w:rFonts w:ascii="Arial" w:cs="Arial" w:eastAsia="Arial" w:hAnsi="Arial"/>
                <w:sz w:val="18"/>
                <w:szCs w:val="18"/>
                <w:color w:val="auto"/>
              </w:rPr>
              <w:t>By: /s/ Anthony Kim</w:t>
            </w:r>
          </w:p>
        </w:tc>
      </w:tr>
      <w:tr>
        <w:trPr>
          <w:trHeight w:val="195"/>
        </w:trPr>
        <w:tc>
          <w:tcPr>
            <w:tcW w:w="36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Anthony Kim</w:t>
            </w:r>
          </w:p>
        </w:tc>
      </w:tr>
      <w:tr>
        <w:trPr>
          <w:trHeight w:val="230"/>
        </w:trPr>
        <w:tc>
          <w:tcPr>
            <w:tcW w:w="36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r>
        <w:trPr>
          <w:trHeight w:val="675"/>
        </w:trPr>
        <w:tc>
          <w:tcPr>
            <w:tcW w:w="36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2023110" cy="591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2311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Awarded $13.1 Million Grant from the Cancer Prevention and Research Institute of Texas</w:t>
      </w:r>
    </w:p>
    <w:p>
      <w:pPr>
        <w:spacing w:after="0" w:line="225" w:lineRule="exact"/>
        <w:rPr>
          <w:sz w:val="20"/>
          <w:szCs w:val="20"/>
          <w:color w:val="auto"/>
        </w:rPr>
      </w:pPr>
    </w:p>
    <w:p>
      <w:pPr>
        <w:ind w:right="120"/>
        <w:spacing w:after="0" w:line="303" w:lineRule="auto"/>
        <w:rPr>
          <w:sz w:val="20"/>
          <w:szCs w:val="20"/>
          <w:color w:val="auto"/>
        </w:rPr>
      </w:pPr>
      <w:r>
        <w:rPr>
          <w:rFonts w:ascii="Arial" w:cs="Arial" w:eastAsia="Arial" w:hAnsi="Arial"/>
          <w:sz w:val="16"/>
          <w:szCs w:val="16"/>
          <w:b w:val="1"/>
          <w:bCs w:val="1"/>
          <w:color w:val="auto"/>
        </w:rPr>
        <w:t>Houston, TX—August 19, 2021—</w:t>
      </w:r>
      <w:r>
        <w:rPr>
          <w:rFonts w:ascii="Arial" w:cs="Arial" w:eastAsia="Arial" w:hAnsi="Arial"/>
          <w:sz w:val="16"/>
          <w:szCs w:val="16"/>
          <w:color w:val="auto"/>
        </w:rPr>
        <w:t>Marker Therapeutics, Inc. (Nasdaq:MRKR), a clinical-stage immuno-oncology company specializing in the</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of next-generation T cell-based immunotherapies for the treatment of hematological malignancies and solid tumor indications, today announced that the Company received notice of a Product Development Research award totaling approximately $13.1 million from the Cancer Prevention and Research Institute of Texas (CPRIT) to support the Company’s Phase 2 clinical trial of its lead MultiTAA-specific T cell product MT-401.</w:t>
      </w:r>
    </w:p>
    <w:p>
      <w:pPr>
        <w:spacing w:after="0" w:line="155"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CPRIT award is intended to support the adjuvant arm of the Company’s Phase 2 clinical trial evaluating MT-401 when given as an adjuvant therapy to patients with acute myeloid leukemia (AML) following a hematopoietic stem cell transplant. The primary objectives of the adjuvant arm of the trial are to evaluate relapse-free survival after MT-401 treatment when compared with a randomized control group.</w:t>
      </w:r>
    </w:p>
    <w:p>
      <w:pPr>
        <w:spacing w:after="0" w:line="184"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"We are honored to have been approved by CPRIT for this award which provides additional capital to support the clinical development of MT-401 and external validation of our technology from experts in the field who conducted business and scientific diligence on behalf of CPRIT,” said Peter L. Hoang, President &amp; CEO of Marker Therapeutics. “Our MultiTAA-specific T cell therapy approach has shown encouraging results in post-transplant AML in clinical studies, and we are pleased to advance the clinical development of MT-401 in our Phase 2 trial.”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Cancer Prevention and Research Institute of Texas</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To date, CPRIT has awarded $2.9 billion in grants to Texas research institutions and organizations through its academic research, prevention and product development research programs. CPRIT has recruited 237 distinguished researchers, supported the establishment, expansion or relocation of 43 companies to Texas and generated over $5.7 billion in additional public and private investment. CPRIT funding has advanced scientific and clinical knowledge and provided 7.4 million life-saving cancer prevention and early detection services reaching Texans from all 254 counties. On November 5, 2019, Texas voters overwhelmingly approved a constitutional amendment to provide an additional $3 billion to CPRIT for a total $6 billion investment in cancer research and prevention.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Marker's Phase 2 AML Post-Transplant Study</w:t>
      </w:r>
    </w:p>
    <w:p>
      <w:pPr>
        <w:spacing w:after="0" w:line="229"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 multicenter Phase 2 AML study is evaluating the clinical efficacy of MT-401 in patients with AML following an allogeneic stem-cell transplant in both the adjuvant and active disease setting. In the adjuvant setting, approximately 120 patients will be randomized 1:1 to either MT-401 at 90 days post-transplant versus standard-of-care observation, while approximately 40 patients with active disease will receive MT-401 as part of the single-arm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ind w:right="140"/>
        <w:spacing w:after="0" w:line="259" w:lineRule="auto"/>
        <w:rPr>
          <w:sz w:val="20"/>
          <w:szCs w:val="20"/>
          <w:color w:val="auto"/>
        </w:rPr>
      </w:pPr>
      <w:r>
        <w:rPr>
          <w:rFonts w:ascii="Arial" w:cs="Arial" w:eastAsia="Arial" w:hAnsi="Arial"/>
          <w:sz w:val="18"/>
          <w:szCs w:val="18"/>
          <w:color w:val="auto"/>
        </w:rPr>
        <w:t>The primary objectives of the trial are to evaluate relapse-free survival in the adjuvant group and determine the complete remission rate and duration of complete remission in active disease patients. Additional objectives include, for the adjuvant group, overall survival and graft-versus-host disease relapse-free survival while additional objectives for the active disease group include overall response rate, duration of response, progression-free survival and overall survival.</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In April 2020, the FDA granted Orphan Drug designation to MT-401 for the treatment of patients with AML following allogeneic stem cell transplant.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Marker Therapeutics, Inc.</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Marker Therapeutics, Inc. is a clinical-stage immuno-oncology company specializing in the development of next-generation T cell-based immunotherapies for the treatment of hematological malignancies and solid tumor indications. Marker’s cell therapy technology is based on the selective expansion of non-engineered, tumor-specific T cells that recognize tumor associated antigens (i.e. tumor targets) and kill tumor cells expressing those targets. This population of T cells is designed to attack multiple tumor targets following infusion into patients and to activate the patient’s immune system to produce broad spectrum anti-tumor activity. Because Marker does not genetically engineer its T cell therapies, we believe that our product candidates will be easier and less expensive to manufacture, with reduced toxicities, compared to current engineered CAR-T and TCR-based approaches, and may provide patients with meaningful clinical benefit. As a result, Marker believes its portfolio of T cell therapies has a compelling product profile, as compared to current gene-modified CAR-T and TCR-based therapies.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To receive future press releases via email, please visit: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https://www.markertherapeutics.com/email-alerts</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multi-tumor antigen specific T cell therapies; the effectiveness of these programs or the possible range of application and potential curative effects and safety in the treatment of diseases; the timing, conduct and success of our clinical trials, including the Phase 2 trial of MT-401;and our use of our cash and cash equivalents, future operating expenses and capital expenditure requirements.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www.sec.gov. Such risks and uncertainties may be amplified by the COVID-19 pandemic and its impact on our business and the global economy. The Company assumes no obligation to update our forward-looking statements whether as a result of new information, future events or otherwise, after the date of this press release.</w:t>
      </w:r>
    </w:p>
    <w:p>
      <w:pPr>
        <w:spacing w:after="0" w:line="3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Solebury Trout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Xuan Yang</w:t>
      </w:r>
    </w:p>
    <w:p>
      <w:pPr>
        <w:spacing w:after="0" w:line="9" w:lineRule="exact"/>
        <w:rPr>
          <w:sz w:val="20"/>
          <w:szCs w:val="20"/>
          <w:color w:val="auto"/>
        </w:rPr>
      </w:pPr>
    </w:p>
    <w:p>
      <w:pPr>
        <w:ind w:right="932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378-2975 xyang@soleburytrout.com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Solebury Trout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Amy Bonanno</w:t>
      </w:r>
    </w:p>
    <w:p>
      <w:pPr>
        <w:spacing w:after="0" w:line="9" w:lineRule="exact"/>
        <w:rPr>
          <w:sz w:val="20"/>
          <w:szCs w:val="20"/>
          <w:color w:val="auto"/>
        </w:rPr>
      </w:pPr>
    </w:p>
    <w:p>
      <w:pPr>
        <w:ind w:right="9060" w:firstLine="8"/>
        <w:spacing w:after="0" w:line="323" w:lineRule="auto"/>
        <w:tabs>
          <w:tab w:leader="none" w:pos="435" w:val="left"/>
        </w:tabs>
        <w:numPr>
          <w:ilvl w:val="0"/>
          <w:numId w:val="3"/>
        </w:numPr>
        <w:rPr>
          <w:rFonts w:ascii="Arial" w:cs="Arial" w:eastAsia="Arial" w:hAnsi="Arial"/>
          <w:sz w:val="16"/>
          <w:szCs w:val="16"/>
          <w:color w:val="auto"/>
        </w:rPr>
      </w:pPr>
      <w:r>
        <w:rPr>
          <w:rFonts w:ascii="Arial" w:cs="Arial" w:eastAsia="Arial" w:hAnsi="Arial"/>
          <w:sz w:val="16"/>
          <w:szCs w:val="16"/>
          <w:color w:val="auto"/>
        </w:rPr>
        <w:t>450-0349 abonanno@soleburytrout.com</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646"/>
    </w:lvl>
  </w:abstractNum>
  <w:abstractNum w:abstractNumId="2">
    <w:nsid w:val="19495CFF"/>
    <w:multiLevelType w:val="hybridMultilevel"/>
    <w:lvl w:ilvl="0">
      <w:lvlJc w:val="left"/>
      <w:lvlText w:val="(%1)"/>
      <w:numFmt w:val="decimal"/>
      <w:start w:val="91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2021-08-19T15:14:17Z</dcterms:created>
  <dcterms:modified xsi:type="dcterms:W3CDTF">2021-08-19T15:14:17Z</dcterms:modified>
</cp:coreProperties>
</file>