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August 11,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3200 Southwest Freeway</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40" w:type="dxa"/>
            <w:vAlign w:val="bottom"/>
            <w:gridSpan w:val="4"/>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Suite 2500</w:t>
            </w: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8"/>
        </w:trPr>
        <w:tc>
          <w:tcPr>
            <w:tcW w:w="1000" w:type="dxa"/>
            <w:vAlign w:val="bottom"/>
          </w:tcPr>
          <w:p>
            <w:pPr>
              <w:spacing w:after="0"/>
              <w:rPr>
                <w:sz w:val="17"/>
                <w:szCs w:val="17"/>
                <w:color w:val="auto"/>
              </w:rPr>
            </w:pPr>
          </w:p>
        </w:tc>
        <w:tc>
          <w:tcPr>
            <w:tcW w:w="118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77027</w:t>
            </w:r>
          </w:p>
        </w:tc>
        <w:tc>
          <w:tcPr>
            <w:tcW w:w="800" w:type="dxa"/>
            <w:vAlign w:val="bottom"/>
          </w:tcPr>
          <w:p>
            <w:pPr>
              <w:spacing w:after="0"/>
              <w:rPr>
                <w:sz w:val="17"/>
                <w:szCs w:val="17"/>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Trading</w:t>
            </w:r>
          </w:p>
        </w:tc>
        <w:tc>
          <w:tcPr>
            <w:tcW w:w="430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Symbol(s)</w:t>
            </w:r>
          </w:p>
        </w:tc>
        <w:tc>
          <w:tcPr>
            <w:tcW w:w="4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MRKR</w:t>
            </w:r>
          </w:p>
        </w:tc>
        <w:tc>
          <w:tcPr>
            <w:tcW w:w="4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On August 11, 2022,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reported financial results for the quarter ended June 30, 2022 and other recent corporate updates. A copy of the press release is furnished as Exhibit 99.1 to this report and incorporated by reference.</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240" w:type="dxa"/>
            <w:vAlign w:val="bottom"/>
          </w:tcPr>
          <w:p>
            <w:pPr>
              <w:spacing w:after="0"/>
              <w:rPr>
                <w:sz w:val="20"/>
                <w:szCs w:val="20"/>
                <w:color w:val="auto"/>
              </w:rPr>
            </w:pPr>
          </w:p>
        </w:tc>
      </w:tr>
      <w:tr>
        <w:trPr>
          <w:trHeight w:val="391"/>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August 11, 2022</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11, 2022</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Anthony Kim</w:t>
            </w:r>
          </w:p>
        </w:tc>
      </w:tr>
      <w:tr>
        <w:trPr>
          <w:trHeight w:val="189"/>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80" w:type="dxa"/>
            <w:vAlign w:val="bottom"/>
            <w:tcBorders>
              <w:top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Anthony Kim</w:t>
            </w:r>
          </w:p>
        </w:tc>
      </w:tr>
      <w:tr>
        <w:trPr>
          <w:trHeight w:val="236"/>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75"/>
        </w:trPr>
        <w:tc>
          <w:tcPr>
            <w:tcW w:w="3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204025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02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Marker Therapeutics Reports Q2 2022 Operating and Financial Results</w:t>
      </w:r>
    </w:p>
    <w:p>
      <w:pPr>
        <w:spacing w:after="0" w:line="21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Houston, TX— August 11, 2022—</w:t>
      </w:r>
      <w:r>
        <w:rPr>
          <w:rFonts w:ascii="Times New Roman" w:cs="Times New Roman" w:eastAsia="Times New Roman" w:hAnsi="Times New Roman"/>
          <w:sz w:val="18"/>
          <w:szCs w:val="18"/>
          <w:color w:val="auto"/>
        </w:rPr>
        <w:t>Marker Therapeutics, Inc. (Nasdaq: MRKR), a clinical-stage immuno-oncology company specializing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next-generation T cell-based immunotherapies for the treatment of hematological malignancies and solid tumor indications, today provided a corporate update and reported financial results for the second quarter ended June 30, 2022.</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proud of our progress this year in advancing our Company-sponsored clinical program in AML, and early results support the ability of MT-401, a multiTAA-specific T cell product, to drive results for patients with AML,” said Peter L. Hoang, Marker’s President and Chief Executive Officer. “This quarter, we continued to dose patients in the Phase 2 AML study, and we expect to provide a topline readout of active disease patients in Q3 2022. The recent $8 million upfront cash payment to Marker by Wilson Wolf has aided the efficient execution of Marker’s programs.”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Mr. Hoang continued: “In addition, we recently announced that FDA cleared our IND investigating the safety and efficacy of MT-601 in patients with relapsed/refractory lymphoma, and that we are on track to file another IND by year-end to investigate the safety and efficacy of MT-601 in patients with pancreatic cancer, which has already received FDA Orphan Drug Designation. We anticipate dosing the first patients in these trials, in addition to dosing patients in our off-the-shelf therapy for AML, next year.”</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very optimistic about the ability of MT-401 to drive results for patients with measurable residual disease given the results we have seen to date in the ARTEMIS study,” said Dr. Mythili Koneru, Marker’s Chief Medical Officer. “Of note, we were very pleased to note that the second patient we treated with MRD+ disease was found to be MRD- by that patient’s week 8 follow-up. The ability to administer MT-401 without the need for lymphodepletion, coupled with our improved accelerated manufacturing process, enable us to treat patients who have MRD+ disease. We believe that the results observed to date support the notion that patients with AML would have meaningful benefit from a multi-antigen targeted T cell therapy approach.”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 AND EXPECTED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Acute Myeloid Leukemia (MT-401)</w:t>
      </w:r>
    </w:p>
    <w:p>
      <w:pPr>
        <w:spacing w:after="0" w:line="229" w:lineRule="exact"/>
        <w:rPr>
          <w:sz w:val="20"/>
          <w:szCs w:val="20"/>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has enrolled 13 evaluable patients in total, including 6 in the Safety Lead-in cohorts.</w:t>
      </w:r>
    </w:p>
    <w:p>
      <w:pPr>
        <w:spacing w:after="0" w:line="27" w:lineRule="exact"/>
        <w:rPr>
          <w:rFonts w:ascii="Times New Roman" w:cs="Times New Roman" w:eastAsia="Times New Roman" w:hAnsi="Times New Roman"/>
          <w:sz w:val="18"/>
          <w:szCs w:val="18"/>
          <w:color w:val="auto"/>
        </w:rPr>
      </w:pPr>
    </w:p>
    <w:p>
      <w:pPr>
        <w:ind w:left="540" w:right="42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patients have been treated with MT-401 manufactured by a revised process and have completed dose-limiting toxicity (DLT) periods with no DLTs reported.</w:t>
      </w: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MRD+ patient was treated and became MRD- at 8 weeks after the first infusion.</w:t>
      </w:r>
    </w:p>
    <w:p>
      <w:pPr>
        <w:spacing w:after="0" w:line="9" w:lineRule="exact"/>
        <w:rPr>
          <w:rFonts w:ascii="Times New Roman" w:cs="Times New Roman" w:eastAsia="Times New Roman" w:hAnsi="Times New Roman"/>
          <w:sz w:val="18"/>
          <w:szCs w:val="18"/>
          <w:color w:val="auto"/>
        </w:rPr>
      </w:pPr>
    </w:p>
    <w:p>
      <w:pPr>
        <w:ind w:left="540" w:right="160" w:hanging="262"/>
        <w:spacing w:after="0" w:line="26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remains on track to dose the first patient in 2023 with MT-401-OTS, a scalable, off-the-shelf product candidate with the potential to match patients to treatment in under three days. The Company is in the process of developing a patient cell bank inventory.</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Lymphoma (MT-601)</w:t>
      </w:r>
    </w:p>
    <w:p>
      <w:pPr>
        <w:spacing w:after="0" w:line="229" w:lineRule="exact"/>
        <w:rPr>
          <w:sz w:val="20"/>
          <w:szCs w:val="20"/>
          <w:color w:val="auto"/>
        </w:rPr>
      </w:pPr>
    </w:p>
    <w:p>
      <w:pPr>
        <w:ind w:left="660" w:right="32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4, 2022, Marker announced that the U.S. Food and Drug Administration (FDA) cleared the Company's Investigational New Drug (IND) application for MT-601, a multi-tumor-associated antigen (multiTAA)-specific T cell product targeting six antigens, for the treatment of patients with relapsed/refractory non-Hodgkin lymphoma who have failed or are ineligible to receive anti-CD19 CAR T cell treatment.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expects to initiate a Phase 1 trial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Pancreatic Cancer (MT-601)</w:t>
      </w:r>
    </w:p>
    <w:p>
      <w:pPr>
        <w:spacing w:after="0" w:line="229" w:lineRule="exact"/>
        <w:rPr>
          <w:sz w:val="20"/>
          <w:szCs w:val="20"/>
          <w:color w:val="auto"/>
        </w:rPr>
      </w:pPr>
    </w:p>
    <w:p>
      <w:pPr>
        <w:ind w:left="540" w:hanging="26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is on track to file an IND for MT-601 for the treatment of pancreatic cancer in 2022.</w:t>
      </w:r>
    </w:p>
    <w:p>
      <w:pPr>
        <w:spacing w:after="0" w:line="27" w:lineRule="exact"/>
        <w:rPr>
          <w:rFonts w:ascii="Times New Roman" w:cs="Times New Roman" w:eastAsia="Times New Roman" w:hAnsi="Times New Roman"/>
          <w:sz w:val="18"/>
          <w:szCs w:val="18"/>
          <w:color w:val="auto"/>
        </w:rPr>
      </w:pPr>
    </w:p>
    <w:p>
      <w:pPr>
        <w:ind w:left="540" w:right="120" w:hanging="262"/>
        <w:spacing w:after="0" w:line="26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initiate a Phase 1 multicenter study of MT-601 administered in combination with front-line chemotherapy to patients with locally advanced unresectable or metastatic pancreatic cancer in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FINANCIAL RESULTS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 and Guidance</w:t>
      </w:r>
      <w:r>
        <w:rPr>
          <w:rFonts w:ascii="Times New Roman" w:cs="Times New Roman" w:eastAsia="Times New Roman" w:hAnsi="Times New Roman"/>
          <w:sz w:val="18"/>
          <w:szCs w:val="18"/>
          <w:color w:val="auto"/>
        </w:rPr>
        <w:t>: At June 30, 2022, Marker had cash and cash equivalents of $25.8 million.</w:t>
      </w:r>
    </w:p>
    <w:p>
      <w:pPr>
        <w:spacing w:after="0" w:line="31"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$6.6 million for the quarter ended June 30, 2022, compared to $7.4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June 30, 2021.</w:t>
      </w:r>
    </w:p>
    <w:p>
      <w:pPr>
        <w:ind w:left="660" w:right="3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$3.5 million for the quarter ended June 30, 2022, compared to $3.6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June 30, 2021.</w:t>
      </w:r>
    </w:p>
    <w:p>
      <w:pPr>
        <w:ind w:left="660" w:right="22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Marker reported a net loss of $9.2 million for the quarter ended June 30, 2022, compared to a net loss of $10.9 million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Restructuring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10, 2022, the Company implemented changes to the Company's organizational structure as part of an operational cost reduction plan to conserve the Company's available capital. In connection with these changes, the Company reduced headcount in its general and administrative function by approximately 23.5%, including the separation of the Company's Chief Financial Officer. The Company estimates that the severance and termination-related costs will total approximately $0.7 million and will be recorded in the third quarter of 2022. The Company expects that the payment of these costs will be substantially complete in September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future press releases via email, please visit: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our ability to use our manufacturing facilities to support clinical and commercial demand;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3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25,821,708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42,351,145</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1,146,186</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2,826,699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2,484,634</w:t>
            </w:r>
          </w:p>
        </w:tc>
      </w:tr>
      <w:tr>
        <w:trPr>
          <w:trHeight w:val="230"/>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627,629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r>
      <w:tr>
        <w:trPr>
          <w:trHeight w:val="209"/>
        </w:trPr>
        <w:tc>
          <w:tcPr>
            <w:tcW w:w="83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29,276,036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45,982,202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13,740,158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10,096,861</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2,225,610</w:t>
            </w:r>
          </w:p>
        </w:tc>
      </w:tr>
      <w:tr>
        <w:trPr>
          <w:trHeight w:val="229"/>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9,303,544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9,830,461</w:t>
            </w:r>
          </w:p>
        </w:tc>
      </w:tr>
      <w:tr>
        <w:trPr>
          <w:trHeight w:val="210"/>
        </w:trPr>
        <w:tc>
          <w:tcPr>
            <w:tcW w:w="8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23,043,702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22,152,932</w:t>
            </w:r>
          </w:p>
        </w:tc>
        <w:tc>
          <w:tcPr>
            <w:tcW w:w="100" w:type="dxa"/>
            <w:vAlign w:val="bottom"/>
            <w:tcBorders>
              <w:bottom w:val="single" w:sz="8" w:color="CCEEFF"/>
            </w:tcBorders>
          </w:tcPr>
          <w:p>
            <w:pPr>
              <w:spacing w:after="0"/>
              <w:rPr>
                <w:sz w:val="18"/>
                <w:szCs w:val="18"/>
                <w:color w:val="auto"/>
              </w:rPr>
            </w:pPr>
          </w:p>
        </w:tc>
      </w:tr>
      <w:tr>
        <w:trPr>
          <w:trHeight w:val="209"/>
        </w:trPr>
        <w:tc>
          <w:tcPr>
            <w:tcW w:w="8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52,319,738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68,135,134</w:t>
            </w:r>
          </w:p>
        </w:tc>
      </w:tr>
      <w:tr>
        <w:trPr>
          <w:trHeight w:val="196"/>
        </w:trPr>
        <w:tc>
          <w:tcPr>
            <w:tcW w:w="8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4,735,251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11,134,913</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deferred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738,389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620,490</w:t>
            </w:r>
          </w:p>
        </w:tc>
      </w:tr>
      <w:tr>
        <w:trPr>
          <w:trHeight w:val="229"/>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1,146,186</w:t>
            </w:r>
          </w:p>
        </w:tc>
      </w:tr>
      <w:tr>
        <w:trPr>
          <w:trHeight w:val="210"/>
        </w:trPr>
        <w:tc>
          <w:tcPr>
            <w:tcW w:w="8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13,473,640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12,901,589</w:t>
            </w:r>
          </w:p>
        </w:tc>
        <w:tc>
          <w:tcPr>
            <w:tcW w:w="100" w:type="dxa"/>
            <w:vAlign w:val="bottom"/>
            <w:tcBorders>
              <w:bottom w:val="single" w:sz="8" w:color="CCEEFF"/>
            </w:tcBorders>
          </w:tcPr>
          <w:p>
            <w:pPr>
              <w:spacing w:after="0"/>
              <w:rPr>
                <w:sz w:val="18"/>
                <w:szCs w:val="18"/>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10,819,825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11,247,950</w:t>
            </w:r>
          </w:p>
        </w:tc>
      </w:tr>
      <w:tr>
        <w:trPr>
          <w:trHeight w:val="209"/>
        </w:trPr>
        <w:tc>
          <w:tcPr>
            <w:tcW w:w="83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10,819,825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24,293,465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24,149,539</w:t>
            </w:r>
          </w:p>
        </w:tc>
      </w:tr>
      <w:tr>
        <w:trPr>
          <w:trHeight w:val="210"/>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 $0.001 par value, 5 million shares authorized and 0 shares issued and outstanding at June 30,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 million and 150 million shares authorized, 83.6 million and 83.1 million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June 30, 2022 and December 31, 2021, respectively</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83,599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83,079</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445,215,725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442,020,871</w:t>
            </w:r>
          </w:p>
        </w:tc>
      </w:tr>
      <w:tr>
        <w:trPr>
          <w:trHeight w:val="230"/>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(417,273,051)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(398,118,355)</w:t>
            </w:r>
          </w:p>
        </w:tc>
      </w:tr>
      <w:tr>
        <w:trPr>
          <w:trHeight w:val="20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28,026,273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43,985,595</w:t>
            </w:r>
          </w:p>
        </w:tc>
        <w:tc>
          <w:tcPr>
            <w:tcW w:w="100" w:type="dxa"/>
            <w:vAlign w:val="bottom"/>
            <w:tcBorders>
              <w:bottom w:val="single" w:sz="8" w:color="CCEEFF"/>
            </w:tcBorders>
          </w:tcPr>
          <w:p>
            <w:pPr>
              <w:spacing w:after="0"/>
              <w:rPr>
                <w:sz w:val="18"/>
                <w:szCs w:val="18"/>
                <w:color w:val="auto"/>
              </w:rPr>
            </w:pPr>
          </w:p>
        </w:tc>
      </w:tr>
      <w:tr>
        <w:trPr>
          <w:trHeight w:val="210"/>
        </w:trPr>
        <w:tc>
          <w:tcPr>
            <w:tcW w:w="8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52,319,738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68,135,134</w:t>
            </w:r>
          </w:p>
        </w:tc>
      </w:tr>
      <w:tr>
        <w:trPr>
          <w:trHeight w:val="641"/>
        </w:trPr>
        <w:tc>
          <w:tcPr>
            <w:tcW w:w="8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w:t>
            </w: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Arbitration settlement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1"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296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790,508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1,754,830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790,508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1,754,830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6,555,299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7,350,035</w:t>
            </w:r>
          </w:p>
        </w:tc>
        <w:tc>
          <w:tcPr>
            <w:tcW w:w="2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13,581,365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12,993,064</w:t>
            </w:r>
          </w:p>
        </w:tc>
        <w:tc>
          <w:tcPr>
            <w:tcW w:w="4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3,515,183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3,559,150</w:t>
            </w: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7,248,184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6,697,108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10,909,185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20,829,549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19,690,172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(9,279,974)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(10,909,185)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(19,074,719)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(19,690,172)</w:t>
            </w:r>
          </w:p>
        </w:tc>
        <w:tc>
          <w:tcPr>
            <w:tcW w:w="40" w:type="dxa"/>
            <w:vAlign w:val="bottom"/>
          </w:tcPr>
          <w:p>
            <w:pPr>
              <w:spacing w:after="0"/>
              <w:rPr>
                <w:sz w:val="19"/>
                <w:szCs w:val="19"/>
                <w:color w:val="auto"/>
              </w:rPr>
            </w:pPr>
          </w:p>
        </w:tc>
      </w:tr>
      <w:tr>
        <w:trPr>
          <w:trHeight w:val="409"/>
        </w:trPr>
        <w:tc>
          <w:tcPr>
            <w:tcW w:w="18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(118,880)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2,403</w:t>
            </w: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38,903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-1576705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-1285240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-993775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-710565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-419100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-144780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60" w:space="720"/>
            <w:col w:w="756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63"/>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(9,244,188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(10,906,782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(19,154,696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(19,686,232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5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151"/>
        </w:trPr>
        <w:tc>
          <w:tcPr>
            <w:tcW w:w="52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number of common shares outstanding, basic and</w:t>
            </w: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83,592,043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83,030,470</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83,351,184</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69,823,729</w:t>
            </w:r>
          </w:p>
        </w:tc>
        <w:tc>
          <w:tcPr>
            <w:tcW w:w="100" w:type="dxa"/>
            <w:vAlign w:val="bottom"/>
            <w:shd w:val="clear" w:color="auto" w:fill="CCEEFF"/>
          </w:tcPr>
          <w:p>
            <w:pPr>
              <w:spacing w:after="0"/>
              <w:rPr>
                <w:sz w:val="22"/>
                <w:szCs w:val="22"/>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9"/>
        </w:trPr>
        <w:tc>
          <w:tcPr>
            <w:tcW w:w="5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0"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6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(19,154,696)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(19,686,232)</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1,156,113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1,032,971</w:t>
            </w:r>
          </w:p>
        </w:tc>
      </w:tr>
      <w:tr>
        <w:trPr>
          <w:trHeight w:val="216"/>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3,131,801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3,029,125</w:t>
            </w: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on right-of-use assets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517,059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504,232</w:t>
            </w:r>
          </w:p>
        </w:tc>
      </w:tr>
      <w:tr>
        <w:trPr>
          <w:trHeight w:val="216"/>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(342,065)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(743,876)</w:t>
            </w:r>
          </w:p>
        </w:tc>
      </w:tr>
      <w:tr>
        <w:trPr>
          <w:trHeight w:val="216"/>
        </w:trPr>
        <w:tc>
          <w:tcPr>
            <w:tcW w:w="6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(627,392)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1,000,273</w:t>
            </w:r>
          </w:p>
        </w:tc>
      </w:tr>
      <w:tr>
        <w:trPr>
          <w:trHeight w:val="216"/>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(4,255,034)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108,230</w:t>
            </w:r>
          </w:p>
        </w:tc>
      </w:tr>
      <w:tr>
        <w:trPr>
          <w:trHeight w:val="216"/>
        </w:trPr>
        <w:tc>
          <w:tcPr>
            <w:tcW w:w="6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Related party deferred revenue</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8,000,000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(1,146,186)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liability</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(300,368)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(130,503)</w:t>
            </w:r>
          </w:p>
        </w:tc>
      </w:tr>
      <w:tr>
        <w:trPr>
          <w:trHeight w:val="209"/>
        </w:trPr>
        <w:tc>
          <w:tcPr>
            <w:tcW w:w="6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(13,020,768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(14,885,780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(1,229,298)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(842,048)</w:t>
            </w:r>
          </w:p>
        </w:tc>
      </w:tr>
      <w:tr>
        <w:trPr>
          <w:trHeight w:val="22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construction in progress</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(3,489,130)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(958,965)</w:t>
            </w:r>
          </w:p>
        </w:tc>
      </w:tr>
      <w:tr>
        <w:trPr>
          <w:trHeight w:val="209"/>
        </w:trPr>
        <w:tc>
          <w:tcPr>
            <w:tcW w:w="67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(4,718,428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(1,801,013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63,573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52,552,758</w:t>
            </w:r>
          </w:p>
        </w:tc>
      </w:tr>
      <w:tr>
        <w:trPr>
          <w:trHeight w:val="230"/>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3,087</w:t>
            </w:r>
          </w:p>
        </w:tc>
      </w:tr>
      <w:tr>
        <w:trPr>
          <w:trHeight w:val="209"/>
        </w:trPr>
        <w:tc>
          <w:tcPr>
            <w:tcW w:w="67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52,555,845</w:t>
            </w:r>
          </w:p>
        </w:tc>
        <w:tc>
          <w:tcPr>
            <w:tcW w:w="100" w:type="dxa"/>
            <w:vAlign w:val="bottom"/>
            <w:tcBorders>
              <w:bottom w:val="single" w:sz="8" w:color="CCEEFF"/>
            </w:tcBorders>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equivlants and restricted cash</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35,869,052</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43,497,331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21,352,382</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16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25,821,708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57,221,434</w:t>
            </w:r>
          </w:p>
        </w:tc>
        <w:tc>
          <w:tcPr>
            <w:tcW w:w="100" w:type="dxa"/>
            <w:vAlign w:val="bottom"/>
          </w:tcPr>
          <w:p>
            <w:pPr>
              <w:spacing w:after="0"/>
              <w:rPr>
                <w:sz w:val="18"/>
                <w:szCs w:val="18"/>
                <w:color w:val="auto"/>
              </w:rPr>
            </w:pPr>
          </w:p>
        </w:tc>
      </w:tr>
      <w:tr>
        <w:trPr>
          <w:trHeight w:val="641"/>
        </w:trPr>
        <w:tc>
          <w:tcPr>
            <w:tcW w:w="6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Investors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Marker Therapeutics: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President/Head of Investor Relations, PR &amp; Marketing</w:t>
      </w:r>
    </w:p>
    <w:p>
      <w:pPr>
        <w:spacing w:after="0" w:line="9" w:lineRule="exact"/>
        <w:rPr>
          <w:sz w:val="20"/>
          <w:szCs w:val="20"/>
          <w:color w:val="auto"/>
        </w:rPr>
      </w:pPr>
    </w:p>
    <w:p>
      <w:pPr>
        <w:ind w:right="8020" w:firstLine="8"/>
        <w:spacing w:after="0" w:line="260"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400-6451 </w:t>
      </w:r>
      <w:r>
        <w:rPr>
          <w:rFonts w:ascii="Times New Roman" w:cs="Times New Roman" w:eastAsia="Times New Roman" w:hAnsi="Times New Roman"/>
          <w:sz w:val="18"/>
          <w:szCs w:val="18"/>
          <w:u w:val="single" w:color="auto"/>
          <w:color w:val="auto"/>
        </w:rPr>
        <w:t>Investor.Relations@markertherapeutics.com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Solebury Trout: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Bonanno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Abonanno@soleburytrout.com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71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2022-08-12T00:14:23Z</dcterms:created>
  <dcterms:modified xsi:type="dcterms:W3CDTF">2022-08-12T00:14:23Z</dcterms:modified>
</cp:coreProperties>
</file>