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61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619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Garrett Gerald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Marker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MRKR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97"/>
        <w:spacing w:after="0" w:line="269" w:lineRule="auto"/>
        <w:rPr>
          <w:sz w:val="20"/>
          <w:szCs w:val="20"/>
          <w:color w:val="auto"/>
        </w:rPr>
      </w:pPr>
      <w:r>
        <w:rPr>
          <w:rFonts w:ascii="Arial" w:cs="Arial" w:eastAsia="Arial" w:hAnsi="Arial"/>
          <w:sz w:val="20"/>
          <w:szCs w:val="20"/>
          <w:color w:val="0000FF"/>
        </w:rPr>
        <w:t>C/O MARKER THERAPEUTICS, INC.</w:t>
      </w:r>
    </w:p>
    <w:p>
      <w:pPr>
        <w:spacing w:after="0" w:line="25" w:lineRule="exact"/>
        <w:rPr>
          <w:sz w:val="24"/>
          <w:szCs w:val="24"/>
          <w:color w:val="auto"/>
        </w:rPr>
      </w:pPr>
    </w:p>
    <w:p>
      <w:pPr>
        <w:ind w:left="140" w:right="1537"/>
        <w:spacing w:after="0" w:line="269" w:lineRule="auto"/>
        <w:rPr>
          <w:sz w:val="20"/>
          <w:szCs w:val="20"/>
          <w:color w:val="auto"/>
        </w:rPr>
      </w:pPr>
      <w:r>
        <w:rPr>
          <w:rFonts w:ascii="Arial" w:cs="Arial" w:eastAsia="Arial" w:hAnsi="Arial"/>
          <w:sz w:val="20"/>
          <w:szCs w:val="20"/>
          <w:color w:val="0000FF"/>
        </w:rPr>
        <w:t>3200 SOUTHWEST FREEWAY, SUITE 2240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HOUSTON TX</w:t>
            </w:r>
          </w:p>
        </w:tc>
        <w:tc>
          <w:tcPr>
            <w:tcW w:w="880" w:type="dxa"/>
            <w:vAlign w:val="bottom"/>
          </w:tcPr>
          <w:p>
            <w:pPr>
              <w:jc w:val="right"/>
              <w:spacing w:after="0"/>
              <w:rPr>
                <w:sz w:val="20"/>
                <w:szCs w:val="20"/>
                <w:color w:val="auto"/>
              </w:rPr>
            </w:pPr>
            <w:r>
              <w:rPr>
                <w:rFonts w:ascii="Arial" w:cs="Arial" w:eastAsia="Arial" w:hAnsi="Arial"/>
                <w:sz w:val="20"/>
                <w:szCs w:val="20"/>
                <w:color w:val="0000FF"/>
              </w:rPr>
              <w:t>77027</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423"/>
        <w:spacing w:after="0"/>
        <w:rPr>
          <w:sz w:val="20"/>
          <w:szCs w:val="20"/>
          <w:color w:val="auto"/>
        </w:rPr>
      </w:pPr>
      <w:r>
        <w:rPr>
          <w:rFonts w:ascii="Arial" w:cs="Arial" w:eastAsia="Arial" w:hAnsi="Arial"/>
          <w:sz w:val="20"/>
          <w:szCs w:val="20"/>
          <w:color w:val="0000FF"/>
        </w:rPr>
        <w:t>Vice President, Clinical Ops.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2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100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01/28/2028</w:t>
            </w:r>
          </w:p>
        </w:tc>
        <w:tc>
          <w:tcPr>
            <w:tcW w:w="172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jc w:val="right"/>
              <w:ind w:right="39"/>
              <w:spacing w:after="0"/>
              <w:rPr>
                <w:sz w:val="20"/>
                <w:szCs w:val="20"/>
                <w:color w:val="auto"/>
              </w:rPr>
            </w:pPr>
            <w:r>
              <w:rPr>
                <w:rFonts w:ascii="Arial" w:cs="Arial" w:eastAsia="Arial" w:hAnsi="Arial"/>
                <w:sz w:val="20"/>
                <w:szCs w:val="20"/>
                <w:color w:val="0000FF"/>
              </w:rPr>
              <w:t>20,000</w:t>
            </w:r>
          </w:p>
        </w:tc>
        <w:tc>
          <w:tcPr>
            <w:tcW w:w="1000" w:type="dxa"/>
            <w:vAlign w:val="bottom"/>
            <w:vMerge w:val="restart"/>
          </w:tcPr>
          <w:p>
            <w:pPr>
              <w:jc w:val="right"/>
              <w:ind w:right="239"/>
              <w:spacing w:after="0"/>
              <w:rPr>
                <w:sz w:val="20"/>
                <w:szCs w:val="20"/>
                <w:color w:val="auto"/>
              </w:rPr>
            </w:pPr>
            <w:r>
              <w:rPr>
                <w:rFonts w:ascii="Arial" w:cs="Arial" w:eastAsia="Arial" w:hAnsi="Arial"/>
                <w:sz w:val="20"/>
                <w:szCs w:val="20"/>
                <w:color w:val="0000FF"/>
              </w:rPr>
              <w:t>3.92</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2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100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12/02/2029</w:t>
            </w:r>
          </w:p>
        </w:tc>
        <w:tc>
          <w:tcPr>
            <w:tcW w:w="172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0000FF"/>
              </w:rPr>
              <w:t>200,000</w:t>
            </w:r>
          </w:p>
        </w:tc>
        <w:tc>
          <w:tcPr>
            <w:tcW w:w="1000" w:type="dxa"/>
            <w:vAlign w:val="bottom"/>
            <w:vMerge w:val="restart"/>
          </w:tcPr>
          <w:p>
            <w:pPr>
              <w:jc w:val="right"/>
              <w:ind w:right="359"/>
              <w:spacing w:after="0"/>
              <w:rPr>
                <w:sz w:val="20"/>
                <w:szCs w:val="20"/>
                <w:color w:val="auto"/>
              </w:rPr>
            </w:pPr>
            <w:r>
              <w:rPr>
                <w:rFonts w:ascii="Arial" w:cs="Arial" w:eastAsia="Arial" w:hAnsi="Arial"/>
                <w:sz w:val="20"/>
                <w:szCs w:val="20"/>
                <w:color w:val="0000FF"/>
              </w:rPr>
              <w:t>3</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Immediately exercisable.</w:t>
      </w:r>
    </w:p>
    <w:p>
      <w:pPr>
        <w:spacing w:after="0" w:line="52" w:lineRule="exact"/>
        <w:rPr>
          <w:rFonts w:ascii="Arial" w:cs="Arial" w:eastAsia="Arial" w:hAnsi="Arial"/>
          <w:sz w:val="15"/>
          <w:szCs w:val="15"/>
          <w:color w:val="008000"/>
        </w:rPr>
      </w:pPr>
    </w:p>
    <w:p>
      <w:pPr>
        <w:ind w:left="40" w:right="1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vests in equal monthly installments over a four year period commencing on January 3, 2020 subject to the continued service by the Reporting Person to the Issuer as of the applicable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1"/>
              </w:rPr>
              <w:t>/s/ Anthony Kim,</w:t>
            </w:r>
          </w:p>
        </w:tc>
        <w:tc>
          <w:tcPr>
            <w:tcW w:w="8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03/12/2020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MARKER THERAPEUTICS, INC.</w:t>
      </w:r>
    </w:p>
    <w:p>
      <w:pPr>
        <w:spacing w:after="0" w:line="238" w:lineRule="auto"/>
        <w:rPr>
          <w:sz w:val="20"/>
          <w:szCs w:val="20"/>
          <w:color w:val="auto"/>
        </w:rPr>
      </w:pPr>
      <w:r>
        <w:rPr>
          <w:rFonts w:ascii="Courier New" w:cs="Courier New" w:eastAsia="Courier New" w:hAnsi="Courier New"/>
          <w:sz w:val="20"/>
          <w:szCs w:val="20"/>
          <w:color w:val="auto"/>
        </w:rPr>
        <w:t>POWER OF ATTORNEY</w:t>
      </w:r>
    </w:p>
    <w:p>
      <w:pPr>
        <w:spacing w:after="0" w:line="238" w:lineRule="auto"/>
        <w:rPr>
          <w:sz w:val="20"/>
          <w:szCs w:val="20"/>
          <w:color w:val="auto"/>
        </w:rPr>
      </w:pPr>
      <w:r>
        <w:rPr>
          <w:rFonts w:ascii="Courier New" w:cs="Courier New" w:eastAsia="Courier New" w:hAnsi="Courier New"/>
          <w:sz w:val="20"/>
          <w:szCs w:val="20"/>
          <w:color w:val="auto"/>
        </w:rPr>
        <w:t>(For Executing Form ID and Forms 3, 4 and 5)</w:t>
      </w:r>
    </w:p>
    <w:p>
      <w:pPr>
        <w:spacing w:after="0" w:line="231" w:lineRule="exact"/>
        <w:rPr>
          <w:sz w:val="20"/>
          <w:szCs w:val="20"/>
          <w:color w:val="auto"/>
        </w:rPr>
      </w:pPr>
    </w:p>
    <w:p>
      <w:pPr>
        <w:ind w:right="130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Divakar Gupta, Darren DeStefano, Madison Jones and Asheley Walker of Cooley LLP and Peter Hoang, Anthony Kim and Michael Loiacono of Marker Therapeutics, Inc. (the "Company"), signing individually, the undersigned's true and lawful attorneys-in-fact and agents to:</w:t>
      </w:r>
    </w:p>
    <w:p>
      <w:pPr>
        <w:spacing w:after="0" w:line="232" w:lineRule="exact"/>
        <w:rPr>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4" w:lineRule="exact"/>
        <w:rPr>
          <w:rFonts w:ascii="Courier New" w:cs="Courier New" w:eastAsia="Courier New" w:hAnsi="Courier New"/>
          <w:sz w:val="20"/>
          <w:szCs w:val="20"/>
          <w:color w:val="auto"/>
        </w:rPr>
      </w:pPr>
    </w:p>
    <w:p>
      <w:pPr>
        <w:ind w:right="164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spacing w:after="0" w:line="4" w:lineRule="exact"/>
        <w:rPr>
          <w:rFonts w:ascii="Courier New" w:cs="Courier New" w:eastAsia="Courier New" w:hAnsi="Courier New"/>
          <w:sz w:val="20"/>
          <w:szCs w:val="20"/>
          <w:color w:val="auto"/>
        </w:rPr>
      </w:pPr>
    </w:p>
    <w:p>
      <w:pPr>
        <w:ind w:right="14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6" w:lineRule="exact"/>
        <w:rPr>
          <w:rFonts w:ascii="Courier New" w:cs="Courier New" w:eastAsia="Courier New" w:hAnsi="Courier New"/>
          <w:sz w:val="20"/>
          <w:szCs w:val="20"/>
          <w:color w:val="auto"/>
        </w:rPr>
      </w:pPr>
    </w:p>
    <w:p>
      <w:pPr>
        <w:ind w:right="2820"/>
        <w:spacing w:after="0" w:line="28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19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1060" w:firstLine="937"/>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40"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w:t>
      </w:r>
    </w:p>
    <w:p>
      <w:pPr>
        <w:spacing w:after="0" w:line="232"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February 21,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 Gerald Garrett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Gerald Garrett</w:t>
      </w:r>
    </w:p>
    <w:sectPr>
      <w:pgSz w:w="11900" w:h="16838" w:orient="portrait"/>
      <w:cols w:equalWidth="0" w:num="1">
        <w:col w:w="10660"/>
      </w:cols>
      <w:pgMar w:left="480" w:top="136" w:right="759" w:bottom="37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04510" TargetMode="External"/><Relationship Id="rId11"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2020-03-12T15:33:29Z</dcterms:created>
  <dcterms:modified xsi:type="dcterms:W3CDTF">2020-03-12T15:33:29Z</dcterms:modified>
</cp:coreProperties>
</file>