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4"/>
          <w:szCs w:val="24"/>
          <w:color w:val="auto"/>
        </w:rPr>
      </w:pPr>
    </w:p>
    <w:p>
      <w:pPr>
        <w:spacing w:after="0" w:line="23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As filed with the Securities and Exchange Commission on August 10, 2021</w:t>
      </w:r>
    </w:p>
    <w:p>
      <w:pPr>
        <w:spacing w:after="0" w:line="43" w:lineRule="exact"/>
        <w:rPr>
          <w:sz w:val="24"/>
          <w:szCs w:val="24"/>
          <w:color w:val="auto"/>
        </w:rPr>
      </w:pPr>
    </w:p>
    <w:p>
      <w:pPr>
        <w:ind w:left="742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61595</wp:posOffset>
            </wp:positionV>
            <wp:extent cx="575310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100" cy="241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117475</wp:posOffset>
            </wp:positionV>
            <wp:extent cx="5753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3100" cy="8255"/>
                    </a:xfrm>
                    <a:prstGeom prst="rect">
                      <a:avLst/>
                    </a:prstGeom>
                    <a:noFill/>
                  </pic:spPr>
                </pic:pic>
              </a:graphicData>
            </a:graphic>
          </wp:anchor>
        </w:drawing>
      </w:r>
    </w:p>
    <w:p>
      <w:pPr>
        <w:spacing w:after="0" w:line="387" w:lineRule="exact"/>
        <w:rPr>
          <w:sz w:val="24"/>
          <w:szCs w:val="24"/>
          <w:color w:val="auto"/>
        </w:rPr>
      </w:pPr>
    </w:p>
    <w:p>
      <w:pPr>
        <w:jc w:val="center"/>
        <w:ind w:right="-400"/>
        <w:spacing w:after="0"/>
        <w:rPr>
          <w:sz w:val="20"/>
          <w:szCs w:val="20"/>
          <w:color w:val="auto"/>
        </w:rPr>
      </w:pPr>
      <w:r>
        <w:rPr>
          <w:rFonts w:ascii="Arial" w:cs="Arial" w:eastAsia="Arial" w:hAnsi="Arial"/>
          <w:sz w:val="27"/>
          <w:szCs w:val="27"/>
          <w:b w:val="1"/>
          <w:bCs w:val="1"/>
          <w:color w:val="auto"/>
        </w:rPr>
        <w:t>UNITED STATES</w:t>
      </w: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27"/>
          <w:szCs w:val="27"/>
          <w:b w:val="1"/>
          <w:bCs w:val="1"/>
          <w:color w:val="auto"/>
        </w:rPr>
        <w:t>SECURITIES AND EXCHANGE COMMISSION</w:t>
      </w:r>
    </w:p>
    <w:p>
      <w:pPr>
        <w:ind w:left="4160"/>
        <w:spacing w:after="0"/>
        <w:rPr>
          <w:sz w:val="20"/>
          <w:szCs w:val="20"/>
          <w:color w:val="auto"/>
        </w:rPr>
      </w:pPr>
      <w:r>
        <w:rPr>
          <w:rFonts w:ascii="Arial" w:cs="Arial" w:eastAsia="Arial" w:hAnsi="Arial"/>
          <w:sz w:val="17"/>
          <w:szCs w:val="17"/>
          <w:b w:val="1"/>
          <w:bCs w:val="1"/>
          <w:color w:val="auto"/>
        </w:rPr>
        <w:t>Washington, D.C. 20549</w:t>
      </w:r>
    </w:p>
    <w:p>
      <w:pPr>
        <w:spacing w:after="0" w:line="75" w:lineRule="exact"/>
        <w:rPr>
          <w:sz w:val="24"/>
          <w:szCs w:val="24"/>
          <w:color w:val="auto"/>
        </w:rPr>
      </w:pPr>
    </w:p>
    <w:tbl>
      <w:tblPr>
        <w:tblLayout w:type="fixed"/>
        <w:tblInd w:w="1820" w:type="dxa"/>
        <w:tblCellMar>
          <w:top w:w="0" w:type="dxa"/>
          <w:left w:w="0" w:type="dxa"/>
          <w:bottom w:w="0" w:type="dxa"/>
          <w:right w:w="0" w:type="dxa"/>
        </w:tblCellMar>
      </w:tblPr>
      <w:tr>
        <w:trPr>
          <w:trHeight w:val="31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gridSpan w:val="2"/>
          </w:tcPr>
          <w:p>
            <w:pPr>
              <w:jc w:val="center"/>
              <w:ind w:right="1973"/>
              <w:spacing w:after="0"/>
              <w:rPr>
                <w:sz w:val="20"/>
                <w:szCs w:val="20"/>
                <w:color w:val="auto"/>
              </w:rPr>
            </w:pPr>
            <w:r>
              <w:rPr>
                <w:rFonts w:ascii="Arial" w:cs="Arial" w:eastAsia="Arial" w:hAnsi="Arial"/>
                <w:sz w:val="27"/>
                <w:szCs w:val="27"/>
                <w:b w:val="1"/>
                <w:bCs w:val="1"/>
                <w:color w:val="auto"/>
                <w:w w:val="94"/>
              </w:rPr>
              <w:t>FORM S-3</w:t>
            </w:r>
          </w:p>
        </w:tc>
      </w:tr>
      <w:tr>
        <w:trPr>
          <w:trHeight w:val="201"/>
        </w:trPr>
        <w:tc>
          <w:tcPr>
            <w:tcW w:w="1700" w:type="dxa"/>
            <w:vAlign w:val="bottom"/>
          </w:tcPr>
          <w:p>
            <w:pPr>
              <w:spacing w:after="0"/>
              <w:rPr>
                <w:sz w:val="17"/>
                <w:szCs w:val="17"/>
                <w:color w:val="auto"/>
              </w:rPr>
            </w:pPr>
          </w:p>
        </w:tc>
        <w:tc>
          <w:tcPr>
            <w:tcW w:w="4420" w:type="dxa"/>
            <w:vAlign w:val="bottom"/>
            <w:gridSpan w:val="3"/>
          </w:tcPr>
          <w:p>
            <w:pPr>
              <w:jc w:val="center"/>
              <w:ind w:right="1453"/>
              <w:spacing w:after="0"/>
              <w:rPr>
                <w:sz w:val="20"/>
                <w:szCs w:val="20"/>
                <w:color w:val="auto"/>
              </w:rPr>
            </w:pPr>
            <w:r>
              <w:rPr>
                <w:rFonts w:ascii="Arial" w:cs="Arial" w:eastAsia="Arial" w:hAnsi="Arial"/>
                <w:sz w:val="17"/>
                <w:szCs w:val="17"/>
                <w:b w:val="1"/>
                <w:bCs w:val="1"/>
                <w:color w:val="auto"/>
                <w:w w:val="96"/>
              </w:rPr>
              <w:t>REGISTRATION STATEMENT</w:t>
            </w:r>
          </w:p>
        </w:tc>
      </w:tr>
      <w:tr>
        <w:trPr>
          <w:trHeight w:val="201"/>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60" w:type="dxa"/>
            <w:vAlign w:val="bottom"/>
            <w:gridSpan w:val="2"/>
          </w:tcPr>
          <w:p>
            <w:pPr>
              <w:jc w:val="center"/>
              <w:ind w:right="2013"/>
              <w:spacing w:after="0"/>
              <w:rPr>
                <w:sz w:val="20"/>
                <w:szCs w:val="20"/>
                <w:color w:val="auto"/>
              </w:rPr>
            </w:pPr>
            <w:r>
              <w:rPr>
                <w:rFonts w:ascii="Arial" w:cs="Arial" w:eastAsia="Arial" w:hAnsi="Arial"/>
                <w:sz w:val="17"/>
                <w:szCs w:val="17"/>
                <w:b w:val="1"/>
                <w:bCs w:val="1"/>
                <w:color w:val="auto"/>
                <w:w w:val="95"/>
              </w:rPr>
              <w:t>UNDER</w:t>
            </w:r>
          </w:p>
        </w:tc>
      </w:tr>
      <w:tr>
        <w:trPr>
          <w:trHeight w:val="217"/>
        </w:trPr>
        <w:tc>
          <w:tcPr>
            <w:tcW w:w="1700" w:type="dxa"/>
            <w:vAlign w:val="bottom"/>
          </w:tcPr>
          <w:p>
            <w:pPr>
              <w:spacing w:after="0"/>
              <w:rPr>
                <w:sz w:val="18"/>
                <w:szCs w:val="18"/>
                <w:color w:val="auto"/>
              </w:rPr>
            </w:pPr>
          </w:p>
        </w:tc>
        <w:tc>
          <w:tcPr>
            <w:tcW w:w="4420" w:type="dxa"/>
            <w:vAlign w:val="bottom"/>
            <w:gridSpan w:val="3"/>
          </w:tcPr>
          <w:p>
            <w:pPr>
              <w:jc w:val="center"/>
              <w:ind w:right="1413"/>
              <w:spacing w:after="0"/>
              <w:rPr>
                <w:sz w:val="20"/>
                <w:szCs w:val="20"/>
                <w:color w:val="auto"/>
              </w:rPr>
            </w:pPr>
            <w:r>
              <w:rPr>
                <w:rFonts w:ascii="Arial" w:cs="Arial" w:eastAsia="Arial" w:hAnsi="Arial"/>
                <w:sz w:val="17"/>
                <w:szCs w:val="17"/>
                <w:b w:val="1"/>
                <w:bCs w:val="1"/>
                <w:color w:val="auto"/>
                <w:w w:val="94"/>
              </w:rPr>
              <w:t>THE SECURITIES ACT OF 1933</w:t>
            </w:r>
          </w:p>
        </w:tc>
      </w:tr>
      <w:tr>
        <w:trPr>
          <w:trHeight w:val="151"/>
        </w:trPr>
        <w:tc>
          <w:tcPr>
            <w:tcW w:w="2260" w:type="dxa"/>
            <w:vAlign w:val="bottom"/>
            <w:gridSpan w:val="2"/>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r>
      <w:tr>
        <w:trPr>
          <w:trHeight w:val="376"/>
        </w:trPr>
        <w:tc>
          <w:tcPr>
            <w:tcW w:w="6120" w:type="dxa"/>
            <w:vAlign w:val="bottom"/>
            <w:gridSpan w:val="4"/>
          </w:tcPr>
          <w:p>
            <w:pPr>
              <w:jc w:val="center"/>
              <w:ind w:left="72"/>
              <w:spacing w:after="0"/>
              <w:rPr>
                <w:sz w:val="20"/>
                <w:szCs w:val="20"/>
                <w:color w:val="auto"/>
              </w:rPr>
            </w:pPr>
            <w:r>
              <w:rPr>
                <w:rFonts w:ascii="Arial" w:cs="Arial" w:eastAsia="Arial" w:hAnsi="Arial"/>
                <w:sz w:val="27"/>
                <w:szCs w:val="27"/>
                <w:b w:val="1"/>
                <w:bCs w:val="1"/>
                <w:color w:val="auto"/>
                <w:w w:val="97"/>
              </w:rPr>
              <w:t>MARKER THERAPEUTICS, INC.</w:t>
            </w:r>
          </w:p>
        </w:tc>
      </w:tr>
      <w:tr>
        <w:trPr>
          <w:trHeight w:val="171"/>
        </w:trPr>
        <w:tc>
          <w:tcPr>
            <w:tcW w:w="1700" w:type="dxa"/>
            <w:vAlign w:val="bottom"/>
          </w:tcPr>
          <w:p>
            <w:pPr>
              <w:spacing w:after="0"/>
              <w:rPr>
                <w:sz w:val="14"/>
                <w:szCs w:val="14"/>
                <w:color w:val="auto"/>
              </w:rPr>
            </w:pPr>
          </w:p>
        </w:tc>
        <w:tc>
          <w:tcPr>
            <w:tcW w:w="4420" w:type="dxa"/>
            <w:vAlign w:val="bottom"/>
            <w:gridSpan w:val="3"/>
          </w:tcPr>
          <w:p>
            <w:pPr>
              <w:jc w:val="center"/>
              <w:ind w:right="1433"/>
              <w:spacing w:after="0"/>
              <w:rPr>
                <w:sz w:val="20"/>
                <w:szCs w:val="20"/>
                <w:color w:val="auto"/>
              </w:rPr>
            </w:pPr>
            <w:r>
              <w:rPr>
                <w:rFonts w:ascii="Arial" w:cs="Arial" w:eastAsia="Arial" w:hAnsi="Arial"/>
                <w:sz w:val="13"/>
                <w:szCs w:val="13"/>
                <w:color w:val="auto"/>
                <w:w w:val="98"/>
              </w:rPr>
              <w:t>(Exact name of registrant as specified in its charter)</w:t>
            </w:r>
          </w:p>
        </w:tc>
      </w:tr>
      <w:tr>
        <w:trPr>
          <w:trHeight w:val="450"/>
        </w:trPr>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5"/>
              </w:rPr>
              <w:t>Delaware</w:t>
            </w:r>
          </w:p>
        </w:tc>
        <w:tc>
          <w:tcPr>
            <w:tcW w:w="4420" w:type="dxa"/>
            <w:vAlign w:val="bottom"/>
            <w:gridSpan w:val="3"/>
          </w:tcPr>
          <w:p>
            <w:pPr>
              <w:jc w:val="center"/>
              <w:ind w:left="3040"/>
              <w:spacing w:after="0"/>
              <w:rPr>
                <w:sz w:val="20"/>
                <w:szCs w:val="20"/>
                <w:color w:val="auto"/>
              </w:rPr>
            </w:pPr>
            <w:r>
              <w:rPr>
                <w:rFonts w:ascii="Arial" w:cs="Arial" w:eastAsia="Arial" w:hAnsi="Arial"/>
                <w:sz w:val="17"/>
                <w:szCs w:val="17"/>
                <w:b w:val="1"/>
                <w:bCs w:val="1"/>
                <w:color w:val="auto"/>
                <w:w w:val="85"/>
              </w:rPr>
              <w:t>45-4497941</w:t>
            </w:r>
          </w:p>
        </w:tc>
      </w:tr>
      <w:tr>
        <w:trPr>
          <w:trHeight w:val="183"/>
        </w:trPr>
        <w:tc>
          <w:tcPr>
            <w:tcW w:w="1700" w:type="dxa"/>
            <w:vAlign w:val="bottom"/>
          </w:tcPr>
          <w:p>
            <w:pPr>
              <w:jc w:val="center"/>
              <w:spacing w:after="0"/>
              <w:rPr>
                <w:sz w:val="20"/>
                <w:szCs w:val="20"/>
                <w:color w:val="auto"/>
              </w:rPr>
            </w:pPr>
            <w:r>
              <w:rPr>
                <w:rFonts w:ascii="Arial" w:cs="Arial" w:eastAsia="Arial" w:hAnsi="Arial"/>
                <w:sz w:val="13"/>
                <w:szCs w:val="13"/>
                <w:color w:val="auto"/>
              </w:rPr>
              <w:t>(State or other jurisdiction of</w:t>
            </w:r>
          </w:p>
        </w:tc>
        <w:tc>
          <w:tcPr>
            <w:tcW w:w="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40" w:type="dxa"/>
            <w:vAlign w:val="bottom"/>
          </w:tcPr>
          <w:p>
            <w:pPr>
              <w:jc w:val="center"/>
              <w:ind w:left="613"/>
              <w:spacing w:after="0"/>
              <w:rPr>
                <w:sz w:val="20"/>
                <w:szCs w:val="20"/>
                <w:color w:val="auto"/>
              </w:rPr>
            </w:pPr>
            <w:r>
              <w:rPr>
                <w:rFonts w:ascii="Arial" w:cs="Arial" w:eastAsia="Arial" w:hAnsi="Arial"/>
                <w:sz w:val="13"/>
                <w:szCs w:val="13"/>
                <w:color w:val="auto"/>
              </w:rPr>
              <w:t>(I.R.S. Employer</w:t>
            </w:r>
          </w:p>
        </w:tc>
      </w:tr>
      <w:tr>
        <w:trPr>
          <w:trHeight w:val="184"/>
        </w:trPr>
        <w:tc>
          <w:tcPr>
            <w:tcW w:w="1700" w:type="dxa"/>
            <w:vAlign w:val="bottom"/>
          </w:tcPr>
          <w:p>
            <w:pPr>
              <w:jc w:val="center"/>
              <w:spacing w:after="0"/>
              <w:rPr>
                <w:sz w:val="20"/>
                <w:szCs w:val="20"/>
                <w:color w:val="auto"/>
              </w:rPr>
            </w:pPr>
            <w:r>
              <w:rPr>
                <w:rFonts w:ascii="Arial" w:cs="Arial" w:eastAsia="Arial" w:hAnsi="Arial"/>
                <w:sz w:val="13"/>
                <w:szCs w:val="13"/>
                <w:color w:val="auto"/>
                <w:w w:val="99"/>
              </w:rPr>
              <w:t>incorporation or organization)</w:t>
            </w:r>
          </w:p>
        </w:tc>
        <w:tc>
          <w:tcPr>
            <w:tcW w:w="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40" w:type="dxa"/>
            <w:vAlign w:val="bottom"/>
          </w:tcPr>
          <w:p>
            <w:pPr>
              <w:jc w:val="center"/>
              <w:ind w:left="673"/>
              <w:spacing w:after="0"/>
              <w:rPr>
                <w:sz w:val="20"/>
                <w:szCs w:val="20"/>
                <w:color w:val="auto"/>
              </w:rPr>
            </w:pPr>
            <w:r>
              <w:rPr>
                <w:rFonts w:ascii="Arial" w:cs="Arial" w:eastAsia="Arial" w:hAnsi="Arial"/>
                <w:sz w:val="13"/>
                <w:szCs w:val="13"/>
                <w:color w:val="auto"/>
              </w:rPr>
              <w:t>Identification Number)</w:t>
            </w:r>
          </w:p>
        </w:tc>
      </w:tr>
    </w:tbl>
    <w:p>
      <w:pPr>
        <w:spacing w:after="0" w:line="195"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3200 Southwest Freeway, Suite 2500</w:t>
      </w:r>
    </w:p>
    <w:p>
      <w:pPr>
        <w:spacing w:after="0" w:line="22" w:lineRule="exact"/>
        <w:rPr>
          <w:sz w:val="24"/>
          <w:szCs w:val="24"/>
          <w:color w:val="auto"/>
        </w:rPr>
      </w:pPr>
    </w:p>
    <w:p>
      <w:pPr>
        <w:ind w:left="4220"/>
        <w:spacing w:after="0"/>
        <w:rPr>
          <w:sz w:val="20"/>
          <w:szCs w:val="20"/>
          <w:color w:val="auto"/>
        </w:rPr>
      </w:pPr>
      <w:r>
        <w:rPr>
          <w:rFonts w:ascii="Arial" w:cs="Arial" w:eastAsia="Arial" w:hAnsi="Arial"/>
          <w:sz w:val="17"/>
          <w:szCs w:val="17"/>
          <w:b w:val="1"/>
          <w:bCs w:val="1"/>
          <w:color w:val="auto"/>
        </w:rPr>
        <w:t>Houston, Texas 77027</w:t>
      </w:r>
    </w:p>
    <w:p>
      <w:pPr>
        <w:spacing w:after="0" w:line="6"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(713) 400-6400</w:t>
      </w:r>
    </w:p>
    <w:p>
      <w:pPr>
        <w:spacing w:after="0" w:line="50" w:lineRule="exact"/>
        <w:rPr>
          <w:sz w:val="24"/>
          <w:szCs w:val="24"/>
          <w:color w:val="auto"/>
        </w:rPr>
      </w:pPr>
    </w:p>
    <w:p>
      <w:pPr>
        <w:ind w:left="174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123825</wp:posOffset>
            </wp:positionV>
            <wp:extent cx="1149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72" w:lineRule="exact"/>
        <w:rPr>
          <w:sz w:val="24"/>
          <w:szCs w:val="24"/>
          <w:color w:val="auto"/>
        </w:rPr>
      </w:pPr>
    </w:p>
    <w:p>
      <w:pPr>
        <w:ind w:left="4540"/>
        <w:spacing w:after="0"/>
        <w:rPr>
          <w:sz w:val="20"/>
          <w:szCs w:val="20"/>
          <w:color w:val="auto"/>
        </w:rPr>
      </w:pPr>
      <w:r>
        <w:rPr>
          <w:rFonts w:ascii="Arial" w:cs="Arial" w:eastAsia="Arial" w:hAnsi="Arial"/>
          <w:sz w:val="17"/>
          <w:szCs w:val="17"/>
          <w:b w:val="1"/>
          <w:bCs w:val="1"/>
          <w:color w:val="auto"/>
        </w:rPr>
        <w:t>Peter Hoang</w:t>
      </w:r>
    </w:p>
    <w:p>
      <w:pPr>
        <w:spacing w:after="0" w:line="22" w:lineRule="exact"/>
        <w:rPr>
          <w:sz w:val="24"/>
          <w:szCs w:val="24"/>
          <w:color w:val="auto"/>
        </w:rPr>
      </w:pPr>
    </w:p>
    <w:p>
      <w:pPr>
        <w:ind w:left="334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7"/>
          <w:szCs w:val="17"/>
          <w:b w:val="1"/>
          <w:bCs w:val="1"/>
          <w:color w:val="auto"/>
        </w:rPr>
        <w:t>Marker Therapeutics, Inc.</w:t>
      </w:r>
    </w:p>
    <w:p>
      <w:pPr>
        <w:spacing w:after="0" w:line="6"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3200 Southwest Freeway, Suite 2500</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7"/>
          <w:szCs w:val="17"/>
          <w:b w:val="1"/>
          <w:bCs w:val="1"/>
          <w:color w:val="auto"/>
        </w:rPr>
        <w:t>Houston, Texas 77027</w:t>
      </w:r>
    </w:p>
    <w:p>
      <w:pPr>
        <w:spacing w:after="0" w:line="6"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(713) 400-6400</w:t>
      </w:r>
    </w:p>
    <w:p>
      <w:pPr>
        <w:spacing w:after="0" w:line="50" w:lineRule="exact"/>
        <w:rPr>
          <w:sz w:val="24"/>
          <w:szCs w:val="24"/>
          <w:color w:val="auto"/>
        </w:rPr>
      </w:pPr>
    </w:p>
    <w:p>
      <w:pPr>
        <w:ind w:left="214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4"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Copies to:</w:t>
      </w:r>
    </w:p>
    <w:p>
      <w:pPr>
        <w:spacing w:after="0" w:line="43"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Divakar Gupta</w:t>
      </w:r>
    </w:p>
    <w:p>
      <w:pPr>
        <w:spacing w:after="0" w:line="22"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Darren DeStefano</w:t>
      </w:r>
    </w:p>
    <w:p>
      <w:pPr>
        <w:spacing w:after="0" w:line="6"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Madison A. Jones</w:t>
      </w:r>
    </w:p>
    <w:p>
      <w:pPr>
        <w:spacing w:after="0" w:line="6"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Cooley LLP</w:t>
      </w:r>
    </w:p>
    <w:p>
      <w:pPr>
        <w:spacing w:after="0" w:line="6"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55 Hudson Yards</w:t>
      </w:r>
    </w:p>
    <w:p>
      <w:pPr>
        <w:spacing w:after="0" w:line="6"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New York, New York 10001</w:t>
      </w:r>
    </w:p>
    <w:p>
      <w:pPr>
        <w:spacing w:after="0" w:line="6" w:lineRule="exact"/>
        <w:rPr>
          <w:sz w:val="24"/>
          <w:szCs w:val="24"/>
          <w:color w:val="auto"/>
        </w:rPr>
      </w:pPr>
    </w:p>
    <w:p>
      <w:pPr>
        <w:jc w:val="center"/>
        <w:ind w:right="-460"/>
        <w:spacing w:after="0"/>
        <w:rPr>
          <w:sz w:val="20"/>
          <w:szCs w:val="20"/>
          <w:color w:val="auto"/>
        </w:rPr>
      </w:pPr>
      <w:r>
        <w:rPr>
          <w:rFonts w:ascii="Arial" w:cs="Arial" w:eastAsia="Arial" w:hAnsi="Arial"/>
          <w:sz w:val="17"/>
          <w:szCs w:val="17"/>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115570</wp:posOffset>
            </wp:positionV>
            <wp:extent cx="1149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58" w:lineRule="exact"/>
        <w:rPr>
          <w:sz w:val="24"/>
          <w:szCs w:val="24"/>
          <w:color w:val="auto"/>
        </w:rPr>
      </w:pPr>
    </w:p>
    <w:p>
      <w:pPr>
        <w:jc w:val="both"/>
        <w:ind w:left="2560" w:right="2099" w:hanging="32"/>
        <w:spacing w:after="0" w:line="383" w:lineRule="auto"/>
        <w:rPr>
          <w:sz w:val="20"/>
          <w:szCs w:val="20"/>
          <w:color w:val="auto"/>
        </w:rPr>
      </w:pPr>
      <w:r>
        <w:rPr>
          <w:rFonts w:ascii="Arial" w:cs="Arial" w:eastAsia="Arial" w:hAnsi="Arial"/>
          <w:sz w:val="14"/>
          <w:szCs w:val="14"/>
          <w:b w:val="1"/>
          <w:bCs w:val="1"/>
          <w:color w:val="auto"/>
        </w:rPr>
        <w:t xml:space="preserve">From time to time after the effective date of this Registration Statement </w:t>
      </w:r>
      <w:r>
        <w:rPr>
          <w:rFonts w:ascii="Arial" w:cs="Arial" w:eastAsia="Arial" w:hAnsi="Arial"/>
          <w:sz w:val="14"/>
          <w:szCs w:val="14"/>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51435</wp:posOffset>
            </wp:positionV>
            <wp:extent cx="1149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62" w:lineRule="exact"/>
        <w:rPr>
          <w:sz w:val="24"/>
          <w:szCs w:val="24"/>
          <w:color w:val="auto"/>
        </w:rPr>
      </w:pPr>
    </w:p>
    <w:p>
      <w:pPr>
        <w:ind w:left="440" w:right="259" w:firstLine="335"/>
        <w:spacing w:after="0" w:line="216" w:lineRule="exact"/>
        <w:rPr>
          <w:sz w:val="20"/>
          <w:szCs w:val="20"/>
          <w:color w:val="auto"/>
        </w:rPr>
      </w:pPr>
      <w:r>
        <w:rPr>
          <w:rFonts w:ascii="Arial" w:cs="Arial" w:eastAsia="Arial" w:hAnsi="Arial"/>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09" w:lineRule="exact"/>
        <w:rPr>
          <w:sz w:val="24"/>
          <w:szCs w:val="24"/>
          <w:color w:val="auto"/>
        </w:rPr>
      </w:pPr>
    </w:p>
    <w:p>
      <w:pPr>
        <w:ind w:left="440" w:right="659" w:firstLine="335"/>
        <w:spacing w:after="0" w:line="211"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9" w:lineRule="exact"/>
        <w:rPr>
          <w:sz w:val="24"/>
          <w:szCs w:val="24"/>
          <w:color w:val="auto"/>
        </w:rPr>
      </w:pPr>
    </w:p>
    <w:p>
      <w:pPr>
        <w:ind w:left="440" w:right="79" w:firstLine="335"/>
        <w:spacing w:after="0" w:line="211"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96" w:lineRule="exact"/>
        <w:rPr>
          <w:sz w:val="24"/>
          <w:szCs w:val="24"/>
          <w:color w:val="auto"/>
        </w:rPr>
      </w:pPr>
    </w:p>
    <w:p>
      <w:pPr>
        <w:ind w:left="440" w:right="119" w:firstLine="335"/>
        <w:spacing w:after="0" w:line="216"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208280</wp:posOffset>
            </wp:positionV>
            <wp:extent cx="63531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232" w:right="1440" w:bottom="1440" w:gutter="0" w:footer="0" w:header="0"/>
        </w:sectPr>
      </w:pPr>
    </w:p>
    <w:bookmarkStart w:id="1" w:name="page2"/>
    <w:bookmarkEnd w:id="1"/>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37" w:lineRule="exact"/>
        <w:rPr>
          <w:sz w:val="20"/>
          <w:szCs w:val="20"/>
          <w:color w:val="auto"/>
        </w:rPr>
      </w:pPr>
    </w:p>
    <w:p>
      <w:pPr>
        <w:ind w:left="440" w:right="20" w:firstLine="335"/>
        <w:spacing w:after="0" w:line="216"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10" w:lineRule="exact"/>
        <w:rPr>
          <w:sz w:val="20"/>
          <w:szCs w:val="20"/>
          <w:color w:val="auto"/>
        </w:rPr>
      </w:pPr>
    </w:p>
    <w:p>
      <w:pPr>
        <w:ind w:left="440" w:right="400" w:firstLine="335"/>
        <w:spacing w:after="0" w:line="211"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96" w:lineRule="exact"/>
        <w:rPr>
          <w:sz w:val="20"/>
          <w:szCs w:val="20"/>
          <w:color w:val="auto"/>
        </w:rPr>
      </w:pPr>
    </w:p>
    <w:p>
      <w:pPr>
        <w:ind w:left="440" w:right="140" w:firstLine="335"/>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0"/>
          <w:szCs w:val="20"/>
          <w:color w:val="auto"/>
        </w:rPr>
      </w:pPr>
    </w:p>
    <w:tbl>
      <w:tblPr>
        <w:tblLayout w:type="fixed"/>
        <w:tblInd w:w="78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4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3020" w:type="dxa"/>
            <w:vAlign w:val="bottom"/>
          </w:tcPr>
          <w:p>
            <w:pPr>
              <w:ind w:left="1060"/>
              <w:spacing w:after="0"/>
              <w:rPr>
                <w:sz w:val="20"/>
                <w:szCs w:val="20"/>
                <w:color w:val="auto"/>
              </w:rPr>
            </w:pPr>
            <w:r>
              <w:rPr>
                <w:rFonts w:ascii="Arial" w:cs="Arial" w:eastAsia="Arial" w:hAnsi="Arial"/>
                <w:sz w:val="17"/>
                <w:szCs w:val="17"/>
                <w:color w:val="auto"/>
              </w:rPr>
              <w:t>Accelerated filer</w:t>
            </w:r>
          </w:p>
        </w:tc>
        <w:tc>
          <w:tcPr>
            <w:tcW w:w="20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9"/>
        </w:trPr>
        <w:tc>
          <w:tcPr>
            <w:tcW w:w="1800" w:type="dxa"/>
            <w:vAlign w:val="bottom"/>
          </w:tcPr>
          <w:p>
            <w:pPr>
              <w:spacing w:after="0"/>
              <w:rPr>
                <w:sz w:val="20"/>
                <w:szCs w:val="20"/>
                <w:color w:val="auto"/>
              </w:rPr>
            </w:pPr>
            <w:r>
              <w:rPr>
                <w:rFonts w:ascii="Arial" w:cs="Arial" w:eastAsia="Arial" w:hAnsi="Arial"/>
                <w:sz w:val="17"/>
                <w:szCs w:val="17"/>
                <w:color w:val="auto"/>
              </w:rPr>
              <w:t>Non-accelerated filer</w:t>
            </w:r>
          </w:p>
        </w:tc>
        <w:tc>
          <w:tcPr>
            <w:tcW w:w="14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3020" w:type="dxa"/>
            <w:vAlign w:val="bottom"/>
          </w:tcPr>
          <w:p>
            <w:pPr>
              <w:ind w:left="1060"/>
              <w:spacing w:after="0"/>
              <w:rPr>
                <w:sz w:val="20"/>
                <w:szCs w:val="20"/>
                <w:color w:val="auto"/>
              </w:rPr>
            </w:pPr>
            <w:r>
              <w:rPr>
                <w:rFonts w:ascii="Arial" w:cs="Arial" w:eastAsia="Arial" w:hAnsi="Arial"/>
                <w:sz w:val="17"/>
                <w:szCs w:val="17"/>
                <w:color w:val="auto"/>
                <w:w w:val="95"/>
              </w:rPr>
              <w:t>Smaller reporting company</w:t>
            </w:r>
          </w:p>
        </w:tc>
        <w:tc>
          <w:tcPr>
            <w:tcW w:w="20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3"/>
        </w:trPr>
        <w:tc>
          <w:tcPr>
            <w:tcW w:w="1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20" w:type="dxa"/>
            <w:vAlign w:val="bottom"/>
          </w:tcPr>
          <w:p>
            <w:pPr>
              <w:ind w:left="1060"/>
              <w:spacing w:after="0"/>
              <w:rPr>
                <w:sz w:val="20"/>
                <w:szCs w:val="20"/>
                <w:color w:val="auto"/>
              </w:rPr>
            </w:pPr>
            <w:r>
              <w:rPr>
                <w:rFonts w:ascii="Arial" w:cs="Arial" w:eastAsia="Arial" w:hAnsi="Arial"/>
                <w:sz w:val="17"/>
                <w:szCs w:val="17"/>
                <w:color w:val="auto"/>
                <w:w w:val="95"/>
              </w:rPr>
              <w:t>Emerging growth company</w:t>
            </w:r>
          </w:p>
        </w:tc>
        <w:tc>
          <w:tcPr>
            <w:tcW w:w="20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08" w:lineRule="exact"/>
        <w:rPr>
          <w:sz w:val="20"/>
          <w:szCs w:val="20"/>
          <w:color w:val="auto"/>
        </w:rPr>
      </w:pPr>
    </w:p>
    <w:p>
      <w:pPr>
        <w:jc w:val="both"/>
        <w:ind w:left="440" w:right="380" w:firstLine="335"/>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108585</wp:posOffset>
            </wp:positionV>
            <wp:extent cx="1149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CALCULATION OF REGISTRATION FEE</w:t>
      </w:r>
    </w:p>
    <w:p>
      <w:pPr>
        <w:spacing w:after="0" w:line="52" w:lineRule="exact"/>
        <w:rPr>
          <w:sz w:val="20"/>
          <w:szCs w:val="20"/>
          <w:color w:val="auto"/>
        </w:rPr>
      </w:pPr>
    </w:p>
    <w:tbl>
      <w:tblPr>
        <w:tblLayout w:type="fixed"/>
        <w:tblInd w:w="4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Proposed Maximum</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20" w:type="dxa"/>
            <w:vAlign w:val="bottom"/>
            <w:tcBorders>
              <w:right w:val="single" w:sz="8" w:color="auto"/>
            </w:tcBorders>
            <w:vMerge w:val="restart"/>
          </w:tcPr>
          <w:p>
            <w:pPr>
              <w:ind w:left="76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98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Amount to be</w:t>
            </w:r>
          </w:p>
        </w:tc>
        <w:tc>
          <w:tcPr>
            <w:tcW w:w="1500" w:type="dxa"/>
            <w:vAlign w:val="bottom"/>
            <w:tcBorders>
              <w:right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Proposed Maximum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940" w:type="dxa"/>
            <w:vAlign w:val="bottom"/>
            <w:vMerge w:val="continue"/>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Registered</w:t>
            </w:r>
          </w:p>
        </w:tc>
        <w:tc>
          <w:tcPr>
            <w:tcW w:w="15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8"/>
              </w:rPr>
              <w:t>Offering Price per 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w w:val="96"/>
              </w:rPr>
              <w:t>Registration Fee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Common Stock, par value $0.001 per share</w:t>
            </w:r>
          </w:p>
        </w:tc>
        <w:tc>
          <w:tcPr>
            <w:tcW w:w="980" w:type="dxa"/>
            <w:vAlign w:val="bottom"/>
            <w:tcBorders>
              <w:right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(2)</w:t>
            </w:r>
          </w:p>
        </w:tc>
        <w:tc>
          <w:tcPr>
            <w:tcW w:w="1500" w:type="dxa"/>
            <w:vAlign w:val="bottom"/>
            <w:tcBorders>
              <w:right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(3)</w:t>
            </w:r>
          </w:p>
        </w:tc>
        <w:tc>
          <w:tcPr>
            <w:tcW w:w="13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2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right w:val="single" w:sz="8" w:color="auto"/>
            </w:tcBorders>
            <w:shd w:val="clear" w:color="auto" w:fill="CCEEFF"/>
          </w:tcPr>
          <w:p>
            <w:pPr>
              <w:spacing w:after="0"/>
              <w:rPr>
                <w:sz w:val="5"/>
                <w:szCs w:val="5"/>
                <w:color w:val="auto"/>
              </w:rPr>
            </w:pPr>
          </w:p>
        </w:tc>
        <w:tc>
          <w:tcPr>
            <w:tcW w:w="15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1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color w:val="auto"/>
              </w:rPr>
              <w:t>Preferred Stock, par value $0.001 per share</w:t>
            </w:r>
          </w:p>
        </w:tc>
        <w:tc>
          <w:tcPr>
            <w:tcW w:w="980" w:type="dxa"/>
            <w:vAlign w:val="bottom"/>
            <w:tcBorders>
              <w:right w:val="single" w:sz="8" w:color="auto"/>
            </w:tcBorders>
          </w:tcPr>
          <w:p>
            <w:pPr>
              <w:jc w:val="right"/>
              <w:ind w:right="296"/>
              <w:spacing w:after="0"/>
              <w:rPr>
                <w:sz w:val="20"/>
                <w:szCs w:val="20"/>
                <w:color w:val="auto"/>
              </w:rPr>
            </w:pPr>
            <w:r>
              <w:rPr>
                <w:rFonts w:ascii="Arial" w:cs="Arial" w:eastAsia="Arial" w:hAnsi="Arial"/>
                <w:sz w:val="13"/>
                <w:szCs w:val="13"/>
                <w:color w:val="auto"/>
              </w:rPr>
              <w:t>(2)</w:t>
            </w:r>
          </w:p>
        </w:tc>
        <w:tc>
          <w:tcPr>
            <w:tcW w:w="1500" w:type="dxa"/>
            <w:vAlign w:val="bottom"/>
            <w:tcBorders>
              <w:right w:val="single" w:sz="8" w:color="auto"/>
            </w:tcBorders>
          </w:tcPr>
          <w:p>
            <w:pPr>
              <w:jc w:val="right"/>
              <w:ind w:right="556"/>
              <w:spacing w:after="0"/>
              <w:rPr>
                <w:sz w:val="20"/>
                <w:szCs w:val="20"/>
                <w:color w:val="auto"/>
              </w:rPr>
            </w:pPr>
            <w:r>
              <w:rPr>
                <w:rFonts w:ascii="Arial" w:cs="Arial" w:eastAsia="Arial" w:hAnsi="Arial"/>
                <w:sz w:val="13"/>
                <w:szCs w:val="13"/>
                <w:color w:val="auto"/>
              </w:rPr>
              <w:t>(3)</w:t>
            </w:r>
          </w:p>
        </w:tc>
        <w:tc>
          <w:tcPr>
            <w:tcW w:w="13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140" w:type="dxa"/>
            <w:vAlign w:val="bottom"/>
            <w:tcBorders>
              <w:right w:val="single" w:sz="8" w:color="auto"/>
            </w:tcBorders>
            <w:gridSpan w:val="2"/>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Borders>
              <w:top w:val="single" w:sz="8" w:color="auto"/>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980" w:type="dxa"/>
            <w:vAlign w:val="bottom"/>
            <w:tcBorders>
              <w:top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(2)</w:t>
            </w:r>
          </w:p>
        </w:tc>
        <w:tc>
          <w:tcPr>
            <w:tcW w:w="1500" w:type="dxa"/>
            <w:vAlign w:val="bottom"/>
            <w:tcBorders>
              <w:top w:val="single" w:sz="8" w:color="auto"/>
              <w:right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(3)</w:t>
            </w:r>
          </w:p>
        </w:tc>
        <w:tc>
          <w:tcPr>
            <w:tcW w:w="1340" w:type="dxa"/>
            <w:vAlign w:val="bottom"/>
            <w:tcBorders>
              <w:top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2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right w:val="single" w:sz="8" w:color="auto"/>
            </w:tcBorders>
            <w:shd w:val="clear" w:color="auto" w:fill="CCEEFF"/>
          </w:tcPr>
          <w:p>
            <w:pPr>
              <w:spacing w:after="0"/>
              <w:rPr>
                <w:sz w:val="5"/>
                <w:szCs w:val="5"/>
                <w:color w:val="auto"/>
              </w:rPr>
            </w:pPr>
          </w:p>
        </w:tc>
        <w:tc>
          <w:tcPr>
            <w:tcW w:w="15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1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color w:val="auto"/>
              </w:rPr>
              <w:t>Warrants</w:t>
            </w:r>
          </w:p>
        </w:tc>
        <w:tc>
          <w:tcPr>
            <w:tcW w:w="980" w:type="dxa"/>
            <w:vAlign w:val="bottom"/>
            <w:tcBorders>
              <w:right w:val="single" w:sz="8" w:color="auto"/>
            </w:tcBorders>
          </w:tcPr>
          <w:p>
            <w:pPr>
              <w:jc w:val="right"/>
              <w:ind w:right="296"/>
              <w:spacing w:after="0"/>
              <w:rPr>
                <w:sz w:val="20"/>
                <w:szCs w:val="20"/>
                <w:color w:val="auto"/>
              </w:rPr>
            </w:pPr>
            <w:r>
              <w:rPr>
                <w:rFonts w:ascii="Arial" w:cs="Arial" w:eastAsia="Arial" w:hAnsi="Arial"/>
                <w:sz w:val="13"/>
                <w:szCs w:val="13"/>
                <w:color w:val="auto"/>
              </w:rPr>
              <w:t>(2)</w:t>
            </w:r>
          </w:p>
        </w:tc>
        <w:tc>
          <w:tcPr>
            <w:tcW w:w="1500" w:type="dxa"/>
            <w:vAlign w:val="bottom"/>
            <w:tcBorders>
              <w:right w:val="single" w:sz="8" w:color="auto"/>
            </w:tcBorders>
          </w:tcPr>
          <w:p>
            <w:pPr>
              <w:jc w:val="right"/>
              <w:ind w:right="556"/>
              <w:spacing w:after="0"/>
              <w:rPr>
                <w:sz w:val="20"/>
                <w:szCs w:val="20"/>
                <w:color w:val="auto"/>
              </w:rPr>
            </w:pPr>
            <w:r>
              <w:rPr>
                <w:rFonts w:ascii="Arial" w:cs="Arial" w:eastAsia="Arial" w:hAnsi="Arial"/>
                <w:sz w:val="13"/>
                <w:szCs w:val="13"/>
                <w:color w:val="auto"/>
              </w:rPr>
              <w:t>(3)</w:t>
            </w:r>
          </w:p>
        </w:tc>
        <w:tc>
          <w:tcPr>
            <w:tcW w:w="13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140" w:type="dxa"/>
            <w:vAlign w:val="bottom"/>
            <w:tcBorders>
              <w:right w:val="single" w:sz="8" w:color="auto"/>
            </w:tcBorders>
            <w:gridSpan w:val="2"/>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Borders>
              <w:top w:val="single" w:sz="8" w:color="auto"/>
              <w:right w:val="single" w:sz="8" w:color="auto"/>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980" w:type="dxa"/>
            <w:vAlign w:val="bottom"/>
            <w:tcBorders>
              <w:top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(2)</w:t>
            </w:r>
          </w:p>
        </w:tc>
        <w:tc>
          <w:tcPr>
            <w:tcW w:w="1500" w:type="dxa"/>
            <w:vAlign w:val="bottom"/>
            <w:tcBorders>
              <w:top w:val="single" w:sz="8" w:color="auto"/>
              <w:right w:val="single" w:sz="8" w:color="auto"/>
            </w:tcBorders>
            <w:shd w:val="clear" w:color="auto" w:fill="CCEEFF"/>
          </w:tcPr>
          <w:p>
            <w:pPr>
              <w:spacing w:after="0"/>
              <w:rPr>
                <w:sz w:val="13"/>
                <w:szCs w:val="13"/>
                <w:color w:val="auto"/>
              </w:rPr>
            </w:pPr>
          </w:p>
        </w:tc>
        <w:tc>
          <w:tcPr>
            <w:tcW w:w="13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w w:val="88"/>
              </w:rPr>
              <w:t>$300,000,000</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$32,730</w:t>
            </w: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500" w:type="dxa"/>
            <w:vAlign w:val="bottom"/>
            <w:tcBorders>
              <w:bottom w:val="single" w:sz="8" w:color="auto"/>
              <w:right w:val="single" w:sz="8" w:color="auto"/>
            </w:tcBorders>
            <w:shd w:val="clear" w:color="auto" w:fill="CCEEFF"/>
          </w:tcPr>
          <w:p>
            <w:pPr>
              <w:spacing w:after="0"/>
              <w:rPr>
                <w:sz w:val="7"/>
                <w:szCs w:val="7"/>
                <w:color w:val="auto"/>
              </w:rPr>
            </w:pPr>
          </w:p>
        </w:tc>
        <w:tc>
          <w:tcPr>
            <w:tcW w:w="134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780" w:hanging="331"/>
        <w:spacing w:after="0"/>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or the Securities Act.</w:t>
      </w:r>
    </w:p>
    <w:p>
      <w:pPr>
        <w:spacing w:after="0" w:line="68" w:lineRule="exact"/>
        <w:rPr>
          <w:rFonts w:ascii="Arial" w:cs="Arial" w:eastAsia="Arial" w:hAnsi="Arial"/>
          <w:sz w:val="17"/>
          <w:szCs w:val="17"/>
          <w:color w:val="auto"/>
        </w:rPr>
      </w:pPr>
    </w:p>
    <w:p>
      <w:pPr>
        <w:ind w:left="780" w:right="20" w:hanging="331"/>
        <w:spacing w:after="0" w:line="284" w:lineRule="auto"/>
        <w:tabs>
          <w:tab w:leader="none" w:pos="7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There are being registered hereunder such indeterminate number of shares of common stock and preferred stock, such indeterminate principal amount of debt securities and such indeterminate number of warrants to purchase common stock, preferred stock or debt securities as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Any securities registered hereunder may be sold separately or in combination with other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26" w:lineRule="exact"/>
        <w:rPr>
          <w:rFonts w:ascii="Arial" w:cs="Arial" w:eastAsia="Arial" w:hAnsi="Arial"/>
          <w:sz w:val="15"/>
          <w:szCs w:val="15"/>
          <w:color w:val="auto"/>
        </w:rPr>
      </w:pPr>
    </w:p>
    <w:p>
      <w:pPr>
        <w:ind w:left="780" w:right="20" w:hanging="331"/>
        <w:spacing w:after="0" w:line="257"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111760</wp:posOffset>
            </wp:positionV>
            <wp:extent cx="1149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353" w:lineRule="exact"/>
        <w:rPr>
          <w:sz w:val="20"/>
          <w:szCs w:val="20"/>
          <w:color w:val="auto"/>
        </w:rPr>
      </w:pPr>
    </w:p>
    <w:p>
      <w:pPr>
        <w:ind w:left="440" w:right="140" w:firstLine="335"/>
        <w:spacing w:after="0" w:line="32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75565</wp:posOffset>
            </wp:positionV>
            <wp:extent cx="5753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31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115570</wp:posOffset>
            </wp:positionV>
            <wp:extent cx="575310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3100" cy="2413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948690</wp:posOffset>
            </wp:positionV>
            <wp:extent cx="63531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520"/>
          </w:cols>
          <w:pgMar w:left="960" w:top="131" w:right="1419" w:bottom="1440" w:gutter="0" w:footer="0" w:header="0"/>
        </w:sectPr>
      </w:pPr>
    </w:p>
    <w:bookmarkStart w:id="2" w:name="page3"/>
    <w:bookmarkEnd w:id="2"/>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EXPLANATORY NOTE</w:t>
      </w:r>
    </w:p>
    <w:p>
      <w:pPr>
        <w:spacing w:after="0" w:line="13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This registration statement contains:</w:t>
      </w:r>
    </w:p>
    <w:p>
      <w:pPr>
        <w:spacing w:after="0" w:line="106" w:lineRule="exact"/>
        <w:rPr>
          <w:sz w:val="20"/>
          <w:szCs w:val="20"/>
          <w:color w:val="auto"/>
        </w:rPr>
      </w:pPr>
    </w:p>
    <w:p>
      <w:pPr>
        <w:ind w:left="1660" w:right="759" w:hanging="161"/>
        <w:spacing w:after="0" w:line="281" w:lineRule="auto"/>
        <w:tabs>
          <w:tab w:leader="none" w:pos="1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prospectus, which covers the offering, issuance and sale by the registrant of up to a maximum aggregate offering price of $300,000,000 of the registrant’s common stock, preferred stock, debt securities and/or warrants from time to time in one or more offerings; and</w:t>
      </w:r>
    </w:p>
    <w:p>
      <w:pPr>
        <w:spacing w:after="0" w:line="57" w:lineRule="exact"/>
        <w:rPr>
          <w:rFonts w:ascii="Arial" w:cs="Arial" w:eastAsia="Arial" w:hAnsi="Arial"/>
          <w:sz w:val="16"/>
          <w:szCs w:val="16"/>
          <w:color w:val="auto"/>
        </w:rPr>
      </w:pPr>
    </w:p>
    <w:p>
      <w:pPr>
        <w:ind w:left="1660" w:right="699" w:hanging="161"/>
        <w:spacing w:after="0"/>
        <w:tabs>
          <w:tab w:leader="none" w:pos="1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sales agreement prospectus, which covers the offering, issuance and sale by the registrant of up to a maximum aggregate offering price of $75,000,000 of the registrant’s common stock that may be issued and sold from time to time under the Controlled Equity Offering</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Sales Agreement, dated August 10, 2021, with Cantor Fitzgerald &amp; Co. and RBC Capital Markets, LLC.</w:t>
      </w:r>
    </w:p>
    <w:p>
      <w:pPr>
        <w:spacing w:after="0" w:line="127" w:lineRule="exact"/>
        <w:rPr>
          <w:sz w:val="20"/>
          <w:szCs w:val="20"/>
          <w:color w:val="auto"/>
        </w:rPr>
      </w:pPr>
    </w:p>
    <w:p>
      <w:pPr>
        <w:ind w:left="1160" w:right="719" w:firstLine="335"/>
        <w:spacing w:after="0" w:line="284" w:lineRule="auto"/>
        <w:rPr>
          <w:sz w:val="20"/>
          <w:szCs w:val="20"/>
          <w:color w:val="auto"/>
        </w:rPr>
      </w:pPr>
      <w:r>
        <w:rPr>
          <w:rFonts w:ascii="Arial" w:cs="Arial" w:eastAsia="Arial" w:hAnsi="Arial"/>
          <w:sz w:val="15"/>
          <w:szCs w:val="15"/>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$75,000,000 of common stock that may be offered, issued and sold by the registrant under the sales agreement prospectus is included in the $300,000,000 of securities that may be offered, issued and sold by the registrant under the base prospectus. In connection with such offers and when accompanied by the base prospectus included in the registration statement of which this prospectus forms a part, such sales agreement prospectus will be deemed a prospectus supplement to such base prospectus. Upon termination of the sales agreement with Cantor Fitzgerald &amp; Co. and RBC Capital Markets, LLC, any portion of the $75,000,000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$300,000,000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4438650</wp:posOffset>
            </wp:positionV>
            <wp:extent cx="63531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 w:name="page4"/>
    <w:bookmarkEnd w:id="3"/>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ectPr>
          <w:pgSz w:w="11900" w:h="16838" w:orient="portrait"/>
          <w:cols w:equalWidth="0" w:num="1">
            <w:col w:w="9499"/>
          </w:cols>
          <w:pgMar w:left="960" w:top="132" w:right="1440" w:bottom="1440" w:gutter="0" w:footer="0" w:header="0"/>
        </w:sectPr>
      </w:pPr>
    </w:p>
    <w:p>
      <w:pPr>
        <w:spacing w:after="0" w:line="397" w:lineRule="exact"/>
        <w:rPr>
          <w:sz w:val="20"/>
          <w:szCs w:val="20"/>
          <w:color w:val="auto"/>
        </w:rPr>
      </w:pPr>
    </w:p>
    <w:tbl>
      <w:tblPr>
        <w:tblLayout w:type="fixed"/>
        <w:tblInd w:w="820" w:type="dxa"/>
        <w:tblCellMar>
          <w:top w:w="0" w:type="dxa"/>
          <w:left w:w="0" w:type="dxa"/>
          <w:bottom w:w="0" w:type="dxa"/>
          <w:right w:w="0" w:type="dxa"/>
        </w:tblCellMar>
      </w:tblPr>
      <w:tr>
        <w:trPr>
          <w:trHeight w:val="2573"/>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until the registration statement filed with</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in any state where such</w:t>
            </w:r>
          </w:p>
        </w:tc>
        <w:tc>
          <w:tcPr>
            <w:tcW w:w="140" w:type="dxa"/>
            <w:vAlign w:val="bottom"/>
          </w:tcPr>
          <w:p>
            <w:pPr>
              <w:spacing w:after="0"/>
              <w:rPr>
                <w:sz w:val="24"/>
                <w:szCs w:val="24"/>
                <w:color w:val="auto"/>
              </w:rPr>
            </w:pPr>
          </w:p>
        </w:tc>
      </w:tr>
      <w:tr>
        <w:trPr>
          <w:trHeight w:val="147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to buy these securities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soliciting offers to buy</w:t>
            </w:r>
          </w:p>
        </w:tc>
        <w:tc>
          <w:tcPr>
            <w:tcW w:w="140" w:type="dxa"/>
            <w:vAlign w:val="bottom"/>
          </w:tcPr>
          <w:p>
            <w:pPr>
              <w:spacing w:after="0"/>
              <w:rPr>
                <w:sz w:val="24"/>
                <w:szCs w:val="24"/>
                <w:color w:val="auto"/>
              </w:rPr>
            </w:pPr>
          </w:p>
        </w:tc>
      </w:tr>
      <w:tr>
        <w:trPr>
          <w:trHeight w:val="5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 offer</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it is not</w:t>
            </w:r>
          </w:p>
        </w:tc>
        <w:tc>
          <w:tcPr>
            <w:tcW w:w="140" w:type="dxa"/>
            <w:vAlign w:val="bottom"/>
          </w:tcPr>
          <w:p>
            <w:pPr>
              <w:spacing w:after="0"/>
              <w:rPr>
                <w:sz w:val="24"/>
                <w:szCs w:val="24"/>
                <w:color w:val="auto"/>
              </w:rPr>
            </w:pPr>
          </w:p>
        </w:tc>
      </w:tr>
      <w:tr>
        <w:trPr>
          <w:trHeight w:val="16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or accept</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sell these securities, and</w:t>
            </w:r>
          </w:p>
        </w:tc>
        <w:tc>
          <w:tcPr>
            <w:tcW w:w="140" w:type="dxa"/>
            <w:vAlign w:val="bottom"/>
          </w:tcPr>
          <w:p>
            <w:pPr>
              <w:spacing w:after="0"/>
              <w:rPr>
                <w:sz w:val="24"/>
                <w:szCs w:val="24"/>
                <w:color w:val="auto"/>
              </w:rPr>
            </w:pPr>
          </w:p>
        </w:tc>
      </w:tr>
      <w:tr>
        <w:trPr>
          <w:trHeight w:val="50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not sell</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to</w:t>
            </w:r>
          </w:p>
        </w:tc>
        <w:tc>
          <w:tcPr>
            <w:tcW w:w="140" w:type="dxa"/>
            <w:vAlign w:val="bottom"/>
          </w:tcPr>
          <w:p>
            <w:pPr>
              <w:spacing w:after="0"/>
              <w:rPr>
                <w:sz w:val="24"/>
                <w:szCs w:val="24"/>
                <w:color w:val="auto"/>
              </w:rPr>
            </w:pPr>
          </w:p>
        </w:tc>
      </w:tr>
      <w:tr>
        <w:trPr>
          <w:trHeight w:val="135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be changed. We may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prospectus is not an</w:t>
            </w:r>
          </w:p>
        </w:tc>
        <w:tc>
          <w:tcPr>
            <w:tcW w:w="140" w:type="dxa"/>
            <w:vAlign w:val="bottom"/>
          </w:tcPr>
          <w:p>
            <w:pPr>
              <w:spacing w:after="0"/>
              <w:rPr>
                <w:sz w:val="24"/>
                <w:szCs w:val="24"/>
                <w:color w:val="auto"/>
              </w:rPr>
            </w:pPr>
          </w:p>
        </w:tc>
      </w:tr>
      <w:tr>
        <w:trPr>
          <w:trHeight w:val="260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this prospectus is not complete and may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permitted.</w:t>
            </w:r>
          </w:p>
        </w:tc>
      </w:tr>
      <w:tr>
        <w:trPr>
          <w:trHeight w:val="11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Securities and</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FC0014"/>
        </w:rPr>
        <w:t>SUBJECT TO COMPLETION, DATED AUGUST 10,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117475</wp:posOffset>
            </wp:positionV>
            <wp:extent cx="2657475" cy="726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$300,000,000</w:t>
      </w:r>
    </w:p>
    <w:p>
      <w:pPr>
        <w:spacing w:after="0" w:line="201" w:lineRule="exact"/>
        <w:rPr>
          <w:sz w:val="20"/>
          <w:szCs w:val="20"/>
          <w:color w:val="auto"/>
        </w:rPr>
      </w:pPr>
    </w:p>
    <w:p>
      <w:pPr>
        <w:ind w:left="3060"/>
        <w:spacing w:after="0"/>
        <w:rPr>
          <w:sz w:val="20"/>
          <w:szCs w:val="20"/>
          <w:color w:val="auto"/>
        </w:rPr>
      </w:pPr>
      <w:r>
        <w:rPr>
          <w:rFonts w:ascii="Arial" w:cs="Arial" w:eastAsia="Arial" w:hAnsi="Arial"/>
          <w:sz w:val="23"/>
          <w:szCs w:val="23"/>
          <w:b w:val="1"/>
          <w:bCs w:val="1"/>
          <w:color w:val="auto"/>
        </w:rPr>
        <w:t>Common Stock</w:t>
      </w:r>
    </w:p>
    <w:p>
      <w:pPr>
        <w:spacing w:after="0" w:line="25" w:lineRule="exact"/>
        <w:rPr>
          <w:sz w:val="20"/>
          <w:szCs w:val="20"/>
          <w:color w:val="auto"/>
        </w:rPr>
      </w:pPr>
    </w:p>
    <w:p>
      <w:pPr>
        <w:ind w:left="3040"/>
        <w:spacing w:after="0"/>
        <w:rPr>
          <w:sz w:val="20"/>
          <w:szCs w:val="20"/>
          <w:color w:val="auto"/>
        </w:rPr>
      </w:pPr>
      <w:r>
        <w:rPr>
          <w:rFonts w:ascii="Arial" w:cs="Arial" w:eastAsia="Arial" w:hAnsi="Arial"/>
          <w:sz w:val="23"/>
          <w:szCs w:val="23"/>
          <w:b w:val="1"/>
          <w:bCs w:val="1"/>
          <w:color w:val="auto"/>
        </w:rPr>
        <w:t>Preferred Stock</w:t>
      </w:r>
    </w:p>
    <w:p>
      <w:pPr>
        <w:ind w:left="3080"/>
        <w:spacing w:after="0"/>
        <w:rPr>
          <w:sz w:val="20"/>
          <w:szCs w:val="20"/>
          <w:color w:val="auto"/>
        </w:rPr>
      </w:pPr>
      <w:r>
        <w:rPr>
          <w:rFonts w:ascii="Arial" w:cs="Arial" w:eastAsia="Arial" w:hAnsi="Arial"/>
          <w:sz w:val="23"/>
          <w:szCs w:val="23"/>
          <w:b w:val="1"/>
          <w:bCs w:val="1"/>
          <w:color w:val="auto"/>
        </w:rPr>
        <w:t>Debt Securities</w:t>
      </w:r>
    </w:p>
    <w:p>
      <w:pPr>
        <w:ind w:left="3360"/>
        <w:spacing w:after="0"/>
        <w:rPr>
          <w:sz w:val="20"/>
          <w:szCs w:val="20"/>
          <w:color w:val="auto"/>
        </w:rPr>
      </w:pPr>
      <w:r>
        <w:rPr>
          <w:rFonts w:ascii="Arial" w:cs="Arial" w:eastAsia="Arial" w:hAnsi="Arial"/>
          <w:sz w:val="23"/>
          <w:szCs w:val="23"/>
          <w:b w:val="1"/>
          <w:bCs w:val="1"/>
          <w:color w:val="auto"/>
        </w:rPr>
        <w:t>Warrants</w:t>
      </w:r>
    </w:p>
    <w:p>
      <w:pPr>
        <w:spacing w:after="0" w:line="45" w:lineRule="exact"/>
        <w:rPr>
          <w:sz w:val="20"/>
          <w:szCs w:val="20"/>
          <w:color w:val="auto"/>
        </w:rPr>
      </w:pPr>
    </w:p>
    <w:p>
      <w:pPr>
        <w:ind w:right="499" w:firstLine="335"/>
        <w:spacing w:after="0" w:line="254" w:lineRule="auto"/>
        <w:rPr>
          <w:sz w:val="20"/>
          <w:szCs w:val="20"/>
          <w:color w:val="auto"/>
        </w:rPr>
      </w:pPr>
      <w:r>
        <w:rPr>
          <w:rFonts w:ascii="Arial" w:cs="Arial" w:eastAsia="Arial" w:hAnsi="Arial"/>
          <w:sz w:val="17"/>
          <w:szCs w:val="17"/>
          <w:color w:val="auto"/>
        </w:rPr>
        <w:t>From time to time, we may offer and sell up to $300,000,000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52" w:lineRule="exact"/>
        <w:rPr>
          <w:sz w:val="20"/>
          <w:szCs w:val="20"/>
          <w:color w:val="auto"/>
        </w:rPr>
      </w:pPr>
    </w:p>
    <w:p>
      <w:pPr>
        <w:ind w:right="599" w:firstLine="335"/>
        <w:spacing w:after="0" w:line="268" w:lineRule="auto"/>
        <w:rPr>
          <w:sz w:val="20"/>
          <w:szCs w:val="20"/>
          <w:color w:val="auto"/>
        </w:rPr>
      </w:pPr>
      <w:r>
        <w:rPr>
          <w:rFonts w:ascii="Arial" w:cs="Arial" w:eastAsia="Arial" w:hAnsi="Arial"/>
          <w:sz w:val="16"/>
          <w:szCs w:val="16"/>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28" w:lineRule="exact"/>
        <w:rPr>
          <w:sz w:val="20"/>
          <w:szCs w:val="20"/>
          <w:color w:val="auto"/>
        </w:rPr>
      </w:pPr>
    </w:p>
    <w:p>
      <w:pPr>
        <w:ind w:right="1119" w:firstLine="335"/>
        <w:spacing w:after="0" w:line="273" w:lineRule="auto"/>
        <w:rPr>
          <w:sz w:val="20"/>
          <w:szCs w:val="20"/>
          <w:color w:val="auto"/>
        </w:rPr>
      </w:pPr>
      <w:r>
        <w:rPr>
          <w:rFonts w:ascii="Arial" w:cs="Arial" w:eastAsia="Arial" w:hAnsi="Arial"/>
          <w:sz w:val="17"/>
          <w:szCs w:val="17"/>
          <w:b w:val="1"/>
          <w:bCs w:val="1"/>
          <w:color w:val="auto"/>
        </w:rPr>
        <w:t>This prospectus may not be used to consummate a sale of any securities unless accompanied by a prospectus supplement.</w:t>
      </w:r>
    </w:p>
    <w:p>
      <w:pPr>
        <w:spacing w:after="0" w:line="24" w:lineRule="exact"/>
        <w:rPr>
          <w:sz w:val="20"/>
          <w:szCs w:val="20"/>
          <w:color w:val="auto"/>
        </w:rPr>
      </w:pPr>
    </w:p>
    <w:p>
      <w:pPr>
        <w:ind w:right="519" w:firstLine="335"/>
        <w:spacing w:after="0" w:line="267" w:lineRule="auto"/>
        <w:rPr>
          <w:sz w:val="20"/>
          <w:szCs w:val="20"/>
          <w:color w:val="auto"/>
        </w:rPr>
      </w:pPr>
      <w:r>
        <w:rPr>
          <w:rFonts w:ascii="Arial" w:cs="Arial" w:eastAsia="Arial" w:hAnsi="Arial"/>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46" w:lineRule="exact"/>
        <w:rPr>
          <w:sz w:val="20"/>
          <w:szCs w:val="20"/>
          <w:color w:val="auto"/>
        </w:rPr>
      </w:pPr>
    </w:p>
    <w:p>
      <w:pPr>
        <w:ind w:right="419" w:firstLine="335"/>
        <w:spacing w:after="0" w:line="275" w:lineRule="auto"/>
        <w:rPr>
          <w:sz w:val="20"/>
          <w:szCs w:val="20"/>
          <w:color w:val="auto"/>
        </w:rPr>
      </w:pPr>
      <w:r>
        <w:rPr>
          <w:rFonts w:ascii="Arial" w:cs="Arial" w:eastAsia="Arial" w:hAnsi="Arial"/>
          <w:sz w:val="16"/>
          <w:szCs w:val="16"/>
          <w:color w:val="auto"/>
        </w:rPr>
        <w:t>Our common stock is traded on The Nasdaq Global Market under the symbol “MRKR.” On August 6, 2021, the last reported sale price of our common stock was $2.07 per share. The applicable prospectus supplement will contain information, where applicable, as to any other listing on The Nasdaq Global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31115</wp:posOffset>
            </wp:positionV>
            <wp:extent cx="1149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67" w:lineRule="exact"/>
        <w:rPr>
          <w:sz w:val="20"/>
          <w:szCs w:val="20"/>
          <w:color w:val="auto"/>
        </w:rPr>
      </w:pPr>
    </w:p>
    <w:p>
      <w:pPr>
        <w:ind w:right="399" w:firstLine="335"/>
        <w:spacing w:after="0" w:line="271" w:lineRule="auto"/>
        <w:rPr>
          <w:rFonts w:ascii="Arial" w:cs="Arial" w:eastAsia="Arial" w:hAnsi="Arial"/>
          <w:sz w:val="16"/>
          <w:szCs w:val="16"/>
          <w:b w:val="1"/>
          <w:bCs w:val="1"/>
          <w:i w:val="1"/>
          <w:iCs w:val="1"/>
          <w:color w:val="0000EE"/>
        </w:rPr>
      </w:pPr>
      <w:r>
        <w:rPr>
          <w:rFonts w:ascii="Arial" w:cs="Arial" w:eastAsia="Arial" w:hAnsi="Arial"/>
          <w:sz w:val="16"/>
          <w:szCs w:val="16"/>
          <w:b w:val="1"/>
          <w:bCs w:val="1"/>
          <w:i w:val="1"/>
          <w:iCs w:val="1"/>
          <w:color w:val="auto"/>
        </w:rPr>
        <w:t xml:space="preserve">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w:t>
      </w:r>
      <w:hyperlink w:anchor="page11">
        <w:r>
          <w:rPr>
            <w:rFonts w:ascii="Arial" w:cs="Arial" w:eastAsia="Arial" w:hAnsi="Arial"/>
            <w:sz w:val="16"/>
            <w:szCs w:val="16"/>
            <w:b w:val="1"/>
            <w:bCs w:val="1"/>
            <w:i w:val="1"/>
            <w:iCs w:val="1"/>
            <w:u w:val="single" w:color="auto"/>
            <w:color w:val="0000EE"/>
          </w:rPr>
          <w:t>6</w:t>
        </w:r>
        <w:r>
          <w:rPr>
            <w:rFonts w:ascii="Arial" w:cs="Arial" w:eastAsia="Arial" w:hAnsi="Arial"/>
            <w:sz w:val="16"/>
            <w:szCs w:val="16"/>
            <w:b w:val="1"/>
            <w:bCs w:val="1"/>
            <w:i w:val="1"/>
            <w:iCs w:val="1"/>
            <w:color w:val="0000EE"/>
          </w:rPr>
          <w:t xml:space="preserve"> </w:t>
        </w:r>
      </w:hyperlink>
      <w:r>
        <w:rPr>
          <w:rFonts w:ascii="Arial" w:cs="Arial" w:eastAsia="Arial" w:hAnsi="Arial"/>
          <w:sz w:val="16"/>
          <w:szCs w:val="16"/>
          <w:b w:val="1"/>
          <w:bCs w:val="1"/>
          <w:i w:val="1"/>
          <w:iCs w:val="1"/>
          <w:color w:val="000000"/>
        </w:rPr>
        <w:t>of</w:t>
      </w:r>
      <w:r>
        <w:rPr>
          <w:rFonts w:ascii="Arial" w:cs="Arial" w:eastAsia="Arial" w:hAnsi="Arial"/>
          <w:sz w:val="16"/>
          <w:szCs w:val="16"/>
          <w:b w:val="1"/>
          <w:bCs w:val="1"/>
          <w:i w:val="1"/>
          <w:iCs w:val="1"/>
          <w:color w:val="0000EE"/>
        </w:rPr>
        <w:t xml:space="preserve"> </w:t>
      </w:r>
      <w:r>
        <w:rPr>
          <w:rFonts w:ascii="Arial" w:cs="Arial" w:eastAsia="Arial" w:hAnsi="Arial"/>
          <w:sz w:val="16"/>
          <w:szCs w:val="16"/>
          <w:b w:val="1"/>
          <w:bCs w:val="1"/>
          <w:i w:val="1"/>
          <w:iCs w:val="1"/>
          <w:color w:val="000000"/>
        </w:rPr>
        <w:t>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34290</wp:posOffset>
            </wp:positionV>
            <wp:extent cx="11493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69" w:lineRule="exact"/>
        <w:rPr>
          <w:sz w:val="20"/>
          <w:szCs w:val="20"/>
          <w:color w:val="auto"/>
        </w:rPr>
      </w:pPr>
    </w:p>
    <w:p>
      <w:pPr>
        <w:jc w:val="both"/>
        <w:ind w:right="559" w:firstLine="335"/>
        <w:spacing w:after="0" w:line="25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41275</wp:posOffset>
            </wp:positionV>
            <wp:extent cx="11493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309" w:lineRule="exact"/>
        <w:rPr>
          <w:sz w:val="20"/>
          <w:szCs w:val="20"/>
          <w:color w:val="auto"/>
        </w:rPr>
      </w:pPr>
    </w:p>
    <w:tbl>
      <w:tblPr>
        <w:tblLayout w:type="fixed"/>
        <w:tblInd w:w="2100" w:type="dxa"/>
        <w:tblCellMar>
          <w:top w:w="0" w:type="dxa"/>
          <w:left w:w="0" w:type="dxa"/>
          <w:bottom w:w="0" w:type="dxa"/>
          <w:right w:w="0" w:type="dxa"/>
        </w:tblCellMar>
      </w:tblPr>
      <w:tr>
        <w:trPr>
          <w:trHeight w:val="213"/>
        </w:trPr>
        <w:tc>
          <w:tcPr>
            <w:tcW w:w="2520" w:type="dxa"/>
            <w:vAlign w:val="bottom"/>
          </w:tcPr>
          <w:p>
            <w:pPr>
              <w:spacing w:after="0"/>
              <w:rPr>
                <w:sz w:val="20"/>
                <w:szCs w:val="20"/>
                <w:color w:val="auto"/>
              </w:rPr>
            </w:pPr>
            <w:r>
              <w:rPr>
                <w:rFonts w:ascii="Arial" w:cs="Arial" w:eastAsia="Arial" w:hAnsi="Arial"/>
                <w:sz w:val="17"/>
                <w:szCs w:val="17"/>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7"/>
                <w:szCs w:val="17"/>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43180</wp:posOffset>
            </wp:positionV>
            <wp:extent cx="63277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7775" cy="41275"/>
                    </a:xfrm>
                    <a:prstGeom prst="rect">
                      <a:avLst/>
                    </a:prstGeom>
                    <a:noFill/>
                  </pic:spPr>
                </pic:pic>
              </a:graphicData>
            </a:graphic>
          </wp:anchor>
        </w:drawing>
      </w:r>
    </w:p>
    <w:p>
      <w:pPr>
        <w:sectPr>
          <w:pgSz w:w="11900" w:h="16838" w:orient="portrait"/>
          <w:cols w:equalWidth="0" w:num="2">
            <w:col w:w="1240" w:space="220"/>
            <w:col w:w="8039"/>
          </w:cols>
          <w:pgMar w:left="960" w:top="132" w:right="1440" w:bottom="1440" w:gutter="0" w:footer="0" w:header="0"/>
          <w:type w:val="continuous"/>
        </w:sectPr>
      </w:pPr>
    </w:p>
    <w:bookmarkStart w:id="4" w:name="page5"/>
    <w:bookmarkEnd w:id="4"/>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ind w:left="40"/>
              <w:spacing w:after="0"/>
              <w:rPr>
                <w:sz w:val="20"/>
                <w:szCs w:val="20"/>
                <w:color w:val="auto"/>
              </w:rPr>
            </w:pPr>
            <w:r>
              <w:rPr>
                <w:rFonts w:ascii="Arial" w:cs="Arial" w:eastAsia="Arial" w:hAnsi="Arial"/>
                <w:sz w:val="17"/>
                <w:szCs w:val="17"/>
                <w:b w:val="1"/>
                <w:bCs w:val="1"/>
                <w:color w:val="auto"/>
              </w:rPr>
              <w:t>TABLE OF CONTENTS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120" w:type="dxa"/>
            <w:vAlign w:val="bottom"/>
            <w:gridSpan w:val="13"/>
            <w:shd w:val="clear" w:color="auto" w:fill="CCEEFF"/>
          </w:tcPr>
          <w:p>
            <w:pPr>
              <w:spacing w:after="0" w:line="151" w:lineRule="exact"/>
              <w:rPr>
                <w:rFonts w:ascii="Arial" w:cs="Arial" w:eastAsia="Arial" w:hAnsi="Arial"/>
                <w:sz w:val="17"/>
                <w:szCs w:val="17"/>
                <w:color w:val="0000EE"/>
              </w:rPr>
            </w:pPr>
            <w:hyperlink w:anchor="page5">
              <w:r>
                <w:rPr>
                  <w:rFonts w:ascii="Arial" w:cs="Arial" w:eastAsia="Arial" w:hAnsi="Arial"/>
                  <w:sz w:val="17"/>
                  <w:szCs w:val="17"/>
                  <w:color w:val="0000EE"/>
                </w:rPr>
                <w:t>ABOUT THIS PROSPECTUS</w:t>
              </w:r>
            </w:hyperlink>
          </w:p>
        </w:tc>
        <w:tc>
          <w:tcPr>
            <w:tcW w:w="2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40"/>
              <w:spacing w:after="0" w:line="151" w:lineRule="exact"/>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i</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0000EE"/>
            </w:tcBorders>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SUMMARY</w:t>
              </w:r>
            </w:hyperlink>
          </w:p>
        </w:tc>
        <w:tc>
          <w:tcPr>
            <w:tcW w:w="3000" w:type="dxa"/>
            <w:vAlign w:val="bottom"/>
            <w:tcBorders>
              <w:top w:val="single" w:sz="8" w:color="CCEEFF"/>
            </w:tcBorders>
            <w:gridSpan w:val="6"/>
          </w:tcPr>
          <w:p>
            <w:pPr>
              <w:spacing w:after="0"/>
              <w:rPr>
                <w:sz w:val="17"/>
                <w:szCs w:val="17"/>
                <w:color w:val="auto"/>
              </w:rPr>
            </w:pPr>
          </w:p>
        </w:tc>
        <w:tc>
          <w:tcPr>
            <w:tcW w:w="2500" w:type="dxa"/>
            <w:vAlign w:val="bottom"/>
            <w:tcBorders>
              <w:top w:val="single" w:sz="8" w:color="CCEEFF"/>
            </w:tcBorders>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13"/>
            <w:shd w:val="clear" w:color="auto" w:fill="CCEEFF"/>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RISK FACTORS</w:t>
              </w:r>
            </w:hyperlink>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gridSpan w:val="14"/>
          </w:tcPr>
          <w:p>
            <w:pPr>
              <w:spacing w:after="0"/>
              <w:rPr>
                <w:rFonts w:ascii="Arial" w:cs="Arial" w:eastAsia="Arial" w:hAnsi="Arial"/>
                <w:sz w:val="17"/>
                <w:szCs w:val="17"/>
                <w:color w:val="0000EE"/>
                <w:w w:val="97"/>
              </w:rPr>
            </w:pPr>
            <w:hyperlink w:anchor="page12">
              <w:r>
                <w:rPr>
                  <w:rFonts w:ascii="Arial" w:cs="Arial" w:eastAsia="Arial" w:hAnsi="Arial"/>
                  <w:sz w:val="17"/>
                  <w:szCs w:val="17"/>
                  <w:color w:val="0000EE"/>
                  <w:w w:val="97"/>
                </w:rPr>
                <w:t>SPECIAL NOTE REGARDING FORWARD-LOOKING STATEMENTS</w:t>
              </w:r>
            </w:hyperlink>
          </w:p>
        </w:tc>
        <w:tc>
          <w:tcPr>
            <w:tcW w:w="2500" w:type="dxa"/>
            <w:vAlign w:val="bottom"/>
            <w:gridSpan w:val="3"/>
          </w:tcPr>
          <w:p>
            <w:pPr>
              <w:jc w:val="right"/>
              <w:spacing w:after="0"/>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13"/>
            <w:shd w:val="clear" w:color="auto" w:fill="CCEEFF"/>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USE OF PROCEEDS</w:t>
              </w:r>
            </w:hyperlink>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gridSpan w:val="14"/>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DESCRIPTION OF CAPITAL STOCK</w:t>
              </w:r>
            </w:hyperlink>
          </w:p>
        </w:tc>
        <w:tc>
          <w:tcPr>
            <w:tcW w:w="2500" w:type="dxa"/>
            <w:vAlign w:val="bottom"/>
            <w:gridSpan w:val="3"/>
          </w:tcPr>
          <w:p>
            <w:pPr>
              <w:jc w:val="right"/>
              <w:spacing w:after="0"/>
              <w:rPr>
                <w:rFonts w:ascii="Arial" w:cs="Arial" w:eastAsia="Arial" w:hAnsi="Arial"/>
                <w:sz w:val="17"/>
                <w:szCs w:val="17"/>
                <w:color w:val="0000EE"/>
              </w:rPr>
            </w:pPr>
            <w:hyperlink w:anchor="page15">
              <w:r>
                <w:rPr>
                  <w:rFonts w:ascii="Arial" w:cs="Arial" w:eastAsia="Arial" w:hAnsi="Arial"/>
                  <w:sz w:val="17"/>
                  <w:szCs w:val="17"/>
                  <w:color w:val="0000EE"/>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10"/>
            <w:shd w:val="clear" w:color="auto" w:fill="CCEEFF"/>
          </w:tcPr>
          <w:p>
            <w:pPr>
              <w:spacing w:after="0"/>
              <w:rPr>
                <w:rFonts w:ascii="Arial" w:cs="Arial" w:eastAsia="Arial" w:hAnsi="Arial"/>
                <w:sz w:val="17"/>
                <w:szCs w:val="17"/>
                <w:color w:val="0000EE"/>
                <w:w w:val="95"/>
              </w:rPr>
            </w:pPr>
            <w:hyperlink w:anchor="page19">
              <w:r>
                <w:rPr>
                  <w:rFonts w:ascii="Arial" w:cs="Arial" w:eastAsia="Arial" w:hAnsi="Arial"/>
                  <w:sz w:val="17"/>
                  <w:szCs w:val="17"/>
                  <w:color w:val="0000EE"/>
                  <w:w w:val="95"/>
                </w:rPr>
                <w:t>DESCRIPTION OF DEBT SECURITIES</w:t>
              </w:r>
            </w:hyperlink>
          </w:p>
        </w:tc>
        <w:tc>
          <w:tcPr>
            <w:tcW w:w="2220" w:type="dxa"/>
            <w:vAlign w:val="bottom"/>
            <w:gridSpan w:val="3"/>
            <w:shd w:val="clear" w:color="auto" w:fill="CCEEFF"/>
          </w:tcPr>
          <w:p>
            <w:pPr>
              <w:spacing w:after="0"/>
              <w:rPr>
                <w:sz w:val="19"/>
                <w:szCs w:val="19"/>
                <w:color w:val="auto"/>
              </w:rPr>
            </w:pPr>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14</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920" w:type="dxa"/>
            <w:vAlign w:val="bottom"/>
            <w:gridSpan w:val="11"/>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DESCRIPTION OF WARRANTS</w:t>
              </w:r>
            </w:hyperlink>
          </w:p>
        </w:tc>
        <w:tc>
          <w:tcPr>
            <w:tcW w:w="2220" w:type="dxa"/>
            <w:vAlign w:val="bottom"/>
            <w:gridSpan w:val="3"/>
          </w:tcPr>
          <w:p>
            <w:pPr>
              <w:spacing w:after="0"/>
              <w:rPr>
                <w:sz w:val="18"/>
                <w:szCs w:val="18"/>
                <w:color w:val="auto"/>
              </w:rPr>
            </w:pPr>
          </w:p>
        </w:tc>
        <w:tc>
          <w:tcPr>
            <w:tcW w:w="2500" w:type="dxa"/>
            <w:vAlign w:val="bottom"/>
            <w:gridSpan w:val="3"/>
          </w:tcPr>
          <w:p>
            <w:pPr>
              <w:jc w:val="right"/>
              <w:spacing w:after="0"/>
              <w:rPr>
                <w:rFonts w:ascii="Arial" w:cs="Arial" w:eastAsia="Arial" w:hAnsi="Arial"/>
                <w:sz w:val="17"/>
                <w:szCs w:val="17"/>
                <w:color w:val="0000EE"/>
              </w:rPr>
            </w:pPr>
            <w:hyperlink w:anchor="page25">
              <w:r>
                <w:rPr>
                  <w:rFonts w:ascii="Arial" w:cs="Arial" w:eastAsia="Arial" w:hAnsi="Arial"/>
                  <w:sz w:val="17"/>
                  <w:szCs w:val="17"/>
                  <w:color w:val="0000EE"/>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10"/>
            <w:shd w:val="clear" w:color="auto" w:fill="CCEEFF"/>
          </w:tcPr>
          <w:p>
            <w:pPr>
              <w:spacing w:after="0"/>
              <w:rPr>
                <w:rFonts w:ascii="Arial" w:cs="Arial" w:eastAsia="Arial" w:hAnsi="Arial"/>
                <w:sz w:val="17"/>
                <w:szCs w:val="17"/>
                <w:color w:val="0000EE"/>
                <w:w w:val="96"/>
              </w:rPr>
            </w:pPr>
            <w:hyperlink w:anchor="page27">
              <w:r>
                <w:rPr>
                  <w:rFonts w:ascii="Arial" w:cs="Arial" w:eastAsia="Arial" w:hAnsi="Arial"/>
                  <w:sz w:val="17"/>
                  <w:szCs w:val="17"/>
                  <w:color w:val="0000EE"/>
                  <w:w w:val="96"/>
                </w:rPr>
                <w:t>LEGAL OWNERSHIP OF SECURITIES</w:t>
              </w:r>
            </w:hyperlink>
          </w:p>
        </w:tc>
        <w:tc>
          <w:tcPr>
            <w:tcW w:w="2220" w:type="dxa"/>
            <w:vAlign w:val="bottom"/>
            <w:gridSpan w:val="3"/>
            <w:shd w:val="clear" w:color="auto" w:fill="CCEEFF"/>
          </w:tcPr>
          <w:p>
            <w:pPr>
              <w:spacing w:after="0"/>
              <w:rPr>
                <w:sz w:val="19"/>
                <w:szCs w:val="19"/>
                <w:color w:val="auto"/>
              </w:rPr>
            </w:pPr>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gridSpan w:val="7"/>
          </w:tcPr>
          <w:p>
            <w:pPr>
              <w:spacing w:after="0"/>
              <w:rPr>
                <w:rFonts w:ascii="Arial" w:cs="Arial" w:eastAsia="Arial" w:hAnsi="Arial"/>
                <w:sz w:val="17"/>
                <w:szCs w:val="17"/>
                <w:color w:val="0000EE"/>
                <w:w w:val="99"/>
              </w:rPr>
            </w:pPr>
            <w:hyperlink w:anchor="page30">
              <w:r>
                <w:rPr>
                  <w:rFonts w:ascii="Arial" w:cs="Arial" w:eastAsia="Arial" w:hAnsi="Arial"/>
                  <w:sz w:val="17"/>
                  <w:szCs w:val="17"/>
                  <w:color w:val="0000EE"/>
                  <w:w w:val="99"/>
                </w:rPr>
                <w:t>PLAN OF DISTRIBUTION</w:t>
              </w:r>
            </w:hyperlink>
          </w:p>
        </w:tc>
        <w:tc>
          <w:tcPr>
            <w:tcW w:w="940" w:type="dxa"/>
            <w:vAlign w:val="bottom"/>
            <w:gridSpan w:val="4"/>
          </w:tcPr>
          <w:p>
            <w:pPr>
              <w:spacing w:after="0"/>
              <w:rPr>
                <w:sz w:val="18"/>
                <w:szCs w:val="18"/>
                <w:color w:val="auto"/>
              </w:rPr>
            </w:pPr>
          </w:p>
        </w:tc>
        <w:tc>
          <w:tcPr>
            <w:tcW w:w="2220" w:type="dxa"/>
            <w:vAlign w:val="bottom"/>
            <w:gridSpan w:val="3"/>
          </w:tcPr>
          <w:p>
            <w:pPr>
              <w:spacing w:after="0"/>
              <w:rPr>
                <w:sz w:val="18"/>
                <w:szCs w:val="18"/>
                <w:color w:val="auto"/>
              </w:rPr>
            </w:pPr>
          </w:p>
        </w:tc>
        <w:tc>
          <w:tcPr>
            <w:tcW w:w="2500" w:type="dxa"/>
            <w:vAlign w:val="bottom"/>
            <w:gridSpan w:val="3"/>
          </w:tcPr>
          <w:p>
            <w:pPr>
              <w:jc w:val="right"/>
              <w:spacing w:after="0"/>
              <w:rPr>
                <w:rFonts w:ascii="Arial" w:cs="Arial" w:eastAsia="Arial" w:hAnsi="Arial"/>
                <w:sz w:val="17"/>
                <w:szCs w:val="17"/>
                <w:color w:val="0000EE"/>
              </w:rPr>
            </w:pPr>
            <w:hyperlink w:anchor="page30">
              <w:r>
                <w:rPr>
                  <w:rFonts w:ascii="Arial" w:cs="Arial" w:eastAsia="Arial" w:hAnsi="Arial"/>
                  <w:sz w:val="17"/>
                  <w:szCs w:val="17"/>
                  <w:color w:val="0000EE"/>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gridSpan w:val="4"/>
            <w:shd w:val="clear" w:color="auto" w:fill="CCEEFF"/>
          </w:tcPr>
          <w:p>
            <w:pPr>
              <w:spacing w:after="0"/>
              <w:rPr>
                <w:rFonts w:ascii="Arial" w:cs="Arial" w:eastAsia="Arial" w:hAnsi="Arial"/>
                <w:sz w:val="17"/>
                <w:szCs w:val="17"/>
                <w:color w:val="0000EE"/>
                <w:w w:val="96"/>
              </w:rPr>
            </w:pPr>
            <w:hyperlink w:anchor="page32">
              <w:r>
                <w:rPr>
                  <w:rFonts w:ascii="Arial" w:cs="Arial" w:eastAsia="Arial" w:hAnsi="Arial"/>
                  <w:sz w:val="17"/>
                  <w:szCs w:val="17"/>
                  <w:color w:val="0000EE"/>
                  <w:w w:val="96"/>
                </w:rPr>
                <w:t>LEGAL MATTERS</w:t>
              </w:r>
            </w:hyperlink>
          </w:p>
        </w:tc>
        <w:tc>
          <w:tcPr>
            <w:tcW w:w="580" w:type="dxa"/>
            <w:vAlign w:val="bottom"/>
            <w:gridSpan w:val="2"/>
            <w:shd w:val="clear" w:color="auto" w:fill="CCEEFF"/>
          </w:tcPr>
          <w:p>
            <w:pPr>
              <w:spacing w:after="0"/>
              <w:rPr>
                <w:sz w:val="19"/>
                <w:szCs w:val="19"/>
                <w:color w:val="auto"/>
              </w:rPr>
            </w:pPr>
          </w:p>
        </w:tc>
        <w:tc>
          <w:tcPr>
            <w:tcW w:w="3160" w:type="dxa"/>
            <w:vAlign w:val="bottom"/>
            <w:gridSpan w:val="7"/>
            <w:shd w:val="clear" w:color="auto" w:fill="CCEEFF"/>
          </w:tcPr>
          <w:p>
            <w:pPr>
              <w:spacing w:after="0"/>
              <w:rPr>
                <w:sz w:val="19"/>
                <w:szCs w:val="19"/>
                <w:color w:val="auto"/>
              </w:rPr>
            </w:pPr>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27</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740" w:type="dxa"/>
            <w:vAlign w:val="bottom"/>
            <w:gridSpan w:val="2"/>
          </w:tcPr>
          <w:p>
            <w:pPr>
              <w:spacing w:after="0"/>
              <w:rPr>
                <w:rFonts w:ascii="Arial" w:cs="Arial" w:eastAsia="Arial" w:hAnsi="Arial"/>
                <w:sz w:val="17"/>
                <w:szCs w:val="17"/>
                <w:color w:val="0000EE"/>
                <w:w w:val="90"/>
              </w:rPr>
            </w:pPr>
            <w:hyperlink w:anchor="page32">
              <w:r>
                <w:rPr>
                  <w:rFonts w:ascii="Arial" w:cs="Arial" w:eastAsia="Arial" w:hAnsi="Arial"/>
                  <w:sz w:val="17"/>
                  <w:szCs w:val="17"/>
                  <w:color w:val="0000EE"/>
                  <w:w w:val="90"/>
                </w:rPr>
                <w:t>EXPERTS</w:t>
              </w:r>
            </w:hyperlink>
          </w:p>
        </w:tc>
        <w:tc>
          <w:tcPr>
            <w:tcW w:w="660" w:type="dxa"/>
            <w:vAlign w:val="bottom"/>
            <w:gridSpan w:val="3"/>
          </w:tcPr>
          <w:p>
            <w:pPr>
              <w:spacing w:after="0"/>
              <w:rPr>
                <w:sz w:val="18"/>
                <w:szCs w:val="18"/>
                <w:color w:val="auto"/>
              </w:rPr>
            </w:pPr>
          </w:p>
        </w:tc>
        <w:tc>
          <w:tcPr>
            <w:tcW w:w="3740" w:type="dxa"/>
            <w:vAlign w:val="bottom"/>
            <w:gridSpan w:val="9"/>
          </w:tcPr>
          <w:p>
            <w:pPr>
              <w:spacing w:after="0"/>
              <w:rPr>
                <w:sz w:val="18"/>
                <w:szCs w:val="18"/>
                <w:color w:val="auto"/>
              </w:rPr>
            </w:pPr>
          </w:p>
        </w:tc>
        <w:tc>
          <w:tcPr>
            <w:tcW w:w="2500" w:type="dxa"/>
            <w:vAlign w:val="bottom"/>
            <w:gridSpan w:val="3"/>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11"/>
            <w:shd w:val="clear" w:color="auto" w:fill="CCEEFF"/>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WHERE YOU CAN FIND MORE INFORMATION</w:t>
              </w:r>
            </w:hyperlink>
          </w:p>
        </w:tc>
        <w:tc>
          <w:tcPr>
            <w:tcW w:w="1460" w:type="dxa"/>
            <w:vAlign w:val="bottom"/>
            <w:gridSpan w:val="2"/>
            <w:shd w:val="clear" w:color="auto" w:fill="CCEEFF"/>
          </w:tcPr>
          <w:p>
            <w:pPr>
              <w:spacing w:after="0"/>
              <w:rPr>
                <w:sz w:val="19"/>
                <w:szCs w:val="19"/>
                <w:color w:val="auto"/>
              </w:rPr>
            </w:pPr>
          </w:p>
        </w:tc>
        <w:tc>
          <w:tcPr>
            <w:tcW w:w="2500" w:type="dxa"/>
            <w:vAlign w:val="bottom"/>
            <w:gridSpan w:val="3"/>
            <w:shd w:val="clear" w:color="auto" w:fill="CCEEFF"/>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27</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gridSpan w:val="14"/>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INCORPORATION OF CERTAIN INFORMATION BY REFERENCE</w:t>
              </w:r>
            </w:hyperlink>
          </w:p>
        </w:tc>
        <w:tc>
          <w:tcPr>
            <w:tcW w:w="2500" w:type="dxa"/>
            <w:vAlign w:val="bottom"/>
            <w:gridSpan w:val="3"/>
          </w:tcPr>
          <w:p>
            <w:pPr>
              <w:jc w:val="right"/>
              <w:spacing w:after="0"/>
              <w:rPr>
                <w:rFonts w:ascii="Arial" w:cs="Arial" w:eastAsia="Arial" w:hAnsi="Arial"/>
                <w:sz w:val="17"/>
                <w:szCs w:val="17"/>
                <w:color w:val="0000EE"/>
              </w:rPr>
            </w:pPr>
            <w:hyperlink w:anchor="page33">
              <w:r>
                <w:rPr>
                  <w:rFonts w:ascii="Arial" w:cs="Arial" w:eastAsia="Arial" w:hAnsi="Arial"/>
                  <w:sz w:val="17"/>
                  <w:szCs w:val="17"/>
                  <w:color w:val="0000EE"/>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5173980</wp:posOffset>
            </wp:positionV>
            <wp:extent cx="63531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 w:name="page6"/>
    <w:bookmarkEnd w:id="5"/>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ABOUT THIS PROSPECTUS</w:t>
      </w:r>
    </w:p>
    <w:p>
      <w:pPr>
        <w:spacing w:after="0" w:line="135" w:lineRule="exact"/>
        <w:rPr>
          <w:sz w:val="20"/>
          <w:szCs w:val="20"/>
          <w:color w:val="auto"/>
        </w:rPr>
      </w:pPr>
    </w:p>
    <w:p>
      <w:pPr>
        <w:ind w:left="1160" w:right="699" w:firstLine="335"/>
        <w:spacing w:after="0" w:line="252" w:lineRule="auto"/>
        <w:rPr>
          <w:sz w:val="20"/>
          <w:szCs w:val="20"/>
          <w:color w:val="auto"/>
        </w:rPr>
      </w:pPr>
      <w:r>
        <w:rPr>
          <w:rFonts w:ascii="Arial" w:cs="Arial" w:eastAsia="Arial" w:hAnsi="Arial"/>
          <w:sz w:val="17"/>
          <w:szCs w:val="17"/>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$300,000,000. This prospectus provides you with a general description of the securities we may offer.</w:t>
      </w:r>
    </w:p>
    <w:p>
      <w:pPr>
        <w:spacing w:after="0" w:line="117" w:lineRule="exact"/>
        <w:rPr>
          <w:sz w:val="20"/>
          <w:szCs w:val="20"/>
          <w:color w:val="auto"/>
        </w:rPr>
      </w:pPr>
    </w:p>
    <w:p>
      <w:pPr>
        <w:ind w:left="1160" w:right="739" w:firstLine="335"/>
        <w:spacing w:after="0" w:line="267"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02" w:lineRule="exact"/>
        <w:rPr>
          <w:sz w:val="20"/>
          <w:szCs w:val="20"/>
          <w:color w:val="auto"/>
        </w:rPr>
      </w:pPr>
    </w:p>
    <w:p>
      <w:pPr>
        <w:ind w:left="1160" w:right="879" w:firstLine="335"/>
        <w:spacing w:after="0" w:line="273" w:lineRule="auto"/>
        <w:rPr>
          <w:sz w:val="20"/>
          <w:szCs w:val="20"/>
          <w:color w:val="auto"/>
        </w:rPr>
      </w:pPr>
      <w:r>
        <w:rPr>
          <w:rFonts w:ascii="Arial" w:cs="Arial" w:eastAsia="Arial" w:hAnsi="Arial"/>
          <w:sz w:val="17"/>
          <w:szCs w:val="17"/>
          <w:b w:val="1"/>
          <w:bCs w:val="1"/>
          <w:color w:val="auto"/>
        </w:rPr>
        <w:t>THIS PROSPECTUS MAY NOT BE USED TO CONSUMMATE A SALE OF SECURITIES UNLESS IT IS ACCOMPANIED BY A PROSPECTUS SUPPLEMENT.</w:t>
      </w:r>
    </w:p>
    <w:p>
      <w:pPr>
        <w:spacing w:after="0" w:line="87"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23" w:lineRule="exact"/>
        <w:rPr>
          <w:sz w:val="20"/>
          <w:szCs w:val="20"/>
          <w:color w:val="auto"/>
        </w:rPr>
      </w:pPr>
    </w:p>
    <w:p>
      <w:pPr>
        <w:ind w:left="1160" w:right="759" w:firstLine="335"/>
        <w:spacing w:after="0" w:line="251" w:lineRule="auto"/>
        <w:rPr>
          <w:sz w:val="20"/>
          <w:szCs w:val="20"/>
          <w:color w:val="auto"/>
        </w:rPr>
      </w:pPr>
      <w:r>
        <w:rPr>
          <w:rFonts w:ascii="Arial" w:cs="Arial" w:eastAsia="Arial" w:hAnsi="Arial"/>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18" w:lineRule="exact"/>
        <w:rPr>
          <w:sz w:val="20"/>
          <w:szCs w:val="20"/>
          <w:color w:val="auto"/>
        </w:rPr>
      </w:pPr>
    </w:p>
    <w:p>
      <w:pPr>
        <w:ind w:left="1160" w:right="719" w:firstLine="335"/>
        <w:spacing w:after="0" w:line="250" w:lineRule="auto"/>
        <w:rPr>
          <w:sz w:val="20"/>
          <w:szCs w:val="20"/>
          <w:color w:val="auto"/>
        </w:rPr>
      </w:pPr>
      <w:r>
        <w:rPr>
          <w:rFonts w:ascii="Arial" w:cs="Arial" w:eastAsia="Arial" w:hAnsi="Arial"/>
          <w:sz w:val="17"/>
          <w:szCs w:val="17"/>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6" w:name="page7"/>
    <w:bookmarkEnd w:id="6"/>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SUMMARY</w:t>
      </w:r>
    </w:p>
    <w:p>
      <w:pPr>
        <w:spacing w:after="0" w:line="148" w:lineRule="exact"/>
        <w:rPr>
          <w:sz w:val="20"/>
          <w:szCs w:val="20"/>
          <w:color w:val="auto"/>
        </w:rPr>
      </w:pPr>
    </w:p>
    <w:p>
      <w:pPr>
        <w:ind w:left="1180" w:right="739" w:firstLine="335"/>
        <w:spacing w:after="0" w:line="234" w:lineRule="auto"/>
        <w:rPr>
          <w:sz w:val="20"/>
          <w:szCs w:val="20"/>
          <w:color w:val="auto"/>
        </w:rPr>
      </w:pPr>
      <w:r>
        <w:rPr>
          <w:rFonts w:ascii="Arial" w:cs="Arial" w:eastAsia="Arial" w:hAnsi="Arial"/>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19" w:lineRule="exact"/>
        <w:rPr>
          <w:sz w:val="20"/>
          <w:szCs w:val="20"/>
          <w:color w:val="auto"/>
        </w:rPr>
      </w:pPr>
    </w:p>
    <w:p>
      <w:pPr>
        <w:ind w:left="1180" w:right="719" w:firstLine="335"/>
        <w:spacing w:after="0" w:line="235" w:lineRule="auto"/>
        <w:rPr>
          <w:sz w:val="20"/>
          <w:szCs w:val="20"/>
          <w:color w:val="auto"/>
        </w:rPr>
      </w:pPr>
      <w:r>
        <w:rPr>
          <w:rFonts w:ascii="Arial" w:cs="Arial" w:eastAsia="Arial" w:hAnsi="Arial"/>
          <w:sz w:val="17"/>
          <w:szCs w:val="17"/>
          <w:color w:val="auto"/>
        </w:rPr>
        <w:t>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74"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Company Overview</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Overview</w:t>
      </w:r>
    </w:p>
    <w:p>
      <w:pPr>
        <w:spacing w:after="0" w:line="135" w:lineRule="exact"/>
        <w:rPr>
          <w:sz w:val="20"/>
          <w:szCs w:val="20"/>
          <w:color w:val="auto"/>
        </w:rPr>
      </w:pPr>
    </w:p>
    <w:p>
      <w:pPr>
        <w:ind w:left="1180" w:right="699" w:firstLine="335"/>
        <w:spacing w:after="0" w:line="248" w:lineRule="auto"/>
        <w:rPr>
          <w:sz w:val="20"/>
          <w:szCs w:val="20"/>
          <w:color w:val="auto"/>
        </w:rPr>
      </w:pPr>
      <w:r>
        <w:rPr>
          <w:rFonts w:ascii="Arial" w:cs="Arial" w:eastAsia="Arial" w:hAnsi="Arial"/>
          <w:sz w:val="16"/>
          <w:szCs w:val="16"/>
          <w:color w:val="auto"/>
        </w:rPr>
        <w:t>We are a clinical -stage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14" w:lineRule="exact"/>
        <w:rPr>
          <w:sz w:val="20"/>
          <w:szCs w:val="20"/>
          <w:color w:val="auto"/>
        </w:rPr>
      </w:pPr>
    </w:p>
    <w:p>
      <w:pPr>
        <w:ind w:left="1180" w:right="699" w:firstLine="335"/>
        <w:spacing w:after="0" w:line="264" w:lineRule="auto"/>
        <w:rPr>
          <w:sz w:val="20"/>
          <w:szCs w:val="20"/>
          <w:color w:val="auto"/>
        </w:rPr>
      </w:pPr>
      <w:r>
        <w:rPr>
          <w:rFonts w:ascii="Arial" w:cs="Arial" w:eastAsia="Arial" w:hAnsi="Arial"/>
          <w:sz w:val="16"/>
          <w:szCs w:val="16"/>
          <w:color w:val="auto"/>
        </w:rPr>
        <w:t>We are pursuing post-transplant AML as the lead indication for our first company-sponsored MultiTAA-specific T cell program. In April 2020, the U.S. Food and Drug Administration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200" w:lineRule="exact"/>
        <w:rPr>
          <w:sz w:val="20"/>
          <w:szCs w:val="20"/>
          <w:color w:val="auto"/>
        </w:rPr>
      </w:pPr>
    </w:p>
    <w:p>
      <w:pPr>
        <w:spacing w:after="0" w:line="31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7" w:name="page8"/>
    <w:bookmarkEnd w:id="7"/>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679" w:firstLine="335"/>
        <w:spacing w:after="0" w:line="249" w:lineRule="auto"/>
        <w:rPr>
          <w:sz w:val="20"/>
          <w:szCs w:val="20"/>
          <w:color w:val="auto"/>
        </w:rPr>
      </w:pPr>
      <w:r>
        <w:rPr>
          <w:rFonts w:ascii="Arial" w:cs="Arial" w:eastAsia="Arial" w:hAnsi="Arial"/>
          <w:sz w:val="16"/>
          <w:szCs w:val="16"/>
          <w:color w:val="auto"/>
        </w:rPr>
        <w:t>We submitted an investigational new drug, or IND, application to the United States Food and Drug Administration, or the FDA, to initiate a Phase 2 clinical trial of MultiTAA-specific T cell therapy, which we refer to as MT-401 (zedenoleucel), in post -allogeneic HSCT patients with AML in both the adjuvant and active disease setting. The dose administered in this multicenter trial is currently 100 million cells every two weeks for three doses. In the adjuvant setting, patients will be randomized to either MultiTAA-specific T cell therapy at approximately 90 days post-transplant versus standard of care observation, while the active disease patients will receive MT-401 following relapse post- transplant as part of a single-arm group. We have completed the safety lead-in portion of the trial in June 2021. We initiated the remainder of the Phase 2 trial in July 2021 and plan to complete enrollment of approximately 20 patients and activate additional clinical sites across the United States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97" w:lineRule="exact"/>
        <w:rPr>
          <w:sz w:val="20"/>
          <w:szCs w:val="20"/>
          <w:color w:val="auto"/>
        </w:rPr>
      </w:pPr>
    </w:p>
    <w:p>
      <w:pPr>
        <w:ind w:left="1180" w:right="679" w:firstLine="335"/>
        <w:spacing w:after="0" w:line="253" w:lineRule="auto"/>
        <w:rPr>
          <w:sz w:val="20"/>
          <w:szCs w:val="20"/>
          <w:color w:val="auto"/>
        </w:rPr>
      </w:pPr>
      <w:r>
        <w:rPr>
          <w:rFonts w:ascii="Arial" w:cs="Arial" w:eastAsia="Arial" w:hAnsi="Arial"/>
          <w:sz w:val="16"/>
          <w:szCs w:val="16"/>
          <w:color w:val="auto"/>
        </w:rPr>
        <w:t>We reported interim data for an ongoing Phase 1/2 clinical trial of the MultiTAA-specific T cell therapy for the treatment of pancreatic adenocarcinoma being conducted by BCM. In this trial, we have observed a clinical benefit correlated with the post- 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05" w:lineRule="exact"/>
        <w:rPr>
          <w:sz w:val="20"/>
          <w:szCs w:val="20"/>
          <w:color w:val="auto"/>
        </w:rPr>
      </w:pPr>
    </w:p>
    <w:p>
      <w:pPr>
        <w:ind w:left="1180" w:right="739" w:firstLine="335"/>
        <w:spacing w:after="0" w:line="234"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June 2021, the MultiTAA- specific T cell therapies have been generally well tolerated by all of the patients enrolled in clinical trials in hematological and solid tumor indications with no incidents of cytokine release syndrome or neurotoxicity, which are frequently associated with CAR -T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clinical trials investigating other indications in addition to our planned Phase 2 trial in post-transplant AML patients.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Pipeline</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Our clinical-stage pipeline, including clinical trials being conducted by BCM,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Corporate Information</w:t>
      </w:r>
    </w:p>
    <w:p>
      <w:pPr>
        <w:spacing w:after="0" w:line="148" w:lineRule="exact"/>
        <w:rPr>
          <w:sz w:val="20"/>
          <w:szCs w:val="20"/>
          <w:color w:val="auto"/>
        </w:rPr>
      </w:pPr>
    </w:p>
    <w:p>
      <w:pPr>
        <w:ind w:left="1180" w:right="719" w:firstLine="335"/>
        <w:spacing w:after="0" w:line="252" w:lineRule="auto"/>
        <w:rPr>
          <w:sz w:val="20"/>
          <w:szCs w:val="20"/>
          <w:color w:val="auto"/>
        </w:rPr>
      </w:pPr>
      <w:r>
        <w:rPr>
          <w:rFonts w:ascii="Arial" w:cs="Arial" w:eastAsia="Arial" w:hAnsi="Arial"/>
          <w:sz w:val="16"/>
          <w:szCs w:val="16"/>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w:t>
      </w:r>
    </w:p>
    <w:p>
      <w:pPr>
        <w:spacing w:after="0" w:line="200" w:lineRule="exact"/>
        <w:rPr>
          <w:sz w:val="20"/>
          <w:szCs w:val="20"/>
          <w:color w:val="auto"/>
        </w:rPr>
      </w:pP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8" w:name="page9"/>
    <w:bookmarkEnd w:id="8"/>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719"/>
        <w:spacing w:after="0" w:line="251" w:lineRule="auto"/>
        <w:rPr>
          <w:sz w:val="20"/>
          <w:szCs w:val="20"/>
          <w:color w:val="auto"/>
        </w:rPr>
      </w:pPr>
      <w:r>
        <w:rPr>
          <w:rFonts w:ascii="Arial" w:cs="Arial" w:eastAsia="Arial" w:hAnsi="Arial"/>
          <w:sz w:val="16"/>
          <w:szCs w:val="16"/>
          <w:color w:val="auto"/>
        </w:rPr>
        <w:t xml:space="preserve">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2500,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Implications of Being a Smaller Reporting Company</w:t>
      </w:r>
    </w:p>
    <w:p>
      <w:pPr>
        <w:spacing w:after="0" w:line="135" w:lineRule="exact"/>
        <w:rPr>
          <w:sz w:val="20"/>
          <w:szCs w:val="20"/>
          <w:color w:val="auto"/>
        </w:rPr>
      </w:pPr>
    </w:p>
    <w:p>
      <w:pPr>
        <w:ind w:left="1180" w:right="699" w:firstLine="335"/>
        <w:spacing w:after="0" w:line="253" w:lineRule="auto"/>
        <w:rPr>
          <w:sz w:val="20"/>
          <w:szCs w:val="20"/>
          <w:color w:val="auto"/>
        </w:rPr>
      </w:pPr>
      <w:r>
        <w:rPr>
          <w:rFonts w:ascii="Arial" w:cs="Arial" w:eastAsia="Arial" w:hAnsi="Arial"/>
          <w:sz w:val="16"/>
          <w:szCs w:val="16"/>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68" w:lineRule="exact"/>
        <w:rPr>
          <w:sz w:val="20"/>
          <w:szCs w:val="20"/>
          <w:color w:val="auto"/>
        </w:rPr>
      </w:pPr>
    </w:p>
    <w:p>
      <w:pPr>
        <w:jc w:val="both"/>
        <w:ind w:left="1680" w:right="679" w:hanging="164"/>
        <w:spacing w:after="0" w:line="257" w:lineRule="auto"/>
        <w:tabs>
          <w:tab w:leader="none" w:pos="1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3" w:lineRule="exact"/>
        <w:rPr>
          <w:rFonts w:ascii="Arial" w:cs="Arial" w:eastAsia="Arial" w:hAnsi="Arial"/>
          <w:sz w:val="17"/>
          <w:szCs w:val="17"/>
          <w:color w:val="auto"/>
        </w:rPr>
      </w:pPr>
    </w:p>
    <w:p>
      <w:pPr>
        <w:ind w:left="1680" w:right="1159" w:hanging="164"/>
        <w:spacing w:after="0" w:line="268" w:lineRule="auto"/>
        <w:tabs>
          <w:tab w:leader="none" w:pos="1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 and</w:t>
      </w:r>
    </w:p>
    <w:p>
      <w:pPr>
        <w:spacing w:after="0" w:line="53" w:lineRule="exact"/>
        <w:rPr>
          <w:rFonts w:ascii="Arial" w:cs="Arial" w:eastAsia="Arial" w:hAnsi="Arial"/>
          <w:sz w:val="17"/>
          <w:szCs w:val="17"/>
          <w:color w:val="auto"/>
        </w:rPr>
      </w:pPr>
    </w:p>
    <w:p>
      <w:pPr>
        <w:ind w:left="1680" w:right="1119" w:hanging="164"/>
        <w:spacing w:after="0" w:line="268" w:lineRule="auto"/>
        <w:tabs>
          <w:tab w:leader="none" w:pos="1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w:t>
      </w:r>
    </w:p>
    <w:p>
      <w:pPr>
        <w:spacing w:after="0" w:line="163"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The Securities We May Offer</w:t>
      </w:r>
    </w:p>
    <w:p>
      <w:pPr>
        <w:spacing w:after="0" w:line="148" w:lineRule="exact"/>
        <w:rPr>
          <w:sz w:val="20"/>
          <w:szCs w:val="20"/>
          <w:color w:val="auto"/>
        </w:rPr>
      </w:pPr>
    </w:p>
    <w:p>
      <w:pPr>
        <w:ind w:left="1180" w:right="699" w:firstLine="335"/>
        <w:spacing w:after="0" w:line="251" w:lineRule="auto"/>
        <w:rPr>
          <w:sz w:val="20"/>
          <w:szCs w:val="20"/>
          <w:color w:val="auto"/>
        </w:rPr>
      </w:pPr>
      <w:r>
        <w:rPr>
          <w:rFonts w:ascii="Arial" w:cs="Arial" w:eastAsia="Arial" w:hAnsi="Arial"/>
          <w:sz w:val="16"/>
          <w:szCs w:val="16"/>
          <w:color w:val="auto"/>
        </w:rPr>
        <w:t>We may offer shares of our common stock and preferred stock, various series of debt securities and/or warrants to purchase any of such securities, either individually or in combination, up to a total aggregate offering price of $300,000,000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57" w:lineRule="exact"/>
        <w:rPr>
          <w:sz w:val="20"/>
          <w:szCs w:val="20"/>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designation or classification;</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principal amount or aggregate offering price;</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maturity;</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original issue discount, if any;</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rates and times of payment of interest or dividends, if any;</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redemption, conversion, exchange or sinking fund terms, if any;</w:t>
      </w:r>
    </w:p>
    <w:p>
      <w:pPr>
        <w:spacing w:after="0" w:line="93" w:lineRule="exact"/>
        <w:rPr>
          <w:rFonts w:ascii="Arial" w:cs="Arial" w:eastAsia="Arial" w:hAnsi="Arial"/>
          <w:sz w:val="17"/>
          <w:szCs w:val="17"/>
          <w:color w:val="auto"/>
        </w:rPr>
      </w:pPr>
    </w:p>
    <w:p>
      <w:pPr>
        <w:ind w:left="1680" w:right="979" w:hanging="164"/>
        <w:spacing w:after="0" w:line="257" w:lineRule="auto"/>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ranking;</w:t>
      </w:r>
    </w:p>
    <w:p>
      <w:pPr>
        <w:spacing w:after="0" w:line="80"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restrictive covenants, if any;</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voting or other rights, if any; and</w:t>
      </w:r>
    </w:p>
    <w:p>
      <w:pPr>
        <w:spacing w:after="0" w:line="93" w:lineRule="exact"/>
        <w:rPr>
          <w:rFonts w:ascii="Arial" w:cs="Arial" w:eastAsia="Arial" w:hAnsi="Arial"/>
          <w:sz w:val="17"/>
          <w:szCs w:val="17"/>
          <w:color w:val="auto"/>
        </w:rPr>
      </w:pPr>
    </w:p>
    <w:p>
      <w:pPr>
        <w:ind w:left="1680" w:hanging="164"/>
        <w:spacing w:after="0"/>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important U.S. federal income tax considerations.</w:t>
      </w:r>
    </w:p>
    <w:p>
      <w:pPr>
        <w:spacing w:after="0" w:line="144" w:lineRule="exact"/>
        <w:rPr>
          <w:sz w:val="20"/>
          <w:szCs w:val="20"/>
          <w:color w:val="auto"/>
        </w:rPr>
      </w:pPr>
    </w:p>
    <w:p>
      <w:pPr>
        <w:ind w:left="1180" w:right="699" w:firstLine="335"/>
        <w:spacing w:after="0" w:line="319" w:lineRule="auto"/>
        <w:rPr>
          <w:sz w:val="20"/>
          <w:szCs w:val="20"/>
          <w:color w:val="auto"/>
        </w:rPr>
      </w:pPr>
      <w:r>
        <w:rPr>
          <w:rFonts w:ascii="Arial" w:cs="Arial" w:eastAsia="Arial" w:hAnsi="Arial"/>
          <w:sz w:val="15"/>
          <w:szCs w:val="15"/>
          <w:color w:val="auto"/>
        </w:rPr>
        <w:t>The applicable prospectus supplement and any related free writing prospectus that we may authorize to be provided to you may also add, update or change information contained in this prospectus or in documents</w:t>
      </w:r>
    </w:p>
    <w:p>
      <w:pPr>
        <w:spacing w:after="0" w:line="200" w:lineRule="exact"/>
        <w:rPr>
          <w:sz w:val="20"/>
          <w:szCs w:val="20"/>
          <w:color w:val="auto"/>
        </w:rPr>
      </w:pPr>
    </w:p>
    <w:p>
      <w:pPr>
        <w:spacing w:after="0" w:line="29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9" w:name="page10"/>
    <w:bookmarkEnd w:id="9"/>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699"/>
        <w:spacing w:after="0" w:line="242" w:lineRule="auto"/>
        <w:rPr>
          <w:sz w:val="20"/>
          <w:szCs w:val="20"/>
          <w:color w:val="auto"/>
        </w:rPr>
      </w:pPr>
      <w:r>
        <w:rPr>
          <w:rFonts w:ascii="Arial" w:cs="Arial" w:eastAsia="Arial" w:hAnsi="Arial"/>
          <w:sz w:val="17"/>
          <w:szCs w:val="17"/>
          <w:color w:val="auto"/>
        </w:rPr>
        <w:t>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96" w:lineRule="exact"/>
        <w:rPr>
          <w:sz w:val="20"/>
          <w:szCs w:val="20"/>
          <w:color w:val="auto"/>
        </w:rPr>
      </w:pPr>
    </w:p>
    <w:p>
      <w:pPr>
        <w:ind w:left="1180" w:right="1419" w:firstLine="335"/>
        <w:spacing w:after="0" w:line="258" w:lineRule="auto"/>
        <w:rPr>
          <w:sz w:val="20"/>
          <w:szCs w:val="20"/>
          <w:color w:val="auto"/>
        </w:rPr>
      </w:pPr>
      <w:r>
        <w:rPr>
          <w:rFonts w:ascii="Arial" w:cs="Arial" w:eastAsia="Arial" w:hAnsi="Arial"/>
          <w:sz w:val="17"/>
          <w:szCs w:val="17"/>
          <w:b w:val="1"/>
          <w:bCs w:val="1"/>
          <w:color w:val="auto"/>
        </w:rPr>
        <w:t>This prospectus may not be used to consummate a sale of securities unless it is accompanied by a prospectus supplement.</w:t>
      </w:r>
    </w:p>
    <w:p>
      <w:pPr>
        <w:spacing w:after="0" w:line="99" w:lineRule="exact"/>
        <w:rPr>
          <w:sz w:val="20"/>
          <w:szCs w:val="20"/>
          <w:color w:val="auto"/>
        </w:rPr>
      </w:pPr>
    </w:p>
    <w:p>
      <w:pPr>
        <w:ind w:left="1180" w:right="679" w:firstLine="335"/>
        <w:spacing w:after="0" w:line="239" w:lineRule="auto"/>
        <w:rPr>
          <w:sz w:val="20"/>
          <w:szCs w:val="20"/>
          <w:color w:val="auto"/>
        </w:rPr>
      </w:pPr>
      <w:r>
        <w:rPr>
          <w:rFonts w:ascii="Arial" w:cs="Arial" w:eastAsia="Arial" w:hAnsi="Arial"/>
          <w:sz w:val="17"/>
          <w:szCs w:val="17"/>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76" w:lineRule="exact"/>
        <w:rPr>
          <w:sz w:val="20"/>
          <w:szCs w:val="20"/>
          <w:color w:val="auto"/>
        </w:rPr>
      </w:pPr>
    </w:p>
    <w:p>
      <w:pPr>
        <w:ind w:left="1680" w:hanging="164"/>
        <w:spacing w:after="0"/>
        <w:tabs>
          <w:tab w:leader="none" w:pos="1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names of those underwriters or agents;</w:t>
      </w:r>
    </w:p>
    <w:p>
      <w:pPr>
        <w:spacing w:after="0" w:line="106" w:lineRule="exact"/>
        <w:rPr>
          <w:rFonts w:ascii="Arial" w:cs="Arial" w:eastAsia="Arial" w:hAnsi="Arial"/>
          <w:sz w:val="17"/>
          <w:szCs w:val="17"/>
          <w:color w:val="auto"/>
        </w:rPr>
      </w:pPr>
    </w:p>
    <w:p>
      <w:pPr>
        <w:ind w:left="1680" w:hanging="164"/>
        <w:spacing w:after="0"/>
        <w:tabs>
          <w:tab w:leader="none" w:pos="1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applicable fees, discounts and commissions to be paid to them;</w:t>
      </w:r>
    </w:p>
    <w:p>
      <w:pPr>
        <w:spacing w:after="0" w:line="106" w:lineRule="exact"/>
        <w:rPr>
          <w:rFonts w:ascii="Arial" w:cs="Arial" w:eastAsia="Arial" w:hAnsi="Arial"/>
          <w:sz w:val="17"/>
          <w:szCs w:val="17"/>
          <w:color w:val="auto"/>
        </w:rPr>
      </w:pPr>
    </w:p>
    <w:p>
      <w:pPr>
        <w:ind w:left="1680" w:hanging="164"/>
        <w:spacing w:after="0"/>
        <w:tabs>
          <w:tab w:leader="none" w:pos="1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details regarding over-allotment options, if any; and</w:t>
      </w:r>
    </w:p>
    <w:p>
      <w:pPr>
        <w:spacing w:after="0" w:line="106" w:lineRule="exact"/>
        <w:rPr>
          <w:rFonts w:ascii="Arial" w:cs="Arial" w:eastAsia="Arial" w:hAnsi="Arial"/>
          <w:sz w:val="17"/>
          <w:szCs w:val="17"/>
          <w:color w:val="auto"/>
        </w:rPr>
      </w:pPr>
    </w:p>
    <w:p>
      <w:pPr>
        <w:ind w:left="1680" w:hanging="164"/>
        <w:spacing w:after="0"/>
        <w:tabs>
          <w:tab w:leader="none" w:pos="1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estimated net proceeds to us.</w:t>
      </w:r>
    </w:p>
    <w:p>
      <w:pPr>
        <w:spacing w:after="0" w:line="131" w:lineRule="exact"/>
        <w:rPr>
          <w:sz w:val="20"/>
          <w:szCs w:val="20"/>
          <w:color w:val="auto"/>
        </w:rPr>
      </w:pPr>
    </w:p>
    <w:p>
      <w:pPr>
        <w:ind w:left="1180" w:right="759" w:firstLine="335"/>
        <w:spacing w:after="0" w:line="273" w:lineRule="auto"/>
        <w:rPr>
          <w:sz w:val="20"/>
          <w:szCs w:val="20"/>
          <w:color w:val="auto"/>
        </w:rPr>
      </w:pP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We may issue shares of our common stock from time to time. Holders of our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92" w:lineRule="exact"/>
        <w:rPr>
          <w:sz w:val="20"/>
          <w:szCs w:val="20"/>
          <w:color w:val="auto"/>
        </w:rPr>
      </w:pPr>
    </w:p>
    <w:p>
      <w:pPr>
        <w:ind w:left="1180" w:right="719" w:firstLine="335"/>
        <w:spacing w:after="0" w:line="25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05" w:lineRule="exact"/>
        <w:rPr>
          <w:sz w:val="20"/>
          <w:szCs w:val="20"/>
          <w:color w:val="auto"/>
        </w:rPr>
      </w:pPr>
    </w:p>
    <w:p>
      <w:pPr>
        <w:ind w:left="1180" w:right="719" w:firstLine="335"/>
        <w:spacing w:after="0" w:line="255"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We may issue shares of our preferred stock from time to time, in one or more series.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certificate of incorporation, our board of directors has the authority, without further action by the stockholders, to issue up to 5,000,000 shares of preferred stock, par value $0.001 per share. You should refer to our certificate of incorporation and our bylaws, both of which are included as exhibits to documents incorporated by reference in the registration statement of which this prospectus is a part.</w:t>
      </w:r>
    </w:p>
    <w:p>
      <w:pPr>
        <w:spacing w:after="0" w:line="91" w:lineRule="exact"/>
        <w:rPr>
          <w:sz w:val="20"/>
          <w:szCs w:val="20"/>
          <w:color w:val="auto"/>
        </w:rPr>
      </w:pPr>
    </w:p>
    <w:p>
      <w:pPr>
        <w:ind w:left="1180" w:right="699" w:firstLine="335"/>
        <w:spacing w:after="0" w:line="265"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13" w:lineRule="exact"/>
        <w:rPr>
          <w:sz w:val="20"/>
          <w:szCs w:val="20"/>
          <w:color w:val="auto"/>
        </w:rPr>
      </w:pPr>
    </w:p>
    <w:p>
      <w:pPr>
        <w:ind w:left="1180" w:right="839" w:firstLine="335"/>
        <w:spacing w:after="0" w:line="251" w:lineRule="auto"/>
        <w:rPr>
          <w:sz w:val="20"/>
          <w:szCs w:val="20"/>
          <w:color w:val="auto"/>
        </w:rPr>
      </w:pPr>
      <w:r>
        <w:rPr>
          <w:rFonts w:ascii="Arial" w:cs="Arial" w:eastAsia="Arial" w:hAnsi="Arial"/>
          <w:sz w:val="17"/>
          <w:szCs w:val="17"/>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0" w:name="page11"/>
    <w:bookmarkEnd w:id="10"/>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779" w:firstLine="335"/>
        <w:spacing w:after="0" w:line="268" w:lineRule="auto"/>
        <w:rPr>
          <w:sz w:val="20"/>
          <w:szCs w:val="20"/>
          <w:color w:val="auto"/>
        </w:rPr>
      </w:pP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We may issue debt securities from time to time, in one or more series, as either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95" w:lineRule="exact"/>
        <w:rPr>
          <w:sz w:val="20"/>
          <w:szCs w:val="20"/>
          <w:color w:val="auto"/>
        </w:rPr>
      </w:pPr>
    </w:p>
    <w:p>
      <w:pPr>
        <w:ind w:left="1180" w:right="699" w:firstLine="335"/>
        <w:spacing w:after="0" w:line="249" w:lineRule="auto"/>
        <w:rPr>
          <w:sz w:val="20"/>
          <w:szCs w:val="20"/>
          <w:color w:val="auto"/>
        </w:rPr>
      </w:pPr>
      <w:r>
        <w:rPr>
          <w:rFonts w:ascii="Arial" w:cs="Arial" w:eastAsia="Arial" w:hAnsi="Arial"/>
          <w:sz w:val="17"/>
          <w:szCs w:val="17"/>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1" w:lineRule="exact"/>
        <w:rPr>
          <w:sz w:val="20"/>
          <w:szCs w:val="20"/>
          <w:color w:val="auto"/>
        </w:rPr>
      </w:pPr>
    </w:p>
    <w:p>
      <w:pPr>
        <w:ind w:left="1180" w:right="719" w:firstLine="335"/>
        <w:spacing w:after="0" w:line="265"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stock, preferred stock and/or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13" w:lineRule="exact"/>
        <w:rPr>
          <w:sz w:val="20"/>
          <w:szCs w:val="20"/>
          <w:color w:val="auto"/>
        </w:rPr>
      </w:pPr>
    </w:p>
    <w:p>
      <w:pPr>
        <w:jc w:val="both"/>
        <w:ind w:left="1180" w:right="779" w:firstLine="335"/>
        <w:spacing w:after="0" w:line="254" w:lineRule="auto"/>
        <w:rPr>
          <w:sz w:val="20"/>
          <w:szCs w:val="20"/>
          <w:color w:val="auto"/>
        </w:rPr>
      </w:pPr>
      <w:r>
        <w:rPr>
          <w:rFonts w:ascii="Arial" w:cs="Arial" w:eastAsia="Arial" w:hAnsi="Arial"/>
          <w:sz w:val="17"/>
          <w:szCs w:val="17"/>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1" w:name="page12"/>
    <w:bookmarkEnd w:id="11"/>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RISK FACTORS</w:t>
      </w:r>
    </w:p>
    <w:p>
      <w:pPr>
        <w:spacing w:after="0" w:line="135" w:lineRule="exact"/>
        <w:rPr>
          <w:sz w:val="20"/>
          <w:szCs w:val="20"/>
          <w:color w:val="auto"/>
        </w:rPr>
      </w:pPr>
    </w:p>
    <w:p>
      <w:pPr>
        <w:ind w:left="1160" w:right="699" w:firstLine="335"/>
        <w:spacing w:after="0" w:line="249" w:lineRule="auto"/>
        <w:rPr>
          <w:rFonts w:ascii="Arial" w:cs="Arial" w:eastAsia="Arial" w:hAnsi="Arial"/>
          <w:sz w:val="17"/>
          <w:szCs w:val="17"/>
          <w:color w:val="0000EE"/>
        </w:rPr>
      </w:pPr>
      <w:r>
        <w:rPr>
          <w:rFonts w:ascii="Arial" w:cs="Arial" w:eastAsia="Arial" w:hAnsi="Arial"/>
          <w:sz w:val="17"/>
          <w:szCs w:val="17"/>
          <w:color w:val="auto"/>
        </w:rPr>
        <w:t xml:space="preserve">Investing in our securities involves a high degree of risk. You should carefully review the risks and uncertainties described under the heading “Risk Factors” contained in the applicable prospectus supplement </w:t>
      </w:r>
      <w:hyperlink r:id="rId37">
        <w:r>
          <w:rPr>
            <w:rFonts w:ascii="Arial" w:cs="Arial" w:eastAsia="Arial" w:hAnsi="Arial"/>
            <w:sz w:val="17"/>
            <w:szCs w:val="17"/>
            <w:color w:val="auto"/>
          </w:rPr>
          <w:t xml:space="preserve">and any related free writing prospectus, and under similar headings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the year ended December 31, 2020,</w:t>
        </w:r>
        <w:r>
          <w:rPr>
            <w:rFonts w:ascii="Arial" w:cs="Arial" w:eastAsia="Arial" w:hAnsi="Arial"/>
            <w:sz w:val="17"/>
            <w:szCs w:val="17"/>
            <w:color w:val="0000EE"/>
          </w:rPr>
          <w:t xml:space="preserve"> </w:t>
        </w:r>
        <w:r>
          <w:rPr>
            <w:rFonts w:ascii="Arial" w:cs="Arial" w:eastAsia="Arial" w:hAnsi="Arial"/>
            <w:sz w:val="17"/>
            <w:szCs w:val="17"/>
            <w:color w:val="000000"/>
          </w:rPr>
          <w:t>as updated by any subsequently filed periodic reports and other</w:t>
        </w:r>
      </w:hyperlink>
      <w:r>
        <w:rPr>
          <w:rFonts w:ascii="Arial" w:cs="Arial" w:eastAsia="Arial" w:hAnsi="Arial"/>
          <w:sz w:val="17"/>
          <w:szCs w:val="17"/>
          <w:color w:val="0000EE"/>
        </w:rPr>
        <w:t xml:space="preserve"> </w:t>
      </w:r>
      <w:r>
        <w:rPr>
          <w:rFonts w:ascii="Arial" w:cs="Arial" w:eastAsia="Arial" w:hAnsi="Arial"/>
          <w:sz w:val="17"/>
          <w:szCs w:val="17"/>
          <w:color w:val="000000"/>
        </w:rPr>
        <w:t>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2" w:name="page13"/>
    <w:bookmarkEnd w:id="12"/>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35" w:lineRule="exact"/>
        <w:rPr>
          <w:sz w:val="20"/>
          <w:szCs w:val="20"/>
          <w:color w:val="auto"/>
        </w:rPr>
      </w:pPr>
    </w:p>
    <w:p>
      <w:pPr>
        <w:ind w:left="1160" w:right="699" w:firstLine="335"/>
        <w:spacing w:after="0" w:line="251"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18" w:lineRule="exact"/>
        <w:rPr>
          <w:sz w:val="20"/>
          <w:szCs w:val="20"/>
          <w:color w:val="auto"/>
        </w:rPr>
      </w:pPr>
    </w:p>
    <w:p>
      <w:pPr>
        <w:ind w:left="1160" w:right="819" w:firstLine="335"/>
        <w:spacing w:after="0" w:line="254"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7" w:lineRule="exact"/>
        <w:rPr>
          <w:sz w:val="20"/>
          <w:szCs w:val="20"/>
          <w:color w:val="auto"/>
        </w:rPr>
      </w:pPr>
    </w:p>
    <w:p>
      <w:pPr>
        <w:ind w:left="1660" w:right="699" w:hanging="161"/>
        <w:spacing w:after="0" w:line="254"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89" w:lineRule="exact"/>
        <w:rPr>
          <w:rFonts w:ascii="Arial" w:cs="Arial" w:eastAsia="Arial" w:hAnsi="Arial"/>
          <w:sz w:val="17"/>
          <w:szCs w:val="17"/>
          <w:color w:val="auto"/>
        </w:rPr>
      </w:pPr>
    </w:p>
    <w:p>
      <w:pPr>
        <w:ind w:left="1660" w:right="79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any submission of filings for regulatory approval of product candidates and our ability to obtain and maintain regulatory approvals for product candidates for any indication;</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commercialize product candidates;</w:t>
      </w:r>
    </w:p>
    <w:p>
      <w:pPr>
        <w:spacing w:after="0" w:line="118" w:lineRule="exact"/>
        <w:rPr>
          <w:rFonts w:ascii="Arial" w:cs="Arial" w:eastAsia="Arial" w:hAnsi="Arial"/>
          <w:sz w:val="17"/>
          <w:szCs w:val="17"/>
          <w:color w:val="auto"/>
        </w:rPr>
      </w:pPr>
    </w:p>
    <w:p>
      <w:pPr>
        <w:ind w:left="1660" w:right="101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the potential benefits, activity, effectiveness and safety of our product candidates;</w:t>
      </w:r>
    </w:p>
    <w:p>
      <w:pPr>
        <w:spacing w:after="0" w:line="66"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the size of the patient populations, market acceptance and opportunity for and clinical utility of product candidates, if approved for commercial use;</w:t>
      </w:r>
    </w:p>
    <w:p>
      <w:pPr>
        <w:spacing w:after="0" w:line="66" w:lineRule="exact"/>
        <w:rPr>
          <w:rFonts w:ascii="Arial" w:cs="Arial" w:eastAsia="Arial" w:hAnsi="Arial"/>
          <w:sz w:val="17"/>
          <w:szCs w:val="17"/>
          <w:color w:val="auto"/>
        </w:rPr>
      </w:pPr>
    </w:p>
    <w:p>
      <w:pPr>
        <w:ind w:left="1660" w:right="81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ease, scalability and commercial viability of our manufacturing methods and processes;</w:t>
      </w:r>
    </w:p>
    <w:p>
      <w:pPr>
        <w:spacing w:after="0" w:line="78"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the scope of any approved indications for product candidates;</w:t>
      </w:r>
    </w:p>
    <w:p>
      <w:pPr>
        <w:spacing w:after="0" w:line="106" w:lineRule="exact"/>
        <w:rPr>
          <w:rFonts w:ascii="Arial" w:cs="Arial" w:eastAsia="Arial" w:hAnsi="Arial"/>
          <w:sz w:val="17"/>
          <w:szCs w:val="17"/>
          <w:color w:val="auto"/>
        </w:rPr>
      </w:pPr>
    </w:p>
    <w:p>
      <w:pPr>
        <w:ind w:left="1660" w:right="89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benefits of and our ability to maintain our relationships and collaborations with BCM and other potential collaboration or strategic relationships;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use the MultiTAA-specific T cell platform to develop future product candidates;</w:t>
      </w:r>
    </w:p>
    <w:p>
      <w:pPr>
        <w:spacing w:after="0" w:line="106"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78"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10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protect and enforce our intellectual property position for our product candidates, and the scope of such protection;</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0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competitive position and the development of and projections relating to our competitors or our industry; and</w:t>
      </w:r>
    </w:p>
    <w:p>
      <w:pPr>
        <w:spacing w:after="0" w:line="78" w:lineRule="exact"/>
        <w:rPr>
          <w:rFonts w:ascii="Arial" w:cs="Arial" w:eastAsia="Arial" w:hAnsi="Arial"/>
          <w:sz w:val="17"/>
          <w:szCs w:val="17"/>
          <w:color w:val="auto"/>
        </w:rPr>
      </w:pPr>
    </w:p>
    <w:p>
      <w:pPr>
        <w:ind w:left="1660" w:hanging="161"/>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laws and regulations.</w:t>
      </w:r>
    </w:p>
    <w:p>
      <w:pPr>
        <w:spacing w:after="0" w:line="131" w:lineRule="exact"/>
        <w:rPr>
          <w:sz w:val="20"/>
          <w:szCs w:val="20"/>
          <w:color w:val="auto"/>
        </w:rPr>
      </w:pPr>
    </w:p>
    <w:p>
      <w:pPr>
        <w:ind w:left="1160" w:right="739" w:firstLine="335"/>
        <w:spacing w:after="0" w:line="249"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6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3" w:name="page14"/>
    <w:bookmarkEnd w:id="13"/>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39" w:firstLine="335"/>
        <w:spacing w:after="0" w:line="266" w:lineRule="auto"/>
        <w:rPr>
          <w:sz w:val="20"/>
          <w:szCs w:val="20"/>
          <w:color w:val="auto"/>
        </w:rPr>
      </w:pPr>
      <w:r>
        <w:rPr>
          <w:rFonts w:ascii="Arial" w:cs="Arial" w:eastAsia="Arial" w:hAnsi="Arial"/>
          <w:sz w:val="16"/>
          <w:szCs w:val="16"/>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97" w:lineRule="exact"/>
        <w:rPr>
          <w:sz w:val="20"/>
          <w:szCs w:val="20"/>
          <w:color w:val="auto"/>
        </w:rPr>
      </w:pPr>
    </w:p>
    <w:p>
      <w:pPr>
        <w:ind w:left="1160" w:right="879" w:firstLine="335"/>
        <w:spacing w:after="0" w:line="257"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4" w:name="page15"/>
    <w:bookmarkEnd w:id="14"/>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USE OF PROCEEDS</w:t>
      </w:r>
    </w:p>
    <w:p>
      <w:pPr>
        <w:spacing w:after="0" w:line="135"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5" w:name="page16"/>
    <w:bookmarkEnd w:id="15"/>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DESCRIPTION OF CAPITAL STOCK</w:t>
      </w:r>
    </w:p>
    <w:p>
      <w:pPr>
        <w:spacing w:after="0" w:line="135" w:lineRule="exact"/>
        <w:rPr>
          <w:sz w:val="20"/>
          <w:szCs w:val="20"/>
          <w:color w:val="auto"/>
        </w:rPr>
      </w:pPr>
    </w:p>
    <w:p>
      <w:pPr>
        <w:jc w:val="both"/>
        <w:ind w:left="1160" w:right="919" w:firstLine="335"/>
        <w:spacing w:after="0" w:line="242"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Our certificate of incorporation authorizes us to issue up to 150,000,000 shares of common stock,</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$0.001 par value per share, and 5,000,000 shares of preferred stock, $0.001 par value per share. Our board</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of directors may establish the rights and preferences of the preferred stock from time to time. As of June 30,</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2021, we had outstanding 83,078,675 shares of common stock and no shares of preferred stock outstanding.</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Voting Rights</w:t>
      </w:r>
    </w:p>
    <w:p>
      <w:pPr>
        <w:spacing w:after="0" w:line="144" w:lineRule="exact"/>
        <w:rPr>
          <w:sz w:val="20"/>
          <w:szCs w:val="20"/>
          <w:color w:val="auto"/>
        </w:rPr>
      </w:pPr>
    </w:p>
    <w:p>
      <w:pPr>
        <w:ind w:left="1160" w:right="719" w:firstLine="335"/>
        <w:spacing w:after="0" w:line="236"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Dividends</w:t>
      </w:r>
    </w:p>
    <w:p>
      <w:pPr>
        <w:spacing w:after="0" w:line="131" w:lineRule="exact"/>
        <w:rPr>
          <w:sz w:val="20"/>
          <w:szCs w:val="20"/>
          <w:color w:val="auto"/>
        </w:rPr>
      </w:pPr>
    </w:p>
    <w:p>
      <w:pPr>
        <w:ind w:left="1160" w:right="739" w:firstLine="335"/>
        <w:spacing w:after="0" w:line="242" w:lineRule="auto"/>
        <w:rPr>
          <w:sz w:val="20"/>
          <w:szCs w:val="20"/>
          <w:color w:val="auto"/>
        </w:rPr>
      </w:pPr>
      <w:r>
        <w:rPr>
          <w:rFonts w:ascii="Arial" w:cs="Arial" w:eastAsia="Arial" w:hAnsi="Arial"/>
          <w:sz w:val="17"/>
          <w:szCs w:val="17"/>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Liquidation</w:t>
      </w:r>
    </w:p>
    <w:p>
      <w:pPr>
        <w:spacing w:after="0" w:line="144" w:lineRule="exact"/>
        <w:rPr>
          <w:sz w:val="20"/>
          <w:szCs w:val="20"/>
          <w:color w:val="auto"/>
        </w:rPr>
      </w:pPr>
    </w:p>
    <w:p>
      <w:pPr>
        <w:ind w:left="1160" w:right="859" w:firstLine="335"/>
        <w:spacing w:after="0" w:line="242"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Rights and Preferences</w:t>
      </w:r>
    </w:p>
    <w:p>
      <w:pPr>
        <w:spacing w:after="0" w:line="144" w:lineRule="exact"/>
        <w:rPr>
          <w:sz w:val="20"/>
          <w:szCs w:val="20"/>
          <w:color w:val="auto"/>
        </w:rPr>
      </w:pPr>
    </w:p>
    <w:p>
      <w:pPr>
        <w:ind w:left="1160" w:right="719" w:firstLine="335"/>
        <w:spacing w:after="0" w:line="237" w:lineRule="auto"/>
        <w:rPr>
          <w:sz w:val="20"/>
          <w:szCs w:val="20"/>
          <w:color w:val="auto"/>
        </w:rPr>
      </w:pPr>
      <w:r>
        <w:rPr>
          <w:rFonts w:ascii="Arial" w:cs="Arial" w:eastAsia="Arial" w:hAnsi="Arial"/>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Preferred Stock</w:t>
      </w:r>
    </w:p>
    <w:p>
      <w:pPr>
        <w:spacing w:after="0" w:line="135" w:lineRule="exact"/>
        <w:rPr>
          <w:sz w:val="20"/>
          <w:szCs w:val="20"/>
          <w:color w:val="auto"/>
        </w:rPr>
      </w:pPr>
    </w:p>
    <w:p>
      <w:pPr>
        <w:ind w:left="1160" w:right="699" w:firstLine="335"/>
        <w:spacing w:after="0" w:line="266" w:lineRule="auto"/>
        <w:rPr>
          <w:sz w:val="20"/>
          <w:szCs w:val="20"/>
          <w:color w:val="auto"/>
        </w:rPr>
      </w:pPr>
      <w:r>
        <w:rPr>
          <w:rFonts w:ascii="Arial" w:cs="Arial" w:eastAsia="Arial" w:hAnsi="Arial"/>
          <w:sz w:val="16"/>
          <w:szCs w:val="16"/>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6" w:name="page17"/>
    <w:bookmarkEnd w:id="16"/>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99"/>
        <w:spacing w:after="0" w:line="253" w:lineRule="auto"/>
        <w:rPr>
          <w:sz w:val="20"/>
          <w:szCs w:val="20"/>
          <w:color w:val="auto"/>
        </w:rPr>
      </w:pPr>
      <w:r>
        <w:rPr>
          <w:rFonts w:ascii="Arial" w:cs="Arial" w:eastAsia="Arial" w:hAnsi="Arial"/>
          <w:sz w:val="17"/>
          <w:szCs w:val="17"/>
          <w:color w:val="auto"/>
        </w:rPr>
        <w:t>directors, without stockholder approval, we may issue shares of preferred stock with voting and conversion rights which could adversely affect the holders of shares of our common stock.</w:t>
      </w:r>
    </w:p>
    <w:p>
      <w:pPr>
        <w:spacing w:after="0" w:line="91" w:lineRule="exact"/>
        <w:rPr>
          <w:sz w:val="20"/>
          <w:szCs w:val="20"/>
          <w:color w:val="auto"/>
        </w:rPr>
      </w:pPr>
    </w:p>
    <w:p>
      <w:pPr>
        <w:ind w:left="1160" w:right="719" w:firstLine="335"/>
        <w:spacing w:after="0" w:line="235"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0" w:lineRule="exact"/>
        <w:rPr>
          <w:sz w:val="20"/>
          <w:szCs w:val="20"/>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title and stated value;</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of shares we are offering;</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liquidation preference per share;</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purchase price per share;</w:t>
      </w:r>
    </w:p>
    <w:p>
      <w:pPr>
        <w:spacing w:after="0" w:line="93" w:lineRule="exact"/>
        <w:rPr>
          <w:rFonts w:ascii="Arial" w:cs="Arial" w:eastAsia="Arial" w:hAnsi="Arial"/>
          <w:sz w:val="17"/>
          <w:szCs w:val="17"/>
          <w:color w:val="auto"/>
        </w:rPr>
      </w:pPr>
    </w:p>
    <w:p>
      <w:pPr>
        <w:ind w:left="1660" w:right="129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dividend rate per share, dividend period and payment dates and method of calculation for dividends;</w:t>
      </w:r>
    </w:p>
    <w:p>
      <w:pPr>
        <w:spacing w:after="0" w:line="66" w:lineRule="exact"/>
        <w:rPr>
          <w:rFonts w:ascii="Arial" w:cs="Arial" w:eastAsia="Arial" w:hAnsi="Arial"/>
          <w:sz w:val="17"/>
          <w:szCs w:val="17"/>
          <w:color w:val="auto"/>
        </w:rPr>
      </w:pPr>
    </w:p>
    <w:p>
      <w:pPr>
        <w:ind w:left="1660" w:right="103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dividends will be cumulative or non-cumulative and, if cumulative, the date from which dividends will accumulate;</w:t>
      </w:r>
    </w:p>
    <w:p>
      <w:pPr>
        <w:spacing w:after="0" w:line="5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right, if any, to defer payment of dividends and the maximum length of any such deferral period;</w:t>
      </w:r>
    </w:p>
    <w:p>
      <w:pPr>
        <w:spacing w:after="0" w:line="105" w:lineRule="exact"/>
        <w:rPr>
          <w:rFonts w:ascii="Arial" w:cs="Arial" w:eastAsia="Arial" w:hAnsi="Arial"/>
          <w:sz w:val="16"/>
          <w:szCs w:val="16"/>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procedures for any auction and remarketing, if any;</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provisions for a sinking fund, if any;</w:t>
      </w:r>
    </w:p>
    <w:p>
      <w:pPr>
        <w:spacing w:after="0" w:line="93" w:lineRule="exact"/>
        <w:rPr>
          <w:rFonts w:ascii="Arial" w:cs="Arial" w:eastAsia="Arial" w:hAnsi="Arial"/>
          <w:sz w:val="17"/>
          <w:szCs w:val="17"/>
          <w:color w:val="auto"/>
        </w:rPr>
      </w:pPr>
    </w:p>
    <w:p>
      <w:pPr>
        <w:ind w:left="1660" w:right="113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listing of the preferred stock on any securities exchange or market;</w:t>
      </w:r>
    </w:p>
    <w:p>
      <w:pPr>
        <w:spacing w:after="0" w:line="93" w:lineRule="exact"/>
        <w:rPr>
          <w:rFonts w:ascii="Arial" w:cs="Arial" w:eastAsia="Arial" w:hAnsi="Arial"/>
          <w:sz w:val="17"/>
          <w:szCs w:val="17"/>
          <w:color w:val="auto"/>
        </w:rPr>
      </w:pPr>
    </w:p>
    <w:p>
      <w:pPr>
        <w:ind w:left="1660" w:right="919" w:hanging="161"/>
        <w:spacing w:after="0" w:line="281" w:lineRule="auto"/>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44" w:lineRule="exact"/>
        <w:rPr>
          <w:rFonts w:ascii="Arial" w:cs="Arial" w:eastAsia="Arial" w:hAnsi="Arial"/>
          <w:sz w:val="16"/>
          <w:szCs w:val="16"/>
          <w:color w:val="auto"/>
        </w:rPr>
      </w:pPr>
    </w:p>
    <w:p>
      <w:pPr>
        <w:ind w:left="1660" w:right="919" w:hanging="161"/>
        <w:spacing w:after="0" w:line="257"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the preferred stock will be exchangeable into debt securities, and, if applicable, the exchange period, the exchange price, or how it will be calculated, and under what circumstances it may be adjusted;</w:t>
      </w:r>
    </w:p>
    <w:p>
      <w:pPr>
        <w:spacing w:after="0" w:line="6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rights, if any, of the preferred stock;</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preemption rights, if any;</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transfer, sale or other assignment, if any;</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interests in the preferred stock will be represented by depositary shares;</w:t>
      </w:r>
    </w:p>
    <w:p>
      <w:pPr>
        <w:spacing w:after="0" w:line="93" w:lineRule="exact"/>
        <w:rPr>
          <w:rFonts w:ascii="Arial" w:cs="Arial" w:eastAsia="Arial" w:hAnsi="Arial"/>
          <w:sz w:val="17"/>
          <w:szCs w:val="17"/>
          <w:color w:val="auto"/>
        </w:rPr>
      </w:pPr>
    </w:p>
    <w:p>
      <w:pPr>
        <w:ind w:left="1660" w:right="117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discussion of any material or special U.S. federal income tax considerations applicable to the preferred stock;</w:t>
      </w:r>
    </w:p>
    <w:p>
      <w:pPr>
        <w:spacing w:after="0" w:line="53" w:lineRule="exact"/>
        <w:rPr>
          <w:rFonts w:ascii="Arial" w:cs="Arial" w:eastAsia="Arial" w:hAnsi="Arial"/>
          <w:sz w:val="17"/>
          <w:szCs w:val="17"/>
          <w:color w:val="auto"/>
        </w:rPr>
      </w:pPr>
    </w:p>
    <w:p>
      <w:pPr>
        <w:ind w:left="1660" w:right="113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53" w:lineRule="exact"/>
        <w:rPr>
          <w:rFonts w:ascii="Arial" w:cs="Arial" w:eastAsia="Arial" w:hAnsi="Arial"/>
          <w:sz w:val="17"/>
          <w:szCs w:val="17"/>
          <w:color w:val="auto"/>
        </w:rPr>
      </w:pPr>
    </w:p>
    <w:p>
      <w:pPr>
        <w:ind w:left="1660" w:right="819" w:hanging="161"/>
        <w:spacing w:after="0" w:line="257"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3" w:lineRule="exact"/>
        <w:rPr>
          <w:rFonts w:ascii="Arial" w:cs="Arial" w:eastAsia="Arial" w:hAnsi="Arial"/>
          <w:sz w:val="17"/>
          <w:szCs w:val="17"/>
          <w:color w:val="auto"/>
        </w:rPr>
      </w:pPr>
    </w:p>
    <w:p>
      <w:pPr>
        <w:ind w:left="1660" w:right="759" w:hanging="161"/>
        <w:spacing w:after="0" w:line="26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other specific terms, rights, preferences, privileges, qualifications or restrictions of the preferred stock.</w:t>
      </w:r>
    </w:p>
    <w:p>
      <w:pPr>
        <w:spacing w:after="0" w:line="104" w:lineRule="exact"/>
        <w:rPr>
          <w:sz w:val="20"/>
          <w:szCs w:val="20"/>
          <w:color w:val="auto"/>
        </w:rPr>
      </w:pPr>
    </w:p>
    <w:p>
      <w:pPr>
        <w:ind w:left="1160" w:right="1099" w:firstLine="335"/>
        <w:spacing w:after="0" w:line="319" w:lineRule="auto"/>
        <w:rPr>
          <w:sz w:val="20"/>
          <w:szCs w:val="20"/>
          <w:color w:val="auto"/>
        </w:rPr>
      </w:pPr>
      <w:r>
        <w:rPr>
          <w:rFonts w:ascii="Arial" w:cs="Arial" w:eastAsia="Arial" w:hAnsi="Arial"/>
          <w:sz w:val="15"/>
          <w:szCs w:val="15"/>
          <w:color w:val="auto"/>
        </w:rPr>
        <w:t>The General Corporation Law of the State of Delaware, or DGCL, the state of our incorporation, provides that the holders of preferred stock will have the right to vote separately as a class (or, in some</w:t>
      </w:r>
    </w:p>
    <w:p>
      <w:pPr>
        <w:spacing w:after="0" w:line="28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238125</wp:posOffset>
            </wp:positionV>
            <wp:extent cx="63531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7" w:name="page18"/>
    <w:bookmarkEnd w:id="17"/>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59"/>
        <w:spacing w:after="0" w:line="237" w:lineRule="auto"/>
        <w:rPr>
          <w:sz w:val="20"/>
          <w:szCs w:val="20"/>
          <w:color w:val="auto"/>
        </w:rPr>
      </w:pPr>
      <w:r>
        <w:rPr>
          <w:rFonts w:ascii="Arial" w:cs="Arial" w:eastAsia="Arial" w:hAnsi="Arial"/>
          <w:sz w:val="17"/>
          <w:szCs w:val="17"/>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03" w:lineRule="exact"/>
        <w:rPr>
          <w:sz w:val="20"/>
          <w:szCs w:val="20"/>
          <w:color w:val="auto"/>
        </w:rPr>
      </w:pPr>
    </w:p>
    <w:p>
      <w:pPr>
        <w:ind w:left="1160" w:right="959" w:firstLine="335"/>
        <w:spacing w:after="0" w:line="237"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Section 203 of the DGCL</w:t>
      </w:r>
    </w:p>
    <w:p>
      <w:pPr>
        <w:spacing w:after="0" w:line="144" w:lineRule="exact"/>
        <w:rPr>
          <w:sz w:val="20"/>
          <w:szCs w:val="20"/>
          <w:color w:val="auto"/>
        </w:rPr>
      </w:pPr>
    </w:p>
    <w:p>
      <w:pPr>
        <w:ind w:left="1160" w:right="799" w:firstLine="335"/>
        <w:spacing w:after="0" w:line="264" w:lineRule="auto"/>
        <w:rPr>
          <w:sz w:val="20"/>
          <w:szCs w:val="20"/>
          <w:color w:val="auto"/>
        </w:rPr>
      </w:pPr>
      <w:r>
        <w:rPr>
          <w:rFonts w:ascii="Arial" w:cs="Arial" w:eastAsia="Arial" w:hAnsi="Arial"/>
          <w:sz w:val="16"/>
          <w:szCs w:val="16"/>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9" w:lineRule="exact"/>
        <w:rPr>
          <w:sz w:val="20"/>
          <w:szCs w:val="20"/>
          <w:color w:val="auto"/>
        </w:rPr>
      </w:pPr>
    </w:p>
    <w:p>
      <w:pPr>
        <w:ind w:left="1660" w:right="819" w:hanging="161"/>
        <w:spacing w:after="0" w:line="300" w:lineRule="auto"/>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before such date, the board of directors of the corporation approved either the business combination or the transaction that resulted in the stockholder becoming an interested stockholder;</w:t>
      </w:r>
    </w:p>
    <w:p>
      <w:pPr>
        <w:spacing w:after="0" w:line="30" w:lineRule="exact"/>
        <w:rPr>
          <w:rFonts w:ascii="Arial" w:cs="Arial" w:eastAsia="Arial" w:hAnsi="Arial"/>
          <w:sz w:val="16"/>
          <w:szCs w:val="16"/>
          <w:color w:val="auto"/>
        </w:rPr>
      </w:pPr>
    </w:p>
    <w:p>
      <w:pPr>
        <w:ind w:left="1660" w:right="739" w:hanging="161"/>
        <w:spacing w:after="0" w:line="268" w:lineRule="auto"/>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9" w:lineRule="exact"/>
        <w:rPr>
          <w:rFonts w:ascii="Arial" w:cs="Arial" w:eastAsia="Arial" w:hAnsi="Arial"/>
          <w:sz w:val="16"/>
          <w:szCs w:val="16"/>
          <w:color w:val="auto"/>
        </w:rPr>
      </w:pPr>
    </w:p>
    <w:p>
      <w:pPr>
        <w:ind w:left="1660" w:right="819" w:hanging="161"/>
        <w:spacing w:after="0" w:line="254" w:lineRule="auto"/>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94" w:lineRule="exact"/>
        <w:rPr>
          <w:sz w:val="20"/>
          <w:szCs w:val="20"/>
          <w:color w:val="auto"/>
        </w:rPr>
      </w:pPr>
    </w:p>
    <w:p>
      <w:pPr>
        <w:ind w:left="1660" w:hanging="161"/>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06" w:lineRule="exact"/>
        <w:rPr>
          <w:rFonts w:ascii="Arial" w:cs="Arial" w:eastAsia="Arial" w:hAnsi="Arial"/>
          <w:sz w:val="17"/>
          <w:szCs w:val="17"/>
          <w:color w:val="auto"/>
        </w:rPr>
      </w:pPr>
    </w:p>
    <w:p>
      <w:pPr>
        <w:ind w:left="1660" w:right="1319" w:hanging="161"/>
        <w:spacing w:after="0" w:line="268"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66" w:lineRule="exact"/>
        <w:rPr>
          <w:rFonts w:ascii="Arial" w:cs="Arial" w:eastAsia="Arial" w:hAnsi="Arial"/>
          <w:sz w:val="17"/>
          <w:szCs w:val="17"/>
          <w:color w:val="auto"/>
        </w:rPr>
      </w:pPr>
    </w:p>
    <w:p>
      <w:pPr>
        <w:ind w:left="1660" w:right="1519" w:hanging="161"/>
        <w:spacing w:after="0" w:line="268"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53" w:lineRule="exact"/>
        <w:rPr>
          <w:rFonts w:ascii="Arial" w:cs="Arial" w:eastAsia="Arial" w:hAnsi="Arial"/>
          <w:sz w:val="17"/>
          <w:szCs w:val="17"/>
          <w:color w:val="auto"/>
        </w:rPr>
      </w:pPr>
    </w:p>
    <w:p>
      <w:pPr>
        <w:jc w:val="both"/>
        <w:ind w:left="1660" w:right="819" w:hanging="161"/>
        <w:spacing w:after="0" w:line="257"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04" w:lineRule="exact"/>
        <w:rPr>
          <w:sz w:val="20"/>
          <w:szCs w:val="20"/>
          <w:color w:val="auto"/>
        </w:rPr>
      </w:pPr>
    </w:p>
    <w:p>
      <w:pPr>
        <w:ind w:left="1160" w:right="839" w:firstLine="335"/>
        <w:spacing w:after="0" w:line="239"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131" w:lineRule="exact"/>
        <w:rPr>
          <w:sz w:val="20"/>
          <w:szCs w:val="20"/>
          <w:color w:val="auto"/>
        </w:rPr>
      </w:pPr>
    </w:p>
    <w:p>
      <w:pPr>
        <w:ind w:left="1160" w:right="799" w:firstLine="335"/>
        <w:spacing w:after="0" w:line="281" w:lineRule="auto"/>
        <w:rPr>
          <w:sz w:val="20"/>
          <w:szCs w:val="20"/>
          <w:color w:val="auto"/>
        </w:rPr>
      </w:pPr>
      <w:r>
        <w:rPr>
          <w:rFonts w:ascii="Arial" w:cs="Arial" w:eastAsia="Arial" w:hAnsi="Arial"/>
          <w:sz w:val="15"/>
          <w:szCs w:val="15"/>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18" w:name="page19"/>
    <w:bookmarkEnd w:id="18"/>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59"/>
        <w:spacing w:after="0" w:line="252" w:lineRule="auto"/>
        <w:rPr>
          <w:sz w:val="20"/>
          <w:szCs w:val="20"/>
          <w:color w:val="auto"/>
        </w:rPr>
      </w:pPr>
      <w:r>
        <w:rPr>
          <w:rFonts w:ascii="Arial" w:cs="Arial" w:eastAsia="Arial" w:hAnsi="Arial"/>
          <w:sz w:val="17"/>
          <w:szCs w:val="17"/>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05" w:lineRule="exact"/>
        <w:rPr>
          <w:sz w:val="20"/>
          <w:szCs w:val="20"/>
          <w:color w:val="auto"/>
        </w:rPr>
      </w:pPr>
    </w:p>
    <w:p>
      <w:pPr>
        <w:ind w:left="1160" w:right="939" w:firstLine="335"/>
        <w:spacing w:after="0" w:line="271" w:lineRule="auto"/>
        <w:rPr>
          <w:sz w:val="20"/>
          <w:szCs w:val="20"/>
          <w:color w:val="auto"/>
        </w:rPr>
      </w:pPr>
      <w:r>
        <w:rPr>
          <w:rFonts w:ascii="Arial" w:cs="Arial" w:eastAsia="Arial" w:hAnsi="Arial"/>
          <w:sz w:val="16"/>
          <w:szCs w:val="16"/>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05" w:lineRule="exact"/>
        <w:rPr>
          <w:sz w:val="20"/>
          <w:szCs w:val="20"/>
          <w:color w:val="auto"/>
        </w:rPr>
      </w:pPr>
    </w:p>
    <w:p>
      <w:pPr>
        <w:ind w:left="1160" w:right="719" w:firstLine="335"/>
        <w:spacing w:after="0" w:line="250" w:lineRule="auto"/>
        <w:rPr>
          <w:sz w:val="20"/>
          <w:szCs w:val="20"/>
          <w:color w:val="auto"/>
        </w:rPr>
      </w:pPr>
      <w:r>
        <w:rPr>
          <w:rFonts w:ascii="Arial" w:cs="Arial" w:eastAsia="Arial" w:hAnsi="Arial"/>
          <w:sz w:val="17"/>
          <w:szCs w:val="17"/>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0"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Transfer Agent and Registrar</w:t>
      </w:r>
    </w:p>
    <w:p>
      <w:pPr>
        <w:spacing w:after="0" w:line="135" w:lineRule="exact"/>
        <w:rPr>
          <w:sz w:val="20"/>
          <w:szCs w:val="20"/>
          <w:color w:val="auto"/>
        </w:rPr>
      </w:pPr>
    </w:p>
    <w:p>
      <w:pPr>
        <w:ind w:left="1160" w:right="739" w:firstLine="335"/>
        <w:spacing w:after="0" w:line="254" w:lineRule="auto"/>
        <w:rPr>
          <w:sz w:val="20"/>
          <w:szCs w:val="20"/>
          <w:color w:val="auto"/>
        </w:rPr>
      </w:pPr>
      <w:r>
        <w:rPr>
          <w:rFonts w:ascii="Arial" w:cs="Arial" w:eastAsia="Arial" w:hAnsi="Arial"/>
          <w:sz w:val="17"/>
          <w:szCs w:val="17"/>
          <w:color w:val="auto"/>
        </w:rPr>
        <w:t>The transfer agent and registrar for our common stock is American Stock Transfer &amp; Company, LLC, with offices at 6201 15th Avenue, Brooklyn, New York 11219. The transfer agent for any series of preferred stock that we may offer under this prospectus will be named and described in the prospectus supplement for that series.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Listing on Nasdaq</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Our common stock is listed on The Nasdaq Global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19" w:name="page20"/>
    <w:bookmarkEnd w:id="19"/>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DESCRIPTION OF DEBT SECURITIES</w:t>
      </w:r>
    </w:p>
    <w:p>
      <w:pPr>
        <w:spacing w:after="0" w:line="135" w:lineRule="exact"/>
        <w:rPr>
          <w:sz w:val="20"/>
          <w:szCs w:val="20"/>
          <w:color w:val="auto"/>
        </w:rPr>
      </w:pPr>
    </w:p>
    <w:p>
      <w:pPr>
        <w:ind w:left="1160" w:right="839" w:firstLine="335"/>
        <w:spacing w:after="0" w:line="271" w:lineRule="auto"/>
        <w:rPr>
          <w:sz w:val="20"/>
          <w:szCs w:val="20"/>
          <w:color w:val="auto"/>
        </w:rPr>
      </w:pPr>
      <w:r>
        <w:rPr>
          <w:rFonts w:ascii="Arial" w:cs="Arial" w:eastAsia="Arial" w:hAnsi="Arial"/>
          <w:sz w:val="15"/>
          <w:szCs w:val="15"/>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94" w:lineRule="exact"/>
        <w:rPr>
          <w:sz w:val="20"/>
          <w:szCs w:val="20"/>
          <w:color w:val="auto"/>
        </w:rPr>
      </w:pPr>
    </w:p>
    <w:p>
      <w:pPr>
        <w:ind w:left="1160" w:right="759" w:firstLine="335"/>
        <w:spacing w:after="0" w:line="253" w:lineRule="auto"/>
        <w:rPr>
          <w:sz w:val="20"/>
          <w:szCs w:val="20"/>
          <w:color w:val="auto"/>
        </w:rPr>
      </w:pPr>
      <w:r>
        <w:rPr>
          <w:rFonts w:ascii="Arial" w:cs="Arial" w:eastAsia="Arial" w:hAnsi="Arial"/>
          <w:sz w:val="16"/>
          <w:szCs w:val="16"/>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05" w:lineRule="exact"/>
        <w:rPr>
          <w:sz w:val="20"/>
          <w:szCs w:val="20"/>
          <w:color w:val="auto"/>
        </w:rPr>
      </w:pPr>
    </w:p>
    <w:p>
      <w:pPr>
        <w:ind w:left="1160" w:right="719" w:firstLine="335"/>
        <w:spacing w:after="0" w:line="237"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35" w:lineRule="exact"/>
        <w:rPr>
          <w:sz w:val="20"/>
          <w:szCs w:val="20"/>
          <w:color w:val="auto"/>
        </w:rPr>
      </w:pPr>
    </w:p>
    <w:p>
      <w:pPr>
        <w:ind w:left="1160" w:right="859" w:firstLine="335"/>
        <w:spacing w:after="0" w:line="253"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05" w:lineRule="exact"/>
        <w:rPr>
          <w:sz w:val="20"/>
          <w:szCs w:val="20"/>
          <w:color w:val="auto"/>
        </w:rPr>
      </w:pPr>
    </w:p>
    <w:p>
      <w:pPr>
        <w:ind w:left="1160" w:right="699" w:firstLine="335"/>
        <w:spacing w:after="0" w:line="253"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05" w:lineRule="exact"/>
        <w:rPr>
          <w:sz w:val="20"/>
          <w:szCs w:val="20"/>
          <w:color w:val="auto"/>
        </w:rPr>
      </w:pPr>
    </w:p>
    <w:p>
      <w:pPr>
        <w:ind w:left="1160" w:right="699" w:firstLine="335"/>
        <w:spacing w:after="0" w:line="253" w:lineRule="auto"/>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53" w:lineRule="exact"/>
        <w:rPr>
          <w:sz w:val="20"/>
          <w:szCs w:val="20"/>
          <w:color w:val="auto"/>
        </w:rPr>
      </w:pPr>
    </w:p>
    <w:p>
      <w:pPr>
        <w:ind w:left="1660" w:hanging="161"/>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title of the series of debt securities;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limit upon the aggregate principal amount that may be issued;</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maturity date or dates;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form of the debt securities of the series;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applicability of any guarantees;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or not the debt securities will be secured or unsecured, and the terms of any secured debt;</w:t>
      </w:r>
    </w:p>
    <w:p>
      <w:pPr>
        <w:spacing w:after="0" w:line="117" w:lineRule="exact"/>
        <w:rPr>
          <w:rFonts w:ascii="Arial" w:cs="Arial" w:eastAsia="Arial" w:hAnsi="Arial"/>
          <w:sz w:val="16"/>
          <w:szCs w:val="16"/>
          <w:color w:val="auto"/>
        </w:rPr>
      </w:pPr>
    </w:p>
    <w:p>
      <w:pPr>
        <w:ind w:left="1660" w:right="939" w:hanging="161"/>
        <w:spacing w:after="0" w:line="268"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53" w:lineRule="exact"/>
        <w:rPr>
          <w:rFonts w:ascii="Arial" w:cs="Arial" w:eastAsia="Arial" w:hAnsi="Arial"/>
          <w:sz w:val="17"/>
          <w:szCs w:val="17"/>
          <w:color w:val="auto"/>
        </w:rPr>
      </w:pPr>
    </w:p>
    <w:p>
      <w:pPr>
        <w:ind w:left="1660" w:right="699" w:hanging="161"/>
        <w:spacing w:after="0" w:line="252"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5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0" w:name="page21"/>
    <w:bookmarkEnd w:id="20"/>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right="819" w:hanging="161"/>
        <w:spacing w:after="0" w:line="257"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3" w:lineRule="exact"/>
        <w:rPr>
          <w:rFonts w:ascii="Arial" w:cs="Arial" w:eastAsia="Arial" w:hAnsi="Arial"/>
          <w:sz w:val="17"/>
          <w:szCs w:val="17"/>
          <w:color w:val="auto"/>
        </w:rPr>
      </w:pPr>
    </w:p>
    <w:p>
      <w:pPr>
        <w:ind w:left="1660" w:hanging="161"/>
        <w:spacing w:after="0"/>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right, if any, to defer payment of interest and the maximum length of any such deferral period;</w:t>
      </w:r>
    </w:p>
    <w:p>
      <w:pPr>
        <w:spacing w:after="0" w:line="117" w:lineRule="exact"/>
        <w:rPr>
          <w:rFonts w:ascii="Arial" w:cs="Arial" w:eastAsia="Arial" w:hAnsi="Arial"/>
          <w:sz w:val="16"/>
          <w:szCs w:val="16"/>
          <w:color w:val="auto"/>
        </w:rPr>
      </w:pPr>
    </w:p>
    <w:p>
      <w:pPr>
        <w:ind w:left="1660" w:right="839" w:hanging="161"/>
        <w:spacing w:after="0" w:line="281" w:lineRule="auto"/>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44" w:lineRule="exact"/>
        <w:rPr>
          <w:rFonts w:ascii="Arial" w:cs="Arial" w:eastAsia="Arial" w:hAnsi="Arial"/>
          <w:sz w:val="16"/>
          <w:szCs w:val="16"/>
          <w:color w:val="auto"/>
        </w:rPr>
      </w:pPr>
    </w:p>
    <w:p>
      <w:pPr>
        <w:ind w:left="1660" w:right="779" w:hanging="161"/>
        <w:spacing w:after="0" w:line="254"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7" w:lineRule="exact"/>
        <w:rPr>
          <w:rFonts w:ascii="Arial" w:cs="Arial" w:eastAsia="Arial" w:hAnsi="Arial"/>
          <w:sz w:val="17"/>
          <w:szCs w:val="17"/>
          <w:color w:val="auto"/>
        </w:rPr>
      </w:pPr>
    </w:p>
    <w:p>
      <w:pPr>
        <w:ind w:left="1660" w:right="75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66" w:lineRule="exact"/>
        <w:rPr>
          <w:rFonts w:ascii="Arial" w:cs="Arial" w:eastAsia="Arial" w:hAnsi="Arial"/>
          <w:sz w:val="17"/>
          <w:szCs w:val="17"/>
          <w:color w:val="auto"/>
        </w:rPr>
      </w:pPr>
    </w:p>
    <w:p>
      <w:pPr>
        <w:jc w:val="both"/>
        <w:ind w:left="1660" w:right="899" w:hanging="161"/>
        <w:spacing w:after="0" w:line="281" w:lineRule="auto"/>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44" w:lineRule="exact"/>
        <w:rPr>
          <w:rFonts w:ascii="Arial" w:cs="Arial" w:eastAsia="Arial" w:hAnsi="Arial"/>
          <w:sz w:val="16"/>
          <w:szCs w:val="16"/>
          <w:color w:val="auto"/>
        </w:rPr>
      </w:pPr>
    </w:p>
    <w:p>
      <w:pPr>
        <w:ind w:left="1660" w:right="101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the debt securities of the series shall be issued in whole or in part in the form of a global security or securities;</w:t>
      </w:r>
    </w:p>
    <w:p>
      <w:pPr>
        <w:spacing w:after="0" w:line="66" w:lineRule="exact"/>
        <w:rPr>
          <w:rFonts w:ascii="Arial" w:cs="Arial" w:eastAsia="Arial" w:hAnsi="Arial"/>
          <w:sz w:val="17"/>
          <w:szCs w:val="17"/>
          <w:color w:val="auto"/>
        </w:rPr>
      </w:pPr>
    </w:p>
    <w:p>
      <w:pPr>
        <w:ind w:left="1660" w:right="83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and conditions, if any, upon which such global security or securities may be exchanged in whole or in part for other individual securities;</w:t>
      </w:r>
    </w:p>
    <w:p>
      <w:pPr>
        <w:spacing w:after="0" w:line="53" w:lineRule="exact"/>
        <w:rPr>
          <w:rFonts w:ascii="Arial" w:cs="Arial" w:eastAsia="Arial" w:hAnsi="Arial"/>
          <w:sz w:val="17"/>
          <w:szCs w:val="17"/>
          <w:color w:val="auto"/>
        </w:rPr>
      </w:pPr>
    </w:p>
    <w:p>
      <w:pPr>
        <w:ind w:left="1660" w:hanging="161"/>
        <w:spacing w:after="0"/>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depositary for such global security or securities;</w:t>
      </w:r>
    </w:p>
    <w:p>
      <w:pPr>
        <w:spacing w:after="0" w:line="106" w:lineRule="exact"/>
        <w:rPr>
          <w:rFonts w:ascii="Arial" w:cs="Arial" w:eastAsia="Arial" w:hAnsi="Arial"/>
          <w:sz w:val="17"/>
          <w:szCs w:val="17"/>
          <w:color w:val="auto"/>
        </w:rPr>
      </w:pPr>
    </w:p>
    <w:p>
      <w:pPr>
        <w:ind w:left="1660" w:right="719" w:hanging="161"/>
        <w:spacing w:after="0" w:line="251"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0" w:lineRule="exact"/>
        <w:rPr>
          <w:rFonts w:ascii="Arial" w:cs="Arial" w:eastAsia="Arial" w:hAnsi="Arial"/>
          <w:sz w:val="17"/>
          <w:szCs w:val="17"/>
          <w:color w:val="auto"/>
        </w:rPr>
      </w:pPr>
    </w:p>
    <w:p>
      <w:pPr>
        <w:ind w:left="1660" w:right="839" w:hanging="161"/>
        <w:spacing w:after="0" w:line="300" w:lineRule="auto"/>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other than the full principal amount thereof, the portion of the principal amount of debt securities of the series which shall be payable upon declaration of acceleration of the maturity thereof;</w:t>
      </w:r>
    </w:p>
    <w:p>
      <w:pPr>
        <w:spacing w:after="0" w:line="30" w:lineRule="exact"/>
        <w:rPr>
          <w:rFonts w:ascii="Arial" w:cs="Arial" w:eastAsia="Arial" w:hAnsi="Arial"/>
          <w:sz w:val="16"/>
          <w:szCs w:val="16"/>
          <w:color w:val="auto"/>
        </w:rPr>
      </w:pPr>
    </w:p>
    <w:p>
      <w:pPr>
        <w:ind w:left="1660" w:right="107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66" w:lineRule="exact"/>
        <w:rPr>
          <w:rFonts w:ascii="Arial" w:cs="Arial" w:eastAsia="Arial" w:hAnsi="Arial"/>
          <w:sz w:val="17"/>
          <w:szCs w:val="17"/>
          <w:color w:val="auto"/>
        </w:rPr>
      </w:pPr>
    </w:p>
    <w:p>
      <w:pPr>
        <w:ind w:left="1660" w:right="859" w:hanging="161"/>
        <w:spacing w:after="0" w:line="257"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3" w:lineRule="exact"/>
        <w:rPr>
          <w:rFonts w:ascii="Arial" w:cs="Arial" w:eastAsia="Arial" w:hAnsi="Arial"/>
          <w:sz w:val="17"/>
          <w:szCs w:val="17"/>
          <w:color w:val="auto"/>
        </w:rPr>
      </w:pPr>
    </w:p>
    <w:p>
      <w:pPr>
        <w:ind w:left="1660" w:right="97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to or changes in the provisions relating to satisfaction and discharge of the indenture;</w:t>
      </w:r>
    </w:p>
    <w:p>
      <w:pPr>
        <w:spacing w:after="0" w:line="106" w:lineRule="exact"/>
        <w:rPr>
          <w:rFonts w:ascii="Arial" w:cs="Arial" w:eastAsia="Arial" w:hAnsi="Arial"/>
          <w:sz w:val="17"/>
          <w:szCs w:val="17"/>
          <w:color w:val="auto"/>
        </w:rPr>
      </w:pPr>
    </w:p>
    <w:p>
      <w:pPr>
        <w:ind w:left="1660" w:right="85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53" w:lineRule="exact"/>
        <w:rPr>
          <w:rFonts w:ascii="Arial" w:cs="Arial" w:eastAsia="Arial" w:hAnsi="Arial"/>
          <w:sz w:val="17"/>
          <w:szCs w:val="17"/>
          <w:color w:val="auto"/>
        </w:rPr>
      </w:pPr>
    </w:p>
    <w:p>
      <w:pPr>
        <w:ind w:left="1660" w:right="87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66"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66" w:lineRule="exact"/>
        <w:rPr>
          <w:rFonts w:ascii="Arial" w:cs="Arial" w:eastAsia="Arial" w:hAnsi="Arial"/>
          <w:sz w:val="17"/>
          <w:szCs w:val="17"/>
          <w:color w:val="auto"/>
        </w:rPr>
      </w:pPr>
    </w:p>
    <w:p>
      <w:pPr>
        <w:jc w:val="both"/>
        <w:ind w:left="1660" w:right="859" w:hanging="161"/>
        <w:spacing w:after="0" w:line="257" w:lineRule="auto"/>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3" w:lineRule="exact"/>
        <w:rPr>
          <w:rFonts w:ascii="Arial" w:cs="Arial" w:eastAsia="Arial" w:hAnsi="Arial"/>
          <w:sz w:val="17"/>
          <w:szCs w:val="17"/>
          <w:color w:val="auto"/>
        </w:rPr>
      </w:pPr>
    </w:p>
    <w:p>
      <w:pPr>
        <w:ind w:left="1660" w:hanging="161"/>
        <w:spacing w:after="0"/>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restrictions on transfer, sale or assignment of the debt securities of the series; and</w:t>
      </w: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1" w:name="page22"/>
    <w:bookmarkEnd w:id="21"/>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right="739" w:hanging="161"/>
        <w:spacing w:after="0" w:line="257" w:lineRule="auto"/>
        <w:tabs>
          <w:tab w:leader="none" w:pos="1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Conversion or Exchange Rights</w:t>
      </w:r>
    </w:p>
    <w:p>
      <w:pPr>
        <w:spacing w:after="0" w:line="135" w:lineRule="exact"/>
        <w:rPr>
          <w:sz w:val="20"/>
          <w:szCs w:val="20"/>
          <w:color w:val="auto"/>
        </w:rPr>
      </w:pPr>
    </w:p>
    <w:p>
      <w:pPr>
        <w:ind w:left="1160" w:right="759" w:firstLine="335"/>
        <w:spacing w:after="0" w:line="251"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Consolidation, Merger or Sale</w:t>
      </w:r>
    </w:p>
    <w:p>
      <w:pPr>
        <w:spacing w:after="0" w:line="148" w:lineRule="exact"/>
        <w:rPr>
          <w:sz w:val="20"/>
          <w:szCs w:val="20"/>
          <w:color w:val="auto"/>
        </w:rPr>
      </w:pPr>
    </w:p>
    <w:p>
      <w:pPr>
        <w:ind w:left="1160" w:right="699" w:firstLine="335"/>
        <w:spacing w:after="0" w:line="252"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Events of Default under the Indenture</w:t>
      </w:r>
    </w:p>
    <w:p>
      <w:pPr>
        <w:spacing w:after="0" w:line="148" w:lineRule="exact"/>
        <w:rPr>
          <w:sz w:val="20"/>
          <w:szCs w:val="20"/>
          <w:color w:val="auto"/>
        </w:rPr>
      </w:pPr>
    </w:p>
    <w:p>
      <w:pPr>
        <w:ind w:left="1160" w:right="1099" w:firstLine="335"/>
        <w:spacing w:after="0" w:line="257"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ind w:left="1660" w:right="879" w:hanging="161"/>
        <w:spacing w:after="0" w:line="252"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79" w:lineRule="exact"/>
        <w:rPr>
          <w:rFonts w:ascii="Arial" w:cs="Arial" w:eastAsia="Arial" w:hAnsi="Arial"/>
          <w:sz w:val="17"/>
          <w:szCs w:val="17"/>
          <w:color w:val="auto"/>
        </w:rPr>
      </w:pPr>
    </w:p>
    <w:p>
      <w:pPr>
        <w:ind w:left="1660" w:right="779" w:hanging="161"/>
        <w:spacing w:after="0" w:line="251" w:lineRule="auto"/>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0" w:lineRule="exact"/>
        <w:rPr>
          <w:rFonts w:ascii="Arial" w:cs="Arial" w:eastAsia="Arial" w:hAnsi="Arial"/>
          <w:sz w:val="17"/>
          <w:szCs w:val="17"/>
          <w:color w:val="auto"/>
        </w:rPr>
      </w:pPr>
    </w:p>
    <w:p>
      <w:pPr>
        <w:ind w:left="1660" w:right="739" w:hanging="161"/>
        <w:spacing w:after="0" w:line="293" w:lineRule="auto"/>
        <w:tabs>
          <w:tab w:leader="none" w:pos="1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52" w:lineRule="exact"/>
        <w:rPr>
          <w:rFonts w:ascii="Arial" w:cs="Arial" w:eastAsia="Arial" w:hAnsi="Arial"/>
          <w:sz w:val="15"/>
          <w:szCs w:val="15"/>
          <w:color w:val="auto"/>
        </w:rPr>
      </w:pPr>
    </w:p>
    <w:p>
      <w:pPr>
        <w:ind w:left="1660" w:hanging="161"/>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specified events of bankruptcy, insolvency or reorganization occur.</w:t>
      </w:r>
    </w:p>
    <w:p>
      <w:pPr>
        <w:spacing w:after="0" w:line="131" w:lineRule="exact"/>
        <w:rPr>
          <w:sz w:val="20"/>
          <w:szCs w:val="20"/>
          <w:color w:val="auto"/>
        </w:rPr>
      </w:pPr>
    </w:p>
    <w:p>
      <w:pPr>
        <w:ind w:left="1160" w:right="719" w:firstLine="335"/>
        <w:spacing w:after="0" w:line="249"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4" w:lineRule="exact"/>
        <w:rPr>
          <w:sz w:val="20"/>
          <w:szCs w:val="20"/>
          <w:color w:val="auto"/>
        </w:rPr>
      </w:pPr>
    </w:p>
    <w:p>
      <w:pPr>
        <w:ind w:left="1160" w:right="759" w:firstLine="335"/>
        <w:spacing w:after="0" w:line="336" w:lineRule="auto"/>
        <w:rPr>
          <w:sz w:val="20"/>
          <w:szCs w:val="20"/>
          <w:color w:val="auto"/>
        </w:rPr>
      </w:pPr>
      <w:r>
        <w:rPr>
          <w:rFonts w:ascii="Arial" w:cs="Arial" w:eastAsia="Arial" w:hAnsi="Arial"/>
          <w:sz w:val="15"/>
          <w:szCs w:val="15"/>
          <w:color w:val="auto"/>
        </w:rPr>
        <w:t>The holders of a majority in principal amount of the outstanding debt securities of an affected series may waive any default or event of default with respect to the series and its consequences, except defaults or</w:t>
      </w: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2" w:name="page23"/>
    <w:bookmarkEnd w:id="22"/>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939"/>
        <w:spacing w:after="0" w:line="242" w:lineRule="auto"/>
        <w:rPr>
          <w:sz w:val="20"/>
          <w:szCs w:val="20"/>
          <w:color w:val="auto"/>
        </w:rPr>
      </w:pPr>
      <w:r>
        <w:rPr>
          <w:rFonts w:ascii="Arial" w:cs="Arial" w:eastAsia="Arial" w:hAnsi="Arial"/>
          <w:sz w:val="17"/>
          <w:szCs w:val="17"/>
          <w:color w:val="auto"/>
        </w:rPr>
        <w:t>events of default regarding payment of principal, premium, if any, or interest, unless we have cured the default or event of default in accordance with the indenture. Any waiver shall cure the default or event of default.</w:t>
      </w:r>
    </w:p>
    <w:p>
      <w:pPr>
        <w:spacing w:after="0" w:line="100" w:lineRule="exact"/>
        <w:rPr>
          <w:sz w:val="20"/>
          <w:szCs w:val="20"/>
          <w:color w:val="auto"/>
        </w:rPr>
      </w:pPr>
    </w:p>
    <w:p>
      <w:pPr>
        <w:ind w:left="1160" w:right="739" w:firstLine="335"/>
        <w:spacing w:after="0" w:line="252" w:lineRule="auto"/>
        <w:rPr>
          <w:sz w:val="20"/>
          <w:szCs w:val="20"/>
          <w:color w:val="auto"/>
        </w:rPr>
      </w:pPr>
      <w:r>
        <w:rPr>
          <w:rFonts w:ascii="Arial" w:cs="Arial" w:eastAsia="Arial" w:hAnsi="Arial"/>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8" w:lineRule="exact"/>
        <w:rPr>
          <w:sz w:val="20"/>
          <w:szCs w:val="20"/>
          <w:color w:val="auto"/>
        </w:rPr>
      </w:pPr>
    </w:p>
    <w:p>
      <w:pPr>
        <w:ind w:left="1660" w:hanging="161"/>
        <w:spacing w:after="0"/>
        <w:tabs>
          <w:tab w:leader="none" w:pos="1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direction so given by the holder is not in conflict with any law or the applicable indenture; and</w:t>
      </w:r>
    </w:p>
    <w:p>
      <w:pPr>
        <w:spacing w:after="0" w:line="117" w:lineRule="exact"/>
        <w:rPr>
          <w:rFonts w:ascii="Arial" w:cs="Arial" w:eastAsia="Arial" w:hAnsi="Arial"/>
          <w:sz w:val="16"/>
          <w:szCs w:val="16"/>
          <w:color w:val="auto"/>
        </w:rPr>
      </w:pPr>
    </w:p>
    <w:p>
      <w:pPr>
        <w:ind w:left="1660" w:right="1019" w:hanging="161"/>
        <w:spacing w:after="0" w:line="257" w:lineRule="auto"/>
        <w:tabs>
          <w:tab w:leader="none" w:pos="1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01" w:lineRule="exact"/>
        <w:rPr>
          <w:sz w:val="20"/>
          <w:szCs w:val="20"/>
          <w:color w:val="auto"/>
        </w:rPr>
      </w:pPr>
    </w:p>
    <w:p>
      <w:pPr>
        <w:ind w:left="1160" w:right="1159" w:firstLine="335"/>
        <w:spacing w:after="0" w:line="253"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65" w:lineRule="exact"/>
        <w:rPr>
          <w:sz w:val="20"/>
          <w:szCs w:val="20"/>
          <w:color w:val="auto"/>
        </w:rPr>
      </w:pPr>
    </w:p>
    <w:p>
      <w:pPr>
        <w:ind w:left="1660" w:right="799" w:hanging="161"/>
        <w:spacing w:after="0" w:line="268"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53" w:lineRule="exact"/>
        <w:rPr>
          <w:rFonts w:ascii="Arial" w:cs="Arial" w:eastAsia="Arial" w:hAnsi="Arial"/>
          <w:sz w:val="17"/>
          <w:szCs w:val="17"/>
          <w:color w:val="auto"/>
        </w:rPr>
      </w:pPr>
    </w:p>
    <w:p>
      <w:pPr>
        <w:ind w:left="1660" w:right="939" w:hanging="161"/>
        <w:spacing w:after="0" w:line="268"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6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66" w:lineRule="exact"/>
        <w:rPr>
          <w:rFonts w:ascii="Arial" w:cs="Arial" w:eastAsia="Arial" w:hAnsi="Arial"/>
          <w:sz w:val="17"/>
          <w:szCs w:val="17"/>
          <w:color w:val="auto"/>
        </w:rPr>
      </w:pPr>
    </w:p>
    <w:p>
      <w:pPr>
        <w:ind w:left="1660" w:right="899" w:hanging="161"/>
        <w:spacing w:after="0" w:line="257" w:lineRule="auto"/>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1" w:lineRule="exact"/>
        <w:rPr>
          <w:sz w:val="20"/>
          <w:szCs w:val="20"/>
          <w:color w:val="auto"/>
        </w:rPr>
      </w:pPr>
    </w:p>
    <w:p>
      <w:pPr>
        <w:ind w:left="1160" w:right="1099" w:firstLine="335"/>
        <w:spacing w:after="0" w:line="253"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03" w:lineRule="exact"/>
        <w:rPr>
          <w:sz w:val="20"/>
          <w:szCs w:val="20"/>
          <w:color w:val="auto"/>
        </w:rPr>
      </w:pPr>
    </w:p>
    <w:p>
      <w:pPr>
        <w:ind w:left="1160" w:right="739" w:firstLine="335"/>
        <w:spacing w:after="0" w:line="253" w:lineRule="auto"/>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Modification of Indenture; Waiver</w:t>
      </w:r>
    </w:p>
    <w:p>
      <w:pPr>
        <w:spacing w:after="0" w:line="148" w:lineRule="exact"/>
        <w:rPr>
          <w:sz w:val="20"/>
          <w:szCs w:val="20"/>
          <w:color w:val="auto"/>
        </w:rPr>
      </w:pPr>
    </w:p>
    <w:p>
      <w:pPr>
        <w:ind w:left="1160" w:right="759" w:firstLine="335"/>
        <w:spacing w:after="0" w:line="253" w:lineRule="auto"/>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53" w:lineRule="exact"/>
        <w:rPr>
          <w:sz w:val="20"/>
          <w:szCs w:val="20"/>
          <w:color w:val="auto"/>
        </w:rPr>
      </w:pPr>
    </w:p>
    <w:p>
      <w:pPr>
        <w:ind w:left="1660" w:hanging="161"/>
        <w:spacing w:after="0"/>
        <w:tabs>
          <w:tab w:leader="none" w:pos="1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the debt securities of any series;</w:t>
      </w:r>
    </w:p>
    <w:p>
      <w:pPr>
        <w:spacing w:after="0" w:line="117" w:lineRule="exact"/>
        <w:rPr>
          <w:rFonts w:ascii="Arial" w:cs="Arial" w:eastAsia="Arial" w:hAnsi="Arial"/>
          <w:sz w:val="16"/>
          <w:szCs w:val="16"/>
          <w:color w:val="auto"/>
        </w:rPr>
      </w:pPr>
    </w:p>
    <w:p>
      <w:pPr>
        <w:ind w:left="1660" w:right="1639" w:hanging="161"/>
        <w:spacing w:after="0" w:line="268"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comply with the provisions described above under “Description of Debt Securities — Consolidation, Merger or Sale”;</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provide for uncertificated debt securities in addition to or in place of certificated debt securities;</w:t>
      </w:r>
    </w:p>
    <w:p>
      <w:pPr>
        <w:spacing w:after="0" w:line="117" w:lineRule="exact"/>
        <w:rPr>
          <w:rFonts w:ascii="Arial" w:cs="Arial" w:eastAsia="Arial" w:hAnsi="Arial"/>
          <w:sz w:val="16"/>
          <w:szCs w:val="16"/>
          <w:color w:val="auto"/>
        </w:rPr>
      </w:pPr>
    </w:p>
    <w:p>
      <w:pPr>
        <w:ind w:left="1660" w:right="759" w:hanging="161"/>
        <w:spacing w:after="0" w:line="252"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7" w:lineRule="exact"/>
        <w:rPr>
          <w:rFonts w:ascii="Arial" w:cs="Arial" w:eastAsia="Arial" w:hAnsi="Arial"/>
          <w:sz w:val="17"/>
          <w:szCs w:val="17"/>
          <w:color w:val="auto"/>
        </w:rPr>
      </w:pPr>
    </w:p>
    <w:p>
      <w:pPr>
        <w:ind w:left="1660" w:right="739" w:hanging="161"/>
        <w:spacing w:after="0" w:line="257"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7"/>
          <w:szCs w:val="17"/>
          <w:color w:val="auto"/>
        </w:rPr>
      </w:pPr>
    </w:p>
    <w:p>
      <w:pPr>
        <w:ind w:left="1660" w:right="719" w:hanging="161"/>
        <w:spacing w:after="0" w:line="268" w:lineRule="auto"/>
        <w:tabs>
          <w:tab w:leader="none" w:pos="1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3" w:name="page24"/>
    <w:bookmarkEnd w:id="23"/>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right="859" w:hanging="161"/>
        <w:spacing w:after="0" w:line="298" w:lineRule="auto"/>
        <w:tabs>
          <w:tab w:leader="none" w:pos="1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48" w:lineRule="exact"/>
        <w:rPr>
          <w:rFonts w:ascii="Arial" w:cs="Arial" w:eastAsia="Arial" w:hAnsi="Arial"/>
          <w:sz w:val="15"/>
          <w:szCs w:val="15"/>
          <w:color w:val="auto"/>
        </w:rPr>
      </w:pPr>
    </w:p>
    <w:p>
      <w:pPr>
        <w:ind w:left="1660" w:right="1219" w:hanging="161"/>
        <w:spacing w:after="0" w:line="268"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66" w:lineRule="exact"/>
        <w:rPr>
          <w:rFonts w:ascii="Arial" w:cs="Arial" w:eastAsia="Arial" w:hAnsi="Arial"/>
          <w:sz w:val="17"/>
          <w:szCs w:val="17"/>
          <w:color w:val="auto"/>
        </w:rPr>
      </w:pPr>
    </w:p>
    <w:p>
      <w:pPr>
        <w:ind w:left="1660" w:right="959" w:hanging="161"/>
        <w:spacing w:after="0" w:line="268" w:lineRule="auto"/>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04" w:lineRule="exact"/>
        <w:rPr>
          <w:sz w:val="20"/>
          <w:szCs w:val="20"/>
          <w:color w:val="auto"/>
        </w:rPr>
      </w:pPr>
    </w:p>
    <w:p>
      <w:pPr>
        <w:ind w:left="1160" w:right="719" w:firstLine="335"/>
        <w:spacing w:after="0" w:line="293" w:lineRule="auto"/>
        <w:rPr>
          <w:sz w:val="20"/>
          <w:szCs w:val="20"/>
          <w:color w:val="auto"/>
        </w:rPr>
      </w:pPr>
      <w:r>
        <w:rPr>
          <w:rFonts w:ascii="Arial" w:cs="Arial" w:eastAsia="Arial" w:hAnsi="Arial"/>
          <w:sz w:val="15"/>
          <w:szCs w:val="15"/>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53" w:lineRule="exact"/>
        <w:rPr>
          <w:sz w:val="20"/>
          <w:szCs w:val="20"/>
          <w:color w:val="auto"/>
        </w:rPr>
      </w:pPr>
    </w:p>
    <w:p>
      <w:pPr>
        <w:ind w:left="1660" w:hanging="161"/>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extending the fixed maturity of any debt securities of any series;</w:t>
      </w:r>
    </w:p>
    <w:p>
      <w:pPr>
        <w:spacing w:after="0" w:line="106" w:lineRule="exact"/>
        <w:rPr>
          <w:rFonts w:ascii="Arial" w:cs="Arial" w:eastAsia="Arial" w:hAnsi="Arial"/>
          <w:sz w:val="17"/>
          <w:szCs w:val="17"/>
          <w:color w:val="auto"/>
        </w:rPr>
      </w:pPr>
    </w:p>
    <w:p>
      <w:pPr>
        <w:ind w:left="1660" w:right="879" w:hanging="161"/>
        <w:spacing w:after="0" w:line="300" w:lineRule="auto"/>
        <w:tabs>
          <w:tab w:leader="none" w:pos="1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series of any debt securities; or</w:t>
      </w:r>
    </w:p>
    <w:p>
      <w:pPr>
        <w:spacing w:after="0" w:line="42" w:lineRule="exact"/>
        <w:rPr>
          <w:rFonts w:ascii="Arial" w:cs="Arial" w:eastAsia="Arial" w:hAnsi="Arial"/>
          <w:sz w:val="16"/>
          <w:szCs w:val="16"/>
          <w:color w:val="auto"/>
        </w:rPr>
      </w:pPr>
    </w:p>
    <w:p>
      <w:pPr>
        <w:ind w:left="1660" w:right="1239" w:hanging="161"/>
        <w:spacing w:after="0" w:line="268" w:lineRule="auto"/>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Discharge</w:t>
      </w:r>
    </w:p>
    <w:p>
      <w:pPr>
        <w:spacing w:after="0" w:line="135" w:lineRule="exact"/>
        <w:rPr>
          <w:sz w:val="20"/>
          <w:szCs w:val="20"/>
          <w:color w:val="auto"/>
        </w:rPr>
      </w:pPr>
    </w:p>
    <w:p>
      <w:pPr>
        <w:ind w:left="1160" w:right="819" w:firstLine="335"/>
        <w:spacing w:after="0" w:line="268"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66" w:lineRule="exact"/>
        <w:rPr>
          <w:sz w:val="20"/>
          <w:szCs w:val="20"/>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for payment;</w:t>
      </w:r>
    </w:p>
    <w:p>
      <w:pPr>
        <w:spacing w:after="0" w:line="118"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register the transfer or exchange of debt securities of the series;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replace stolen, lost or mutilated debt securities of the series;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 principal of and premium and interest on any debt securities of the series;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 paying agencies;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hold monies for payment in trust;</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recover excess money held by the trustee;</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compensate and indemnify the trustee; and</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appoint any successor trustee.</w:t>
      </w:r>
    </w:p>
    <w:p>
      <w:pPr>
        <w:spacing w:after="0" w:line="144" w:lineRule="exact"/>
        <w:rPr>
          <w:sz w:val="20"/>
          <w:szCs w:val="20"/>
          <w:color w:val="auto"/>
        </w:rPr>
      </w:pPr>
    </w:p>
    <w:p>
      <w:pPr>
        <w:jc w:val="both"/>
        <w:ind w:left="1160" w:right="779" w:firstLine="335"/>
        <w:spacing w:after="0" w:line="257"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Form, Exchange and Transfer</w:t>
      </w:r>
    </w:p>
    <w:p>
      <w:pPr>
        <w:spacing w:after="0" w:line="135" w:lineRule="exact"/>
        <w:rPr>
          <w:sz w:val="20"/>
          <w:szCs w:val="20"/>
          <w:color w:val="auto"/>
        </w:rPr>
      </w:pPr>
    </w:p>
    <w:p>
      <w:pPr>
        <w:ind w:left="1160" w:right="839" w:firstLine="335"/>
        <w:spacing w:after="0" w:line="267"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09" w:lineRule="exact"/>
        <w:rPr>
          <w:sz w:val="20"/>
          <w:szCs w:val="20"/>
          <w:color w:val="auto"/>
        </w:rPr>
      </w:pPr>
    </w:p>
    <w:p>
      <w:pPr>
        <w:ind w:left="1160" w:right="719" w:firstLine="335"/>
        <w:spacing w:after="0" w:line="300" w:lineRule="auto"/>
        <w:rPr>
          <w:sz w:val="20"/>
          <w:szCs w:val="20"/>
          <w:color w:val="auto"/>
        </w:rPr>
      </w:pPr>
      <w:r>
        <w:rPr>
          <w:rFonts w:ascii="Arial" w:cs="Arial" w:eastAsia="Arial" w:hAnsi="Arial"/>
          <w:sz w:val="16"/>
          <w:szCs w:val="16"/>
          <w:color w:val="auto"/>
        </w:rPr>
        <w:t>At the option of the holder, subject to the terms of the indenture and the limitations applicable to global securities described in the applicable prospectus supplement, the holder of the debt securities of any</w:t>
      </w:r>
    </w:p>
    <w:p>
      <w:pPr>
        <w:spacing w:after="0" w:line="30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4" w:name="page25"/>
    <w:bookmarkEnd w:id="24"/>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1299"/>
        <w:spacing w:after="0" w:line="253" w:lineRule="auto"/>
        <w:rPr>
          <w:sz w:val="20"/>
          <w:szCs w:val="20"/>
          <w:color w:val="auto"/>
        </w:rPr>
      </w:pPr>
      <w:r>
        <w:rPr>
          <w:rFonts w:ascii="Arial" w:cs="Arial" w:eastAsia="Arial" w:hAnsi="Arial"/>
          <w:sz w:val="17"/>
          <w:szCs w:val="17"/>
          <w:color w:val="auto"/>
        </w:rPr>
        <w:t>series can exchange the debt securities for other debt securities of the same series, in any authorized denomination and of like tenor and aggregate principal amount.</w:t>
      </w:r>
    </w:p>
    <w:p>
      <w:pPr>
        <w:spacing w:after="0" w:line="91" w:lineRule="exact"/>
        <w:rPr>
          <w:sz w:val="20"/>
          <w:szCs w:val="20"/>
          <w:color w:val="auto"/>
        </w:rPr>
      </w:pPr>
    </w:p>
    <w:p>
      <w:pPr>
        <w:ind w:left="1160" w:right="739" w:firstLine="335"/>
        <w:spacing w:after="0" w:line="252"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05" w:lineRule="exact"/>
        <w:rPr>
          <w:sz w:val="20"/>
          <w:szCs w:val="20"/>
          <w:color w:val="auto"/>
        </w:rPr>
      </w:pPr>
    </w:p>
    <w:p>
      <w:pPr>
        <w:ind w:left="1160" w:right="759" w:firstLine="335"/>
        <w:spacing w:after="0" w:line="237"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94" w:lineRule="exact"/>
        <w:rPr>
          <w:sz w:val="20"/>
          <w:szCs w:val="20"/>
          <w:color w:val="auto"/>
        </w:rPr>
      </w:pPr>
    </w:p>
    <w:p>
      <w:pPr>
        <w:ind w:left="1660" w:right="719" w:hanging="161"/>
        <w:spacing w:after="0" w:line="254" w:lineRule="auto"/>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4" w:lineRule="exact"/>
        <w:rPr>
          <w:rFonts w:ascii="Arial" w:cs="Arial" w:eastAsia="Arial" w:hAnsi="Arial"/>
          <w:sz w:val="17"/>
          <w:szCs w:val="17"/>
          <w:color w:val="auto"/>
        </w:rPr>
      </w:pPr>
    </w:p>
    <w:p>
      <w:pPr>
        <w:ind w:left="1660" w:right="1039" w:hanging="161"/>
        <w:spacing w:after="0" w:line="300" w:lineRule="auto"/>
        <w:tabs>
          <w:tab w:leader="none" w:pos="1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register the transfer of or exchange any debt securities so selected for redemption, in whole or in part, except the unredeemed portion of any debt securities we are redeeming in part.</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Information Concerning the Trustee</w:t>
      </w:r>
    </w:p>
    <w:p>
      <w:pPr>
        <w:spacing w:after="0" w:line="148" w:lineRule="exact"/>
        <w:rPr>
          <w:sz w:val="20"/>
          <w:szCs w:val="20"/>
          <w:color w:val="auto"/>
        </w:rPr>
      </w:pPr>
    </w:p>
    <w:p>
      <w:pPr>
        <w:ind w:left="1160" w:right="699" w:firstLine="335"/>
        <w:spacing w:after="0" w:line="235"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Payment and Paying Agents</w:t>
      </w:r>
    </w:p>
    <w:p>
      <w:pPr>
        <w:spacing w:after="0" w:line="148" w:lineRule="exact"/>
        <w:rPr>
          <w:sz w:val="20"/>
          <w:szCs w:val="20"/>
          <w:color w:val="auto"/>
        </w:rPr>
      </w:pPr>
    </w:p>
    <w:p>
      <w:pPr>
        <w:ind w:left="1160" w:right="759" w:firstLine="335"/>
        <w:spacing w:after="0" w:line="239"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4" w:lineRule="exact"/>
        <w:rPr>
          <w:sz w:val="20"/>
          <w:szCs w:val="20"/>
          <w:color w:val="auto"/>
        </w:rPr>
      </w:pPr>
    </w:p>
    <w:p>
      <w:pPr>
        <w:ind w:left="1160" w:right="719" w:firstLine="335"/>
        <w:spacing w:after="0" w:line="251" w:lineRule="auto"/>
        <w:rPr>
          <w:sz w:val="20"/>
          <w:szCs w:val="20"/>
          <w:color w:val="auto"/>
        </w:rPr>
      </w:pPr>
      <w:r>
        <w:rPr>
          <w:rFonts w:ascii="Arial" w:cs="Arial" w:eastAsia="Arial" w:hAnsi="Arial"/>
          <w:sz w:val="16"/>
          <w:szCs w:val="16"/>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94" w:lineRule="exact"/>
        <w:rPr>
          <w:sz w:val="20"/>
          <w:szCs w:val="20"/>
          <w:color w:val="auto"/>
        </w:rPr>
      </w:pPr>
    </w:p>
    <w:p>
      <w:pPr>
        <w:ind w:left="1160" w:right="859" w:firstLine="335"/>
        <w:spacing w:after="0" w:line="239"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Governing Law</w:t>
      </w:r>
    </w:p>
    <w:p>
      <w:pPr>
        <w:spacing w:after="0" w:line="148" w:lineRule="exact"/>
        <w:rPr>
          <w:sz w:val="20"/>
          <w:szCs w:val="20"/>
          <w:color w:val="auto"/>
        </w:rPr>
      </w:pPr>
    </w:p>
    <w:p>
      <w:pPr>
        <w:ind w:left="1160" w:right="719" w:firstLine="335"/>
        <w:spacing w:after="0" w:line="253" w:lineRule="auto"/>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 except to the extent that the Trust Indenture Act is applicable.</w:t>
      </w:r>
    </w:p>
    <w:p>
      <w:pPr>
        <w:spacing w:after="0" w:line="32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5" w:name="page26"/>
    <w:bookmarkEnd w:id="25"/>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DESCRIPTION OF WARRANTS</w:t>
      </w:r>
    </w:p>
    <w:p>
      <w:pPr>
        <w:spacing w:after="0" w:line="135" w:lineRule="exact"/>
        <w:rPr>
          <w:sz w:val="20"/>
          <w:szCs w:val="20"/>
          <w:color w:val="auto"/>
        </w:rPr>
      </w:pPr>
    </w:p>
    <w:p>
      <w:pPr>
        <w:ind w:left="1160" w:right="859" w:firstLine="335"/>
        <w:spacing w:after="0" w:line="265"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13" w:lineRule="exact"/>
        <w:rPr>
          <w:sz w:val="20"/>
          <w:szCs w:val="20"/>
          <w:color w:val="auto"/>
        </w:rPr>
      </w:pPr>
    </w:p>
    <w:p>
      <w:pPr>
        <w:ind w:left="1160" w:right="879" w:firstLine="335"/>
        <w:spacing w:after="0" w:line="285" w:lineRule="auto"/>
        <w:rPr>
          <w:sz w:val="20"/>
          <w:szCs w:val="20"/>
          <w:color w:val="auto"/>
        </w:rPr>
      </w:pPr>
      <w:r>
        <w:rPr>
          <w:rFonts w:ascii="Arial" w:cs="Arial" w:eastAsia="Arial" w:hAnsi="Arial"/>
          <w:sz w:val="15"/>
          <w:szCs w:val="15"/>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48" w:lineRule="exact"/>
        <w:rPr>
          <w:sz w:val="20"/>
          <w:szCs w:val="20"/>
          <w:color w:val="auto"/>
        </w:rPr>
      </w:pPr>
    </w:p>
    <w:p>
      <w:pPr>
        <w:ind w:left="1160" w:right="1099" w:firstLine="335"/>
        <w:spacing w:after="0" w:line="268" w:lineRule="auto"/>
        <w:rPr>
          <w:sz w:val="20"/>
          <w:szCs w:val="20"/>
          <w:color w:val="auto"/>
        </w:rPr>
      </w:pPr>
      <w:r>
        <w:rPr>
          <w:rFonts w:ascii="Arial" w:cs="Arial" w:eastAsia="Arial" w:hAnsi="Arial"/>
          <w:sz w:val="17"/>
          <w:szCs w:val="17"/>
          <w:color w:val="auto"/>
        </w:rPr>
        <w:t>We will describe in the applicable prospectus supplement the terms relating to a series of warrants being offered, including, to the extent applicable:</w:t>
      </w:r>
    </w:p>
    <w:p>
      <w:pPr>
        <w:spacing w:after="0" w:line="66" w:lineRule="exact"/>
        <w:rPr>
          <w:sz w:val="20"/>
          <w:szCs w:val="20"/>
          <w:color w:val="auto"/>
        </w:rPr>
      </w:pPr>
    </w:p>
    <w:p>
      <w:pPr>
        <w:ind w:left="1660" w:hanging="161"/>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title of such securities;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offering price or prices and aggregate number of warrants offered;</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currency or currencies for which the warrants may be purchased;</w:t>
      </w:r>
    </w:p>
    <w:p>
      <w:pPr>
        <w:spacing w:after="0" w:line="118" w:lineRule="exact"/>
        <w:rPr>
          <w:rFonts w:ascii="Arial" w:cs="Arial" w:eastAsia="Arial" w:hAnsi="Arial"/>
          <w:sz w:val="17"/>
          <w:szCs w:val="17"/>
          <w:color w:val="auto"/>
        </w:rPr>
      </w:pPr>
    </w:p>
    <w:p>
      <w:pPr>
        <w:ind w:left="1660" w:right="879" w:hanging="161"/>
        <w:spacing w:after="0" w:line="300"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such security or each principal amount of such security;</w:t>
      </w:r>
    </w:p>
    <w:p>
      <w:pPr>
        <w:spacing w:after="0" w:line="42" w:lineRule="exact"/>
        <w:rPr>
          <w:rFonts w:ascii="Arial" w:cs="Arial" w:eastAsia="Arial" w:hAnsi="Arial"/>
          <w:sz w:val="16"/>
          <w:szCs w:val="16"/>
          <w:color w:val="auto"/>
        </w:rPr>
      </w:pPr>
    </w:p>
    <w:p>
      <w:pPr>
        <w:ind w:left="1660" w:right="979" w:hanging="161"/>
        <w:spacing w:after="0" w:line="268"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securities will be separately transferable;</w:t>
      </w:r>
    </w:p>
    <w:p>
      <w:pPr>
        <w:spacing w:after="0" w:line="66" w:lineRule="exact"/>
        <w:rPr>
          <w:rFonts w:ascii="Arial" w:cs="Arial" w:eastAsia="Arial" w:hAnsi="Arial"/>
          <w:sz w:val="17"/>
          <w:szCs w:val="17"/>
          <w:color w:val="auto"/>
        </w:rPr>
      </w:pPr>
    </w:p>
    <w:p>
      <w:pPr>
        <w:ind w:left="1660" w:right="719" w:hanging="161"/>
        <w:spacing w:after="0" w:line="268"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applicable, the minimum or maximum amount of such warrants which may be exercised at any one time;</w:t>
      </w:r>
    </w:p>
    <w:p>
      <w:pPr>
        <w:spacing w:after="0" w:line="66" w:lineRule="exact"/>
        <w:rPr>
          <w:rFonts w:ascii="Arial" w:cs="Arial" w:eastAsia="Arial" w:hAnsi="Arial"/>
          <w:sz w:val="17"/>
          <w:szCs w:val="17"/>
          <w:color w:val="auto"/>
        </w:rPr>
      </w:pPr>
    </w:p>
    <w:p>
      <w:pPr>
        <w:ind w:left="1660" w:right="1319" w:hanging="161"/>
        <w:spacing w:after="0" w:line="281"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70" w:lineRule="exact"/>
        <w:rPr>
          <w:rFonts w:ascii="Arial" w:cs="Arial" w:eastAsia="Arial" w:hAnsi="Arial"/>
          <w:sz w:val="16"/>
          <w:szCs w:val="16"/>
          <w:color w:val="auto"/>
        </w:rPr>
      </w:pPr>
    </w:p>
    <w:p>
      <w:pPr>
        <w:ind w:left="1660" w:right="859" w:hanging="161"/>
        <w:spacing w:after="0" w:line="254"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77" w:lineRule="exact"/>
        <w:rPr>
          <w:rFonts w:ascii="Arial" w:cs="Arial" w:eastAsia="Arial" w:hAnsi="Arial"/>
          <w:sz w:val="17"/>
          <w:szCs w:val="17"/>
          <w:color w:val="auto"/>
        </w:rPr>
      </w:pPr>
    </w:p>
    <w:p>
      <w:pPr>
        <w:ind w:left="1660" w:right="1179" w:hanging="161"/>
        <w:spacing w:after="0" w:line="268"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any merger, consolidation, sale or other disposition of our business on the warrant agreements and the warrants;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of any rights to redeem or call the warrants;</w:t>
      </w:r>
    </w:p>
    <w:p>
      <w:pPr>
        <w:spacing w:after="0" w:line="118" w:lineRule="exact"/>
        <w:rPr>
          <w:rFonts w:ascii="Arial" w:cs="Arial" w:eastAsia="Arial" w:hAnsi="Arial"/>
          <w:sz w:val="17"/>
          <w:szCs w:val="17"/>
          <w:color w:val="auto"/>
        </w:rPr>
      </w:pPr>
    </w:p>
    <w:p>
      <w:pPr>
        <w:ind w:left="1660" w:hanging="161"/>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of any rights to force the exercise of the warrants;</w:t>
      </w:r>
    </w:p>
    <w:p>
      <w:pPr>
        <w:spacing w:after="0" w:line="37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26" w:name="page27"/>
    <w:bookmarkEnd w:id="26"/>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right="959" w:hanging="161"/>
        <w:spacing w:after="0" w:line="268" w:lineRule="auto"/>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53" w:lineRule="exact"/>
        <w:rPr>
          <w:rFonts w:ascii="Arial" w:cs="Arial" w:eastAsia="Arial" w:hAnsi="Arial"/>
          <w:sz w:val="17"/>
          <w:szCs w:val="17"/>
          <w:color w:val="auto"/>
        </w:rPr>
      </w:pPr>
    </w:p>
    <w:p>
      <w:pPr>
        <w:ind w:left="1660" w:hanging="161"/>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dates on which the right to exercise the warrants will commence and expire;</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manner in which the warrant agreements and warrants may be modified;</w:t>
      </w:r>
    </w:p>
    <w:p>
      <w:pPr>
        <w:spacing w:after="0" w:line="93" w:lineRule="exact"/>
        <w:rPr>
          <w:rFonts w:ascii="Arial" w:cs="Arial" w:eastAsia="Arial" w:hAnsi="Arial"/>
          <w:sz w:val="17"/>
          <w:szCs w:val="17"/>
          <w:color w:val="auto"/>
        </w:rPr>
      </w:pPr>
    </w:p>
    <w:p>
      <w:pPr>
        <w:ind w:left="1660" w:right="699" w:hanging="161"/>
        <w:spacing w:after="0" w:line="268" w:lineRule="auto"/>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discussion of any material or special U.S. federal income tax consequences of holding or exercising the warrants;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terms of the securities issuable upon exercise of the warrants; and</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warrants.</w:t>
      </w:r>
    </w:p>
    <w:p>
      <w:pPr>
        <w:spacing w:after="0" w:line="131" w:lineRule="exact"/>
        <w:rPr>
          <w:sz w:val="20"/>
          <w:szCs w:val="20"/>
          <w:color w:val="auto"/>
        </w:rPr>
      </w:pPr>
    </w:p>
    <w:p>
      <w:pPr>
        <w:ind w:left="1160" w:right="939" w:firstLine="335"/>
        <w:spacing w:after="0" w:line="253" w:lineRule="auto"/>
        <w:rPr>
          <w:sz w:val="20"/>
          <w:szCs w:val="20"/>
          <w:color w:val="auto"/>
        </w:rPr>
      </w:pPr>
      <w:r>
        <w:rPr>
          <w:rFonts w:ascii="Arial" w:cs="Arial" w:eastAsia="Arial" w:hAnsi="Arial"/>
          <w:sz w:val="17"/>
          <w:szCs w:val="17"/>
          <w:color w:val="auto"/>
        </w:rPr>
        <w:t>Before exercising their warrants, holders of warrants will not have any of the rights of holders of the securities purchasable upon such exercise, including:</w:t>
      </w:r>
    </w:p>
    <w:p>
      <w:pPr>
        <w:spacing w:after="0" w:line="65" w:lineRule="exact"/>
        <w:rPr>
          <w:sz w:val="20"/>
          <w:szCs w:val="20"/>
          <w:color w:val="auto"/>
        </w:rPr>
      </w:pPr>
    </w:p>
    <w:p>
      <w:pPr>
        <w:ind w:left="1660" w:right="759" w:hanging="161"/>
        <w:spacing w:after="0" w:line="257" w:lineRule="auto"/>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3" w:lineRule="exact"/>
        <w:rPr>
          <w:rFonts w:ascii="Arial" w:cs="Arial" w:eastAsia="Arial" w:hAnsi="Arial"/>
          <w:sz w:val="17"/>
          <w:szCs w:val="17"/>
          <w:color w:val="auto"/>
        </w:rPr>
      </w:pPr>
    </w:p>
    <w:p>
      <w:pPr>
        <w:ind w:left="1660" w:right="859" w:hanging="161"/>
        <w:spacing w:after="0" w:line="257" w:lineRule="auto"/>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Exercise of Warrants</w:t>
      </w:r>
    </w:p>
    <w:p>
      <w:pPr>
        <w:spacing w:after="0" w:line="148" w:lineRule="exact"/>
        <w:rPr>
          <w:sz w:val="20"/>
          <w:szCs w:val="20"/>
          <w:color w:val="auto"/>
        </w:rPr>
      </w:pPr>
    </w:p>
    <w:p>
      <w:pPr>
        <w:ind w:left="1160" w:right="719" w:firstLine="335"/>
        <w:spacing w:after="0" w:line="236"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16" w:lineRule="exact"/>
        <w:rPr>
          <w:sz w:val="20"/>
          <w:szCs w:val="20"/>
          <w:color w:val="auto"/>
        </w:rPr>
      </w:pPr>
    </w:p>
    <w:p>
      <w:pPr>
        <w:ind w:left="1160" w:right="739" w:firstLine="335"/>
        <w:spacing w:after="0" w:line="253" w:lineRule="auto"/>
        <w:rPr>
          <w:sz w:val="20"/>
          <w:szCs w:val="20"/>
          <w:color w:val="auto"/>
        </w:rPr>
      </w:pPr>
      <w:r>
        <w:rPr>
          <w:rFonts w:ascii="Arial" w:cs="Arial" w:eastAsia="Arial" w:hAnsi="Arial"/>
          <w:sz w:val="16"/>
          <w:szCs w:val="16"/>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93" w:lineRule="exact"/>
        <w:rPr>
          <w:sz w:val="20"/>
          <w:szCs w:val="20"/>
          <w:color w:val="auto"/>
        </w:rPr>
      </w:pPr>
    </w:p>
    <w:p>
      <w:pPr>
        <w:ind w:left="1160" w:right="699" w:firstLine="335"/>
        <w:spacing w:after="0" w:line="253" w:lineRule="auto"/>
        <w:rPr>
          <w:sz w:val="20"/>
          <w:szCs w:val="20"/>
          <w:color w:val="auto"/>
        </w:rPr>
      </w:pPr>
      <w:r>
        <w:rPr>
          <w:rFonts w:ascii="Arial" w:cs="Arial" w:eastAsia="Arial" w:hAnsi="Arial"/>
          <w:sz w:val="16"/>
          <w:szCs w:val="16"/>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Governing Law</w:t>
      </w:r>
    </w:p>
    <w:p>
      <w:pPr>
        <w:spacing w:after="0" w:line="148" w:lineRule="exact"/>
        <w:rPr>
          <w:sz w:val="20"/>
          <w:szCs w:val="20"/>
          <w:color w:val="auto"/>
        </w:rPr>
      </w:pPr>
    </w:p>
    <w:p>
      <w:pPr>
        <w:jc w:val="both"/>
        <w:ind w:left="1160" w:right="1199" w:firstLine="335"/>
        <w:spacing w:after="0" w:line="290" w:lineRule="auto"/>
        <w:rPr>
          <w:sz w:val="20"/>
          <w:szCs w:val="20"/>
          <w:color w:val="auto"/>
        </w:rPr>
      </w:pPr>
      <w:r>
        <w:rPr>
          <w:rFonts w:ascii="Arial" w:cs="Arial" w:eastAsia="Arial" w:hAnsi="Arial"/>
          <w:sz w:val="15"/>
          <w:szCs w:val="15"/>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3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Enforceability of Rights by Holders of Warrants</w:t>
      </w:r>
    </w:p>
    <w:p>
      <w:pPr>
        <w:spacing w:after="0" w:line="148" w:lineRule="exact"/>
        <w:rPr>
          <w:sz w:val="20"/>
          <w:szCs w:val="20"/>
          <w:color w:val="auto"/>
        </w:rPr>
      </w:pPr>
    </w:p>
    <w:p>
      <w:pPr>
        <w:ind w:left="1160" w:right="719" w:firstLine="335"/>
        <w:spacing w:after="0" w:line="235" w:lineRule="auto"/>
        <w:rPr>
          <w:sz w:val="20"/>
          <w:szCs w:val="20"/>
          <w:color w:val="auto"/>
        </w:rPr>
      </w:pPr>
      <w:r>
        <w:rPr>
          <w:rFonts w:ascii="Arial" w:cs="Arial" w:eastAsia="Arial" w:hAnsi="Arial"/>
          <w:sz w:val="17"/>
          <w:szCs w:val="17"/>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7" w:name="page28"/>
    <w:bookmarkEnd w:id="27"/>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LEGAL OWNERSHIP OF SECURITIES</w:t>
      </w:r>
    </w:p>
    <w:p>
      <w:pPr>
        <w:spacing w:after="0" w:line="135" w:lineRule="exact"/>
        <w:rPr>
          <w:sz w:val="20"/>
          <w:szCs w:val="20"/>
          <w:color w:val="auto"/>
        </w:rPr>
      </w:pPr>
    </w:p>
    <w:p>
      <w:pPr>
        <w:ind w:left="1160" w:right="699" w:firstLine="335"/>
        <w:spacing w:after="0" w:line="252"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Book-Entry Holders</w:t>
      </w:r>
    </w:p>
    <w:p>
      <w:pPr>
        <w:spacing w:after="0" w:line="148" w:lineRule="exact"/>
        <w:rPr>
          <w:sz w:val="20"/>
          <w:szCs w:val="20"/>
          <w:color w:val="auto"/>
        </w:rPr>
      </w:pPr>
    </w:p>
    <w:p>
      <w:pPr>
        <w:ind w:left="1160" w:right="899" w:firstLine="335"/>
        <w:spacing w:after="0" w:line="276" w:lineRule="auto"/>
        <w:rPr>
          <w:sz w:val="20"/>
          <w:szCs w:val="20"/>
          <w:color w:val="auto"/>
        </w:rPr>
      </w:pPr>
      <w:r>
        <w:rPr>
          <w:rFonts w:ascii="Arial" w:cs="Arial" w:eastAsia="Arial" w:hAnsi="Arial"/>
          <w:sz w:val="15"/>
          <w:szCs w:val="15"/>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 entry system. These participating institutions, which are referred to as participants, in turn, hold beneficial interests in the securities on behalf of themselves or their customers.</w:t>
      </w:r>
    </w:p>
    <w:p>
      <w:pPr>
        <w:spacing w:after="0" w:line="89" w:lineRule="exact"/>
        <w:rPr>
          <w:sz w:val="20"/>
          <w:szCs w:val="20"/>
          <w:color w:val="auto"/>
        </w:rPr>
      </w:pPr>
    </w:p>
    <w:p>
      <w:pPr>
        <w:ind w:left="1160" w:right="699" w:firstLine="335"/>
        <w:spacing w:after="0" w:line="252"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93" w:lineRule="exact"/>
        <w:rPr>
          <w:sz w:val="20"/>
          <w:szCs w:val="20"/>
          <w:color w:val="auto"/>
        </w:rPr>
      </w:pPr>
    </w:p>
    <w:p>
      <w:pPr>
        <w:ind w:left="1160" w:right="739" w:firstLine="335"/>
        <w:spacing w:after="0" w:line="258" w:lineRule="auto"/>
        <w:rPr>
          <w:sz w:val="20"/>
          <w:szCs w:val="20"/>
          <w:color w:val="auto"/>
        </w:rPr>
      </w:pPr>
      <w:r>
        <w:rPr>
          <w:rFonts w:ascii="Arial" w:cs="Arial" w:eastAsia="Arial" w:hAnsi="Arial"/>
          <w:sz w:val="16"/>
          <w:szCs w:val="16"/>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Street Name Holders</w:t>
      </w:r>
    </w:p>
    <w:p>
      <w:pPr>
        <w:spacing w:after="0" w:line="148" w:lineRule="exact"/>
        <w:rPr>
          <w:sz w:val="20"/>
          <w:szCs w:val="20"/>
          <w:color w:val="auto"/>
        </w:rPr>
      </w:pPr>
    </w:p>
    <w:p>
      <w:pPr>
        <w:ind w:left="1160" w:right="739" w:firstLine="335"/>
        <w:spacing w:after="0" w:line="237" w:lineRule="auto"/>
        <w:rPr>
          <w:sz w:val="20"/>
          <w:szCs w:val="20"/>
          <w:color w:val="auto"/>
        </w:rPr>
      </w:pPr>
      <w:r>
        <w:rPr>
          <w:rFonts w:ascii="Arial" w:cs="Arial" w:eastAsia="Arial" w:hAnsi="Arial"/>
          <w:sz w:val="17"/>
          <w:szCs w:val="17"/>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6" w:lineRule="exact"/>
        <w:rPr>
          <w:sz w:val="20"/>
          <w:szCs w:val="20"/>
          <w:color w:val="auto"/>
        </w:rPr>
      </w:pPr>
    </w:p>
    <w:p>
      <w:pPr>
        <w:ind w:left="1160" w:right="859" w:firstLine="335"/>
        <w:spacing w:after="0" w:line="235" w:lineRule="auto"/>
        <w:rPr>
          <w:sz w:val="20"/>
          <w:szCs w:val="20"/>
          <w:color w:val="auto"/>
        </w:rPr>
      </w:pPr>
      <w:r>
        <w:rPr>
          <w:rFonts w:ascii="Arial" w:cs="Arial" w:eastAsia="Arial" w:hAnsi="Arial"/>
          <w:sz w:val="17"/>
          <w:szCs w:val="17"/>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Legal Holders</w:t>
      </w:r>
    </w:p>
    <w:p>
      <w:pPr>
        <w:spacing w:after="0" w:line="135" w:lineRule="exact"/>
        <w:rPr>
          <w:sz w:val="20"/>
          <w:szCs w:val="20"/>
          <w:color w:val="auto"/>
        </w:rPr>
      </w:pPr>
    </w:p>
    <w:p>
      <w:pPr>
        <w:ind w:left="1160" w:right="839" w:firstLine="335"/>
        <w:spacing w:after="0" w:line="237" w:lineRule="auto"/>
        <w:rPr>
          <w:sz w:val="20"/>
          <w:szCs w:val="20"/>
          <w:color w:val="auto"/>
        </w:rPr>
      </w:pPr>
      <w:r>
        <w:rPr>
          <w:rFonts w:ascii="Arial" w:cs="Arial" w:eastAsia="Arial" w:hAnsi="Arial"/>
          <w:sz w:val="17"/>
          <w:szCs w:val="17"/>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6" w:lineRule="exact"/>
        <w:rPr>
          <w:sz w:val="20"/>
          <w:szCs w:val="20"/>
          <w:color w:val="auto"/>
        </w:rPr>
      </w:pPr>
    </w:p>
    <w:p>
      <w:pPr>
        <w:ind w:left="1160" w:right="719" w:firstLine="335"/>
        <w:spacing w:after="0" w:line="281" w:lineRule="auto"/>
        <w:rPr>
          <w:sz w:val="20"/>
          <w:szCs w:val="20"/>
          <w:color w:val="auto"/>
        </w:rPr>
      </w:pPr>
      <w:r>
        <w:rPr>
          <w:rFonts w:ascii="Arial" w:cs="Arial" w:eastAsia="Arial" w:hAnsi="Arial"/>
          <w:sz w:val="15"/>
          <w:szCs w:val="15"/>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w:t>
      </w:r>
    </w:p>
    <w:p>
      <w:pPr>
        <w:spacing w:after="0" w:line="31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8" w:name="page29"/>
    <w:bookmarkEnd w:id="28"/>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160" w:right="759"/>
        <w:spacing w:after="0" w:line="242" w:lineRule="auto"/>
        <w:rPr>
          <w:sz w:val="20"/>
          <w:szCs w:val="20"/>
          <w:color w:val="auto"/>
        </w:rPr>
      </w:pPr>
      <w:r>
        <w:rPr>
          <w:rFonts w:ascii="Arial" w:cs="Arial" w:eastAsia="Arial" w:hAnsi="Arial"/>
          <w:sz w:val="17"/>
          <w:szCs w:val="17"/>
          <w:color w:val="auto"/>
        </w:rPr>
        <w:t>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Special Considerations for Indirect Holders</w:t>
      </w:r>
    </w:p>
    <w:p>
      <w:pPr>
        <w:spacing w:after="0" w:line="135" w:lineRule="exact"/>
        <w:rPr>
          <w:sz w:val="20"/>
          <w:szCs w:val="20"/>
          <w:color w:val="auto"/>
        </w:rPr>
      </w:pPr>
    </w:p>
    <w:p>
      <w:pPr>
        <w:ind w:left="1160" w:right="859" w:firstLine="335"/>
        <w:spacing w:after="0" w:line="242" w:lineRule="auto"/>
        <w:rPr>
          <w:sz w:val="20"/>
          <w:szCs w:val="20"/>
          <w:color w:val="auto"/>
        </w:rPr>
      </w:pPr>
      <w:r>
        <w:rPr>
          <w:rFonts w:ascii="Arial" w:cs="Arial" w:eastAsia="Arial" w:hAnsi="Arial"/>
          <w:sz w:val="17"/>
          <w:szCs w:val="17"/>
          <w:color w:val="auto"/>
        </w:rPr>
        <w:t>If you hold securities through a bank, broker or other financial institution, either in book -entry form because the securities are represented by one or more global securities or in street name, you should check with your own institution to find out:</w:t>
      </w:r>
    </w:p>
    <w:p>
      <w:pPr>
        <w:spacing w:after="0" w:line="62" w:lineRule="exact"/>
        <w:rPr>
          <w:sz w:val="20"/>
          <w:szCs w:val="20"/>
          <w:color w:val="auto"/>
        </w:rPr>
      </w:pPr>
    </w:p>
    <w:p>
      <w:pPr>
        <w:ind w:left="1660" w:hanging="161"/>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how it handles securities payments and notices;</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it imposes fees or charges;</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how it would handle a request for the holders’ consent, if ever required;</w:t>
      </w:r>
    </w:p>
    <w:p>
      <w:pPr>
        <w:spacing w:after="0" w:line="93" w:lineRule="exact"/>
        <w:rPr>
          <w:rFonts w:ascii="Arial" w:cs="Arial" w:eastAsia="Arial" w:hAnsi="Arial"/>
          <w:sz w:val="17"/>
          <w:szCs w:val="17"/>
          <w:color w:val="auto"/>
        </w:rPr>
      </w:pPr>
    </w:p>
    <w:p>
      <w:pPr>
        <w:ind w:left="1660" w:right="899" w:hanging="161"/>
        <w:spacing w:after="0" w:line="268"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53" w:lineRule="exact"/>
        <w:rPr>
          <w:rFonts w:ascii="Arial" w:cs="Arial" w:eastAsia="Arial" w:hAnsi="Arial"/>
          <w:sz w:val="17"/>
          <w:szCs w:val="17"/>
          <w:color w:val="auto"/>
        </w:rPr>
      </w:pPr>
    </w:p>
    <w:p>
      <w:pPr>
        <w:ind w:left="1660" w:right="819" w:hanging="161"/>
        <w:spacing w:after="0" w:line="268"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how it would exercise rights under the securities if there were a default or other event triggering the need for holders to act to protect their interests; and</w:t>
      </w:r>
    </w:p>
    <w:p>
      <w:pPr>
        <w:spacing w:after="0" w:line="53" w:lineRule="exact"/>
        <w:rPr>
          <w:rFonts w:ascii="Arial" w:cs="Arial" w:eastAsia="Arial" w:hAnsi="Arial"/>
          <w:sz w:val="17"/>
          <w:szCs w:val="17"/>
          <w:color w:val="auto"/>
        </w:rPr>
      </w:pPr>
    </w:p>
    <w:p>
      <w:pPr>
        <w:ind w:left="1660" w:right="899" w:hanging="161"/>
        <w:spacing w:after="0" w:line="268"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the securities are in book-entry form, how the depositary’s rules and procedures will affect these matters.</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Global Securities</w:t>
      </w:r>
    </w:p>
    <w:p>
      <w:pPr>
        <w:spacing w:after="0" w:line="135" w:lineRule="exact"/>
        <w:rPr>
          <w:sz w:val="20"/>
          <w:szCs w:val="20"/>
          <w:color w:val="auto"/>
        </w:rPr>
      </w:pPr>
    </w:p>
    <w:p>
      <w:pPr>
        <w:ind w:left="1160" w:right="719" w:firstLine="335"/>
        <w:spacing w:after="0" w:line="284" w:lineRule="auto"/>
        <w:rPr>
          <w:sz w:val="20"/>
          <w:szCs w:val="20"/>
          <w:color w:val="auto"/>
        </w:rPr>
      </w:pPr>
      <w:r>
        <w:rPr>
          <w:rFonts w:ascii="Arial" w:cs="Arial" w:eastAsia="Arial" w:hAnsi="Arial"/>
          <w:sz w:val="16"/>
          <w:szCs w:val="16"/>
          <w:color w:val="auto"/>
        </w:rPr>
        <w:t>A global security is a security that represents one or any other number of individual securities held by a depositary. Generally, all securities represented by the same global securities will have the same terms.</w:t>
      </w:r>
    </w:p>
    <w:p>
      <w:pPr>
        <w:spacing w:after="0" w:line="80" w:lineRule="exact"/>
        <w:rPr>
          <w:sz w:val="20"/>
          <w:szCs w:val="20"/>
          <w:color w:val="auto"/>
        </w:rPr>
      </w:pPr>
    </w:p>
    <w:p>
      <w:pPr>
        <w:ind w:left="1160" w:right="879" w:firstLine="335"/>
        <w:spacing w:after="0" w:line="258" w:lineRule="auto"/>
        <w:rPr>
          <w:sz w:val="20"/>
          <w:szCs w:val="20"/>
          <w:color w:val="auto"/>
        </w:rPr>
      </w:pPr>
      <w:r>
        <w:rPr>
          <w:rFonts w:ascii="Arial" w:cs="Arial" w:eastAsia="Arial" w:hAnsi="Arial"/>
          <w:sz w:val="16"/>
          <w:szCs w:val="16"/>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01" w:lineRule="exact"/>
        <w:rPr>
          <w:sz w:val="20"/>
          <w:szCs w:val="20"/>
          <w:color w:val="auto"/>
        </w:rPr>
      </w:pPr>
    </w:p>
    <w:p>
      <w:pPr>
        <w:ind w:left="1160" w:right="799" w:firstLine="335"/>
        <w:spacing w:after="0" w:line="250"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97" w:lineRule="exact"/>
        <w:rPr>
          <w:sz w:val="20"/>
          <w:szCs w:val="20"/>
          <w:color w:val="auto"/>
        </w:rPr>
      </w:pPr>
    </w:p>
    <w:p>
      <w:pPr>
        <w:ind w:left="1160" w:right="759" w:firstLine="335"/>
        <w:spacing w:after="0" w:line="281" w:lineRule="auto"/>
        <w:rPr>
          <w:sz w:val="20"/>
          <w:szCs w:val="20"/>
          <w:color w:val="auto"/>
        </w:rPr>
      </w:pPr>
      <w:r>
        <w:rPr>
          <w:rFonts w:ascii="Arial" w:cs="Arial" w:eastAsia="Arial" w:hAnsi="Arial"/>
          <w:sz w:val="15"/>
          <w:szCs w:val="15"/>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Special Considerations for Global Securities</w:t>
      </w:r>
    </w:p>
    <w:p>
      <w:pPr>
        <w:spacing w:after="0" w:line="148" w:lineRule="exact"/>
        <w:rPr>
          <w:sz w:val="20"/>
          <w:szCs w:val="20"/>
          <w:color w:val="auto"/>
        </w:rPr>
      </w:pPr>
    </w:p>
    <w:p>
      <w:pPr>
        <w:ind w:left="1160" w:right="819" w:firstLine="335"/>
        <w:spacing w:after="0" w:line="239" w:lineRule="auto"/>
        <w:rPr>
          <w:sz w:val="20"/>
          <w:szCs w:val="20"/>
          <w:color w:val="auto"/>
        </w:rPr>
      </w:pPr>
      <w:r>
        <w:rPr>
          <w:rFonts w:ascii="Arial" w:cs="Arial" w:eastAsia="Arial" w:hAnsi="Arial"/>
          <w:sz w:val="17"/>
          <w:szCs w:val="17"/>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If securities are issued only as global securities, an investor should be aware of the following:</w:t>
      </w:r>
    </w:p>
    <w:p>
      <w:pPr>
        <w:spacing w:after="0" w:line="94" w:lineRule="exact"/>
        <w:rPr>
          <w:sz w:val="20"/>
          <w:szCs w:val="20"/>
          <w:color w:val="auto"/>
        </w:rPr>
      </w:pPr>
    </w:p>
    <w:p>
      <w:pPr>
        <w:ind w:left="1660" w:right="779" w:hanging="161"/>
        <w:spacing w:after="0" w:line="257"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29" w:name="page30"/>
    <w:bookmarkEnd w:id="29"/>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660" w:right="699" w:hanging="161"/>
        <w:spacing w:after="0" w:line="300"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or her own bank or broker for payments on the securities and protection of his or her legal rights relating to the securities, as we describe above;</w:t>
      </w:r>
    </w:p>
    <w:p>
      <w:pPr>
        <w:spacing w:after="0" w:line="42" w:lineRule="exact"/>
        <w:rPr>
          <w:rFonts w:ascii="Arial" w:cs="Arial" w:eastAsia="Arial" w:hAnsi="Arial"/>
          <w:sz w:val="16"/>
          <w:szCs w:val="16"/>
          <w:color w:val="auto"/>
        </w:rPr>
      </w:pPr>
    </w:p>
    <w:p>
      <w:pPr>
        <w:ind w:left="1660" w:right="1059" w:hanging="161"/>
        <w:spacing w:after="0" w:line="300"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investor may not be able to sell interests in the securities to some insurance companies and to other institutions that are required by law to own their securities in non-book-entry form;</w:t>
      </w:r>
    </w:p>
    <w:p>
      <w:pPr>
        <w:spacing w:after="0" w:line="42" w:lineRule="exact"/>
        <w:rPr>
          <w:rFonts w:ascii="Arial" w:cs="Arial" w:eastAsia="Arial" w:hAnsi="Arial"/>
          <w:sz w:val="16"/>
          <w:szCs w:val="16"/>
          <w:color w:val="auto"/>
        </w:rPr>
      </w:pPr>
    </w:p>
    <w:p>
      <w:pPr>
        <w:ind w:left="1660" w:right="719" w:hanging="161"/>
        <w:spacing w:after="0" w:line="257"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7"/>
          <w:szCs w:val="17"/>
          <w:color w:val="auto"/>
        </w:rPr>
      </w:pPr>
    </w:p>
    <w:p>
      <w:pPr>
        <w:ind w:left="1660" w:right="1099" w:hanging="161"/>
        <w:spacing w:after="0" w:line="300"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the global security;</w:t>
      </w:r>
    </w:p>
    <w:p>
      <w:pPr>
        <w:spacing w:after="0" w:line="42" w:lineRule="exact"/>
        <w:rPr>
          <w:rFonts w:ascii="Arial" w:cs="Arial" w:eastAsia="Arial" w:hAnsi="Arial"/>
          <w:sz w:val="16"/>
          <w:szCs w:val="16"/>
          <w:color w:val="auto"/>
        </w:rPr>
      </w:pPr>
    </w:p>
    <w:p>
      <w:pPr>
        <w:ind w:left="1660" w:right="799" w:hanging="161"/>
        <w:spacing w:after="0" w:line="257"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75" w:lineRule="exact"/>
        <w:rPr>
          <w:rFonts w:ascii="Arial" w:cs="Arial" w:eastAsia="Arial" w:hAnsi="Arial"/>
          <w:sz w:val="17"/>
          <w:szCs w:val="17"/>
          <w:color w:val="auto"/>
        </w:rPr>
      </w:pPr>
    </w:p>
    <w:p>
      <w:pPr>
        <w:ind w:left="1660" w:right="1019" w:hanging="161"/>
        <w:spacing w:after="0" w:line="257"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75" w:lineRule="exact"/>
        <w:rPr>
          <w:rFonts w:ascii="Arial" w:cs="Arial" w:eastAsia="Arial" w:hAnsi="Arial"/>
          <w:sz w:val="17"/>
          <w:szCs w:val="17"/>
          <w:color w:val="auto"/>
        </w:rPr>
      </w:pPr>
    </w:p>
    <w:p>
      <w:pPr>
        <w:ind w:left="1660" w:right="719" w:hanging="161"/>
        <w:spacing w:after="0" w:line="257" w:lineRule="auto"/>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01" w:lineRule="exact"/>
        <w:rPr>
          <w:sz w:val="20"/>
          <w:szCs w:val="20"/>
          <w:color w:val="auto"/>
        </w:rPr>
      </w:pPr>
    </w:p>
    <w:p>
      <w:pPr>
        <w:ind w:left="1160" w:right="959" w:firstLine="335"/>
        <w:spacing w:after="0" w:line="268" w:lineRule="auto"/>
        <w:rPr>
          <w:sz w:val="20"/>
          <w:szCs w:val="20"/>
          <w:color w:val="auto"/>
        </w:rPr>
      </w:pPr>
      <w:r>
        <w:rPr>
          <w:rFonts w:ascii="Arial" w:cs="Arial" w:eastAsia="Arial" w:hAnsi="Arial"/>
          <w:sz w:val="17"/>
          <w:szCs w:val="17"/>
          <w:color w:val="auto"/>
        </w:rPr>
        <w:t>There may be more than one financial intermediary in the chain of ownership for an investor. We do not monitor and are not responsible for the actions of any of those intermediaries.</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Special Situations When a Global Security Will Be Terminated</w:t>
      </w:r>
    </w:p>
    <w:p>
      <w:pPr>
        <w:spacing w:after="0" w:line="148" w:lineRule="exact"/>
        <w:rPr>
          <w:sz w:val="20"/>
          <w:szCs w:val="20"/>
          <w:color w:val="auto"/>
        </w:rPr>
      </w:pPr>
    </w:p>
    <w:p>
      <w:pPr>
        <w:ind w:left="1160" w:right="839" w:firstLine="335"/>
        <w:spacing w:after="0" w:line="293" w:lineRule="auto"/>
        <w:rPr>
          <w:sz w:val="20"/>
          <w:szCs w:val="20"/>
          <w:color w:val="auto"/>
        </w:rPr>
      </w:pPr>
      <w:r>
        <w:rPr>
          <w:rFonts w:ascii="Arial" w:cs="Arial" w:eastAsia="Arial" w:hAnsi="Arial"/>
          <w:sz w:val="15"/>
          <w:szCs w:val="15"/>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91" w:lineRule="exact"/>
        <w:rPr>
          <w:sz w:val="20"/>
          <w:szCs w:val="20"/>
          <w:color w:val="auto"/>
        </w:rPr>
      </w:pPr>
    </w:p>
    <w:p>
      <w:pPr>
        <w:ind w:left="1160" w:right="839" w:firstLine="335"/>
        <w:spacing w:after="0" w:line="268" w:lineRule="auto"/>
        <w:rPr>
          <w:sz w:val="20"/>
          <w:szCs w:val="20"/>
          <w:color w:val="auto"/>
        </w:rPr>
      </w:pPr>
      <w:r>
        <w:rPr>
          <w:rFonts w:ascii="Arial" w:cs="Arial" w:eastAsia="Arial" w:hAnsi="Arial"/>
          <w:sz w:val="17"/>
          <w:szCs w:val="17"/>
          <w:color w:val="auto"/>
        </w:rPr>
        <w:t>Unless we provide otherwise in the applicable prospectus supplement, a global security will terminate when the following special situations occur:</w:t>
      </w:r>
    </w:p>
    <w:p>
      <w:pPr>
        <w:spacing w:after="0" w:line="66" w:lineRule="exact"/>
        <w:rPr>
          <w:sz w:val="20"/>
          <w:szCs w:val="20"/>
          <w:color w:val="auto"/>
        </w:rPr>
      </w:pPr>
    </w:p>
    <w:p>
      <w:pPr>
        <w:ind w:left="1660" w:right="1119" w:hanging="161"/>
        <w:spacing w:after="0" w:line="257" w:lineRule="auto"/>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7"/>
          <w:szCs w:val="17"/>
          <w:color w:val="auto"/>
        </w:rPr>
      </w:pPr>
    </w:p>
    <w:p>
      <w:pPr>
        <w:ind w:left="1660" w:hanging="161"/>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we notify any applicable trustee that we wish to terminate that global security; or</w:t>
      </w:r>
    </w:p>
    <w:p>
      <w:pPr>
        <w:spacing w:after="0" w:line="10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91" w:lineRule="exact"/>
        <w:rPr>
          <w:sz w:val="20"/>
          <w:szCs w:val="20"/>
          <w:color w:val="auto"/>
        </w:rPr>
      </w:pPr>
    </w:p>
    <w:p>
      <w:pPr>
        <w:ind w:left="1160" w:right="839" w:firstLine="335"/>
        <w:spacing w:after="0" w:line="254" w:lineRule="auto"/>
        <w:rPr>
          <w:sz w:val="20"/>
          <w:szCs w:val="20"/>
          <w:color w:val="auto"/>
        </w:rPr>
      </w:pPr>
      <w:r>
        <w:rPr>
          <w:rFonts w:ascii="Arial" w:cs="Arial" w:eastAsia="Arial" w:hAnsi="Arial"/>
          <w:sz w:val="17"/>
          <w:szCs w:val="17"/>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0" w:name="page31"/>
    <w:bookmarkEnd w:id="30"/>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PLAN OF DISTRIBUTION</w:t>
      </w:r>
    </w:p>
    <w:p>
      <w:pPr>
        <w:spacing w:after="0" w:line="135" w:lineRule="exact"/>
        <w:rPr>
          <w:sz w:val="20"/>
          <w:szCs w:val="20"/>
          <w:color w:val="auto"/>
        </w:rPr>
      </w:pPr>
    </w:p>
    <w:p>
      <w:pPr>
        <w:ind w:left="1160" w:right="819" w:firstLine="335"/>
        <w:spacing w:after="0" w:line="254" w:lineRule="auto"/>
        <w:rPr>
          <w:sz w:val="20"/>
          <w:szCs w:val="20"/>
          <w:color w:val="auto"/>
        </w:rPr>
      </w:pPr>
      <w:r>
        <w:rPr>
          <w:rFonts w:ascii="Arial" w:cs="Arial" w:eastAsia="Arial" w:hAnsi="Arial"/>
          <w:sz w:val="17"/>
          <w:szCs w:val="17"/>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77" w:lineRule="exact"/>
        <w:rPr>
          <w:sz w:val="20"/>
          <w:szCs w:val="20"/>
          <w:color w:val="auto"/>
        </w:rPr>
      </w:pPr>
    </w:p>
    <w:p>
      <w:pPr>
        <w:ind w:left="1660" w:hanging="161"/>
        <w:spacing w:after="0"/>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a fixed price or prices, which may be changed;</w:t>
      </w:r>
    </w:p>
    <w:p>
      <w:pPr>
        <w:spacing w:after="0" w:line="118" w:lineRule="exact"/>
        <w:rPr>
          <w:rFonts w:ascii="Arial" w:cs="Arial" w:eastAsia="Arial" w:hAnsi="Arial"/>
          <w:sz w:val="17"/>
          <w:szCs w:val="17"/>
          <w:color w:val="auto"/>
        </w:rPr>
      </w:pPr>
    </w:p>
    <w:p>
      <w:pPr>
        <w:ind w:left="1660" w:hanging="161"/>
        <w:spacing w:after="0"/>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market prices prevailing at the time of sale;</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 or</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131" w:lineRule="exact"/>
        <w:rPr>
          <w:sz w:val="20"/>
          <w:szCs w:val="20"/>
          <w:color w:val="auto"/>
        </w:rPr>
      </w:pPr>
    </w:p>
    <w:p>
      <w:pPr>
        <w:ind w:left="1160" w:right="819" w:firstLine="335"/>
        <w:spacing w:after="0" w:line="251"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18" w:lineRule="exact"/>
        <w:rPr>
          <w:sz w:val="20"/>
          <w:szCs w:val="20"/>
          <w:color w:val="auto"/>
        </w:rPr>
      </w:pPr>
    </w:p>
    <w:p>
      <w:pPr>
        <w:ind w:left="1160" w:right="979" w:firstLine="335"/>
        <w:spacing w:after="0" w:line="257" w:lineRule="auto"/>
        <w:rPr>
          <w:sz w:val="20"/>
          <w:szCs w:val="20"/>
          <w:color w:val="auto"/>
        </w:rPr>
      </w:pPr>
      <w:r>
        <w:rPr>
          <w:rFonts w:ascii="Arial" w:cs="Arial" w:eastAsia="Arial" w:hAnsi="Arial"/>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660" w:hanging="161"/>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if any;</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purchase price of the securities and the proceeds we will receive from the sale;</w:t>
      </w:r>
    </w:p>
    <w:p>
      <w:pPr>
        <w:spacing w:after="0" w:line="118" w:lineRule="exact"/>
        <w:rPr>
          <w:rFonts w:ascii="Arial" w:cs="Arial" w:eastAsia="Arial" w:hAnsi="Arial"/>
          <w:sz w:val="17"/>
          <w:szCs w:val="17"/>
          <w:color w:val="auto"/>
        </w:rPr>
      </w:pPr>
    </w:p>
    <w:p>
      <w:pPr>
        <w:ind w:left="1660" w:hanging="161"/>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117" w:lineRule="exact"/>
        <w:rPr>
          <w:rFonts w:ascii="Arial" w:cs="Arial" w:eastAsia="Arial" w:hAnsi="Arial"/>
          <w:sz w:val="16"/>
          <w:szCs w:val="16"/>
          <w:color w:val="auto"/>
        </w:rPr>
      </w:pPr>
    </w:p>
    <w:p>
      <w:pPr>
        <w:ind w:left="1660" w:right="1119" w:hanging="161"/>
        <w:spacing w:after="0" w:line="268"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agency fees or underwriting discounts and other items constituting agents’ or underwriters’ compensation;</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public offering price;</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discounts or concessions allowed or reallowed or paid to dealers; and</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securities exchange or market on which the securities may be listed.</w:t>
      </w:r>
    </w:p>
    <w:p>
      <w:pPr>
        <w:spacing w:after="0" w:line="144" w:lineRule="exact"/>
        <w:rPr>
          <w:sz w:val="20"/>
          <w:szCs w:val="20"/>
          <w:color w:val="auto"/>
        </w:rPr>
      </w:pPr>
    </w:p>
    <w:p>
      <w:pPr>
        <w:ind w:left="1160" w:right="739" w:firstLine="335"/>
        <w:spacing w:after="0" w:line="268" w:lineRule="auto"/>
        <w:rPr>
          <w:sz w:val="20"/>
          <w:szCs w:val="20"/>
          <w:color w:val="auto"/>
        </w:rPr>
      </w:pPr>
      <w:r>
        <w:rPr>
          <w:rFonts w:ascii="Arial" w:cs="Arial" w:eastAsia="Arial" w:hAnsi="Arial"/>
          <w:sz w:val="17"/>
          <w:szCs w:val="17"/>
          <w:color w:val="auto"/>
        </w:rPr>
        <w:t>Only underwriters named in the prospectus supplement are underwriters of the securities offered by the prospectus supplement.</w:t>
      </w:r>
    </w:p>
    <w:p>
      <w:pPr>
        <w:spacing w:after="0" w:line="91" w:lineRule="exact"/>
        <w:rPr>
          <w:sz w:val="20"/>
          <w:szCs w:val="20"/>
          <w:color w:val="auto"/>
        </w:rPr>
      </w:pPr>
    </w:p>
    <w:p>
      <w:pPr>
        <w:ind w:left="1160" w:right="699" w:firstLine="335"/>
        <w:spacing w:after="0" w:line="286"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93" w:lineRule="exact"/>
        <w:rPr>
          <w:sz w:val="20"/>
          <w:szCs w:val="20"/>
          <w:color w:val="auto"/>
        </w:rPr>
      </w:pPr>
    </w:p>
    <w:p>
      <w:pPr>
        <w:ind w:left="1160" w:right="819" w:firstLine="335"/>
        <w:spacing w:after="0" w:line="254" w:lineRule="auto"/>
        <w:rPr>
          <w:sz w:val="20"/>
          <w:szCs w:val="20"/>
          <w:color w:val="auto"/>
        </w:rPr>
      </w:pPr>
      <w:r>
        <w:rPr>
          <w:rFonts w:ascii="Arial" w:cs="Arial" w:eastAsia="Arial" w:hAnsi="Arial"/>
          <w:sz w:val="17"/>
          <w:szCs w:val="17"/>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5" w:lineRule="exact"/>
        <w:rPr>
          <w:sz w:val="20"/>
          <w:szCs w:val="20"/>
          <w:color w:val="auto"/>
        </w:rPr>
      </w:pPr>
    </w:p>
    <w:p>
      <w:pPr>
        <w:jc w:val="both"/>
        <w:ind w:left="1160" w:right="899" w:firstLine="335"/>
        <w:spacing w:after="0" w:line="28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w:t>
      </w:r>
    </w:p>
    <w:p>
      <w:pPr>
        <w:spacing w:after="0" w:line="32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1" w:name="page32"/>
    <w:bookmarkEnd w:id="31"/>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1319"/>
        <w:spacing w:after="0" w:line="268" w:lineRule="auto"/>
        <w:rPr>
          <w:sz w:val="20"/>
          <w:szCs w:val="20"/>
          <w:color w:val="auto"/>
        </w:rPr>
      </w:pPr>
      <w:r>
        <w:rPr>
          <w:rFonts w:ascii="Arial" w:cs="Arial" w:eastAsia="Arial" w:hAnsi="Arial"/>
          <w:sz w:val="17"/>
          <w:szCs w:val="17"/>
          <w:color w:val="auto"/>
        </w:rPr>
        <w:t>describe the conditions to these contracts and the commissions we must pay for solicitation of these contracts in the prospectus supplement.</w:t>
      </w:r>
    </w:p>
    <w:p>
      <w:pPr>
        <w:spacing w:after="0" w:line="91" w:lineRule="exact"/>
        <w:rPr>
          <w:sz w:val="20"/>
          <w:szCs w:val="20"/>
          <w:color w:val="auto"/>
        </w:rPr>
      </w:pPr>
    </w:p>
    <w:p>
      <w:pPr>
        <w:ind w:left="1160" w:right="939" w:firstLine="335"/>
        <w:spacing w:after="0" w:line="254" w:lineRule="auto"/>
        <w:rPr>
          <w:sz w:val="20"/>
          <w:szCs w:val="20"/>
          <w:color w:val="auto"/>
        </w:rPr>
      </w:pPr>
      <w:r>
        <w:rPr>
          <w:rFonts w:ascii="Arial" w:cs="Arial" w:eastAsia="Arial" w:hAnsi="Arial"/>
          <w:sz w:val="17"/>
          <w:szCs w:val="17"/>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15" w:lineRule="exact"/>
        <w:rPr>
          <w:sz w:val="20"/>
          <w:szCs w:val="20"/>
          <w:color w:val="auto"/>
        </w:rPr>
      </w:pPr>
    </w:p>
    <w:p>
      <w:pPr>
        <w:ind w:left="1160" w:right="759" w:firstLine="335"/>
        <w:spacing w:after="0" w:line="254" w:lineRule="auto"/>
        <w:rPr>
          <w:sz w:val="20"/>
          <w:szCs w:val="20"/>
          <w:color w:val="auto"/>
        </w:rPr>
      </w:pPr>
      <w:r>
        <w:rPr>
          <w:rFonts w:ascii="Arial" w:cs="Arial" w:eastAsia="Arial" w:hAnsi="Arial"/>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15" w:lineRule="exact"/>
        <w:rPr>
          <w:sz w:val="20"/>
          <w:szCs w:val="20"/>
          <w:color w:val="auto"/>
        </w:rPr>
      </w:pPr>
    </w:p>
    <w:p>
      <w:pPr>
        <w:ind w:left="1160" w:right="719" w:firstLine="335"/>
        <w:spacing w:after="0" w:line="249"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08" w:lineRule="exact"/>
        <w:rPr>
          <w:sz w:val="20"/>
          <w:szCs w:val="20"/>
          <w:color w:val="auto"/>
        </w:rPr>
      </w:pPr>
    </w:p>
    <w:p>
      <w:pPr>
        <w:ind w:left="1160" w:right="699" w:firstLine="335"/>
        <w:spacing w:after="0" w:line="266" w:lineRule="auto"/>
        <w:rPr>
          <w:sz w:val="20"/>
          <w:szCs w:val="20"/>
          <w:color w:val="auto"/>
        </w:rPr>
      </w:pPr>
      <w:r>
        <w:rPr>
          <w:rFonts w:ascii="Arial" w:cs="Arial" w:eastAsia="Arial" w:hAnsi="Arial"/>
          <w:sz w:val="16"/>
          <w:szCs w:val="16"/>
          <w:color w:val="auto"/>
        </w:rPr>
        <w:t>Any underwriters or agents who are qualified market makers on The Nasdaq Global Market may engage in passive market making transactions in the securities on The Nasdaq Global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32" w:name="page33"/>
    <w:bookmarkEnd w:id="32"/>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LEGAL MATTERS</w:t>
      </w:r>
    </w:p>
    <w:p>
      <w:pPr>
        <w:spacing w:after="0" w:line="135" w:lineRule="exact"/>
        <w:rPr>
          <w:sz w:val="20"/>
          <w:szCs w:val="20"/>
          <w:color w:val="auto"/>
        </w:rPr>
      </w:pPr>
    </w:p>
    <w:p>
      <w:pPr>
        <w:ind w:left="1160" w:right="739" w:firstLine="335"/>
        <w:spacing w:after="0" w:line="252"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EXPERTS</w:t>
      </w:r>
    </w:p>
    <w:p>
      <w:pPr>
        <w:spacing w:after="0" w:line="148" w:lineRule="exact"/>
        <w:rPr>
          <w:sz w:val="20"/>
          <w:szCs w:val="20"/>
          <w:color w:val="auto"/>
        </w:rPr>
      </w:pPr>
    </w:p>
    <w:p>
      <w:pPr>
        <w:ind w:left="1160" w:right="859" w:firstLine="335"/>
        <w:spacing w:after="0" w:line="252" w:lineRule="auto"/>
        <w:rPr>
          <w:sz w:val="20"/>
          <w:szCs w:val="20"/>
          <w:color w:val="auto"/>
        </w:rPr>
      </w:pPr>
      <w:r>
        <w:rPr>
          <w:rFonts w:ascii="Arial" w:cs="Arial" w:eastAsia="Arial" w:hAnsi="Arial"/>
          <w:sz w:val="17"/>
          <w:szCs w:val="17"/>
          <w:color w:val="auto"/>
        </w:rPr>
        <w:t>Marcum LLP, independent registered public accounting firm, has audited our consolidated financial statements as of and for the years ended December 31, 2020 and 2019, as set forth in its report included in our 2020 Annual Report on Form 10-K. Our 2020 and 2019 financial statements are incorporated by reference in reliance on Marcum LLP’s report, given on their authority as experts in accounting and auditing.</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WHERE YOU CAN FIND MORE INFORMATION</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08" w:lineRule="exact"/>
        <w:rPr>
          <w:sz w:val="20"/>
          <w:szCs w:val="20"/>
          <w:color w:val="auto"/>
        </w:rPr>
      </w:pPr>
    </w:p>
    <w:p>
      <w:pPr>
        <w:ind w:left="1160" w:right="759" w:firstLine="335"/>
        <w:spacing w:after="0" w:line="281"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issuers, such as us, that file electronically with the SEC.</w:t>
      </w:r>
    </w:p>
    <w:p>
      <w:pPr>
        <w:spacing w:after="0" w:line="95" w:lineRule="exact"/>
        <w:rPr>
          <w:sz w:val="20"/>
          <w:szCs w:val="20"/>
          <w:color w:val="auto"/>
        </w:rPr>
      </w:pPr>
    </w:p>
    <w:p>
      <w:pPr>
        <w:ind w:left="1160" w:right="719" w:firstLine="335"/>
        <w:spacing w:after="0" w:line="254"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3" w:name="page34"/>
    <w:bookmarkEnd w:id="33"/>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INCORPORATION OF CERTAIN INFORMATION BY REFERENCE</w:t>
      </w:r>
    </w:p>
    <w:p>
      <w:pPr>
        <w:spacing w:after="0" w:line="135" w:lineRule="exact"/>
        <w:rPr>
          <w:sz w:val="20"/>
          <w:szCs w:val="20"/>
          <w:color w:val="auto"/>
        </w:rPr>
      </w:pPr>
    </w:p>
    <w:p>
      <w:pPr>
        <w:ind w:left="1160" w:right="719" w:firstLine="335"/>
        <w:spacing w:after="0" w:line="252"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documents are incorporated by reference into this document:</w:t>
      </w:r>
    </w:p>
    <w:p>
      <w:pPr>
        <w:spacing w:after="0" w:line="106" w:lineRule="exact"/>
        <w:rPr>
          <w:sz w:val="20"/>
          <w:szCs w:val="20"/>
          <w:color w:val="auto"/>
        </w:rPr>
      </w:pPr>
    </w:p>
    <w:p>
      <w:pPr>
        <w:ind w:left="1660" w:right="699" w:hanging="161"/>
        <w:spacing w:after="0" w:line="268" w:lineRule="auto"/>
        <w:tabs>
          <w:tab w:leader="none" w:pos="1660" w:val="left"/>
        </w:tabs>
        <w:numPr>
          <w:ilvl w:val="0"/>
          <w:numId w:val="30"/>
        </w:numPr>
        <w:rPr>
          <w:rFonts w:ascii="Arial" w:cs="Arial" w:eastAsia="Arial" w:hAnsi="Arial"/>
          <w:sz w:val="17"/>
          <w:szCs w:val="17"/>
          <w:u w:val="single" w:color="auto"/>
          <w:color w:val="0000EE"/>
        </w:rPr>
      </w:pPr>
      <w:hyperlink r:id="rId37">
        <w:r>
          <w:rPr>
            <w:rFonts w:ascii="Arial" w:cs="Arial" w:eastAsia="Arial" w:hAnsi="Arial"/>
            <w:sz w:val="17"/>
            <w:szCs w:val="17"/>
            <w:u w:val="single" w:color="auto"/>
            <w:color w:val="0000EE"/>
          </w:rPr>
          <w:t>our Annual Report on Form 10-K for the fiscal year ended December 31, 2020, filed with the SEC on</w:t>
        </w:r>
      </w:hyperlink>
      <w:r>
        <w:rPr>
          <w:rFonts w:ascii="Arial" w:cs="Arial" w:eastAsia="Arial" w:hAnsi="Arial"/>
          <w:sz w:val="17"/>
          <w:szCs w:val="17"/>
          <w:u w:val="single" w:color="auto"/>
          <w:color w:val="0000EE"/>
        </w:rPr>
        <w:t xml:space="preserve"> </w:t>
      </w:r>
      <w:hyperlink r:id="rId37">
        <w:r>
          <w:rPr>
            <w:rFonts w:ascii="Arial" w:cs="Arial" w:eastAsia="Arial" w:hAnsi="Arial"/>
            <w:sz w:val="17"/>
            <w:szCs w:val="17"/>
            <w:u w:val="single" w:color="auto"/>
            <w:color w:val="0000EE"/>
          </w:rPr>
          <w:t>March 9, 2021;</w:t>
        </w:r>
      </w:hyperlink>
    </w:p>
    <w:p>
      <w:pPr>
        <w:spacing w:after="0" w:line="66" w:lineRule="exact"/>
        <w:rPr>
          <w:rFonts w:ascii="Arial" w:cs="Arial" w:eastAsia="Arial" w:hAnsi="Arial"/>
          <w:sz w:val="17"/>
          <w:szCs w:val="17"/>
          <w:u w:val="single" w:color="auto"/>
          <w:color w:val="0000EE"/>
        </w:rPr>
      </w:pPr>
    </w:p>
    <w:p>
      <w:pPr>
        <w:ind w:left="1660" w:right="739" w:hanging="161"/>
        <w:spacing w:after="0" w:line="257" w:lineRule="auto"/>
        <w:tabs>
          <w:tab w:leader="none" w:pos="1660" w:val="left"/>
        </w:tabs>
        <w:numPr>
          <w:ilvl w:val="0"/>
          <w:numId w:val="30"/>
        </w:numPr>
        <w:rPr>
          <w:rFonts w:ascii="Arial" w:cs="Arial" w:eastAsia="Arial" w:hAnsi="Arial"/>
          <w:sz w:val="17"/>
          <w:szCs w:val="17"/>
          <w:color w:val="0000EE"/>
        </w:rPr>
      </w:pPr>
      <w:hyperlink r:id="rId37">
        <w:r>
          <w:rPr>
            <w:rFonts w:ascii="Arial" w:cs="Arial" w:eastAsia="Arial" w:hAnsi="Arial"/>
            <w:sz w:val="17"/>
            <w:szCs w:val="17"/>
            <w:u w:val="single" w:color="auto"/>
            <w:color w:val="0000EE"/>
          </w:rPr>
          <w:t>the information specifically incorporated by reference into our Annual Report on Form 10-K for the</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year ended December 31, 2020</w:t>
        </w:r>
        <w:r>
          <w:rPr>
            <w:rFonts w:ascii="Arial" w:cs="Arial" w:eastAsia="Arial" w:hAnsi="Arial"/>
            <w:sz w:val="17"/>
            <w:szCs w:val="17"/>
            <w:color w:val="0000EE"/>
          </w:rPr>
          <w:t xml:space="preserve"> </w:t>
        </w:r>
        <w:r>
          <w:rPr>
            <w:rFonts w:ascii="Arial" w:cs="Arial" w:eastAsia="Arial" w:hAnsi="Arial"/>
            <w:sz w:val="17"/>
            <w:szCs w:val="17"/>
            <w:color w:val="000000"/>
          </w:rPr>
          <w:t>from</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our Definitive Proxy Statement on Schedule 14A, filed with the</w:t>
        </w:r>
      </w:hyperlink>
      <w:r>
        <w:rPr>
          <w:rFonts w:ascii="Arial" w:cs="Arial" w:eastAsia="Arial" w:hAnsi="Arial"/>
          <w:sz w:val="17"/>
          <w:szCs w:val="17"/>
          <w:color w:val="0000EE"/>
        </w:rPr>
        <w:t xml:space="preserve"> </w:t>
      </w:r>
      <w:hyperlink r:id="rId60">
        <w:r>
          <w:rPr>
            <w:rFonts w:ascii="Arial" w:cs="Arial" w:eastAsia="Arial" w:hAnsi="Arial"/>
            <w:sz w:val="17"/>
            <w:szCs w:val="17"/>
            <w:u w:val="single" w:color="auto"/>
            <w:color w:val="0000EE"/>
          </w:rPr>
          <w:t>SEC on April 23, 2021,</w:t>
        </w:r>
        <w:r>
          <w:rPr>
            <w:rFonts w:ascii="Arial" w:cs="Arial" w:eastAsia="Arial" w:hAnsi="Arial"/>
            <w:sz w:val="17"/>
            <w:szCs w:val="17"/>
            <w:color w:val="0000EE"/>
          </w:rPr>
          <w:t xml:space="preserve"> </w:t>
        </w:r>
        <w:r>
          <w:rPr>
            <w:rFonts w:ascii="Arial" w:cs="Arial" w:eastAsia="Arial" w:hAnsi="Arial"/>
            <w:sz w:val="17"/>
            <w:szCs w:val="17"/>
            <w:color w:val="000000"/>
          </w:rPr>
          <w:t>as supplemented on</w:t>
        </w:r>
        <w:r>
          <w:rPr>
            <w:rFonts w:ascii="Arial" w:cs="Arial" w:eastAsia="Arial" w:hAnsi="Arial"/>
            <w:sz w:val="17"/>
            <w:szCs w:val="17"/>
            <w:color w:val="0000EE"/>
          </w:rPr>
          <w:t xml:space="preserve"> </w:t>
        </w:r>
      </w:hyperlink>
      <w:hyperlink r:id="rId61">
        <w:r>
          <w:rPr>
            <w:rFonts w:ascii="Arial" w:cs="Arial" w:eastAsia="Arial" w:hAnsi="Arial"/>
            <w:sz w:val="17"/>
            <w:szCs w:val="17"/>
            <w:u w:val="single" w:color="auto"/>
            <w:color w:val="0000EE"/>
          </w:rPr>
          <w:t>May 5, 2021</w:t>
        </w:r>
      </w:hyperlink>
      <w:hyperlink r:id="rId60">
        <w:r>
          <w:rPr>
            <w:rFonts w:ascii="Arial" w:cs="Arial" w:eastAsia="Arial" w:hAnsi="Arial"/>
            <w:sz w:val="17"/>
            <w:szCs w:val="17"/>
            <w:color w:val="000000"/>
          </w:rPr>
          <w:t>;</w:t>
        </w:r>
      </w:hyperlink>
    </w:p>
    <w:p>
      <w:pPr>
        <w:spacing w:after="0" w:line="75" w:lineRule="exact"/>
        <w:rPr>
          <w:rFonts w:ascii="Arial" w:cs="Arial" w:eastAsia="Arial" w:hAnsi="Arial"/>
          <w:sz w:val="17"/>
          <w:szCs w:val="17"/>
          <w:color w:val="0000EE"/>
        </w:rPr>
      </w:pPr>
    </w:p>
    <w:p>
      <w:pPr>
        <w:ind w:left="1660" w:right="719" w:hanging="161"/>
        <w:spacing w:after="0" w:line="268" w:lineRule="auto"/>
        <w:tabs>
          <w:tab w:leader="none" w:pos="1660" w:val="left"/>
        </w:tabs>
        <w:numPr>
          <w:ilvl w:val="0"/>
          <w:numId w:val="30"/>
        </w:numPr>
        <w:rPr>
          <w:rFonts w:ascii="Arial" w:cs="Arial" w:eastAsia="Arial" w:hAnsi="Arial"/>
          <w:sz w:val="17"/>
          <w:szCs w:val="17"/>
          <w:color w:val="0000EE"/>
        </w:rPr>
      </w:pPr>
      <w:hyperlink r:id="rId62">
        <w:r>
          <w:rPr>
            <w:rFonts w:ascii="Arial" w:cs="Arial" w:eastAsia="Arial" w:hAnsi="Arial"/>
            <w:sz w:val="17"/>
            <w:szCs w:val="17"/>
            <w:u w:val="single" w:color="auto"/>
            <w:color w:val="0000EE"/>
          </w:rPr>
          <w:t>our Quarterly Reports on Form 10-Q for the fiscal quarters ended March 31, 2021</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63">
        <w:r>
          <w:rPr>
            <w:rFonts w:ascii="Arial" w:cs="Arial" w:eastAsia="Arial" w:hAnsi="Arial"/>
            <w:sz w:val="17"/>
            <w:szCs w:val="17"/>
            <w:u w:val="single" w:color="auto"/>
            <w:color w:val="0000EE"/>
          </w:rPr>
          <w:t>June 30,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filed with the SEC on May 12, 2021 and August 10, 2021, respectively;</w:t>
      </w:r>
    </w:p>
    <w:p>
      <w:pPr>
        <w:spacing w:after="0" w:line="66" w:lineRule="exact"/>
        <w:rPr>
          <w:rFonts w:ascii="Arial" w:cs="Arial" w:eastAsia="Arial" w:hAnsi="Arial"/>
          <w:sz w:val="17"/>
          <w:szCs w:val="17"/>
          <w:color w:val="0000EE"/>
        </w:rPr>
      </w:pPr>
    </w:p>
    <w:p>
      <w:pPr>
        <w:ind w:left="1660" w:hanging="161"/>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64">
        <w:r>
          <w:rPr>
            <w:rFonts w:ascii="Arial" w:cs="Arial" w:eastAsia="Arial" w:hAnsi="Arial"/>
            <w:sz w:val="16"/>
            <w:szCs w:val="16"/>
            <w:u w:val="single" w:color="auto"/>
            <w:color w:val="0000EE"/>
          </w:rPr>
          <w:t>March 16,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65">
        <w:r>
          <w:rPr>
            <w:rFonts w:ascii="Arial" w:cs="Arial" w:eastAsia="Arial" w:hAnsi="Arial"/>
            <w:sz w:val="16"/>
            <w:szCs w:val="16"/>
            <w:u w:val="single" w:color="auto"/>
            <w:color w:val="0000EE"/>
          </w:rPr>
          <w:t>June 11, 2021</w:t>
        </w:r>
      </w:hyperlink>
      <w:r>
        <w:rPr>
          <w:rFonts w:ascii="Arial" w:cs="Arial" w:eastAsia="Arial" w:hAnsi="Arial"/>
          <w:sz w:val="16"/>
          <w:szCs w:val="16"/>
          <w:color w:val="auto"/>
        </w:rPr>
        <w:t>; and</w:t>
      </w:r>
    </w:p>
    <w:p>
      <w:pPr>
        <w:spacing w:after="0" w:line="117" w:lineRule="exact"/>
        <w:rPr>
          <w:rFonts w:ascii="Arial" w:cs="Arial" w:eastAsia="Arial" w:hAnsi="Arial"/>
          <w:sz w:val="16"/>
          <w:szCs w:val="16"/>
          <w:color w:val="auto"/>
        </w:rPr>
      </w:pPr>
    </w:p>
    <w:p>
      <w:pPr>
        <w:ind w:left="1660" w:right="719" w:hanging="161"/>
        <w:spacing w:after="0" w:line="254" w:lineRule="auto"/>
        <w:tabs>
          <w:tab w:leader="none" w:pos="1660" w:val="left"/>
        </w:tabs>
        <w:numPr>
          <w:ilvl w:val="0"/>
          <w:numId w:val="30"/>
        </w:numPr>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the description of our common stock set forth in the amendment to the registration statement on</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Form 8-A registering our common stock under Section 12 of the Exchange Act, which was filed with</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the SEC on October 17, 2018, including any amendments or reports filed for purposes of updating</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such description.</w:t>
        </w:r>
      </w:hyperlink>
    </w:p>
    <w:p>
      <w:pPr>
        <w:spacing w:after="0" w:line="115" w:lineRule="exact"/>
        <w:rPr>
          <w:rFonts w:ascii="Arial" w:cs="Arial" w:eastAsia="Arial" w:hAnsi="Arial"/>
          <w:sz w:val="17"/>
          <w:szCs w:val="17"/>
          <w:u w:val="single" w:color="auto"/>
          <w:color w:val="0000EE"/>
        </w:rPr>
      </w:pPr>
    </w:p>
    <w:p>
      <w:pPr>
        <w:ind w:left="1160" w:right="799" w:firstLine="335"/>
        <w:spacing w:after="0" w:line="267"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Arial" w:cs="Arial" w:eastAsia="Arial" w:hAnsi="Arial"/>
          <w:sz w:val="17"/>
          <w:szCs w:val="17"/>
          <w:u w:val="single" w:color="auto"/>
          <w:color w:val="0000EE"/>
        </w:rPr>
      </w:pPr>
    </w:p>
    <w:p>
      <w:pPr>
        <w:ind w:left="1160" w:right="779" w:firstLine="4"/>
        <w:spacing w:after="0" w:line="269" w:lineRule="auto"/>
        <w:tabs>
          <w:tab w:leader="none" w:pos="13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93" w:lineRule="exact"/>
        <w:rPr>
          <w:rFonts w:ascii="Arial" w:cs="Arial" w:eastAsia="Arial" w:hAnsi="Arial"/>
          <w:sz w:val="17"/>
          <w:szCs w:val="17"/>
          <w:u w:val="single" w:color="auto"/>
          <w:color w:val="0000EE"/>
        </w:rPr>
      </w:pPr>
    </w:p>
    <w:p>
      <w:pPr>
        <w:ind w:left="1160" w:right="779" w:firstLine="335"/>
        <w:spacing w:after="0" w:line="251"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2500, Houston, Texas 77027, and our telephone number is (713) 400-6400.</w:t>
      </w:r>
    </w:p>
    <w:p>
      <w:pPr>
        <w:spacing w:after="0" w:line="118" w:lineRule="exact"/>
        <w:rPr>
          <w:rFonts w:ascii="Arial" w:cs="Arial" w:eastAsia="Arial" w:hAnsi="Arial"/>
          <w:sz w:val="17"/>
          <w:szCs w:val="17"/>
          <w:u w:val="single" w:color="auto"/>
          <w:color w:val="0000EE"/>
        </w:rPr>
      </w:pPr>
    </w:p>
    <w:p>
      <w:pPr>
        <w:ind w:left="1160" w:right="919" w:firstLine="335"/>
        <w:spacing w:after="0" w:line="252" w:lineRule="auto"/>
        <w:rPr>
          <w:sz w:val="20"/>
          <w:szCs w:val="20"/>
          <w:color w:val="auto"/>
        </w:rPr>
      </w:pPr>
      <w:r>
        <w:rPr>
          <w:rFonts w:ascii="Arial" w:cs="Arial" w:eastAsia="Arial" w:hAnsi="Arial"/>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78" w:lineRule="exact"/>
        <w:rPr>
          <w:rFonts w:ascii="Arial" w:cs="Arial" w:eastAsia="Arial" w:hAnsi="Arial"/>
          <w:sz w:val="17"/>
          <w:szCs w:val="17"/>
          <w:u w:val="single" w:color="auto"/>
          <w:color w:val="0000EE"/>
        </w:rPr>
      </w:pPr>
    </w:p>
    <w:p>
      <w:pPr>
        <w:jc w:val="center"/>
        <w:ind w:right="-420"/>
        <w:spacing w:after="0"/>
        <w:rPr>
          <w:sz w:val="20"/>
          <w:szCs w:val="20"/>
          <w:color w:val="auto"/>
        </w:rPr>
      </w:pPr>
      <w:r>
        <w:rPr>
          <w:rFonts w:ascii="Arial" w:cs="Arial" w:eastAsia="Arial" w:hAnsi="Arial"/>
          <w:sz w:val="17"/>
          <w:szCs w:val="17"/>
          <w:color w:val="auto"/>
        </w:rPr>
        <w:t>28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34" w:name="page35"/>
    <w:bookmarkEnd w:id="34"/>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ectPr>
          <w:pgSz w:w="11900" w:h="16838" w:orient="portrait"/>
          <w:cols w:equalWidth="0" w:num="1">
            <w:col w:w="9499"/>
          </w:cols>
          <w:pgMar w:left="960" w:top="131" w:right="1440" w:bottom="1440" w:gutter="0" w:footer="0" w:header="0"/>
        </w:sectPr>
      </w:pPr>
    </w:p>
    <w:p>
      <w:pPr>
        <w:spacing w:after="0" w:line="397" w:lineRule="exact"/>
        <w:rPr>
          <w:sz w:val="20"/>
          <w:szCs w:val="20"/>
          <w:color w:val="auto"/>
        </w:rPr>
      </w:pPr>
    </w:p>
    <w:tbl>
      <w:tblPr>
        <w:tblLayout w:type="fixed"/>
        <w:tblInd w:w="820" w:type="dxa"/>
        <w:tblCellMar>
          <w:top w:w="0" w:type="dxa"/>
          <w:left w:w="0" w:type="dxa"/>
          <w:bottom w:w="0" w:type="dxa"/>
          <w:right w:w="0" w:type="dxa"/>
        </w:tblCellMar>
      </w:tblPr>
      <w:tr>
        <w:trPr>
          <w:trHeight w:val="2573"/>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until the registration statement filed with</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in any state where such</w:t>
            </w:r>
          </w:p>
        </w:tc>
        <w:tc>
          <w:tcPr>
            <w:tcW w:w="140" w:type="dxa"/>
            <w:vAlign w:val="bottom"/>
          </w:tcPr>
          <w:p>
            <w:pPr>
              <w:spacing w:after="0"/>
              <w:rPr>
                <w:sz w:val="24"/>
                <w:szCs w:val="24"/>
                <w:color w:val="auto"/>
              </w:rPr>
            </w:pPr>
          </w:p>
        </w:tc>
      </w:tr>
      <w:tr>
        <w:trPr>
          <w:trHeight w:val="147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to buy these securities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soliciting offers to buy</w:t>
            </w:r>
          </w:p>
        </w:tc>
        <w:tc>
          <w:tcPr>
            <w:tcW w:w="140" w:type="dxa"/>
            <w:vAlign w:val="bottom"/>
          </w:tcPr>
          <w:p>
            <w:pPr>
              <w:spacing w:after="0"/>
              <w:rPr>
                <w:sz w:val="24"/>
                <w:szCs w:val="24"/>
                <w:color w:val="auto"/>
              </w:rPr>
            </w:pPr>
          </w:p>
        </w:tc>
      </w:tr>
      <w:tr>
        <w:trPr>
          <w:trHeight w:val="5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 offer</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it is not</w:t>
            </w:r>
          </w:p>
        </w:tc>
        <w:tc>
          <w:tcPr>
            <w:tcW w:w="140" w:type="dxa"/>
            <w:vAlign w:val="bottom"/>
          </w:tcPr>
          <w:p>
            <w:pPr>
              <w:spacing w:after="0"/>
              <w:rPr>
                <w:sz w:val="24"/>
                <w:szCs w:val="24"/>
                <w:color w:val="auto"/>
              </w:rPr>
            </w:pPr>
          </w:p>
        </w:tc>
      </w:tr>
      <w:tr>
        <w:trPr>
          <w:trHeight w:val="16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or accept</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sell these securities, and</w:t>
            </w:r>
          </w:p>
        </w:tc>
        <w:tc>
          <w:tcPr>
            <w:tcW w:w="140" w:type="dxa"/>
            <w:vAlign w:val="bottom"/>
          </w:tcPr>
          <w:p>
            <w:pPr>
              <w:spacing w:after="0"/>
              <w:rPr>
                <w:sz w:val="24"/>
                <w:szCs w:val="24"/>
                <w:color w:val="auto"/>
              </w:rPr>
            </w:pPr>
          </w:p>
        </w:tc>
      </w:tr>
      <w:tr>
        <w:trPr>
          <w:trHeight w:val="50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not sell</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to</w:t>
            </w:r>
          </w:p>
        </w:tc>
        <w:tc>
          <w:tcPr>
            <w:tcW w:w="140" w:type="dxa"/>
            <w:vAlign w:val="bottom"/>
          </w:tcPr>
          <w:p>
            <w:pPr>
              <w:spacing w:after="0"/>
              <w:rPr>
                <w:sz w:val="24"/>
                <w:szCs w:val="24"/>
                <w:color w:val="auto"/>
              </w:rPr>
            </w:pPr>
          </w:p>
        </w:tc>
      </w:tr>
      <w:tr>
        <w:trPr>
          <w:trHeight w:val="135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be changed. We may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prospectus is not an</w:t>
            </w:r>
          </w:p>
        </w:tc>
        <w:tc>
          <w:tcPr>
            <w:tcW w:w="140" w:type="dxa"/>
            <w:vAlign w:val="bottom"/>
          </w:tcPr>
          <w:p>
            <w:pPr>
              <w:spacing w:after="0"/>
              <w:rPr>
                <w:sz w:val="24"/>
                <w:szCs w:val="24"/>
                <w:color w:val="auto"/>
              </w:rPr>
            </w:pPr>
          </w:p>
        </w:tc>
      </w:tr>
      <w:tr>
        <w:trPr>
          <w:trHeight w:val="260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this prospectus is not complete and may</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permitted.</w:t>
            </w:r>
          </w:p>
        </w:tc>
      </w:tr>
      <w:tr>
        <w:trPr>
          <w:trHeight w:val="11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Securities and</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C0014"/>
        </w:rPr>
        <w:t>SUBJECT TO COMPLETION, DATED AUGUST 10,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117475</wp:posOffset>
            </wp:positionV>
            <wp:extent cx="2657475" cy="726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65747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40"/>
        <w:spacing w:after="0"/>
        <w:rPr>
          <w:sz w:val="20"/>
          <w:szCs w:val="20"/>
          <w:color w:val="auto"/>
        </w:rPr>
      </w:pPr>
      <w:r>
        <w:rPr>
          <w:rFonts w:ascii="Arial" w:cs="Arial" w:eastAsia="Arial" w:hAnsi="Arial"/>
          <w:sz w:val="23"/>
          <w:szCs w:val="23"/>
          <w:b w:val="1"/>
          <w:bCs w:val="1"/>
          <w:color w:val="auto"/>
        </w:rPr>
        <w:t>$75,000,000</w:t>
      </w:r>
    </w:p>
    <w:p>
      <w:pPr>
        <w:spacing w:after="0" w:line="25" w:lineRule="exact"/>
        <w:rPr>
          <w:sz w:val="20"/>
          <w:szCs w:val="20"/>
          <w:color w:val="auto"/>
        </w:rPr>
      </w:pPr>
    </w:p>
    <w:p>
      <w:pPr>
        <w:ind w:left="3080"/>
        <w:spacing w:after="0"/>
        <w:rPr>
          <w:sz w:val="20"/>
          <w:szCs w:val="20"/>
          <w:color w:val="auto"/>
        </w:rPr>
      </w:pPr>
      <w:r>
        <w:rPr>
          <w:rFonts w:ascii="Arial" w:cs="Arial" w:eastAsia="Arial" w:hAnsi="Arial"/>
          <w:sz w:val="23"/>
          <w:szCs w:val="23"/>
          <w:b w:val="1"/>
          <w:bCs w:val="1"/>
          <w:color w:val="auto"/>
        </w:rPr>
        <w:t>Common Stock</w:t>
      </w:r>
    </w:p>
    <w:p>
      <w:pPr>
        <w:spacing w:after="0" w:line="120" w:lineRule="exact"/>
        <w:rPr>
          <w:sz w:val="20"/>
          <w:szCs w:val="20"/>
          <w:color w:val="auto"/>
        </w:rPr>
      </w:pPr>
    </w:p>
    <w:p>
      <w:pPr>
        <w:ind w:right="439" w:firstLine="335"/>
        <w:spacing w:after="0" w:line="248" w:lineRule="auto"/>
        <w:rPr>
          <w:sz w:val="20"/>
          <w:szCs w:val="20"/>
          <w:color w:val="auto"/>
        </w:rPr>
      </w:pPr>
      <w:r>
        <w:rPr>
          <w:rFonts w:ascii="Arial" w:cs="Arial" w:eastAsia="Arial" w:hAnsi="Arial"/>
          <w:sz w:val="16"/>
          <w:szCs w:val="16"/>
          <w:color w:val="auto"/>
        </w:rPr>
        <w:t>This sales agreement prospectus relates to the issuance and sale of shares of our common stock having an aggregate offering price of up to $75.0 million from time to time through our sales agents, Cantor Fitzgerald &amp; Co. and RBC Capital Markets, LLC, or the Sales Agents. These sales, if any, will be made pursuant to the terms of the Controlled Equity Offering</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Sales Agreement, or the Sales Agreement, among us and the Sales Agents, dated August 10, 2021, which is filed with the Securities and Exchange Commission as an exhibit to the Registration Statement of which this prospectus is part.</w:t>
      </w:r>
    </w:p>
    <w:p>
      <w:pPr>
        <w:spacing w:after="0" w:line="109" w:lineRule="exact"/>
        <w:rPr>
          <w:sz w:val="20"/>
          <w:szCs w:val="20"/>
          <w:color w:val="auto"/>
        </w:rPr>
      </w:pPr>
    </w:p>
    <w:p>
      <w:pPr>
        <w:ind w:right="539" w:firstLine="335"/>
        <w:spacing w:after="0" w:line="268" w:lineRule="auto"/>
        <w:rPr>
          <w:sz w:val="20"/>
          <w:szCs w:val="20"/>
          <w:color w:val="auto"/>
        </w:rPr>
      </w:pPr>
      <w:r>
        <w:rPr>
          <w:rFonts w:ascii="Arial" w:cs="Arial" w:eastAsia="Arial" w:hAnsi="Arial"/>
          <w:sz w:val="17"/>
          <w:szCs w:val="17"/>
          <w:color w:val="auto"/>
        </w:rPr>
        <w:t>Our common stock is traded on The Nasdaq Global Market under the symbol “MRKR.” On August 6, 2021, the last reported sale price of our common stock was $2.07 per share.</w:t>
      </w:r>
    </w:p>
    <w:p>
      <w:pPr>
        <w:spacing w:after="0" w:line="104" w:lineRule="exact"/>
        <w:rPr>
          <w:sz w:val="20"/>
          <w:szCs w:val="20"/>
          <w:color w:val="auto"/>
        </w:rPr>
      </w:pPr>
    </w:p>
    <w:p>
      <w:pPr>
        <w:ind w:right="399" w:firstLine="335"/>
        <w:spacing w:after="0" w:line="289" w:lineRule="auto"/>
        <w:rPr>
          <w:sz w:val="20"/>
          <w:szCs w:val="20"/>
          <w:color w:val="auto"/>
        </w:rPr>
      </w:pPr>
      <w:r>
        <w:rPr>
          <w:rFonts w:ascii="Arial" w:cs="Arial" w:eastAsia="Arial" w:hAnsi="Arial"/>
          <w:sz w:val="15"/>
          <w:szCs w:val="15"/>
          <w:color w:val="auto"/>
        </w:rPr>
        <w:t>Sales of shares of our common stock under this prospectus, if any, may be made by any method deemed to be an “at the market offering” as defined in Rule 415(a)(4) promulgated under the Securities Act of 1933, as amended, or the Securities Act. The Sales Agents are not required to sell any specific number or dollar amount of shares of our common stock. Each of the Sales Agents has agreed to use its commercially reasonable efforts to sell on our behalf all of the shares of common stock requested to be sold by us, consistent with its normal trading and sales practices, on mutually agreed terms among the Sales Agents and us. There is no arrangement for funds to be received in any escrow, trust or similar arrangement.</w:t>
      </w:r>
    </w:p>
    <w:p>
      <w:pPr>
        <w:spacing w:after="0" w:line="92" w:lineRule="exact"/>
        <w:rPr>
          <w:sz w:val="20"/>
          <w:szCs w:val="20"/>
          <w:color w:val="auto"/>
        </w:rPr>
      </w:pPr>
    </w:p>
    <w:p>
      <w:pPr>
        <w:ind w:right="399" w:firstLine="335"/>
        <w:spacing w:after="0" w:line="251" w:lineRule="auto"/>
        <w:rPr>
          <w:sz w:val="20"/>
          <w:szCs w:val="20"/>
          <w:color w:val="auto"/>
        </w:rPr>
      </w:pPr>
      <w:r>
        <w:rPr>
          <w:rFonts w:ascii="Arial" w:cs="Arial" w:eastAsia="Arial" w:hAnsi="Arial"/>
          <w:sz w:val="17"/>
          <w:szCs w:val="17"/>
          <w:color w:val="auto"/>
        </w:rPr>
        <w:t>The Sales Agents will be entitled to compensation under the terms of the Sales Agreement at a commission rate equal to 3.0% of the gross sales price per share sold. The net proceeds from any sales under this prospectus will be used as described under the section entitled “Use of Proceeds.” See “Plan of Distribution” for additional information regarding compensation to be paid to the Sales Agents. The proceeds we receive from sales of our common stock, if any, will depend on the number of shares actually sold and the offering price of such shares.</w:t>
      </w:r>
    </w:p>
    <w:p>
      <w:pPr>
        <w:spacing w:after="0" w:line="105" w:lineRule="exact"/>
        <w:rPr>
          <w:sz w:val="20"/>
          <w:szCs w:val="20"/>
          <w:color w:val="auto"/>
        </w:rPr>
      </w:pPr>
    </w:p>
    <w:p>
      <w:pPr>
        <w:ind w:right="419" w:firstLine="335"/>
        <w:spacing w:after="0" w:line="252" w:lineRule="auto"/>
        <w:rPr>
          <w:sz w:val="20"/>
          <w:szCs w:val="20"/>
          <w:color w:val="auto"/>
        </w:rPr>
      </w:pPr>
      <w:r>
        <w:rPr>
          <w:rFonts w:ascii="Arial" w:cs="Arial" w:eastAsia="Arial" w:hAnsi="Arial"/>
          <w:sz w:val="17"/>
          <w:szCs w:val="17"/>
          <w:color w:val="auto"/>
        </w:rPr>
        <w:t>In connection with the sale of common stock on our behalf, each of the Sales Agents will be deemed to be an “underwriter” within the meaning of the Securities Act, and the compensation of the Sales Agents will be deemed to be underwriting commissions or discounts. We have agreed to provide indemnification and contribution to the Sales Agents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50165</wp:posOffset>
            </wp:positionV>
            <wp:extent cx="11493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61" w:lineRule="exact"/>
        <w:rPr>
          <w:sz w:val="20"/>
          <w:szCs w:val="20"/>
          <w:color w:val="auto"/>
        </w:rPr>
      </w:pPr>
    </w:p>
    <w:p>
      <w:pPr>
        <w:ind w:right="759" w:firstLine="335"/>
        <w:spacing w:after="0" w:line="338" w:lineRule="auto"/>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Investing in our securities involves a high degree of risk. You should review carefully the risks and uncertainties described under the heading “Risk Factors” beginning on page </w:t>
      </w:r>
      <w:hyperlink w:anchor="page41">
        <w:r>
          <w:rPr>
            <w:rFonts w:ascii="Arial" w:cs="Arial" w:eastAsia="Arial" w:hAnsi="Arial"/>
            <w:sz w:val="14"/>
            <w:szCs w:val="14"/>
            <w:b w:val="1"/>
            <w:bCs w:val="1"/>
            <w:i w:val="1"/>
            <w:iCs w:val="1"/>
            <w:u w:val="single" w:color="auto"/>
            <w:color w:val="0000EE"/>
          </w:rPr>
          <w:t>S-5</w:t>
        </w:r>
        <w:r>
          <w:rPr>
            <w:rFonts w:ascii="Arial" w:cs="Arial" w:eastAsia="Arial" w:hAnsi="Arial"/>
            <w:sz w:val="14"/>
            <w:szCs w:val="14"/>
            <w:b w:val="1"/>
            <w:bCs w:val="1"/>
            <w:i w:val="1"/>
            <w:iCs w:val="1"/>
            <w:u w:val="single" w:color="auto"/>
            <w:color w:val="auto"/>
          </w:rPr>
          <w:t xml:space="preserve"> </w:t>
        </w:r>
      </w:hyperlink>
      <w:r>
        <w:rPr>
          <w:rFonts w:ascii="Arial" w:cs="Arial" w:eastAsia="Arial" w:hAnsi="Arial"/>
          <w:sz w:val="14"/>
          <w:szCs w:val="14"/>
          <w:b w:val="1"/>
          <w:bCs w:val="1"/>
          <w:i w:val="1"/>
          <w:iCs w:val="1"/>
          <w:color w:val="auto"/>
        </w:rPr>
        <w:t>of this prospectus,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6985</wp:posOffset>
            </wp:positionV>
            <wp:extent cx="11493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88" w:lineRule="exact"/>
        <w:rPr>
          <w:sz w:val="20"/>
          <w:szCs w:val="20"/>
          <w:color w:val="auto"/>
        </w:rPr>
      </w:pPr>
    </w:p>
    <w:p>
      <w:pPr>
        <w:jc w:val="both"/>
        <w:ind w:right="559" w:firstLine="335"/>
        <w:spacing w:after="0" w:line="25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8" w:lineRule="exact"/>
        <w:rPr>
          <w:sz w:val="20"/>
          <w:szCs w:val="20"/>
          <w:color w:val="auto"/>
        </w:rPr>
      </w:pPr>
    </w:p>
    <w:tbl>
      <w:tblPr>
        <w:tblLayout w:type="fixed"/>
        <w:tblInd w:w="1640" w:type="dxa"/>
        <w:tblCellMar>
          <w:top w:w="0" w:type="dxa"/>
          <w:left w:w="0" w:type="dxa"/>
          <w:bottom w:w="0" w:type="dxa"/>
          <w:right w:w="0" w:type="dxa"/>
        </w:tblCellMar>
      </w:tblPr>
      <w:tr>
        <w:trPr>
          <w:trHeight w:val="349"/>
        </w:trPr>
        <w:tc>
          <w:tcPr>
            <w:tcW w:w="2640" w:type="dxa"/>
            <w:vAlign w:val="bottom"/>
            <w:gridSpan w:val="2"/>
          </w:tcPr>
          <w:p>
            <w:pPr>
              <w:spacing w:after="0"/>
              <w:rPr>
                <w:sz w:val="20"/>
                <w:szCs w:val="20"/>
                <w:color w:val="auto"/>
              </w:rPr>
            </w:pPr>
            <w:r>
              <w:rPr>
                <w:rFonts w:ascii="Arial" w:cs="Arial" w:eastAsia="Arial" w:hAnsi="Arial"/>
                <w:sz w:val="27"/>
                <w:szCs w:val="27"/>
                <w:b w:val="1"/>
                <w:bCs w:val="1"/>
                <w:color w:val="auto"/>
              </w:rPr>
              <w:t>Cantor</w:t>
            </w:r>
          </w:p>
        </w:tc>
        <w:tc>
          <w:tcPr>
            <w:tcW w:w="2540" w:type="dxa"/>
            <w:vAlign w:val="bottom"/>
            <w:gridSpan w:val="2"/>
          </w:tcPr>
          <w:p>
            <w:pPr>
              <w:jc w:val="right"/>
              <w:spacing w:after="0"/>
              <w:rPr>
                <w:sz w:val="20"/>
                <w:szCs w:val="20"/>
                <w:color w:val="auto"/>
              </w:rPr>
            </w:pPr>
            <w:r>
              <w:rPr>
                <w:rFonts w:ascii="Arial" w:cs="Arial" w:eastAsia="Arial" w:hAnsi="Arial"/>
                <w:sz w:val="27"/>
                <w:szCs w:val="27"/>
                <w:b w:val="1"/>
                <w:bCs w:val="1"/>
                <w:color w:val="auto"/>
                <w:w w:val="94"/>
              </w:rPr>
              <w:t>RBC Capital Markets</w:t>
            </w:r>
          </w:p>
        </w:tc>
      </w:tr>
      <w:tr>
        <w:trPr>
          <w:trHeight w:val="71"/>
        </w:trPr>
        <w:tc>
          <w:tcPr>
            <w:tcW w:w="128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r>
      <w:tr>
        <w:trPr>
          <w:trHeight w:val="658"/>
        </w:trPr>
        <w:tc>
          <w:tcPr>
            <w:tcW w:w="2640" w:type="dxa"/>
            <w:vAlign w:val="bottom"/>
            <w:gridSpan w:val="2"/>
          </w:tcPr>
          <w:p>
            <w:pPr>
              <w:ind w:left="460"/>
              <w:spacing w:after="0"/>
              <w:rPr>
                <w:sz w:val="20"/>
                <w:szCs w:val="20"/>
                <w:color w:val="auto"/>
              </w:rPr>
            </w:pPr>
            <w:r>
              <w:rPr>
                <w:rFonts w:ascii="Arial" w:cs="Arial" w:eastAsia="Arial" w:hAnsi="Arial"/>
                <w:sz w:val="17"/>
                <w:szCs w:val="17"/>
                <w:color w:val="auto"/>
                <w:w w:val="97"/>
              </w:rPr>
              <w:t>The date of this prospectus is</w:t>
            </w:r>
          </w:p>
        </w:tc>
        <w:tc>
          <w:tcPr>
            <w:tcW w:w="2540" w:type="dxa"/>
            <w:vAlign w:val="bottom"/>
            <w:gridSpan w:val="2"/>
          </w:tcPr>
          <w:p>
            <w:pPr>
              <w:jc w:val="right"/>
              <w:ind w:right="1260"/>
              <w:spacing w:after="0"/>
              <w:rPr>
                <w:sz w:val="20"/>
                <w:szCs w:val="20"/>
                <w:color w:val="auto"/>
              </w:rPr>
            </w:pPr>
            <w:r>
              <w:rPr>
                <w:rFonts w:ascii="Arial" w:cs="Arial" w:eastAsia="Arial" w:hAnsi="Arial"/>
                <w:sz w:val="17"/>
                <w:szCs w:val="17"/>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43180</wp:posOffset>
            </wp:positionV>
            <wp:extent cx="63277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327775" cy="41275"/>
                    </a:xfrm>
                    <a:prstGeom prst="rect">
                      <a:avLst/>
                    </a:prstGeom>
                    <a:noFill/>
                  </pic:spPr>
                </pic:pic>
              </a:graphicData>
            </a:graphic>
          </wp:anchor>
        </w:drawing>
      </w:r>
    </w:p>
    <w:p>
      <w:pPr>
        <w:sectPr>
          <w:pgSz w:w="11900" w:h="16838" w:orient="portrait"/>
          <w:cols w:equalWidth="0" w:num="2">
            <w:col w:w="1240" w:space="220"/>
            <w:col w:w="8039"/>
          </w:cols>
          <w:pgMar w:left="960" w:top="131" w:right="1440" w:bottom="1440" w:gutter="0" w:footer="0" w:header="0"/>
          <w:type w:val="continuous"/>
        </w:sectPr>
      </w:pPr>
    </w:p>
    <w:bookmarkStart w:id="35" w:name="page36"/>
    <w:bookmarkEnd w:id="35"/>
    <w:p>
      <w:pPr>
        <w:spacing w:after="0"/>
        <w:rPr>
          <w:rFonts w:ascii="Arial" w:cs="Arial" w:eastAsia="Arial" w:hAnsi="Arial"/>
          <w:sz w:val="13"/>
          <w:szCs w:val="13"/>
          <w:color w:val="003366"/>
        </w:rPr>
      </w:pPr>
      <w:hyperlink w:anchor="page4">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gridSpan w:val="3"/>
          </w:tcPr>
          <w:p>
            <w:pPr>
              <w:ind w:left="200"/>
              <w:spacing w:after="0"/>
              <w:rPr>
                <w:sz w:val="20"/>
                <w:szCs w:val="20"/>
                <w:color w:val="auto"/>
              </w:rPr>
            </w:pPr>
            <w:r>
              <w:rPr>
                <w:rFonts w:ascii="Arial" w:cs="Arial" w:eastAsia="Arial" w:hAnsi="Arial"/>
                <w:sz w:val="17"/>
                <w:szCs w:val="17"/>
                <w:b w:val="1"/>
                <w:bCs w:val="1"/>
                <w:color w:val="auto"/>
              </w:rPr>
              <w:t>TABLE OF CONTENTS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120" w:type="dxa"/>
            <w:vAlign w:val="bottom"/>
            <w:gridSpan w:val="11"/>
            <w:shd w:val="clear" w:color="auto" w:fill="CCEEFF"/>
          </w:tcPr>
          <w:p>
            <w:pPr>
              <w:spacing w:after="0" w:line="151" w:lineRule="exact"/>
              <w:rPr>
                <w:rFonts w:ascii="Arial" w:cs="Arial" w:eastAsia="Arial" w:hAnsi="Arial"/>
                <w:sz w:val="17"/>
                <w:szCs w:val="17"/>
                <w:color w:val="0000EE"/>
              </w:rPr>
            </w:pPr>
            <w:hyperlink w:anchor="page36">
              <w:r>
                <w:rPr>
                  <w:rFonts w:ascii="Arial" w:cs="Arial" w:eastAsia="Arial" w:hAnsi="Arial"/>
                  <w:sz w:val="17"/>
                  <w:szCs w:val="17"/>
                  <w:color w:val="0000EE"/>
                </w:rPr>
                <w:t>ABOUT THIS PROSPECTUS</w:t>
              </w:r>
            </w:hyperlink>
          </w:p>
        </w:tc>
        <w:tc>
          <w:tcPr>
            <w:tcW w:w="21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line="151" w:lineRule="exact"/>
              <w:rPr>
                <w:rFonts w:ascii="Arial" w:cs="Arial" w:eastAsia="Arial" w:hAnsi="Arial"/>
                <w:sz w:val="17"/>
                <w:szCs w:val="17"/>
                <w:color w:val="0000EE"/>
                <w:w w:val="86"/>
              </w:rPr>
            </w:pPr>
            <w:hyperlink w:anchor="page36">
              <w:r>
                <w:rPr>
                  <w:rFonts w:ascii="Arial" w:cs="Arial" w:eastAsia="Arial" w:hAnsi="Arial"/>
                  <w:sz w:val="17"/>
                  <w:szCs w:val="17"/>
                  <w:color w:val="0000EE"/>
                  <w:w w:val="86"/>
                </w:rPr>
                <w:t>S-i</w:t>
              </w:r>
            </w:hyperlink>
          </w:p>
        </w:tc>
        <w:tc>
          <w:tcPr>
            <w:tcW w:w="0" w:type="dxa"/>
            <w:vAlign w:val="bottom"/>
          </w:tcPr>
          <w:p>
            <w:pPr>
              <w:spacing w:after="0"/>
              <w:rPr>
                <w:sz w:val="1"/>
                <w:szCs w:val="1"/>
                <w:color w:val="auto"/>
              </w:rPr>
            </w:pPr>
          </w:p>
        </w:tc>
      </w:tr>
      <w:tr>
        <w:trPr>
          <w:trHeight w:val="25"/>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140" w:type="dxa"/>
            <w:vAlign w:val="bottom"/>
            <w:gridSpan w:val="8"/>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SUMMARY</w:t>
              </w:r>
            </w:hyperlink>
          </w:p>
        </w:tc>
        <w:tc>
          <w:tcPr>
            <w:tcW w:w="3000" w:type="dxa"/>
            <w:vAlign w:val="bottom"/>
            <w:gridSpan w:val="4"/>
          </w:tcPr>
          <w:p>
            <w:pPr>
              <w:spacing w:after="0"/>
              <w:rPr>
                <w:sz w:val="17"/>
                <w:szCs w:val="17"/>
                <w:color w:val="auto"/>
              </w:rPr>
            </w:pPr>
          </w:p>
        </w:tc>
        <w:tc>
          <w:tcPr>
            <w:tcW w:w="2180" w:type="dxa"/>
            <w:vAlign w:val="bottom"/>
          </w:tcPr>
          <w:p>
            <w:pPr>
              <w:spacing w:after="0"/>
              <w:rPr>
                <w:sz w:val="17"/>
                <w:szCs w:val="17"/>
                <w:color w:val="auto"/>
              </w:rPr>
            </w:pPr>
          </w:p>
        </w:tc>
        <w:tc>
          <w:tcPr>
            <w:tcW w:w="340" w:type="dxa"/>
            <w:vAlign w:val="bottom"/>
            <w:gridSpan w:val="3"/>
          </w:tcPr>
          <w:p>
            <w:pPr>
              <w:jc w:val="right"/>
              <w:ind w:right="20"/>
              <w:spacing w:after="0"/>
              <w:rPr>
                <w:rFonts w:ascii="Arial" w:cs="Arial" w:eastAsia="Arial" w:hAnsi="Arial"/>
                <w:sz w:val="17"/>
                <w:szCs w:val="17"/>
                <w:color w:val="0000EE"/>
              </w:rPr>
            </w:pPr>
            <w:hyperlink w:anchor="page37">
              <w:r>
                <w:rPr>
                  <w:rFonts w:ascii="Arial" w:cs="Arial" w:eastAsia="Arial" w:hAnsi="Arial"/>
                  <w:sz w:val="17"/>
                  <w:szCs w:val="17"/>
                  <w:color w:val="0000EE"/>
                </w:rPr>
                <w:t>S-1</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3"/>
            <w:shd w:val="clear" w:color="auto" w:fill="CCEEFF"/>
          </w:tcPr>
          <w:p>
            <w:pPr>
              <w:spacing w:after="0"/>
              <w:rPr>
                <w:rFonts w:ascii="Arial" w:cs="Arial" w:eastAsia="Arial" w:hAnsi="Arial"/>
                <w:sz w:val="17"/>
                <w:szCs w:val="17"/>
                <w:color w:val="0000EE"/>
                <w:w w:val="90"/>
              </w:rPr>
            </w:pPr>
            <w:hyperlink w:anchor="page40">
              <w:r>
                <w:rPr>
                  <w:rFonts w:ascii="Arial" w:cs="Arial" w:eastAsia="Arial" w:hAnsi="Arial"/>
                  <w:sz w:val="17"/>
                  <w:szCs w:val="17"/>
                  <w:color w:val="0000EE"/>
                  <w:w w:val="90"/>
                </w:rPr>
                <w:t>THE OFFERING</w:t>
              </w:r>
            </w:hyperlink>
          </w:p>
        </w:tc>
        <w:tc>
          <w:tcPr>
            <w:tcW w:w="3940" w:type="dxa"/>
            <w:vAlign w:val="bottom"/>
            <w:tcBorders>
              <w:left w:val="single" w:sz="8" w:color="CCEEFF"/>
            </w:tcBorders>
            <w:gridSpan w:val="8"/>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rFonts w:ascii="Arial" w:cs="Arial" w:eastAsia="Arial" w:hAnsi="Arial"/>
                <w:sz w:val="16"/>
                <w:szCs w:val="16"/>
                <w:color w:val="0000EE"/>
                <w:w w:val="72"/>
              </w:rPr>
            </w:pPr>
            <w:hyperlink w:anchor="page40">
              <w:r>
                <w:rPr>
                  <w:rFonts w:ascii="Arial" w:cs="Arial" w:eastAsia="Arial" w:hAnsi="Arial"/>
                  <w:sz w:val="16"/>
                  <w:szCs w:val="16"/>
                  <w:color w:val="0000EE"/>
                  <w:w w:val="72"/>
                </w:rPr>
                <w:t>S-4</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200" w:type="dxa"/>
            <w:vAlign w:val="bottom"/>
            <w:gridSpan w:val="4"/>
          </w:tcPr>
          <w:p>
            <w:pPr>
              <w:spacing w:after="0"/>
              <w:rPr>
                <w:rFonts w:ascii="Arial" w:cs="Arial" w:eastAsia="Arial" w:hAnsi="Arial"/>
                <w:sz w:val="17"/>
                <w:szCs w:val="17"/>
                <w:color w:val="0000EE"/>
                <w:w w:val="92"/>
              </w:rPr>
            </w:pPr>
            <w:hyperlink w:anchor="page41">
              <w:r>
                <w:rPr>
                  <w:rFonts w:ascii="Arial" w:cs="Arial" w:eastAsia="Arial" w:hAnsi="Arial"/>
                  <w:sz w:val="17"/>
                  <w:szCs w:val="17"/>
                  <w:color w:val="0000EE"/>
                  <w:w w:val="92"/>
                </w:rPr>
                <w:t>RISK FACTORS</w:t>
              </w:r>
            </w:hyperlink>
          </w:p>
        </w:tc>
        <w:tc>
          <w:tcPr>
            <w:tcW w:w="3940" w:type="dxa"/>
            <w:vAlign w:val="bottom"/>
            <w:gridSpan w:val="8"/>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6"/>
                <w:szCs w:val="16"/>
                <w:color w:val="0000EE"/>
                <w:w w:val="72"/>
              </w:rPr>
            </w:pPr>
            <w:hyperlink w:anchor="page41">
              <w:r>
                <w:rPr>
                  <w:rFonts w:ascii="Arial" w:cs="Arial" w:eastAsia="Arial" w:hAnsi="Arial"/>
                  <w:sz w:val="16"/>
                  <w:szCs w:val="16"/>
                  <w:color w:val="0000EE"/>
                  <w:w w:val="72"/>
                </w:rPr>
                <w:t>S-5</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11"/>
            <w:shd w:val="clear" w:color="auto" w:fill="CCEEFF"/>
          </w:tcPr>
          <w:p>
            <w:pPr>
              <w:spacing w:after="0"/>
              <w:rPr>
                <w:rFonts w:ascii="Arial" w:cs="Arial" w:eastAsia="Arial" w:hAnsi="Arial"/>
                <w:sz w:val="17"/>
                <w:szCs w:val="17"/>
                <w:color w:val="0000EE"/>
                <w:w w:val="96"/>
              </w:rPr>
            </w:pPr>
            <w:hyperlink w:anchor="page43">
              <w:r>
                <w:rPr>
                  <w:rFonts w:ascii="Arial" w:cs="Arial" w:eastAsia="Arial" w:hAnsi="Arial"/>
                  <w:sz w:val="17"/>
                  <w:szCs w:val="17"/>
                  <w:color w:val="0000EE"/>
                  <w:w w:val="96"/>
                </w:rPr>
                <w:t>SPECIAL NOTE REGARDING FORWARD-LOOKING STATEMENTS</w:t>
              </w:r>
            </w:hyperlink>
          </w:p>
        </w:tc>
        <w:tc>
          <w:tcPr>
            <w:tcW w:w="2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rFonts w:ascii="Arial" w:cs="Arial" w:eastAsia="Arial" w:hAnsi="Arial"/>
                <w:sz w:val="16"/>
                <w:szCs w:val="16"/>
                <w:color w:val="0000EE"/>
                <w:w w:val="72"/>
              </w:rPr>
            </w:pPr>
            <w:hyperlink w:anchor="page43">
              <w:r>
                <w:rPr>
                  <w:rFonts w:ascii="Arial" w:cs="Arial" w:eastAsia="Arial" w:hAnsi="Arial"/>
                  <w:sz w:val="16"/>
                  <w:szCs w:val="16"/>
                  <w:color w:val="0000EE"/>
                  <w:w w:val="72"/>
                </w:rPr>
                <w:t>S-7</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CCEEFF"/>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gridSpan w:val="12"/>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USE OF PROCEEDS</w:t>
              </w:r>
            </w:hyperlink>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6"/>
                <w:szCs w:val="16"/>
                <w:color w:val="0000EE"/>
                <w:w w:val="72"/>
              </w:rPr>
            </w:pPr>
            <w:hyperlink w:anchor="page45">
              <w:r>
                <w:rPr>
                  <w:rFonts w:ascii="Arial" w:cs="Arial" w:eastAsia="Arial" w:hAnsi="Arial"/>
                  <w:sz w:val="16"/>
                  <w:szCs w:val="16"/>
                  <w:color w:val="0000EE"/>
                  <w:w w:val="72"/>
                </w:rPr>
                <w:t>S-9</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Borders>
              <w:right w:val="single" w:sz="8" w:color="CCEEFF"/>
            </w:tcBorders>
            <w:gridSpan w:val="2"/>
            <w:shd w:val="clear" w:color="auto" w:fill="CCEEFF"/>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DILUTION</w:t>
              </w:r>
            </w:hyperlink>
          </w:p>
        </w:tc>
        <w:tc>
          <w:tcPr>
            <w:tcW w:w="640" w:type="dxa"/>
            <w:vAlign w:val="bottom"/>
            <w:gridSpan w:val="3"/>
            <w:shd w:val="clear" w:color="auto" w:fill="CCEEFF"/>
          </w:tcPr>
          <w:p>
            <w:pPr>
              <w:spacing w:after="0"/>
              <w:rPr>
                <w:sz w:val="19"/>
                <w:szCs w:val="19"/>
                <w:color w:val="auto"/>
              </w:rPr>
            </w:pPr>
          </w:p>
        </w:tc>
        <w:tc>
          <w:tcPr>
            <w:tcW w:w="3620" w:type="dxa"/>
            <w:vAlign w:val="bottom"/>
            <w:gridSpan w:val="6"/>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rFonts w:ascii="Arial" w:cs="Arial" w:eastAsia="Arial" w:hAnsi="Arial"/>
                <w:sz w:val="17"/>
                <w:szCs w:val="17"/>
                <w:color w:val="0000EE"/>
                <w:w w:val="83"/>
              </w:rPr>
            </w:pPr>
            <w:hyperlink w:anchor="page46">
              <w:r>
                <w:rPr>
                  <w:rFonts w:ascii="Arial" w:cs="Arial" w:eastAsia="Arial" w:hAnsi="Arial"/>
                  <w:sz w:val="17"/>
                  <w:szCs w:val="17"/>
                  <w:color w:val="0000EE"/>
                  <w:w w:val="83"/>
                </w:rPr>
                <w:t>S-10</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5140" w:type="dxa"/>
            <w:vAlign w:val="bottom"/>
            <w:gridSpan w:val="12"/>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DESCRIPTION OF CAPITAL STOCK</w:t>
              </w:r>
            </w:hyperlink>
          </w:p>
        </w:tc>
        <w:tc>
          <w:tcPr>
            <w:tcW w:w="2180" w:type="dxa"/>
            <w:vAlign w:val="bottom"/>
          </w:tcPr>
          <w:p>
            <w:pPr>
              <w:spacing w:after="0"/>
              <w:rPr>
                <w:sz w:val="18"/>
                <w:szCs w:val="18"/>
                <w:color w:val="auto"/>
              </w:rPr>
            </w:pPr>
          </w:p>
        </w:tc>
        <w:tc>
          <w:tcPr>
            <w:tcW w:w="340" w:type="dxa"/>
            <w:vAlign w:val="bottom"/>
            <w:gridSpan w:val="3"/>
          </w:tcPr>
          <w:p>
            <w:pPr>
              <w:jc w:val="right"/>
              <w:ind w:right="20"/>
              <w:spacing w:after="0"/>
              <w:rPr>
                <w:rFonts w:ascii="Arial" w:cs="Arial" w:eastAsia="Arial" w:hAnsi="Arial"/>
                <w:sz w:val="17"/>
                <w:szCs w:val="17"/>
                <w:color w:val="0000EE"/>
                <w:w w:val="83"/>
              </w:rPr>
            </w:pPr>
            <w:hyperlink w:anchor="page48">
              <w:r>
                <w:rPr>
                  <w:rFonts w:ascii="Arial" w:cs="Arial" w:eastAsia="Arial" w:hAnsi="Arial"/>
                  <w:sz w:val="17"/>
                  <w:szCs w:val="17"/>
                  <w:color w:val="0000EE"/>
                  <w:w w:val="83"/>
                </w:rPr>
                <w:t>S-12</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gridSpan w:val="6"/>
            <w:shd w:val="clear" w:color="auto" w:fill="CCEEFF"/>
          </w:tcPr>
          <w:p>
            <w:pPr>
              <w:spacing w:after="0"/>
              <w:rPr>
                <w:rFonts w:ascii="Arial" w:cs="Arial" w:eastAsia="Arial" w:hAnsi="Arial"/>
                <w:sz w:val="17"/>
                <w:szCs w:val="17"/>
                <w:color w:val="0000EE"/>
                <w:w w:val="98"/>
              </w:rPr>
            </w:pPr>
            <w:hyperlink w:anchor="page52">
              <w:r>
                <w:rPr>
                  <w:rFonts w:ascii="Arial" w:cs="Arial" w:eastAsia="Arial" w:hAnsi="Arial"/>
                  <w:sz w:val="17"/>
                  <w:szCs w:val="17"/>
                  <w:color w:val="0000EE"/>
                  <w:w w:val="98"/>
                </w:rPr>
                <w:t>PLAN OF DISTRIBUTION</w:t>
              </w:r>
            </w:hyperlink>
          </w:p>
        </w:tc>
        <w:tc>
          <w:tcPr>
            <w:tcW w:w="780" w:type="dxa"/>
            <w:vAlign w:val="bottom"/>
            <w:gridSpan w:val="2"/>
            <w:shd w:val="clear" w:color="auto" w:fill="CCEEFF"/>
          </w:tcPr>
          <w:p>
            <w:pPr>
              <w:spacing w:after="0"/>
              <w:rPr>
                <w:sz w:val="19"/>
                <w:szCs w:val="19"/>
                <w:color w:val="auto"/>
              </w:rPr>
            </w:pPr>
          </w:p>
        </w:tc>
        <w:tc>
          <w:tcPr>
            <w:tcW w:w="2380" w:type="dxa"/>
            <w:vAlign w:val="bottom"/>
            <w:gridSpan w:val="3"/>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rFonts w:ascii="Arial" w:cs="Arial" w:eastAsia="Arial" w:hAnsi="Arial"/>
                <w:sz w:val="17"/>
                <w:szCs w:val="17"/>
                <w:color w:val="0000EE"/>
                <w:w w:val="83"/>
              </w:rPr>
            </w:pPr>
            <w:hyperlink w:anchor="page52">
              <w:r>
                <w:rPr>
                  <w:rFonts w:ascii="Arial" w:cs="Arial" w:eastAsia="Arial" w:hAnsi="Arial"/>
                  <w:sz w:val="17"/>
                  <w:szCs w:val="17"/>
                  <w:color w:val="0000EE"/>
                  <w:w w:val="83"/>
                </w:rPr>
                <w:t>S-16</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400" w:type="dxa"/>
            <w:vAlign w:val="bottom"/>
            <w:gridSpan w:val="5"/>
          </w:tcPr>
          <w:p>
            <w:pPr>
              <w:spacing w:after="0"/>
              <w:rPr>
                <w:rFonts w:ascii="Arial" w:cs="Arial" w:eastAsia="Arial" w:hAnsi="Arial"/>
                <w:sz w:val="17"/>
                <w:szCs w:val="17"/>
                <w:color w:val="0000EE"/>
                <w:w w:val="98"/>
              </w:rPr>
            </w:pPr>
            <w:hyperlink w:anchor="page53">
              <w:r>
                <w:rPr>
                  <w:rFonts w:ascii="Arial" w:cs="Arial" w:eastAsia="Arial" w:hAnsi="Arial"/>
                  <w:sz w:val="17"/>
                  <w:szCs w:val="17"/>
                  <w:color w:val="0000EE"/>
                  <w:w w:val="98"/>
                </w:rPr>
                <w:t>LEGAL MATTERS</w:t>
              </w:r>
            </w:hyperlink>
          </w:p>
        </w:tc>
        <w:tc>
          <w:tcPr>
            <w:tcW w:w="580" w:type="dxa"/>
            <w:vAlign w:val="bottom"/>
            <w:gridSpan w:val="2"/>
          </w:tcPr>
          <w:p>
            <w:pPr>
              <w:spacing w:after="0"/>
              <w:rPr>
                <w:sz w:val="18"/>
                <w:szCs w:val="18"/>
                <w:color w:val="auto"/>
              </w:rPr>
            </w:pPr>
          </w:p>
        </w:tc>
        <w:tc>
          <w:tcPr>
            <w:tcW w:w="3160" w:type="dxa"/>
            <w:vAlign w:val="bottom"/>
            <w:gridSpan w:val="5"/>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gridSpan w:val="3"/>
          </w:tcPr>
          <w:p>
            <w:pPr>
              <w:jc w:val="right"/>
              <w:ind w:right="20"/>
              <w:spacing w:after="0"/>
              <w:rPr>
                <w:rFonts w:ascii="Arial" w:cs="Arial" w:eastAsia="Arial" w:hAnsi="Arial"/>
                <w:sz w:val="17"/>
                <w:szCs w:val="17"/>
                <w:color w:val="0000EE"/>
                <w:w w:val="83"/>
              </w:rPr>
            </w:pPr>
            <w:hyperlink w:anchor="page53">
              <w:r>
                <w:rPr>
                  <w:rFonts w:ascii="Arial" w:cs="Arial" w:eastAsia="Arial" w:hAnsi="Arial"/>
                  <w:sz w:val="17"/>
                  <w:szCs w:val="17"/>
                  <w:color w:val="0000EE"/>
                  <w:w w:val="83"/>
                </w:rPr>
                <w:t>S-17</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shd w:val="clear" w:color="auto" w:fill="CCEEFF"/>
          </w:tcPr>
          <w:p>
            <w:pPr>
              <w:spacing w:after="0"/>
              <w:rPr>
                <w:rFonts w:ascii="Arial" w:cs="Arial" w:eastAsia="Arial" w:hAnsi="Arial"/>
                <w:sz w:val="17"/>
                <w:szCs w:val="17"/>
                <w:color w:val="0000EE"/>
                <w:w w:val="88"/>
              </w:rPr>
            </w:pPr>
            <w:hyperlink w:anchor="page53">
              <w:r>
                <w:rPr>
                  <w:rFonts w:ascii="Arial" w:cs="Arial" w:eastAsia="Arial" w:hAnsi="Arial"/>
                  <w:sz w:val="17"/>
                  <w:szCs w:val="17"/>
                  <w:color w:val="0000EE"/>
                  <w:w w:val="88"/>
                </w:rPr>
                <w:t>EXPERTS</w:t>
              </w:r>
            </w:hyperlink>
          </w:p>
        </w:tc>
        <w:tc>
          <w:tcPr>
            <w:tcW w:w="660" w:type="dxa"/>
            <w:vAlign w:val="bottom"/>
            <w:gridSpan w:val="3"/>
            <w:shd w:val="clear" w:color="auto" w:fill="CCEEFF"/>
          </w:tcPr>
          <w:p>
            <w:pPr>
              <w:spacing w:after="0"/>
              <w:rPr>
                <w:sz w:val="19"/>
                <w:szCs w:val="19"/>
                <w:color w:val="auto"/>
              </w:rPr>
            </w:pPr>
          </w:p>
        </w:tc>
        <w:tc>
          <w:tcPr>
            <w:tcW w:w="3740" w:type="dxa"/>
            <w:vAlign w:val="bottom"/>
            <w:gridSpan w:val="7"/>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rFonts w:ascii="Arial" w:cs="Arial" w:eastAsia="Arial" w:hAnsi="Arial"/>
                <w:sz w:val="17"/>
                <w:szCs w:val="17"/>
                <w:color w:val="0000EE"/>
                <w:w w:val="83"/>
              </w:rPr>
            </w:pPr>
            <w:hyperlink w:anchor="page53">
              <w:r>
                <w:rPr>
                  <w:rFonts w:ascii="Arial" w:cs="Arial" w:eastAsia="Arial" w:hAnsi="Arial"/>
                  <w:sz w:val="17"/>
                  <w:szCs w:val="17"/>
                  <w:color w:val="0000EE"/>
                  <w:w w:val="83"/>
                </w:rPr>
                <w:t>S-17</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gridSpan w:val="10"/>
          </w:tcPr>
          <w:p>
            <w:pPr>
              <w:spacing w:after="0"/>
              <w:rPr>
                <w:rFonts w:ascii="Arial" w:cs="Arial" w:eastAsia="Arial" w:hAnsi="Arial"/>
                <w:sz w:val="17"/>
                <w:szCs w:val="17"/>
                <w:color w:val="0000EE"/>
                <w:w w:val="99"/>
              </w:rPr>
            </w:pPr>
            <w:hyperlink w:anchor="page53">
              <w:r>
                <w:rPr>
                  <w:rFonts w:ascii="Arial" w:cs="Arial" w:eastAsia="Arial" w:hAnsi="Arial"/>
                  <w:sz w:val="17"/>
                  <w:szCs w:val="17"/>
                  <w:color w:val="0000EE"/>
                  <w:w w:val="99"/>
                </w:rPr>
                <w:t>WHERE YOU CAN FIND MORE INFORMATION</w:t>
              </w:r>
            </w:hyperlink>
          </w:p>
        </w:tc>
        <w:tc>
          <w:tcPr>
            <w:tcW w:w="14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gridSpan w:val="3"/>
          </w:tcPr>
          <w:p>
            <w:pPr>
              <w:jc w:val="right"/>
              <w:ind w:right="20"/>
              <w:spacing w:after="0"/>
              <w:rPr>
                <w:rFonts w:ascii="Arial" w:cs="Arial" w:eastAsia="Arial" w:hAnsi="Arial"/>
                <w:sz w:val="17"/>
                <w:szCs w:val="17"/>
                <w:color w:val="0000EE"/>
                <w:w w:val="83"/>
              </w:rPr>
            </w:pPr>
            <w:hyperlink w:anchor="page53">
              <w:r>
                <w:rPr>
                  <w:rFonts w:ascii="Arial" w:cs="Arial" w:eastAsia="Arial" w:hAnsi="Arial"/>
                  <w:sz w:val="17"/>
                  <w:szCs w:val="17"/>
                  <w:color w:val="0000EE"/>
                  <w:w w:val="83"/>
                </w:rPr>
                <w:t>S-17</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11"/>
            <w:shd w:val="clear" w:color="auto" w:fill="CCEEFF"/>
          </w:tcPr>
          <w:p>
            <w:pPr>
              <w:spacing w:after="0"/>
              <w:rPr>
                <w:rFonts w:ascii="Arial" w:cs="Arial" w:eastAsia="Arial" w:hAnsi="Arial"/>
                <w:sz w:val="17"/>
                <w:szCs w:val="17"/>
                <w:color w:val="0000EE"/>
                <w:w w:val="99"/>
              </w:rPr>
            </w:pPr>
            <w:hyperlink w:anchor="page54">
              <w:r>
                <w:rPr>
                  <w:rFonts w:ascii="Arial" w:cs="Arial" w:eastAsia="Arial" w:hAnsi="Arial"/>
                  <w:sz w:val="17"/>
                  <w:szCs w:val="17"/>
                  <w:color w:val="0000EE"/>
                  <w:w w:val="99"/>
                </w:rPr>
                <w:t>INCORPORATION OF CERTAIN INFORMATION BY REFERENCE</w:t>
              </w:r>
            </w:hyperlink>
          </w:p>
        </w:tc>
        <w:tc>
          <w:tcPr>
            <w:tcW w:w="21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rFonts w:ascii="Arial" w:cs="Arial" w:eastAsia="Arial" w:hAnsi="Arial"/>
                <w:sz w:val="17"/>
                <w:szCs w:val="17"/>
                <w:color w:val="0000EE"/>
                <w:w w:val="83"/>
              </w:rPr>
            </w:pPr>
            <w:hyperlink w:anchor="page54">
              <w:r>
                <w:rPr>
                  <w:rFonts w:ascii="Arial" w:cs="Arial" w:eastAsia="Arial" w:hAnsi="Arial"/>
                  <w:sz w:val="17"/>
                  <w:szCs w:val="17"/>
                  <w:color w:val="0000EE"/>
                  <w:w w:val="83"/>
                </w:rPr>
                <w:t>S-18</w:t>
              </w:r>
            </w:hyperlink>
          </w:p>
        </w:tc>
        <w:tc>
          <w:tcPr>
            <w:tcW w:w="0" w:type="dxa"/>
            <w:vAlign w:val="bottom"/>
          </w:tcPr>
          <w:p>
            <w:pPr>
              <w:spacing w:after="0"/>
              <w:rPr>
                <w:sz w:val="1"/>
                <w:szCs w:val="1"/>
                <w:color w:val="auto"/>
              </w:rPr>
            </w:pPr>
          </w:p>
        </w:tc>
      </w:tr>
      <w:tr>
        <w:trPr>
          <w:trHeight w:val="38"/>
        </w:trPr>
        <w:tc>
          <w:tcPr>
            <w:tcW w:w="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5317490</wp:posOffset>
            </wp:positionV>
            <wp:extent cx="63531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6" w:name="page37"/>
    <w:bookmarkEnd w:id="36"/>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ABOUT THIS PROSPECTUS</w:t>
      </w:r>
    </w:p>
    <w:p>
      <w:pPr>
        <w:spacing w:after="0" w:line="135" w:lineRule="exact"/>
        <w:rPr>
          <w:sz w:val="20"/>
          <w:szCs w:val="20"/>
          <w:color w:val="auto"/>
        </w:rPr>
      </w:pPr>
    </w:p>
    <w:p>
      <w:pPr>
        <w:ind w:left="1160" w:right="719" w:firstLine="335"/>
        <w:spacing w:after="0" w:line="267" w:lineRule="auto"/>
        <w:rPr>
          <w:sz w:val="20"/>
          <w:szCs w:val="20"/>
          <w:color w:val="auto"/>
        </w:rPr>
      </w:pPr>
      <w:r>
        <w:rPr>
          <w:rFonts w:ascii="Arial" w:cs="Arial" w:eastAsia="Arial" w:hAnsi="Arial"/>
          <w:sz w:val="16"/>
          <w:szCs w:val="16"/>
          <w:color w:val="auto"/>
        </w:rPr>
        <w:t>This prospectus relates to part of a registration statement on Form S-3 that we have filed with the Securities and Exchange Commission, or SEC, utilizing a “shelf” registration process. Under this shelf registration process, we may sell any combination of the securities described in our base prospectus included in the shelf registration statement in one or more offerings up to a total aggregate offering price of $300,000,000. The $75,000,000 of common stock that may be offered, issued and sold under this prospectus is included in the $300,000,000 of securities that may be offered, issued and sold by us pursuant to our shelf registration statement. In connection with such offers and when accompanied by the base prospectus included in the registration statement of which this prospectus forms a part, this prospectus will be deemed a prospectus supplement to such base prospectus.</w:t>
      </w:r>
    </w:p>
    <w:p>
      <w:pPr>
        <w:spacing w:after="0" w:line="106" w:lineRule="exact"/>
        <w:rPr>
          <w:sz w:val="20"/>
          <w:szCs w:val="20"/>
          <w:color w:val="auto"/>
        </w:rPr>
      </w:pPr>
    </w:p>
    <w:p>
      <w:pPr>
        <w:ind w:left="1160" w:right="739" w:firstLine="335"/>
        <w:spacing w:after="0" w:line="271" w:lineRule="auto"/>
        <w:rPr>
          <w:sz w:val="20"/>
          <w:szCs w:val="20"/>
          <w:color w:val="auto"/>
        </w:rPr>
      </w:pPr>
      <w:r>
        <w:rPr>
          <w:rFonts w:ascii="Arial" w:cs="Arial" w:eastAsia="Arial" w:hAnsi="Arial"/>
          <w:sz w:val="16"/>
          <w:szCs w:val="16"/>
          <w:color w:val="auto"/>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w:t>
      </w:r>
    </w:p>
    <w:p>
      <w:pPr>
        <w:spacing w:after="0" w:line="105" w:lineRule="exact"/>
        <w:rPr>
          <w:sz w:val="20"/>
          <w:szCs w:val="20"/>
          <w:color w:val="auto"/>
        </w:rPr>
      </w:pPr>
    </w:p>
    <w:p>
      <w:pPr>
        <w:ind w:left="1160" w:right="719" w:firstLine="335"/>
        <w:spacing w:after="0" w:line="267" w:lineRule="auto"/>
        <w:rPr>
          <w:sz w:val="20"/>
          <w:szCs w:val="20"/>
          <w:color w:val="auto"/>
        </w:rPr>
      </w:pPr>
      <w:r>
        <w:rPr>
          <w:rFonts w:ascii="Arial" w:cs="Arial" w:eastAsia="Arial" w:hAnsi="Arial"/>
          <w:sz w:val="16"/>
          <w:szCs w:val="16"/>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97" w:lineRule="exact"/>
        <w:rPr>
          <w:sz w:val="20"/>
          <w:szCs w:val="20"/>
          <w:color w:val="auto"/>
        </w:rPr>
      </w:pPr>
    </w:p>
    <w:p>
      <w:pPr>
        <w:ind w:left="1160" w:right="739" w:firstLine="335"/>
        <w:spacing w:after="0" w:line="265"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and in any free writing prospectus that we have authorized for use in connection with this offering. We have not, and the Sales Agents have not, authorized anyone to provide you with different information. If anyone provides you with different or inconsistent information, you should not rely on it. We are not, and the Sales Agents are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spacing w:after="0" w:line="113" w:lineRule="exact"/>
        <w:rPr>
          <w:sz w:val="20"/>
          <w:szCs w:val="20"/>
          <w:color w:val="auto"/>
        </w:rPr>
      </w:pPr>
    </w:p>
    <w:p>
      <w:pPr>
        <w:ind w:left="1160" w:right="719" w:firstLine="335"/>
        <w:spacing w:after="0" w:line="250" w:lineRule="auto"/>
        <w:rPr>
          <w:sz w:val="20"/>
          <w:szCs w:val="20"/>
          <w:color w:val="auto"/>
        </w:rPr>
      </w:pPr>
      <w:r>
        <w:rPr>
          <w:rFonts w:ascii="Arial" w:cs="Arial" w:eastAsia="Arial" w:hAnsi="Arial"/>
          <w:sz w:val="17"/>
          <w:szCs w:val="17"/>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37" w:name="page38"/>
    <w:bookmarkEnd w:id="37"/>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SUMMARY</w:t>
      </w:r>
    </w:p>
    <w:p>
      <w:pPr>
        <w:spacing w:after="0" w:line="148" w:lineRule="exact"/>
        <w:rPr>
          <w:sz w:val="20"/>
          <w:szCs w:val="20"/>
          <w:color w:val="auto"/>
        </w:rPr>
      </w:pPr>
    </w:p>
    <w:p>
      <w:pPr>
        <w:ind w:left="1180" w:right="739" w:firstLine="335"/>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This following summary highlights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under the heading “Risk Factors” in this prospectus on page </w:t>
      </w:r>
      <w:hyperlink w:anchor="page41">
        <w:r>
          <w:rPr>
            <w:rFonts w:ascii="Arial" w:cs="Arial" w:eastAsia="Arial" w:hAnsi="Arial"/>
            <w:sz w:val="17"/>
            <w:szCs w:val="17"/>
            <w:u w:val="single" w:color="auto"/>
            <w:color w:val="0000EE"/>
          </w:rPr>
          <w:t>S-5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in the documents incorporated by reference into this prospectus.</w:t>
      </w:r>
    </w:p>
    <w:p>
      <w:pPr>
        <w:spacing w:after="0" w:line="119" w:lineRule="exact"/>
        <w:rPr>
          <w:sz w:val="20"/>
          <w:szCs w:val="20"/>
          <w:color w:val="auto"/>
        </w:rPr>
      </w:pPr>
    </w:p>
    <w:p>
      <w:pPr>
        <w:ind w:left="1180" w:right="719" w:firstLine="335"/>
        <w:spacing w:after="0" w:line="235" w:lineRule="auto"/>
        <w:rPr>
          <w:sz w:val="20"/>
          <w:szCs w:val="20"/>
          <w:color w:val="auto"/>
        </w:rPr>
      </w:pPr>
      <w:r>
        <w:rPr>
          <w:rFonts w:ascii="Arial" w:cs="Arial" w:eastAsia="Arial" w:hAnsi="Arial"/>
          <w:sz w:val="17"/>
          <w:szCs w:val="17"/>
          <w:color w:val="auto"/>
        </w:rPr>
        <w:t>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Overview</w:t>
      </w:r>
    </w:p>
    <w:p>
      <w:pPr>
        <w:spacing w:after="0" w:line="135" w:lineRule="exact"/>
        <w:rPr>
          <w:sz w:val="20"/>
          <w:szCs w:val="20"/>
          <w:color w:val="auto"/>
        </w:rPr>
      </w:pPr>
    </w:p>
    <w:p>
      <w:pPr>
        <w:ind w:left="1180" w:right="699" w:firstLine="335"/>
        <w:spacing w:after="0" w:line="248" w:lineRule="auto"/>
        <w:rPr>
          <w:sz w:val="20"/>
          <w:szCs w:val="20"/>
          <w:color w:val="auto"/>
        </w:rPr>
      </w:pPr>
      <w:r>
        <w:rPr>
          <w:rFonts w:ascii="Arial" w:cs="Arial" w:eastAsia="Arial" w:hAnsi="Arial"/>
          <w:sz w:val="16"/>
          <w:szCs w:val="16"/>
          <w:color w:val="auto"/>
        </w:rPr>
        <w:t>We are a clinical -stage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14" w:lineRule="exact"/>
        <w:rPr>
          <w:sz w:val="20"/>
          <w:szCs w:val="20"/>
          <w:color w:val="auto"/>
        </w:rPr>
      </w:pPr>
    </w:p>
    <w:p>
      <w:pPr>
        <w:ind w:left="1180" w:right="699" w:firstLine="335"/>
        <w:spacing w:after="0" w:line="248" w:lineRule="auto"/>
        <w:rPr>
          <w:sz w:val="20"/>
          <w:szCs w:val="20"/>
          <w:color w:val="auto"/>
        </w:rPr>
      </w:pPr>
      <w:r>
        <w:rPr>
          <w:rFonts w:ascii="Arial" w:cs="Arial" w:eastAsia="Arial" w:hAnsi="Arial"/>
          <w:sz w:val="16"/>
          <w:szCs w:val="16"/>
          <w:color w:val="auto"/>
        </w:rPr>
        <w:t>We are pursuing post -transplant AML as the lead indication for our first company-sponsored MultiTAA-specific T cell program. In April 2020, the U.S. Food and Drug Administration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 HSCT [median LFS of nine to 15 months and two-year survival probability of 42%]. Additionally, eight patients were treated for active disease that was resistant to salvage therapy post- 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111" w:lineRule="exact"/>
        <w:rPr>
          <w:sz w:val="20"/>
          <w:szCs w:val="20"/>
          <w:color w:val="auto"/>
        </w:rPr>
      </w:pPr>
    </w:p>
    <w:p>
      <w:pPr>
        <w:ind w:left="1180" w:right="899" w:firstLine="335"/>
        <w:spacing w:after="0" w:line="284" w:lineRule="auto"/>
        <w:rPr>
          <w:sz w:val="20"/>
          <w:szCs w:val="20"/>
          <w:color w:val="auto"/>
        </w:rPr>
      </w:pPr>
      <w:r>
        <w:rPr>
          <w:rFonts w:ascii="Arial" w:cs="Arial" w:eastAsia="Arial" w:hAnsi="Arial"/>
          <w:sz w:val="16"/>
          <w:szCs w:val="16"/>
          <w:color w:val="auto"/>
        </w:rPr>
        <w:t>We submitted an investigational new drug, or IND, application to the United States Food and Drug Administration, or the FDA, to initiate a Phase 2 clinical trial of MultiTAA-specific T cell therapy, which</w:t>
      </w:r>
    </w:p>
    <w:p>
      <w:pPr>
        <w:spacing w:after="0" w:line="200" w:lineRule="exact"/>
        <w:rPr>
          <w:sz w:val="20"/>
          <w:szCs w:val="20"/>
          <w:color w:val="auto"/>
        </w:rPr>
      </w:pPr>
    </w:p>
    <w:p>
      <w:pPr>
        <w:spacing w:after="0" w:line="38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8" w:name="page39"/>
    <w:bookmarkEnd w:id="38"/>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33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127625" cy="743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679"/>
        <w:spacing w:after="0" w:line="250" w:lineRule="auto"/>
        <w:rPr>
          <w:sz w:val="20"/>
          <w:szCs w:val="20"/>
          <w:color w:val="auto"/>
        </w:rPr>
      </w:pPr>
      <w:r>
        <w:rPr>
          <w:rFonts w:ascii="Arial" w:cs="Arial" w:eastAsia="Arial" w:hAnsi="Arial"/>
          <w:sz w:val="16"/>
          <w:szCs w:val="16"/>
          <w:color w:val="auto"/>
        </w:rPr>
        <w:t>we refer to as MT-401 (zedenoleucel), in post -allogeneic HSCT patients with AML in both the adjuvant and active disease setting. The dose administered in this multicenter trial is currently 100 million cells every two weeks for three doses. In the adjuvant setting, patients will be randomized to either MultiTAA-specific T cell therapy at approximately 90 days post-transplant versus standard of care observation, while the active disease patients will receive MT-401 following relapse post- transplant as part of a single-arm group. We have completed the safety lead-in portion of the trial in June 2021. We initiated the remainder of the Phase 2 trial in July 2021 and plan to complete enrollment of approximately 20 patients and activate additional clinical sites across the United States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94" w:lineRule="exact"/>
        <w:rPr>
          <w:sz w:val="20"/>
          <w:szCs w:val="20"/>
          <w:color w:val="auto"/>
        </w:rPr>
      </w:pPr>
    </w:p>
    <w:p>
      <w:pPr>
        <w:ind w:left="1180" w:right="679" w:firstLine="335"/>
        <w:spacing w:after="0" w:line="253" w:lineRule="auto"/>
        <w:rPr>
          <w:sz w:val="20"/>
          <w:szCs w:val="20"/>
          <w:color w:val="auto"/>
        </w:rPr>
      </w:pPr>
      <w:r>
        <w:rPr>
          <w:rFonts w:ascii="Arial" w:cs="Arial" w:eastAsia="Arial" w:hAnsi="Arial"/>
          <w:sz w:val="16"/>
          <w:szCs w:val="16"/>
          <w:color w:val="auto"/>
        </w:rPr>
        <w:t>We reported interim data for an ongoing Phase 1/2 clinical trial of the MultiTAA-specific T cell therapy for the treatment of pancreatic adenocarcinoma being conducted by BCM. In this trial, we have observed a clinical benefit correlated with the post- 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05" w:lineRule="exact"/>
        <w:rPr>
          <w:sz w:val="20"/>
          <w:szCs w:val="20"/>
          <w:color w:val="auto"/>
        </w:rPr>
      </w:pPr>
    </w:p>
    <w:p>
      <w:pPr>
        <w:ind w:left="1180" w:right="739" w:firstLine="335"/>
        <w:spacing w:after="0" w:line="234"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June 2021, the MultiTAA- specific T cell therapies have been generally well tolerated by all of the patients enrolled in clinical trials in hematological and solid tumor indications with no incidents of cytokine release syndrome or neurotoxicity, which are frequently associated with CAR -T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clinical trials investigating other indications in addition to our planned Phase 2 trial in post-transplant AML patients.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Pipeline</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Our clinical-stage pipeline, including clinical trials being conducted by BCM,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Corporate Information</w:t>
      </w:r>
    </w:p>
    <w:p>
      <w:pPr>
        <w:spacing w:after="0" w:line="148" w:lineRule="exact"/>
        <w:rPr>
          <w:sz w:val="20"/>
          <w:szCs w:val="20"/>
          <w:color w:val="auto"/>
        </w:rPr>
      </w:pPr>
    </w:p>
    <w:p>
      <w:pPr>
        <w:ind w:left="1180" w:right="719" w:firstLine="335"/>
        <w:spacing w:after="0" w:line="234" w:lineRule="auto"/>
        <w:rPr>
          <w:sz w:val="20"/>
          <w:szCs w:val="20"/>
          <w:color w:val="auto"/>
        </w:rPr>
      </w:pPr>
      <w:r>
        <w:rPr>
          <w:rFonts w:ascii="Arial" w:cs="Arial" w:eastAsia="Arial" w:hAnsi="Arial"/>
          <w:sz w:val="17"/>
          <w:szCs w:val="17"/>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w:t>
      </w:r>
    </w:p>
    <w:p>
      <w:pPr>
        <w:spacing w:after="0" w:line="36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1" w:right="1440" w:bottom="1440" w:gutter="0" w:footer="0" w:header="0"/>
        </w:sectPr>
      </w:pPr>
    </w:p>
    <w:bookmarkStart w:id="39" w:name="page40"/>
    <w:bookmarkEnd w:id="39"/>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right="739"/>
        <w:spacing w:after="0" w:line="269" w:lineRule="auto"/>
        <w:rPr>
          <w:sz w:val="20"/>
          <w:szCs w:val="20"/>
          <w:color w:val="auto"/>
        </w:rPr>
      </w:pPr>
      <w:r>
        <w:rPr>
          <w:rFonts w:ascii="Arial" w:cs="Arial" w:eastAsia="Arial" w:hAnsi="Arial"/>
          <w:sz w:val="16"/>
          <w:szCs w:val="16"/>
          <w:color w:val="auto"/>
        </w:rPr>
        <w:t xml:space="preserve">Inc.” to “Marker Therapeutics, Inc.” and Private Marker changed its name to “Marker Cell Therapy, Inc.” and became our wholly owned subsidiary. Our principal executive offices are located at 3200 Southwest Freeway, Suite 2500,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Implications of Being a Smaller Reporting Company</w:t>
      </w:r>
    </w:p>
    <w:p>
      <w:pPr>
        <w:spacing w:after="0" w:line="135" w:lineRule="exact"/>
        <w:rPr>
          <w:sz w:val="20"/>
          <w:szCs w:val="20"/>
          <w:color w:val="auto"/>
        </w:rPr>
      </w:pPr>
    </w:p>
    <w:p>
      <w:pPr>
        <w:ind w:left="1180" w:right="699" w:firstLine="335"/>
        <w:spacing w:after="0" w:line="269" w:lineRule="auto"/>
        <w:rPr>
          <w:sz w:val="20"/>
          <w:szCs w:val="20"/>
          <w:color w:val="auto"/>
        </w:rPr>
      </w:pPr>
      <w:r>
        <w:rPr>
          <w:rFonts w:ascii="Arial" w:cs="Arial" w:eastAsia="Arial" w:hAnsi="Arial"/>
          <w:sz w:val="16"/>
          <w:szCs w:val="16"/>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0" w:lineRule="exact"/>
        <w:rPr>
          <w:sz w:val="20"/>
          <w:szCs w:val="20"/>
          <w:color w:val="auto"/>
        </w:rPr>
      </w:pPr>
    </w:p>
    <w:p>
      <w:pPr>
        <w:jc w:val="both"/>
        <w:ind w:left="1680" w:right="679" w:hanging="164"/>
        <w:spacing w:after="0" w:line="257" w:lineRule="auto"/>
        <w:tabs>
          <w:tab w:leader="none" w:pos="1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Arial" w:cs="Arial" w:eastAsia="Arial" w:hAnsi="Arial"/>
          <w:sz w:val="17"/>
          <w:szCs w:val="17"/>
          <w:color w:val="auto"/>
        </w:rPr>
      </w:pPr>
    </w:p>
    <w:p>
      <w:pPr>
        <w:ind w:left="1680" w:right="1159" w:hanging="164"/>
        <w:spacing w:after="0" w:line="268" w:lineRule="auto"/>
        <w:tabs>
          <w:tab w:leader="none" w:pos="1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 and</w:t>
      </w:r>
    </w:p>
    <w:p>
      <w:pPr>
        <w:spacing w:after="0" w:line="66" w:lineRule="exact"/>
        <w:rPr>
          <w:rFonts w:ascii="Arial" w:cs="Arial" w:eastAsia="Arial" w:hAnsi="Arial"/>
          <w:sz w:val="17"/>
          <w:szCs w:val="17"/>
          <w:color w:val="auto"/>
        </w:rPr>
      </w:pPr>
    </w:p>
    <w:p>
      <w:pPr>
        <w:ind w:left="1680" w:right="1119" w:hanging="164"/>
        <w:spacing w:after="0" w:line="268" w:lineRule="auto"/>
        <w:tabs>
          <w:tab w:leader="none" w:pos="1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0" w:name="page41"/>
    <w:bookmarkEnd w:id="40"/>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282575</wp:posOffset>
            </wp:positionV>
            <wp:extent cx="5127625" cy="7409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Common stock offered by us</w:t>
      </w:r>
    </w:p>
    <w:p>
      <w:pPr>
        <w:spacing w:after="0" w:line="342" w:lineRule="exact"/>
        <w:rPr>
          <w:sz w:val="20"/>
          <w:szCs w:val="20"/>
          <w:color w:val="auto"/>
        </w:rPr>
      </w:pPr>
    </w:p>
    <w:p>
      <w:pPr>
        <w:ind w:left="1340" w:hanging="167"/>
        <w:spacing w:after="0" w:line="273" w:lineRule="auto"/>
        <w:rPr>
          <w:sz w:val="20"/>
          <w:szCs w:val="20"/>
          <w:color w:val="auto"/>
        </w:rPr>
      </w:pPr>
      <w:r>
        <w:rPr>
          <w:rFonts w:ascii="Arial" w:cs="Arial" w:eastAsia="Arial" w:hAnsi="Arial"/>
          <w:sz w:val="17"/>
          <w:szCs w:val="17"/>
          <w:b w:val="1"/>
          <w:bCs w:val="1"/>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Manner of offering</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OFFERING</w:t>
      </w:r>
    </w:p>
    <w:p>
      <w:pPr>
        <w:spacing w:after="0" w:line="110" w:lineRule="exact"/>
        <w:rPr>
          <w:sz w:val="20"/>
          <w:szCs w:val="20"/>
          <w:color w:val="auto"/>
        </w:rPr>
      </w:pPr>
    </w:p>
    <w:p>
      <w:pPr>
        <w:ind w:left="20" w:right="1039"/>
        <w:spacing w:after="0" w:line="268" w:lineRule="auto"/>
        <w:rPr>
          <w:sz w:val="20"/>
          <w:szCs w:val="20"/>
          <w:color w:val="auto"/>
        </w:rPr>
      </w:pPr>
      <w:r>
        <w:rPr>
          <w:rFonts w:ascii="Arial" w:cs="Arial" w:eastAsia="Arial" w:hAnsi="Arial"/>
          <w:sz w:val="17"/>
          <w:szCs w:val="17"/>
          <w:color w:val="auto"/>
        </w:rPr>
        <w:t>Shares of our common stock having an aggregate offering price of up to $75,000,000.</w:t>
      </w:r>
    </w:p>
    <w:p>
      <w:pPr>
        <w:spacing w:after="0" w:line="267" w:lineRule="exact"/>
        <w:rPr>
          <w:sz w:val="20"/>
          <w:szCs w:val="20"/>
          <w:color w:val="auto"/>
        </w:rPr>
      </w:pPr>
    </w:p>
    <w:p>
      <w:pPr>
        <w:ind w:left="20" w:right="739"/>
        <w:spacing w:after="0" w:line="251" w:lineRule="auto"/>
        <w:rPr>
          <w:sz w:val="20"/>
          <w:szCs w:val="20"/>
          <w:color w:val="auto"/>
        </w:rPr>
      </w:pPr>
      <w:r>
        <w:rPr>
          <w:rFonts w:ascii="Arial" w:cs="Arial" w:eastAsia="Arial" w:hAnsi="Arial"/>
          <w:sz w:val="17"/>
          <w:szCs w:val="17"/>
          <w:color w:val="auto"/>
        </w:rPr>
        <w:t>Up to 119,310,559 shares, assuming sales of 36,231,884 shares of our common stock in this offering at an offering price of $2.07 per share, the last reported sale price of our common stock on The Nasdaq Global Market on August 6, 2021. The actual number of shares issued will vary depending on the sales price under this offering.</w:t>
      </w:r>
    </w:p>
    <w:p>
      <w:pPr>
        <w:spacing w:after="0" w:line="80" w:lineRule="exact"/>
        <w:rPr>
          <w:sz w:val="20"/>
          <w:szCs w:val="20"/>
          <w:color w:val="auto"/>
        </w:rPr>
      </w:pPr>
    </w:p>
    <w:p>
      <w:pPr>
        <w:ind w:left="20" w:right="819"/>
        <w:spacing w:after="0" w:line="257" w:lineRule="auto"/>
        <w:rPr>
          <w:rFonts w:ascii="Arial" w:cs="Arial" w:eastAsia="Arial" w:hAnsi="Arial"/>
          <w:sz w:val="17"/>
          <w:szCs w:val="17"/>
          <w:color w:val="auto"/>
        </w:rPr>
      </w:pPr>
      <w:r>
        <w:rPr>
          <w:rFonts w:ascii="Arial" w:cs="Arial" w:eastAsia="Arial" w:hAnsi="Arial"/>
          <w:sz w:val="17"/>
          <w:szCs w:val="17"/>
          <w:color w:val="auto"/>
        </w:rPr>
        <w:t>“At the market offering” that may be made from time to time through our Sales Agents. See “Plan of Distribution” on page S-</w:t>
      </w:r>
      <w:hyperlink w:anchor="page52">
        <w:r>
          <w:rPr>
            <w:rFonts w:ascii="Arial" w:cs="Arial" w:eastAsia="Arial" w:hAnsi="Arial"/>
            <w:sz w:val="17"/>
            <w:szCs w:val="17"/>
            <w:u w:val="single" w:color="auto"/>
            <w:color w:val="0000EE"/>
          </w:rPr>
          <w:t>16.</w:t>
        </w:r>
      </w:hyperlink>
    </w:p>
    <w:p>
      <w:pPr>
        <w:spacing w:after="0" w:line="76" w:lineRule="exact"/>
        <w:rPr>
          <w:sz w:val="20"/>
          <w:szCs w:val="20"/>
          <w:color w:val="auto"/>
        </w:rPr>
      </w:pPr>
    </w:p>
    <w:p>
      <w:pPr>
        <w:ind w:left="20" w:right="679"/>
        <w:spacing w:after="0" w:line="286" w:lineRule="auto"/>
        <w:rPr>
          <w:sz w:val="20"/>
          <w:szCs w:val="20"/>
          <w:color w:val="auto"/>
        </w:rPr>
      </w:pPr>
      <w:r>
        <w:rPr>
          <w:rFonts w:ascii="Arial" w:cs="Arial" w:eastAsia="Arial" w:hAnsi="Arial"/>
          <w:sz w:val="15"/>
          <w:szCs w:val="15"/>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See “Use of Proceeds.”</w:t>
      </w:r>
    </w:p>
    <w:p>
      <w:pPr>
        <w:spacing w:after="0" w:line="60" w:lineRule="exact"/>
        <w:rPr>
          <w:sz w:val="20"/>
          <w:szCs w:val="20"/>
          <w:color w:val="auto"/>
        </w:rPr>
      </w:pPr>
    </w:p>
    <w:p>
      <w:pPr>
        <w:ind w:left="20" w:right="799"/>
        <w:spacing w:after="0" w:line="275" w:lineRule="auto"/>
        <w:rPr>
          <w:sz w:val="20"/>
          <w:szCs w:val="20"/>
          <w:color w:val="auto"/>
        </w:rPr>
      </w:pPr>
      <w:r>
        <w:rPr>
          <w:rFonts w:ascii="Arial" w:cs="Arial" w:eastAsia="Arial" w:hAnsi="Arial"/>
          <w:sz w:val="16"/>
          <w:szCs w:val="16"/>
          <w:color w:val="auto"/>
        </w:rPr>
        <w:t>You should read the “Risk Factors” section of this prospectus and in the documents incorporated by reference herein for a discussion of factors to consider carefully before deciding to invest in shares of our common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“MRKR”</w:t>
      </w:r>
    </w:p>
    <w:p>
      <w:pPr>
        <w:spacing w:after="0" w:line="144" w:lineRule="exact"/>
        <w:rPr>
          <w:sz w:val="20"/>
          <w:szCs w:val="20"/>
          <w:color w:val="auto"/>
        </w:rPr>
      </w:pPr>
    </w:p>
    <w:p>
      <w:pPr>
        <w:sectPr>
          <w:pgSz w:w="11900" w:h="16838" w:orient="portrait"/>
          <w:cols w:equalWidth="0" w:num="2">
            <w:col w:w="3800" w:space="580"/>
            <w:col w:w="5119"/>
          </w:cols>
          <w:pgMar w:left="960" w:top="132" w:right="1440" w:bottom="1440" w:gutter="0" w:footer="0" w:header="0"/>
          <w:type w:val="continuous"/>
        </w:sectPr>
      </w:pPr>
    </w:p>
    <w:p>
      <w:pPr>
        <w:ind w:left="1180" w:right="1119" w:firstLine="335"/>
        <w:spacing w:after="0" w:line="300" w:lineRule="auto"/>
        <w:rPr>
          <w:sz w:val="20"/>
          <w:szCs w:val="20"/>
          <w:color w:val="auto"/>
        </w:rPr>
      </w:pPr>
      <w:r>
        <w:rPr>
          <w:rFonts w:ascii="Arial" w:cs="Arial" w:eastAsia="Arial" w:hAnsi="Arial"/>
          <w:sz w:val="16"/>
          <w:szCs w:val="16"/>
          <w:color w:val="auto"/>
        </w:rPr>
        <w:t>The number of shares of our common stock that will be outstanding after this offering is based on 83,078,675 shares of our common stock outstanding as of June 30, 2021, and excludes:</w:t>
      </w:r>
    </w:p>
    <w:p>
      <w:pPr>
        <w:spacing w:after="0" w:line="43" w:lineRule="exact"/>
        <w:rPr>
          <w:sz w:val="20"/>
          <w:szCs w:val="20"/>
          <w:color w:val="auto"/>
        </w:rPr>
      </w:pPr>
    </w:p>
    <w:p>
      <w:pPr>
        <w:ind w:left="1680" w:right="799" w:hanging="164"/>
        <w:spacing w:after="0" w:line="268" w:lineRule="auto"/>
        <w:tabs>
          <w:tab w:leader="none" w:pos="1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7,460,777 shares of our common stock issuable upon the exercise of stock options outstanding as of June 30, 2021, at a weighted-average exercise price of $5.59 per share;</w:t>
      </w:r>
    </w:p>
    <w:p>
      <w:pPr>
        <w:spacing w:after="0" w:line="66" w:lineRule="exact"/>
        <w:rPr>
          <w:rFonts w:ascii="Arial" w:cs="Arial" w:eastAsia="Arial" w:hAnsi="Arial"/>
          <w:sz w:val="17"/>
          <w:szCs w:val="17"/>
          <w:color w:val="auto"/>
        </w:rPr>
      </w:pPr>
    </w:p>
    <w:p>
      <w:pPr>
        <w:ind w:left="1680" w:right="1039" w:hanging="164"/>
        <w:spacing w:after="0" w:line="300"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20,830,000 shares of our common stock issuable upon the exercise of warrants outstanding as of June 30, 2021, at a weighted-average exercise price of $4.47 per share; and</w:t>
      </w:r>
    </w:p>
    <w:p>
      <w:pPr>
        <w:spacing w:after="0" w:line="42" w:lineRule="exact"/>
        <w:rPr>
          <w:rFonts w:ascii="Arial" w:cs="Arial" w:eastAsia="Arial" w:hAnsi="Arial"/>
          <w:sz w:val="16"/>
          <w:szCs w:val="16"/>
          <w:color w:val="auto"/>
        </w:rPr>
      </w:pPr>
    </w:p>
    <w:p>
      <w:pPr>
        <w:ind w:left="1680" w:right="779" w:hanging="164"/>
        <w:spacing w:after="0" w:line="268" w:lineRule="auto"/>
        <w:tabs>
          <w:tab w:leader="none" w:pos="1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3,162,164 shares of our common stock reserved for future issuance under our 2020 Equity Incentive Plan.</w:t>
      </w:r>
    </w:p>
    <w:p>
      <w:pPr>
        <w:spacing w:after="0" w:line="104" w:lineRule="exact"/>
        <w:rPr>
          <w:sz w:val="20"/>
          <w:szCs w:val="20"/>
          <w:color w:val="auto"/>
        </w:rPr>
      </w:pPr>
    </w:p>
    <w:p>
      <w:pPr>
        <w:jc w:val="both"/>
        <w:ind w:left="1180" w:right="799" w:firstLine="335"/>
        <w:spacing w:after="0" w:line="281" w:lineRule="auto"/>
        <w:rPr>
          <w:sz w:val="20"/>
          <w:szCs w:val="20"/>
          <w:color w:val="auto"/>
        </w:rPr>
      </w:pPr>
      <w:r>
        <w:rPr>
          <w:rFonts w:ascii="Arial" w:cs="Arial" w:eastAsia="Arial" w:hAnsi="Arial"/>
          <w:sz w:val="16"/>
          <w:szCs w:val="16"/>
          <w:color w:val="auto"/>
        </w:rPr>
        <w:t>Unless otherwise indicated, all information in this prospectus assumes no exercise of the outstanding options and warrants described above, and reflects an assumed public offering price of $2.07 per share, the last reported sale price of our common stock on The Nasdaq Global Market on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type w:val="continuous"/>
        </w:sectPr>
      </w:pPr>
    </w:p>
    <w:bookmarkStart w:id="41" w:name="page42"/>
    <w:bookmarkEnd w:id="41"/>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RISK FACTORS</w:t>
      </w:r>
    </w:p>
    <w:p>
      <w:pPr>
        <w:spacing w:after="0" w:line="135" w:lineRule="exact"/>
        <w:rPr>
          <w:sz w:val="20"/>
          <w:szCs w:val="20"/>
          <w:color w:val="auto"/>
        </w:rPr>
      </w:pPr>
    </w:p>
    <w:p>
      <w:pPr>
        <w:ind w:left="1160" w:right="759" w:firstLine="335"/>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and in our filings with the SEC that we have incorporated by reference into this prospectus. See the sections of this prospectus entitled “Where You Can Find More Information” and “Incorporation of Certain Information by Reference.”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Additional Risks Related to This Offering</w:t>
      </w:r>
    </w:p>
    <w:p>
      <w:pPr>
        <w:spacing w:after="0" w:line="211" w:lineRule="exact"/>
        <w:rPr>
          <w:sz w:val="20"/>
          <w:szCs w:val="20"/>
          <w:color w:val="auto"/>
        </w:rPr>
      </w:pPr>
    </w:p>
    <w:p>
      <w:pPr>
        <w:ind w:left="1160" w:right="979"/>
        <w:spacing w:after="0" w:line="300" w:lineRule="auto"/>
        <w:rPr>
          <w:sz w:val="20"/>
          <w:szCs w:val="20"/>
          <w:color w:val="auto"/>
        </w:rPr>
      </w:pPr>
      <w:r>
        <w:rPr>
          <w:rFonts w:ascii="Arial" w:cs="Arial" w:eastAsia="Arial" w:hAnsi="Arial"/>
          <w:sz w:val="16"/>
          <w:szCs w:val="16"/>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80" w:lineRule="exact"/>
        <w:rPr>
          <w:sz w:val="20"/>
          <w:szCs w:val="20"/>
          <w:color w:val="auto"/>
        </w:rPr>
      </w:pPr>
    </w:p>
    <w:p>
      <w:pPr>
        <w:ind w:left="1160" w:right="799" w:firstLine="335"/>
        <w:spacing w:after="0" w:line="289" w:lineRule="auto"/>
        <w:rPr>
          <w:sz w:val="20"/>
          <w:szCs w:val="20"/>
          <w:color w:val="auto"/>
        </w:rPr>
      </w:pPr>
      <w:r>
        <w:rPr>
          <w:rFonts w:ascii="Arial" w:cs="Arial" w:eastAsia="Arial" w:hAnsi="Arial"/>
          <w:sz w:val="15"/>
          <w:szCs w:val="15"/>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“Use of Proceeds.”</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If you purchase shares of our common stock in this offering, you may suffer immediate dilution of your investment.</w:t>
      </w:r>
    </w:p>
    <w:p>
      <w:pPr>
        <w:spacing w:after="0" w:line="190" w:lineRule="exact"/>
        <w:rPr>
          <w:sz w:val="20"/>
          <w:szCs w:val="20"/>
          <w:color w:val="auto"/>
        </w:rPr>
      </w:pPr>
    </w:p>
    <w:p>
      <w:pPr>
        <w:ind w:left="1160" w:right="699" w:firstLine="335"/>
        <w:spacing w:after="0" w:line="265" w:lineRule="auto"/>
        <w:rPr>
          <w:sz w:val="20"/>
          <w:szCs w:val="20"/>
          <w:color w:val="auto"/>
        </w:rPr>
      </w:pPr>
      <w:r>
        <w:rPr>
          <w:rFonts w:ascii="Arial" w:cs="Arial" w:eastAsia="Arial" w:hAnsi="Arial"/>
          <w:sz w:val="16"/>
          <w:szCs w:val="16"/>
          <w:color w:val="auto"/>
        </w:rPr>
        <w:t>The offering price per share in this offering may exceed the net tangible book value per share of our common stock outstanding prior to this offering. Assuming that an aggregate of 36,231,884 shares of our common stock are sold at a price of $2.07 per share, the last reported sale price of our common stock on The Nasdaq Global Market on August 6, 2021, for aggregate gross proceeds of $75.0 million, and after deducting commissions and estimated aggregate offering expenses payable by us, you would experience immediate dilution of $0.93 per share, representing the difference between our as adjusted net tangible book value per share as of June 30, 2021 after giving effect to this offering and the assumed offering price.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Investors in this offering may experience future dilution.</w:t>
      </w:r>
    </w:p>
    <w:p>
      <w:pPr>
        <w:spacing w:after="0" w:line="131" w:lineRule="exact"/>
        <w:rPr>
          <w:sz w:val="20"/>
          <w:szCs w:val="20"/>
          <w:color w:val="auto"/>
        </w:rPr>
      </w:pPr>
    </w:p>
    <w:p>
      <w:pPr>
        <w:ind w:left="1160" w:right="739" w:firstLine="335"/>
        <w:spacing w:after="0" w:line="289" w:lineRule="auto"/>
        <w:rPr>
          <w:sz w:val="20"/>
          <w:szCs w:val="20"/>
          <w:color w:val="auto"/>
        </w:rPr>
      </w:pPr>
      <w:r>
        <w:rPr>
          <w:rFonts w:ascii="Arial" w:cs="Arial" w:eastAsia="Arial" w:hAnsi="Arial"/>
          <w:sz w:val="15"/>
          <w:szCs w:val="15"/>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 shares of our common stock or related securities in future transactions is less than the price per share in this offering, investors who purchase our common stock in this offering will suffer dilution in their investment.</w:t>
      </w:r>
    </w:p>
    <w:p>
      <w:pPr>
        <w:spacing w:after="0" w:line="92" w:lineRule="exact"/>
        <w:rPr>
          <w:sz w:val="20"/>
          <w:szCs w:val="20"/>
          <w:color w:val="auto"/>
        </w:rPr>
      </w:pPr>
    </w:p>
    <w:p>
      <w:pPr>
        <w:ind w:left="1160" w:right="799" w:firstLine="335"/>
        <w:spacing w:after="0" w:line="251" w:lineRule="auto"/>
        <w:rPr>
          <w:sz w:val="20"/>
          <w:szCs w:val="20"/>
          <w:color w:val="auto"/>
        </w:rPr>
      </w:pPr>
      <w:r>
        <w:rPr>
          <w:rFonts w:ascii="Arial" w:cs="Arial" w:eastAsia="Arial" w:hAnsi="Arial"/>
          <w:sz w:val="17"/>
          <w:szCs w:val="17"/>
          <w:color w:val="auto"/>
        </w:rPr>
        <w:t>In addition, we have a significant number of stock options and warrants exercisable for shares of our common stock outstanding. To the extent that outstanding stock options or warrants have been or may be exercised, investors purchasing our common stock in this offering may experience further dilution in the future. Furthermore, a significant portion of our total outstanding shares are eligible to be sold into the market, which could cause the market price of our common stock to drop significantly, even if our business is doing well.</w:t>
      </w:r>
    </w:p>
    <w:p>
      <w:pPr>
        <w:spacing w:after="0" w:line="34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2" w:name="page43"/>
    <w:bookmarkEnd w:id="42"/>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1259"/>
        <w:spacing w:after="0" w:line="423" w:lineRule="auto"/>
        <w:rPr>
          <w:sz w:val="20"/>
          <w:szCs w:val="20"/>
          <w:color w:val="auto"/>
        </w:rPr>
      </w:pPr>
      <w:r>
        <w:rPr>
          <w:rFonts w:ascii="Arial" w:cs="Arial" w:eastAsia="Arial" w:hAnsi="Arial"/>
          <w:sz w:val="13"/>
          <w:szCs w:val="13"/>
          <w:b w:val="1"/>
          <w:bCs w:val="1"/>
          <w:i w:val="1"/>
          <w:iCs w:val="1"/>
          <w:color w:val="auto"/>
        </w:rPr>
        <w:t>After this offering, our executive officers and directors and their affiliates, if they choose to act together, will continue to have the ability to significantly influence all matters submitted to stockholders for approval.</w:t>
      </w:r>
    </w:p>
    <w:p>
      <w:pPr>
        <w:spacing w:after="0" w:line="1" w:lineRule="exact"/>
        <w:rPr>
          <w:sz w:val="20"/>
          <w:szCs w:val="20"/>
          <w:color w:val="auto"/>
        </w:rPr>
      </w:pPr>
    </w:p>
    <w:p>
      <w:pPr>
        <w:ind w:left="1160" w:right="759" w:firstLine="335"/>
        <w:spacing w:after="0" w:line="249" w:lineRule="auto"/>
        <w:rPr>
          <w:sz w:val="20"/>
          <w:szCs w:val="20"/>
          <w:color w:val="auto"/>
        </w:rPr>
      </w:pPr>
      <w:r>
        <w:rPr>
          <w:rFonts w:ascii="Arial" w:cs="Arial" w:eastAsia="Arial" w:hAnsi="Arial"/>
          <w:sz w:val="17"/>
          <w:szCs w:val="17"/>
          <w:color w:val="auto"/>
        </w:rPr>
        <w:t>Upon the completion of this offering, our executive officers, directors and stockholders who owned more than 5% of our outstanding common stock before this offering will beneficially own a significant percentage of our outstanding common stock. As a result, following this offering,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 delay, defer or prevent a change in control of our company, entrench our management and board of directors, or impede a merger, consolidation, takeover or other business combination involving us that other stockholders may desire.</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 following this offering.</w:t>
      </w:r>
    </w:p>
    <w:p>
      <w:pPr>
        <w:spacing w:after="0" w:line="144" w:lineRule="exact"/>
        <w:rPr>
          <w:sz w:val="20"/>
          <w:szCs w:val="20"/>
          <w:color w:val="auto"/>
        </w:rPr>
      </w:pPr>
    </w:p>
    <w:p>
      <w:pPr>
        <w:ind w:left="1160" w:right="719" w:firstLine="335"/>
        <w:spacing w:after="0" w:line="269" w:lineRule="auto"/>
        <w:rPr>
          <w:sz w:val="20"/>
          <w:szCs w:val="20"/>
          <w:color w:val="auto"/>
        </w:rPr>
      </w:pPr>
      <w:r>
        <w:rPr>
          <w:rFonts w:ascii="Arial" w:cs="Arial" w:eastAsia="Arial" w:hAnsi="Arial"/>
          <w:sz w:val="16"/>
          <w:szCs w:val="16"/>
          <w:color w:val="auto"/>
        </w:rPr>
        <w:t>Although our common stock is listed on The Nasdaq Global Market,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0" w:lineRule="exact"/>
        <w:rPr>
          <w:sz w:val="20"/>
          <w:szCs w:val="20"/>
          <w:color w:val="auto"/>
        </w:rPr>
      </w:pPr>
    </w:p>
    <w:p>
      <w:pPr>
        <w:ind w:left="1160" w:right="1279"/>
        <w:spacing w:after="0" w:line="268"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spacing w:after="0" w:line="104" w:lineRule="exact"/>
        <w:rPr>
          <w:sz w:val="20"/>
          <w:szCs w:val="20"/>
          <w:color w:val="auto"/>
        </w:rPr>
      </w:pPr>
    </w:p>
    <w:p>
      <w:pPr>
        <w:ind w:left="1160" w:right="719" w:firstLine="335"/>
        <w:spacing w:after="0" w:line="252"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3" w:name="page44"/>
    <w:bookmarkEnd w:id="43"/>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35" w:lineRule="exact"/>
        <w:rPr>
          <w:sz w:val="20"/>
          <w:szCs w:val="20"/>
          <w:color w:val="auto"/>
        </w:rPr>
      </w:pPr>
    </w:p>
    <w:p>
      <w:pPr>
        <w:ind w:left="1160" w:right="699" w:firstLine="335"/>
        <w:spacing w:after="0" w:line="251"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18" w:lineRule="exact"/>
        <w:rPr>
          <w:sz w:val="20"/>
          <w:szCs w:val="20"/>
          <w:color w:val="auto"/>
        </w:rPr>
      </w:pPr>
    </w:p>
    <w:p>
      <w:pPr>
        <w:ind w:left="1160" w:right="819" w:firstLine="335"/>
        <w:spacing w:after="0" w:line="254"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7" w:lineRule="exact"/>
        <w:rPr>
          <w:sz w:val="20"/>
          <w:szCs w:val="20"/>
          <w:color w:val="auto"/>
        </w:rPr>
      </w:pPr>
    </w:p>
    <w:p>
      <w:pPr>
        <w:ind w:left="1660" w:right="699" w:hanging="161"/>
        <w:spacing w:after="0" w:line="254"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7" w:lineRule="exact"/>
        <w:rPr>
          <w:rFonts w:ascii="Arial" w:cs="Arial" w:eastAsia="Arial" w:hAnsi="Arial"/>
          <w:sz w:val="17"/>
          <w:szCs w:val="17"/>
          <w:color w:val="auto"/>
        </w:rPr>
      </w:pPr>
    </w:p>
    <w:p>
      <w:pPr>
        <w:ind w:left="1660" w:right="79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any submission of filings for regulatory approval of product candidates and our ability to obtain and maintain regulatory approvals for product candidates for any indication;</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 candidates;</w:t>
      </w:r>
    </w:p>
    <w:p>
      <w:pPr>
        <w:spacing w:after="0" w:line="106" w:lineRule="exact"/>
        <w:rPr>
          <w:rFonts w:ascii="Arial" w:cs="Arial" w:eastAsia="Arial" w:hAnsi="Arial"/>
          <w:sz w:val="17"/>
          <w:szCs w:val="17"/>
          <w:color w:val="auto"/>
        </w:rPr>
      </w:pPr>
    </w:p>
    <w:p>
      <w:pPr>
        <w:ind w:left="1660" w:right="101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expectations regarding the potential benefits, activity, effectiveness and safety of our product candidates;</w:t>
      </w:r>
    </w:p>
    <w:p>
      <w:pPr>
        <w:spacing w:after="0" w:line="78"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expectations regarding the size of the patient populations, market acceptance and opportunity for and clinical utility of product candidates, if approved for commercial use;</w:t>
      </w:r>
    </w:p>
    <w:p>
      <w:pPr>
        <w:spacing w:after="0" w:line="66" w:lineRule="exact"/>
        <w:rPr>
          <w:rFonts w:ascii="Arial" w:cs="Arial" w:eastAsia="Arial" w:hAnsi="Arial"/>
          <w:sz w:val="17"/>
          <w:szCs w:val="17"/>
          <w:color w:val="auto"/>
        </w:rPr>
      </w:pPr>
    </w:p>
    <w:p>
      <w:pPr>
        <w:ind w:left="1660" w:right="77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ease, scalability and commercial viability of our manufacturing methods and processes;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expectations regarding the scope of any approved indications for product candidates;</w:t>
      </w:r>
    </w:p>
    <w:p>
      <w:pPr>
        <w:spacing w:after="0" w:line="106" w:lineRule="exact"/>
        <w:rPr>
          <w:rFonts w:ascii="Arial" w:cs="Arial" w:eastAsia="Arial" w:hAnsi="Arial"/>
          <w:sz w:val="17"/>
          <w:szCs w:val="17"/>
          <w:color w:val="auto"/>
        </w:rPr>
      </w:pPr>
    </w:p>
    <w:p>
      <w:pPr>
        <w:ind w:left="1660" w:right="89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potential benefits of and our ability to maintain our relationships and collaborations with BCM and other potential collaboration or strategic relationships;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use the MultiTAA-specific T cell platform to develop future product candidates;</w:t>
      </w:r>
    </w:p>
    <w:p>
      <w:pPr>
        <w:spacing w:after="0" w:line="106"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10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protect and enforce our intellectual property position for our product candidates, and the scope of such protection;</w:t>
      </w:r>
    </w:p>
    <w:p>
      <w:pPr>
        <w:spacing w:after="0" w:line="78"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expected use of proceeds from this offering;</w:t>
      </w:r>
    </w:p>
    <w:p>
      <w:pPr>
        <w:spacing w:after="0" w:line="106" w:lineRule="exact"/>
        <w:rPr>
          <w:rFonts w:ascii="Arial" w:cs="Arial" w:eastAsia="Arial" w:hAnsi="Arial"/>
          <w:sz w:val="17"/>
          <w:szCs w:val="17"/>
          <w:color w:val="auto"/>
        </w:rPr>
      </w:pPr>
    </w:p>
    <w:p>
      <w:pPr>
        <w:ind w:left="1660" w:right="919" w:hanging="161"/>
        <w:spacing w:after="0" w:line="268" w:lineRule="auto"/>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competitive position and the development of and projections relating to our competitors or our industry; and</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laws and regulations.</w:t>
      </w:r>
    </w:p>
    <w:p>
      <w:pPr>
        <w:spacing w:after="0" w:line="144" w:lineRule="exact"/>
        <w:rPr>
          <w:sz w:val="20"/>
          <w:szCs w:val="20"/>
          <w:color w:val="auto"/>
        </w:rPr>
      </w:pPr>
    </w:p>
    <w:p>
      <w:pPr>
        <w:ind w:left="1160" w:right="739" w:firstLine="335"/>
        <w:spacing w:after="0" w:line="249"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5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4" w:name="page45"/>
    <w:bookmarkEnd w:id="44"/>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59" w:firstLine="335"/>
        <w:spacing w:after="0" w:line="266" w:lineRule="auto"/>
        <w:rPr>
          <w:sz w:val="20"/>
          <w:szCs w:val="20"/>
          <w:color w:val="auto"/>
        </w:rPr>
      </w:pPr>
      <w:r>
        <w:rPr>
          <w:rFonts w:ascii="Arial" w:cs="Arial" w:eastAsia="Arial" w:hAnsi="Arial"/>
          <w:sz w:val="16"/>
          <w:szCs w:val="16"/>
          <w:color w:val="auto"/>
        </w:rPr>
        <w:t>You should refer to the “Risk Factors” section contained in this prospectus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97" w:lineRule="exact"/>
        <w:rPr>
          <w:sz w:val="20"/>
          <w:szCs w:val="20"/>
          <w:color w:val="auto"/>
        </w:rPr>
      </w:pPr>
    </w:p>
    <w:p>
      <w:pPr>
        <w:ind w:left="1160" w:right="879" w:firstLine="335"/>
        <w:spacing w:after="0" w:line="257"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5" w:name="page46"/>
    <w:bookmarkEnd w:id="45"/>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USE OF PROCEEDS</w:t>
      </w:r>
    </w:p>
    <w:p>
      <w:pPr>
        <w:spacing w:after="0" w:line="13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may issue and sell shares of our common stock having aggregate sales proceeds of up to</w:t>
      </w:r>
    </w:p>
    <w:p>
      <w:pPr>
        <w:spacing w:after="0" w:line="18" w:lineRule="exact"/>
        <w:rPr>
          <w:sz w:val="20"/>
          <w:szCs w:val="20"/>
          <w:color w:val="auto"/>
        </w:rPr>
      </w:pPr>
    </w:p>
    <w:p>
      <w:pPr>
        <w:jc w:val="both"/>
        <w:ind w:left="1160" w:right="859"/>
        <w:spacing w:after="0" w:line="249" w:lineRule="auto"/>
        <w:rPr>
          <w:sz w:val="20"/>
          <w:szCs w:val="20"/>
          <w:color w:val="auto"/>
        </w:rPr>
      </w:pPr>
      <w:r>
        <w:rPr>
          <w:rFonts w:ascii="Arial" w:cs="Arial" w:eastAsia="Arial" w:hAnsi="Arial"/>
          <w:sz w:val="17"/>
          <w:szCs w:val="17"/>
          <w:color w:val="auto"/>
        </w:rPr>
        <w:t>$75.0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spacing w:after="0" w:line="119" w:lineRule="exact"/>
        <w:rPr>
          <w:sz w:val="20"/>
          <w:szCs w:val="20"/>
          <w:color w:val="auto"/>
        </w:rPr>
      </w:pPr>
    </w:p>
    <w:p>
      <w:pPr>
        <w:ind w:left="1160" w:right="759" w:firstLine="335"/>
        <w:spacing w:after="0" w:line="269" w:lineRule="auto"/>
        <w:rPr>
          <w:sz w:val="20"/>
          <w:szCs w:val="20"/>
          <w:color w:val="auto"/>
        </w:rPr>
      </w:pPr>
      <w:r>
        <w:rPr>
          <w:rFonts w:ascii="Arial" w:cs="Arial" w:eastAsia="Arial" w:hAnsi="Arial"/>
          <w:sz w:val="16"/>
          <w:szCs w:val="16"/>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6" w:name="page47"/>
    <w:bookmarkEnd w:id="46"/>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DILUTION</w:t>
      </w:r>
    </w:p>
    <w:p>
      <w:pPr>
        <w:spacing w:after="0" w:line="135" w:lineRule="exact"/>
        <w:rPr>
          <w:sz w:val="20"/>
          <w:szCs w:val="20"/>
          <w:color w:val="auto"/>
        </w:rPr>
      </w:pPr>
    </w:p>
    <w:p>
      <w:pPr>
        <w:ind w:left="1160" w:right="759" w:firstLine="335"/>
        <w:spacing w:after="0" w:line="264"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w:t>
      </w:r>
    </w:p>
    <w:p>
      <w:pPr>
        <w:spacing w:after="0" w:line="97" w:lineRule="exact"/>
        <w:rPr>
          <w:sz w:val="20"/>
          <w:szCs w:val="20"/>
          <w:color w:val="auto"/>
        </w:rPr>
      </w:pPr>
    </w:p>
    <w:p>
      <w:pPr>
        <w:ind w:left="1160" w:right="899" w:firstLine="335"/>
        <w:spacing w:after="0" w:line="239" w:lineRule="auto"/>
        <w:rPr>
          <w:sz w:val="20"/>
          <w:szCs w:val="20"/>
          <w:color w:val="auto"/>
        </w:rPr>
      </w:pPr>
      <w:r>
        <w:rPr>
          <w:rFonts w:ascii="Arial" w:cs="Arial" w:eastAsia="Arial" w:hAnsi="Arial"/>
          <w:sz w:val="17"/>
          <w:szCs w:val="17"/>
          <w:color w:val="auto"/>
        </w:rPr>
        <w:t>Our historical net tangible book value as of June 30, 2021 was $63.2 million, or $0.76 per share of common stock. Historical net tangible book value per share represents the amount of our total tangible assets less total liabilities, divided by the 83,078,675 shares of our common stock outstanding on June 30, 2021.</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After giving effect to the issuance and sale of our common stock in the aggregate amount of</w:t>
      </w:r>
    </w:p>
    <w:p>
      <w:pPr>
        <w:spacing w:after="0" w:line="7" w:lineRule="exact"/>
        <w:rPr>
          <w:sz w:val="20"/>
          <w:szCs w:val="20"/>
          <w:color w:val="auto"/>
        </w:rPr>
      </w:pPr>
    </w:p>
    <w:p>
      <w:pPr>
        <w:ind w:left="1160" w:right="719"/>
        <w:spacing w:after="0" w:line="232" w:lineRule="auto"/>
        <w:rPr>
          <w:sz w:val="20"/>
          <w:szCs w:val="20"/>
          <w:color w:val="auto"/>
        </w:rPr>
      </w:pPr>
      <w:r>
        <w:rPr>
          <w:rFonts w:ascii="Arial" w:cs="Arial" w:eastAsia="Arial" w:hAnsi="Arial"/>
          <w:sz w:val="17"/>
          <w:szCs w:val="17"/>
          <w:color w:val="auto"/>
        </w:rPr>
        <w:t>$75.0 million in this offering at an assumed offering price of $2.07 per share, the last reported sale price of our common stock on The Nasdaq Global Market on August 6, 2021, and after deducting commissions and estimated aggregate offering expenses payable by us, our as adjusted net tangible book value as of June 30, 2021 would have been $135.7 million, or $ 1.14 per share. This represents an immediate increase of $0.38 in the as adjusted net tangible book value per share to existing stockholders and immediate dilution of $0.93 in the as adjusted net tangible book value per share to new investors purchasing common stock in this offering. Dilution per share to new investors is determined by subtracting as adjusted net tangible book value per share after this offering from the assumed public offering price of $2.07 per share. The following table illustrates this per share dilution to the new investors purchasing shares of our common stock in this offering:</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$2.07</w:t>
            </w:r>
          </w:p>
        </w:tc>
      </w:tr>
      <w:tr>
        <w:trPr>
          <w:trHeight w:val="239"/>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7"/>
                <w:szCs w:val="17"/>
                <w:color w:val="auto"/>
              </w:rPr>
              <w:t>Historical net tangible book value per share as of June 30, 2021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$0.76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9"/>
              </w:rPr>
              <w:t>Increase in as adjusted net tangible book value per share attributable to this offering</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4"/>
        </w:trPr>
        <w:tc>
          <w:tcPr>
            <w:tcW w:w="6460" w:type="dxa"/>
            <w:vAlign w:val="bottom"/>
            <w:gridSpan w:val="2"/>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1200" w:type="dxa"/>
            <w:vAlign w:val="bottom"/>
            <w:gridSpan w:val="4"/>
          </w:tcPr>
          <w:p>
            <w:pPr>
              <w:jc w:val="right"/>
              <w:ind w:right="20"/>
              <w:spacing w:after="0"/>
              <w:rPr>
                <w:sz w:val="20"/>
                <w:szCs w:val="20"/>
                <w:color w:val="auto"/>
              </w:rPr>
            </w:pPr>
            <w:r>
              <w:rPr>
                <w:rFonts w:ascii="Arial" w:cs="Arial" w:eastAsia="Arial" w:hAnsi="Arial"/>
                <w:sz w:val="17"/>
                <w:szCs w:val="17"/>
                <w:color w:val="auto"/>
              </w:rPr>
              <w:t>1.14</w:t>
            </w: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$0.93</w:t>
            </w: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-198755</wp:posOffset>
            </wp:positionV>
            <wp:extent cx="46043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4604385" cy="8255"/>
                    </a:xfrm>
                    <a:prstGeom prst="rect">
                      <a:avLst/>
                    </a:prstGeom>
                    <a:noFill/>
                  </pic:spPr>
                </pic:pic>
              </a:graphicData>
            </a:graphic>
          </wp:anchor>
        </w:drawing>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information discussed above is based on 83,078,675 shares of our common stock outstanding as of</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June 30, 2021 and excludes:</w:t>
      </w:r>
    </w:p>
    <w:p>
      <w:pPr>
        <w:spacing w:after="0" w:line="67" w:lineRule="exact"/>
        <w:rPr>
          <w:sz w:val="20"/>
          <w:szCs w:val="20"/>
          <w:color w:val="auto"/>
        </w:rPr>
      </w:pPr>
    </w:p>
    <w:p>
      <w:pPr>
        <w:ind w:left="1660" w:right="819" w:hanging="161"/>
        <w:spacing w:after="0" w:line="268"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7,460,777 shares of our common stock issuable upon the exercise of stock options outstanding as of June 30, 2021, at a weighted-average exercise price of $5.59 per share;</w:t>
      </w:r>
    </w:p>
    <w:p>
      <w:pPr>
        <w:spacing w:after="0" w:line="53" w:lineRule="exact"/>
        <w:rPr>
          <w:rFonts w:ascii="Arial" w:cs="Arial" w:eastAsia="Arial" w:hAnsi="Arial"/>
          <w:sz w:val="17"/>
          <w:szCs w:val="17"/>
          <w:color w:val="auto"/>
        </w:rPr>
      </w:pPr>
    </w:p>
    <w:p>
      <w:pPr>
        <w:ind w:left="1660" w:right="1059" w:hanging="161"/>
        <w:spacing w:after="0" w:line="300" w:lineRule="auto"/>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20,830,000 shares of our common stock issuable upon the exercise of warrants outstanding as of June 30, 2021, at a weighted-average exercise price of $4.47 per share; and</w:t>
      </w:r>
    </w:p>
    <w:p>
      <w:pPr>
        <w:spacing w:after="0" w:line="30" w:lineRule="exact"/>
        <w:rPr>
          <w:rFonts w:ascii="Arial" w:cs="Arial" w:eastAsia="Arial" w:hAnsi="Arial"/>
          <w:sz w:val="16"/>
          <w:szCs w:val="16"/>
          <w:color w:val="auto"/>
        </w:rPr>
      </w:pPr>
    </w:p>
    <w:p>
      <w:pPr>
        <w:ind w:left="1660" w:right="799" w:hanging="161"/>
        <w:spacing w:after="0" w:line="268" w:lineRule="auto"/>
        <w:tabs>
          <w:tab w:leader="none" w:pos="1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3,162,164 shares of our common stock reserved for future issuance under our 2020 Equity Incentive Plan.</w:t>
      </w:r>
    </w:p>
    <w:p>
      <w:pPr>
        <w:spacing w:after="0" w:line="104" w:lineRule="exact"/>
        <w:rPr>
          <w:sz w:val="20"/>
          <w:szCs w:val="20"/>
          <w:color w:val="auto"/>
        </w:rPr>
      </w:pPr>
    </w:p>
    <w:p>
      <w:pPr>
        <w:ind w:left="1160" w:right="719" w:firstLine="335"/>
        <w:spacing w:after="0" w:line="266" w:lineRule="auto"/>
        <w:rPr>
          <w:sz w:val="20"/>
          <w:szCs w:val="20"/>
          <w:color w:val="auto"/>
        </w:rPr>
      </w:pPr>
      <w:r>
        <w:rPr>
          <w:rFonts w:ascii="Arial" w:cs="Arial" w:eastAsia="Arial" w:hAnsi="Arial"/>
          <w:sz w:val="15"/>
          <w:szCs w:val="15"/>
          <w:color w:val="auto"/>
        </w:rPr>
        <w:t>The table above assumes for illustrative purposes that an aggregate of 36,231,884 shares of our common stock are sold during the term of the Sales Agreement at a price of $2.07 per share, the last reported sale price of our common stock on The Nasdaq Global Market on August 6, 2021, for aggregate gross proceeds of $75.0 million. The shares subject to the Sales Agreement are being sold from time to time at various prices. An increase of $1.00 per share in the price at which the shares are sold from the assumed offering price of $ 2.07 per share shown in the table above, assuming all of our common stock in the aggregate amount of $75.0 million during the term of the Sales Agreement is sold at that price, would increase our adjusted net tangible book value per share after the offering to $1.26 per share and would increase the dilution in net tangible book value per share to new investors in this offering to $1.81 per share, after deducting commissions and estimated aggregate offering expenses payable by us. A decrease of $1.00 per share in the price at which the shares are sold from the assumed offering price of $2.07 per share shown in the table above, assuming all of our common stock in the aggregate amount of $75.0 million during the term of the Sales Agreement is sold at that price, would decrease our adjusted net tangible book value per share after the offering to $0.89 per share and would decrease the dilution in net tangible book value per share to new investors in this offering to $0.18 per share, after deducting commissions and estimated offering expenses payable by us. This information is supplied for illustrative purposes only.</w:t>
      </w:r>
    </w:p>
    <w:p>
      <w:pPr>
        <w:spacing w:after="0" w:line="274" w:lineRule="exact"/>
        <w:rPr>
          <w:sz w:val="20"/>
          <w:szCs w:val="20"/>
          <w:color w:val="auto"/>
        </w:rPr>
      </w:pPr>
    </w:p>
    <w:p>
      <w:pPr>
        <w:ind w:left="1160" w:right="699" w:firstLine="335"/>
        <w:spacing w:after="0" w:line="284" w:lineRule="auto"/>
        <w:rPr>
          <w:sz w:val="20"/>
          <w:szCs w:val="20"/>
          <w:color w:val="auto"/>
        </w:rPr>
      </w:pPr>
      <w:r>
        <w:rPr>
          <w:rFonts w:ascii="Arial" w:cs="Arial" w:eastAsia="Arial" w:hAnsi="Arial"/>
          <w:sz w:val="16"/>
          <w:szCs w:val="16"/>
          <w:color w:val="auto"/>
        </w:rPr>
        <w:t>To the extent that outstanding options or warrants are exercised or we issue additional options, warrants or shares of our common stock in the future, there will be further dilution to investors purchasing</w:t>
      </w:r>
    </w:p>
    <w:p>
      <w:pPr>
        <w:spacing w:after="0" w:line="31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7" w:name="page48"/>
    <w:bookmarkEnd w:id="47"/>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839"/>
        <w:spacing w:after="0" w:line="275" w:lineRule="auto"/>
        <w:rPr>
          <w:sz w:val="20"/>
          <w:szCs w:val="20"/>
          <w:color w:val="auto"/>
        </w:rPr>
      </w:pPr>
      <w:r>
        <w:rPr>
          <w:rFonts w:ascii="Arial" w:cs="Arial" w:eastAsia="Arial" w:hAnsi="Arial"/>
          <w:sz w:val="16"/>
          <w:szCs w:val="16"/>
          <w:color w:val="auto"/>
        </w:rPr>
        <w:t>common stock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8" w:name="page49"/>
    <w:bookmarkEnd w:id="48"/>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DESCRIPTION OF CAPITAL STOCK</w:t>
      </w:r>
    </w:p>
    <w:p>
      <w:pPr>
        <w:spacing w:after="0" w:line="135" w:lineRule="exact"/>
        <w:rPr>
          <w:sz w:val="20"/>
          <w:szCs w:val="20"/>
          <w:color w:val="auto"/>
        </w:rPr>
      </w:pPr>
    </w:p>
    <w:p>
      <w:pPr>
        <w:jc w:val="both"/>
        <w:ind w:left="1160" w:right="919" w:firstLine="335"/>
        <w:spacing w:after="0" w:line="257"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Our certificate of incorporation authorizes us to issue up to 150,000,000 shares of common stock,</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$0.001 par value per share, and 5,000,000 shares of preferred stock, $0.001 par value per share. Our board</w: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of directors may establish the rights and preferences of the preferred stock from time to time. As of June 30,</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2021, we had outstanding 83,078,675 shares of common stock and no shares of preferred stock outstanding.</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Voting Rights</w:t>
      </w:r>
    </w:p>
    <w:p>
      <w:pPr>
        <w:spacing w:after="0" w:line="144" w:lineRule="exact"/>
        <w:rPr>
          <w:sz w:val="20"/>
          <w:szCs w:val="20"/>
          <w:color w:val="auto"/>
        </w:rPr>
      </w:pPr>
    </w:p>
    <w:p>
      <w:pPr>
        <w:ind w:left="1160" w:right="719" w:firstLine="335"/>
        <w:spacing w:after="0" w:line="251"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Dividends</w:t>
      </w:r>
    </w:p>
    <w:p>
      <w:pPr>
        <w:spacing w:after="0" w:line="131" w:lineRule="exact"/>
        <w:rPr>
          <w:sz w:val="20"/>
          <w:szCs w:val="20"/>
          <w:color w:val="auto"/>
        </w:rPr>
      </w:pPr>
    </w:p>
    <w:p>
      <w:pPr>
        <w:ind w:left="1160" w:right="739" w:firstLine="335"/>
        <w:spacing w:after="0" w:line="257" w:lineRule="auto"/>
        <w:rPr>
          <w:sz w:val="20"/>
          <w:szCs w:val="20"/>
          <w:color w:val="auto"/>
        </w:rPr>
      </w:pPr>
      <w:r>
        <w:rPr>
          <w:rFonts w:ascii="Arial" w:cs="Arial" w:eastAsia="Arial" w:hAnsi="Arial"/>
          <w:sz w:val="17"/>
          <w:szCs w:val="17"/>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Liquidation</w:t>
      </w:r>
    </w:p>
    <w:p>
      <w:pPr>
        <w:spacing w:after="0" w:line="144" w:lineRule="exact"/>
        <w:rPr>
          <w:sz w:val="20"/>
          <w:szCs w:val="20"/>
          <w:color w:val="auto"/>
        </w:rPr>
      </w:pPr>
    </w:p>
    <w:p>
      <w:pPr>
        <w:ind w:left="1160" w:right="859" w:firstLine="335"/>
        <w:spacing w:after="0" w:line="257"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Rights and Preferences</w:t>
      </w:r>
    </w:p>
    <w:p>
      <w:pPr>
        <w:spacing w:after="0" w:line="144" w:lineRule="exact"/>
        <w:rPr>
          <w:sz w:val="20"/>
          <w:szCs w:val="20"/>
          <w:color w:val="auto"/>
        </w:rPr>
      </w:pPr>
    </w:p>
    <w:p>
      <w:pPr>
        <w:ind w:left="1160" w:right="719" w:firstLine="335"/>
        <w:spacing w:after="0" w:line="252" w:lineRule="auto"/>
        <w:rPr>
          <w:sz w:val="20"/>
          <w:szCs w:val="20"/>
          <w:color w:val="auto"/>
        </w:rPr>
      </w:pPr>
      <w:r>
        <w:rPr>
          <w:rFonts w:ascii="Arial" w:cs="Arial" w:eastAsia="Arial" w:hAnsi="Arial"/>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Preferred Stock</w:t>
      </w:r>
    </w:p>
    <w:p>
      <w:pPr>
        <w:spacing w:after="0" w:line="135" w:lineRule="exact"/>
        <w:rPr>
          <w:sz w:val="20"/>
          <w:szCs w:val="20"/>
          <w:color w:val="auto"/>
        </w:rPr>
      </w:pPr>
    </w:p>
    <w:p>
      <w:pPr>
        <w:ind w:left="1160" w:right="699" w:firstLine="335"/>
        <w:spacing w:after="0" w:line="266" w:lineRule="auto"/>
        <w:rPr>
          <w:sz w:val="20"/>
          <w:szCs w:val="20"/>
          <w:color w:val="auto"/>
        </w:rPr>
      </w:pPr>
      <w:r>
        <w:rPr>
          <w:rFonts w:ascii="Arial" w:cs="Arial" w:eastAsia="Arial" w:hAnsi="Arial"/>
          <w:sz w:val="16"/>
          <w:szCs w:val="16"/>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49" w:name="page50"/>
    <w:bookmarkEnd w:id="49"/>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99"/>
        <w:spacing w:after="0" w:line="253" w:lineRule="auto"/>
        <w:rPr>
          <w:sz w:val="20"/>
          <w:szCs w:val="20"/>
          <w:color w:val="auto"/>
        </w:rPr>
      </w:pPr>
      <w:r>
        <w:rPr>
          <w:rFonts w:ascii="Arial" w:cs="Arial" w:eastAsia="Arial" w:hAnsi="Arial"/>
          <w:sz w:val="17"/>
          <w:szCs w:val="17"/>
          <w:color w:val="auto"/>
        </w:rPr>
        <w:t>directors, without stockholder approval, we may issue shares of preferred stock with voting and conversion rights which could adversely affect the holders of shares of our common stock.</w:t>
      </w:r>
    </w:p>
    <w:p>
      <w:pPr>
        <w:spacing w:after="0" w:line="91" w:lineRule="exact"/>
        <w:rPr>
          <w:sz w:val="20"/>
          <w:szCs w:val="20"/>
          <w:color w:val="auto"/>
        </w:rPr>
      </w:pPr>
    </w:p>
    <w:p>
      <w:pPr>
        <w:ind w:left="1160" w:right="719" w:firstLine="335"/>
        <w:spacing w:after="0" w:line="235"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0" w:lineRule="exact"/>
        <w:rPr>
          <w:sz w:val="20"/>
          <w:szCs w:val="20"/>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title and stated value;</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of shares we are offering;</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liquidation preference per share;</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purchase price per share;</w:t>
      </w:r>
    </w:p>
    <w:p>
      <w:pPr>
        <w:spacing w:after="0" w:line="93" w:lineRule="exact"/>
        <w:rPr>
          <w:rFonts w:ascii="Arial" w:cs="Arial" w:eastAsia="Arial" w:hAnsi="Arial"/>
          <w:sz w:val="17"/>
          <w:szCs w:val="17"/>
          <w:color w:val="auto"/>
        </w:rPr>
      </w:pPr>
    </w:p>
    <w:p>
      <w:pPr>
        <w:ind w:left="1660" w:right="129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dividend rate per share, dividend period and payment dates and method of calculation for dividends;</w:t>
      </w:r>
    </w:p>
    <w:p>
      <w:pPr>
        <w:spacing w:after="0" w:line="66" w:lineRule="exact"/>
        <w:rPr>
          <w:rFonts w:ascii="Arial" w:cs="Arial" w:eastAsia="Arial" w:hAnsi="Arial"/>
          <w:sz w:val="17"/>
          <w:szCs w:val="17"/>
          <w:color w:val="auto"/>
        </w:rPr>
      </w:pPr>
    </w:p>
    <w:p>
      <w:pPr>
        <w:ind w:left="1660" w:right="103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dividends will be cumulative or non-cumulative and, if cumulative, the date from which dividends will accumulate;</w:t>
      </w:r>
    </w:p>
    <w:p>
      <w:pPr>
        <w:spacing w:after="0" w:line="5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right, if any, to defer payment of dividends and the maximum length of any such deferral period;</w:t>
      </w:r>
    </w:p>
    <w:p>
      <w:pPr>
        <w:spacing w:after="0" w:line="105" w:lineRule="exact"/>
        <w:rPr>
          <w:rFonts w:ascii="Arial" w:cs="Arial" w:eastAsia="Arial" w:hAnsi="Arial"/>
          <w:sz w:val="16"/>
          <w:szCs w:val="16"/>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procedures for any auction and remarketing, if any;</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provisions for a sinking fund, if any;</w:t>
      </w:r>
    </w:p>
    <w:p>
      <w:pPr>
        <w:spacing w:after="0" w:line="93" w:lineRule="exact"/>
        <w:rPr>
          <w:rFonts w:ascii="Arial" w:cs="Arial" w:eastAsia="Arial" w:hAnsi="Arial"/>
          <w:sz w:val="17"/>
          <w:szCs w:val="17"/>
          <w:color w:val="auto"/>
        </w:rPr>
      </w:pPr>
    </w:p>
    <w:p>
      <w:pPr>
        <w:ind w:left="1660" w:right="113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66"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listing of the preferred stock on any securities exchange or market;</w:t>
      </w:r>
    </w:p>
    <w:p>
      <w:pPr>
        <w:spacing w:after="0" w:line="93" w:lineRule="exact"/>
        <w:rPr>
          <w:rFonts w:ascii="Arial" w:cs="Arial" w:eastAsia="Arial" w:hAnsi="Arial"/>
          <w:sz w:val="17"/>
          <w:szCs w:val="17"/>
          <w:color w:val="auto"/>
        </w:rPr>
      </w:pPr>
    </w:p>
    <w:p>
      <w:pPr>
        <w:ind w:left="1660" w:right="919" w:hanging="161"/>
        <w:spacing w:after="0" w:line="281"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44" w:lineRule="exact"/>
        <w:rPr>
          <w:rFonts w:ascii="Arial" w:cs="Arial" w:eastAsia="Arial" w:hAnsi="Arial"/>
          <w:sz w:val="16"/>
          <w:szCs w:val="16"/>
          <w:color w:val="auto"/>
        </w:rPr>
      </w:pPr>
    </w:p>
    <w:p>
      <w:pPr>
        <w:ind w:left="1660" w:right="919" w:hanging="161"/>
        <w:spacing w:after="0" w:line="257"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the preferred stock will be exchangeable into debt securities, and, if applicable, the exchange period, the exchange price, or how it will be calculated, and under what circumstances it may be adjusted;</w:t>
      </w:r>
    </w:p>
    <w:p>
      <w:pPr>
        <w:spacing w:after="0" w:line="6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voting rights, if any, of the preferred stock;</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preemption rights, if any;</w:t>
      </w:r>
    </w:p>
    <w:p>
      <w:pPr>
        <w:spacing w:after="0" w:line="106"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transfer, sale or other assignment, if any;</w:t>
      </w:r>
    </w:p>
    <w:p>
      <w:pPr>
        <w:spacing w:after="0" w:line="93" w:lineRule="exact"/>
        <w:rPr>
          <w:rFonts w:ascii="Arial" w:cs="Arial" w:eastAsia="Arial" w:hAnsi="Arial"/>
          <w:sz w:val="17"/>
          <w:szCs w:val="17"/>
          <w:color w:val="auto"/>
        </w:rPr>
      </w:pPr>
    </w:p>
    <w:p>
      <w:pPr>
        <w:ind w:left="1660" w:hanging="161"/>
        <w:spacing w:after="0"/>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interests in the preferred stock will be represented by depositary shares;</w:t>
      </w:r>
    </w:p>
    <w:p>
      <w:pPr>
        <w:spacing w:after="0" w:line="93" w:lineRule="exact"/>
        <w:rPr>
          <w:rFonts w:ascii="Arial" w:cs="Arial" w:eastAsia="Arial" w:hAnsi="Arial"/>
          <w:sz w:val="17"/>
          <w:szCs w:val="17"/>
          <w:color w:val="auto"/>
        </w:rPr>
      </w:pPr>
    </w:p>
    <w:p>
      <w:pPr>
        <w:ind w:left="1660" w:right="117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discussion of any material or special U.S. federal income tax considerations applicable to the preferred stock;</w:t>
      </w:r>
    </w:p>
    <w:p>
      <w:pPr>
        <w:spacing w:after="0" w:line="53" w:lineRule="exact"/>
        <w:rPr>
          <w:rFonts w:ascii="Arial" w:cs="Arial" w:eastAsia="Arial" w:hAnsi="Arial"/>
          <w:sz w:val="17"/>
          <w:szCs w:val="17"/>
          <w:color w:val="auto"/>
        </w:rPr>
      </w:pPr>
    </w:p>
    <w:p>
      <w:pPr>
        <w:ind w:left="1660" w:right="113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53" w:lineRule="exact"/>
        <w:rPr>
          <w:rFonts w:ascii="Arial" w:cs="Arial" w:eastAsia="Arial" w:hAnsi="Arial"/>
          <w:sz w:val="17"/>
          <w:szCs w:val="17"/>
          <w:color w:val="auto"/>
        </w:rPr>
      </w:pPr>
    </w:p>
    <w:p>
      <w:pPr>
        <w:ind w:left="1660" w:right="819" w:hanging="161"/>
        <w:spacing w:after="0" w:line="257"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3" w:lineRule="exact"/>
        <w:rPr>
          <w:rFonts w:ascii="Arial" w:cs="Arial" w:eastAsia="Arial" w:hAnsi="Arial"/>
          <w:sz w:val="17"/>
          <w:szCs w:val="17"/>
          <w:color w:val="auto"/>
        </w:rPr>
      </w:pPr>
    </w:p>
    <w:p>
      <w:pPr>
        <w:ind w:left="1660" w:right="759" w:hanging="161"/>
        <w:spacing w:after="0" w:line="268" w:lineRule="auto"/>
        <w:tabs>
          <w:tab w:leader="none" w:pos="1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specific terms, rights, preferences, privileges, qualifications or restrictions of the preferred stock.</w:t>
      </w:r>
    </w:p>
    <w:p>
      <w:pPr>
        <w:spacing w:after="0" w:line="104" w:lineRule="exact"/>
        <w:rPr>
          <w:sz w:val="20"/>
          <w:szCs w:val="20"/>
          <w:color w:val="auto"/>
        </w:rPr>
      </w:pPr>
    </w:p>
    <w:p>
      <w:pPr>
        <w:ind w:left="1160" w:right="1099" w:firstLine="335"/>
        <w:spacing w:after="0" w:line="319" w:lineRule="auto"/>
        <w:rPr>
          <w:sz w:val="20"/>
          <w:szCs w:val="20"/>
          <w:color w:val="auto"/>
        </w:rPr>
      </w:pPr>
      <w:r>
        <w:rPr>
          <w:rFonts w:ascii="Arial" w:cs="Arial" w:eastAsia="Arial" w:hAnsi="Arial"/>
          <w:sz w:val="15"/>
          <w:szCs w:val="15"/>
          <w:color w:val="auto"/>
        </w:rPr>
        <w:t>The General Corporation Law of the State of Delaware, or DGCL, the state of our incorporation, provides that the holders of preferred stock will have the right to vote separately as a class (or, in some</w:t>
      </w:r>
    </w:p>
    <w:p>
      <w:pPr>
        <w:spacing w:after="0" w:line="28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238125</wp:posOffset>
            </wp:positionV>
            <wp:extent cx="63531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0" w:name="page51"/>
    <w:bookmarkEnd w:id="50"/>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59"/>
        <w:spacing w:after="0" w:line="237" w:lineRule="auto"/>
        <w:rPr>
          <w:sz w:val="20"/>
          <w:szCs w:val="20"/>
          <w:color w:val="auto"/>
        </w:rPr>
      </w:pPr>
      <w:r>
        <w:rPr>
          <w:rFonts w:ascii="Arial" w:cs="Arial" w:eastAsia="Arial" w:hAnsi="Arial"/>
          <w:sz w:val="17"/>
          <w:szCs w:val="17"/>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03" w:lineRule="exact"/>
        <w:rPr>
          <w:sz w:val="20"/>
          <w:szCs w:val="20"/>
          <w:color w:val="auto"/>
        </w:rPr>
      </w:pPr>
    </w:p>
    <w:p>
      <w:pPr>
        <w:ind w:left="1160" w:right="959" w:firstLine="335"/>
        <w:spacing w:after="0" w:line="237"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Section 203 of the DGCL</w:t>
      </w:r>
    </w:p>
    <w:p>
      <w:pPr>
        <w:spacing w:after="0" w:line="144" w:lineRule="exact"/>
        <w:rPr>
          <w:sz w:val="20"/>
          <w:szCs w:val="20"/>
          <w:color w:val="auto"/>
        </w:rPr>
      </w:pPr>
    </w:p>
    <w:p>
      <w:pPr>
        <w:ind w:left="1160" w:right="799" w:firstLine="335"/>
        <w:spacing w:after="0" w:line="264" w:lineRule="auto"/>
        <w:rPr>
          <w:sz w:val="20"/>
          <w:szCs w:val="20"/>
          <w:color w:val="auto"/>
        </w:rPr>
      </w:pPr>
      <w:r>
        <w:rPr>
          <w:rFonts w:ascii="Arial" w:cs="Arial" w:eastAsia="Arial" w:hAnsi="Arial"/>
          <w:sz w:val="16"/>
          <w:szCs w:val="16"/>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9" w:lineRule="exact"/>
        <w:rPr>
          <w:sz w:val="20"/>
          <w:szCs w:val="20"/>
          <w:color w:val="auto"/>
        </w:rPr>
      </w:pPr>
    </w:p>
    <w:p>
      <w:pPr>
        <w:ind w:left="1660" w:right="819" w:hanging="161"/>
        <w:spacing w:after="0" w:line="300"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before such date, the board of directors of the corporation approved either the business combination or the transaction that resulted in the stockholder becoming an interested stockholder;</w:t>
      </w:r>
    </w:p>
    <w:p>
      <w:pPr>
        <w:spacing w:after="0" w:line="30" w:lineRule="exact"/>
        <w:rPr>
          <w:rFonts w:ascii="Arial" w:cs="Arial" w:eastAsia="Arial" w:hAnsi="Arial"/>
          <w:sz w:val="16"/>
          <w:szCs w:val="16"/>
          <w:color w:val="auto"/>
        </w:rPr>
      </w:pPr>
    </w:p>
    <w:p>
      <w:pPr>
        <w:ind w:left="1660" w:right="739" w:hanging="161"/>
        <w:spacing w:after="0" w:line="268"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9" w:lineRule="exact"/>
        <w:rPr>
          <w:rFonts w:ascii="Arial" w:cs="Arial" w:eastAsia="Arial" w:hAnsi="Arial"/>
          <w:sz w:val="16"/>
          <w:szCs w:val="16"/>
          <w:color w:val="auto"/>
        </w:rPr>
      </w:pPr>
    </w:p>
    <w:p>
      <w:pPr>
        <w:ind w:left="1660" w:right="819" w:hanging="161"/>
        <w:spacing w:after="0" w:line="254"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94" w:lineRule="exact"/>
        <w:rPr>
          <w:sz w:val="20"/>
          <w:szCs w:val="20"/>
          <w:color w:val="auto"/>
        </w:rPr>
      </w:pPr>
    </w:p>
    <w:p>
      <w:pPr>
        <w:ind w:left="1660" w:hanging="161"/>
        <w:spacing w:after="0"/>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06" w:lineRule="exact"/>
        <w:rPr>
          <w:rFonts w:ascii="Arial" w:cs="Arial" w:eastAsia="Arial" w:hAnsi="Arial"/>
          <w:sz w:val="17"/>
          <w:szCs w:val="17"/>
          <w:color w:val="auto"/>
        </w:rPr>
      </w:pPr>
    </w:p>
    <w:p>
      <w:pPr>
        <w:ind w:left="1660" w:right="1319" w:hanging="161"/>
        <w:spacing w:after="0" w:line="268"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66" w:lineRule="exact"/>
        <w:rPr>
          <w:rFonts w:ascii="Arial" w:cs="Arial" w:eastAsia="Arial" w:hAnsi="Arial"/>
          <w:sz w:val="17"/>
          <w:szCs w:val="17"/>
          <w:color w:val="auto"/>
        </w:rPr>
      </w:pPr>
    </w:p>
    <w:p>
      <w:pPr>
        <w:ind w:left="1660" w:right="1519" w:hanging="161"/>
        <w:spacing w:after="0" w:line="268"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53" w:lineRule="exact"/>
        <w:rPr>
          <w:rFonts w:ascii="Arial" w:cs="Arial" w:eastAsia="Arial" w:hAnsi="Arial"/>
          <w:sz w:val="17"/>
          <w:szCs w:val="17"/>
          <w:color w:val="auto"/>
        </w:rPr>
      </w:pPr>
    </w:p>
    <w:p>
      <w:pPr>
        <w:jc w:val="both"/>
        <w:ind w:left="1660" w:right="819" w:hanging="161"/>
        <w:spacing w:after="0" w:line="257"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7"/>
          <w:szCs w:val="17"/>
          <w:color w:val="auto"/>
        </w:rPr>
      </w:pPr>
    </w:p>
    <w:p>
      <w:pPr>
        <w:ind w:left="1660" w:right="739" w:hanging="161"/>
        <w:spacing w:after="0" w:line="268" w:lineRule="auto"/>
        <w:tabs>
          <w:tab w:leader="none" w:pos="1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04" w:lineRule="exact"/>
        <w:rPr>
          <w:sz w:val="20"/>
          <w:szCs w:val="20"/>
          <w:color w:val="auto"/>
        </w:rPr>
      </w:pPr>
    </w:p>
    <w:p>
      <w:pPr>
        <w:ind w:left="1160" w:right="839" w:firstLine="335"/>
        <w:spacing w:after="0" w:line="239"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131" w:lineRule="exact"/>
        <w:rPr>
          <w:sz w:val="20"/>
          <w:szCs w:val="20"/>
          <w:color w:val="auto"/>
        </w:rPr>
      </w:pPr>
    </w:p>
    <w:p>
      <w:pPr>
        <w:ind w:left="1160" w:right="799" w:firstLine="335"/>
        <w:spacing w:after="0" w:line="281" w:lineRule="auto"/>
        <w:rPr>
          <w:sz w:val="20"/>
          <w:szCs w:val="20"/>
          <w:color w:val="auto"/>
        </w:rPr>
      </w:pPr>
      <w:r>
        <w:rPr>
          <w:rFonts w:ascii="Arial" w:cs="Arial" w:eastAsia="Arial" w:hAnsi="Arial"/>
          <w:sz w:val="15"/>
          <w:szCs w:val="15"/>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1" w:name="page52"/>
    <w:bookmarkEnd w:id="51"/>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759"/>
        <w:spacing w:after="0" w:line="252" w:lineRule="auto"/>
        <w:rPr>
          <w:sz w:val="20"/>
          <w:szCs w:val="20"/>
          <w:color w:val="auto"/>
        </w:rPr>
      </w:pPr>
      <w:r>
        <w:rPr>
          <w:rFonts w:ascii="Arial" w:cs="Arial" w:eastAsia="Arial" w:hAnsi="Arial"/>
          <w:sz w:val="17"/>
          <w:szCs w:val="17"/>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05" w:lineRule="exact"/>
        <w:rPr>
          <w:sz w:val="20"/>
          <w:szCs w:val="20"/>
          <w:color w:val="auto"/>
        </w:rPr>
      </w:pPr>
    </w:p>
    <w:p>
      <w:pPr>
        <w:ind w:left="1160" w:right="939" w:firstLine="335"/>
        <w:spacing w:after="0" w:line="271" w:lineRule="auto"/>
        <w:rPr>
          <w:sz w:val="20"/>
          <w:szCs w:val="20"/>
          <w:color w:val="auto"/>
        </w:rPr>
      </w:pPr>
      <w:r>
        <w:rPr>
          <w:rFonts w:ascii="Arial" w:cs="Arial" w:eastAsia="Arial" w:hAnsi="Arial"/>
          <w:sz w:val="16"/>
          <w:szCs w:val="16"/>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05" w:lineRule="exact"/>
        <w:rPr>
          <w:sz w:val="20"/>
          <w:szCs w:val="20"/>
          <w:color w:val="auto"/>
        </w:rPr>
      </w:pPr>
    </w:p>
    <w:p>
      <w:pPr>
        <w:ind w:left="1160" w:right="719" w:firstLine="335"/>
        <w:spacing w:after="0" w:line="250" w:lineRule="auto"/>
        <w:rPr>
          <w:sz w:val="20"/>
          <w:szCs w:val="20"/>
          <w:color w:val="auto"/>
        </w:rPr>
      </w:pPr>
      <w:r>
        <w:rPr>
          <w:rFonts w:ascii="Arial" w:cs="Arial" w:eastAsia="Arial" w:hAnsi="Arial"/>
          <w:sz w:val="17"/>
          <w:szCs w:val="17"/>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0"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Transfer Agent and Registrar</w:t>
      </w:r>
    </w:p>
    <w:p>
      <w:pPr>
        <w:spacing w:after="0" w:line="135" w:lineRule="exact"/>
        <w:rPr>
          <w:sz w:val="20"/>
          <w:szCs w:val="20"/>
          <w:color w:val="auto"/>
        </w:rPr>
      </w:pPr>
    </w:p>
    <w:p>
      <w:pPr>
        <w:ind w:left="1160" w:right="739" w:firstLine="335"/>
        <w:spacing w:after="0" w:line="254" w:lineRule="auto"/>
        <w:rPr>
          <w:sz w:val="20"/>
          <w:szCs w:val="20"/>
          <w:color w:val="auto"/>
        </w:rPr>
      </w:pPr>
      <w:r>
        <w:rPr>
          <w:rFonts w:ascii="Arial" w:cs="Arial" w:eastAsia="Arial" w:hAnsi="Arial"/>
          <w:sz w:val="17"/>
          <w:szCs w:val="17"/>
          <w:color w:val="auto"/>
        </w:rPr>
        <w:t>The transfer agent and registrar for our common stock is American Stock Transfer &amp; Company, LLC, with offices at 6201 15th Avenue, Brooklyn, New York 11219. The transfer agent for any series of preferred stock that we may offer under this prospectus will be named and described in the prospectus supplement for that series.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Listing on Nasdaq</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Our common stock is listed on The Nasdaq Global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2" w:name="page53"/>
    <w:bookmarkEnd w:id="52"/>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PLAN OF DISTRIBUTION</w:t>
      </w:r>
    </w:p>
    <w:p>
      <w:pPr>
        <w:spacing w:after="0" w:line="114" w:lineRule="exact"/>
        <w:rPr>
          <w:sz w:val="20"/>
          <w:szCs w:val="20"/>
          <w:color w:val="auto"/>
        </w:rPr>
      </w:pPr>
    </w:p>
    <w:p>
      <w:pPr>
        <w:ind w:left="1160" w:right="739" w:firstLine="335"/>
        <w:spacing w:after="0" w:line="253" w:lineRule="auto"/>
        <w:rPr>
          <w:sz w:val="20"/>
          <w:szCs w:val="20"/>
          <w:color w:val="auto"/>
        </w:rPr>
      </w:pPr>
      <w:r>
        <w:rPr>
          <w:rFonts w:ascii="Arial" w:cs="Arial" w:eastAsia="Arial" w:hAnsi="Arial"/>
          <w:sz w:val="16"/>
          <w:szCs w:val="16"/>
          <w:color w:val="auto"/>
        </w:rPr>
        <w:t>We have entered into a Controlled Equity Offering</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sales agreement, or the sales agreement, with the Sales Agents, under which we may offer and sell up to $75,000,000 of shares of our common stock from time to time through the Sales Agents, acting as agents. Sales of the shares of common stock, if any, may be made at market prices by any method deemed to be an “at the market” offering as defined in Rule 415(a)(4) under the Securities Act, including, without limitation, sales made directly on The Nasdaq Global Market or any other existing trading market for our common stock.</w:t>
      </w:r>
    </w:p>
    <w:p>
      <w:pPr>
        <w:spacing w:after="0" w:line="118" w:lineRule="exact"/>
        <w:rPr>
          <w:sz w:val="20"/>
          <w:szCs w:val="20"/>
          <w:color w:val="auto"/>
        </w:rPr>
      </w:pPr>
    </w:p>
    <w:p>
      <w:pPr>
        <w:ind w:left="1160" w:right="939" w:firstLine="335"/>
        <w:spacing w:after="0" w:line="281" w:lineRule="auto"/>
        <w:rPr>
          <w:sz w:val="20"/>
          <w:szCs w:val="20"/>
          <w:color w:val="auto"/>
        </w:rPr>
      </w:pPr>
      <w:r>
        <w:rPr>
          <w:rFonts w:ascii="Arial" w:cs="Arial" w:eastAsia="Arial" w:hAnsi="Arial"/>
          <w:sz w:val="16"/>
          <w:szCs w:val="16"/>
          <w:color w:val="auto"/>
        </w:rPr>
        <w:t>We may instruct the Sales Agents not to sell our common stock if the sales cannot be effected at or above the price designated by us from time to time. We or the Sales Agents may suspend or terminate the offering of our common stock upon notice and subject to other conditions.</w:t>
      </w:r>
    </w:p>
    <w:p>
      <w:pPr>
        <w:spacing w:after="0" w:line="95" w:lineRule="exact"/>
        <w:rPr>
          <w:sz w:val="20"/>
          <w:szCs w:val="20"/>
          <w:color w:val="auto"/>
        </w:rPr>
      </w:pPr>
    </w:p>
    <w:p>
      <w:pPr>
        <w:ind w:left="1160" w:right="699" w:firstLine="335"/>
        <w:spacing w:after="0" w:line="266" w:lineRule="auto"/>
        <w:rPr>
          <w:sz w:val="20"/>
          <w:szCs w:val="20"/>
          <w:color w:val="auto"/>
        </w:rPr>
      </w:pPr>
      <w:r>
        <w:rPr>
          <w:rFonts w:ascii="Arial" w:cs="Arial" w:eastAsia="Arial" w:hAnsi="Arial"/>
          <w:sz w:val="16"/>
          <w:szCs w:val="16"/>
          <w:color w:val="auto"/>
        </w:rPr>
        <w:t>We will pay the Sales Agents commissions, in cash, for their services for acting as Sales Agents in the sale of our common stock. The aggregate compensation payable to the Sales Agents will be 3.0% of the gross sales price of shares sold pursuant to the Sales Agreement. We will also reimburse the Sales Agents up to $75,000 for their fees and expenses incurred in connection with the establishment of this offering program and $25,000 on each “Representation Date” as set forth in the Sales Agreement. In accordance with FINRA Rule 5110 these reimbursed fees and expenses are deemed sales compensation in connection with this offering. We estimate that the total expenses for the offering, excluding commissions and expense reimbursement payable to the Sales Agents under the terms of the sales agreement, will be approximately $250,000. Because there is no minimum offering amount required as a condition to this offering, the actual total public offering amount, commissions and proceeds to us, if any, are not determinable at this time.</w:t>
      </w:r>
    </w:p>
    <w:p>
      <w:pPr>
        <w:spacing w:after="0" w:line="97" w:lineRule="exact"/>
        <w:rPr>
          <w:sz w:val="20"/>
          <w:szCs w:val="20"/>
          <w:color w:val="auto"/>
        </w:rPr>
      </w:pPr>
    </w:p>
    <w:p>
      <w:pPr>
        <w:ind w:left="1160" w:right="699" w:firstLine="335"/>
        <w:spacing w:after="0" w:line="251" w:lineRule="auto"/>
        <w:rPr>
          <w:sz w:val="20"/>
          <w:szCs w:val="20"/>
          <w:color w:val="auto"/>
        </w:rPr>
      </w:pPr>
      <w:r>
        <w:rPr>
          <w:rFonts w:ascii="Arial" w:cs="Arial" w:eastAsia="Arial" w:hAnsi="Arial"/>
          <w:sz w:val="17"/>
          <w:szCs w:val="17"/>
          <w:color w:val="auto"/>
        </w:rPr>
        <w:t>Settlement for sales of shares of our common stock will occur on the second trading day following the date on which any sales are made (or such earlier day as is industry practice for regular-way trading), in return for payment of the net proceeds to us. Sales of our common stock as contemplated in this prospectus will be settled through the facilities of The Depository Trust Company or by such other means as we and the Sales Agents may agree upon. There is no arrangement for funds to be received in an escrow, trust or similar arrangement.</w:t>
      </w:r>
    </w:p>
    <w:p>
      <w:pPr>
        <w:spacing w:after="0" w:line="118" w:lineRule="exact"/>
        <w:rPr>
          <w:sz w:val="20"/>
          <w:szCs w:val="20"/>
          <w:color w:val="auto"/>
        </w:rPr>
      </w:pPr>
    </w:p>
    <w:p>
      <w:pPr>
        <w:ind w:left="1160" w:right="739" w:firstLine="335"/>
        <w:spacing w:after="0" w:line="250" w:lineRule="auto"/>
        <w:rPr>
          <w:sz w:val="20"/>
          <w:szCs w:val="20"/>
          <w:color w:val="auto"/>
        </w:rPr>
      </w:pPr>
      <w:r>
        <w:rPr>
          <w:rFonts w:ascii="Arial" w:cs="Arial" w:eastAsia="Arial" w:hAnsi="Arial"/>
          <w:sz w:val="17"/>
          <w:szCs w:val="17"/>
          <w:color w:val="auto"/>
        </w:rPr>
        <w:t>The Sales Agents will use their commercially reasonable efforts, consistent with their sales and trading practices, to solicit offers to purchase shares of our common stock under the terms and subject to the conditions set forth in the sales agreement. In connection with the sale of shares of our common stock on our behalf, each of the Sales Agents will be deemed to be an “underwriter” within the meaning of the Securities Act and the compensation of the Sales Agents may be deemed to be underwriting commissions or discounts. We have agreed to provide indemnification and contribution to the Sales Agents against certain civil liabilities, including liabilities under the Securities Act.</w:t>
      </w:r>
    </w:p>
    <w:p>
      <w:pPr>
        <w:spacing w:after="0" w:line="120" w:lineRule="exact"/>
        <w:rPr>
          <w:sz w:val="20"/>
          <w:szCs w:val="20"/>
          <w:color w:val="auto"/>
        </w:rPr>
      </w:pPr>
    </w:p>
    <w:p>
      <w:pPr>
        <w:ind w:left="1160" w:right="779" w:firstLine="335"/>
        <w:spacing w:after="0" w:line="254" w:lineRule="auto"/>
        <w:rPr>
          <w:sz w:val="20"/>
          <w:szCs w:val="20"/>
          <w:color w:val="auto"/>
        </w:rPr>
      </w:pPr>
      <w:r>
        <w:rPr>
          <w:rFonts w:ascii="Arial" w:cs="Arial" w:eastAsia="Arial" w:hAnsi="Arial"/>
          <w:sz w:val="17"/>
          <w:szCs w:val="17"/>
          <w:color w:val="auto"/>
        </w:rPr>
        <w:t>The offering pursuant to the sales agreement will terminate upon the earlier of (1) the sale of all shares of our common stock subject to the sales agreement or (2) the termination of the sales agreement as permitted therein. We and the Sales Agents may each terminate the sales agreement at any time upon ten days’ prior notice.</w:t>
      </w:r>
    </w:p>
    <w:p>
      <w:pPr>
        <w:spacing w:after="0" w:line="102" w:lineRule="exact"/>
        <w:rPr>
          <w:sz w:val="20"/>
          <w:szCs w:val="20"/>
          <w:color w:val="auto"/>
        </w:rPr>
      </w:pPr>
    </w:p>
    <w:p>
      <w:pPr>
        <w:ind w:left="1160" w:right="719" w:firstLine="335"/>
        <w:spacing w:after="0" w:line="275" w:lineRule="auto"/>
        <w:rPr>
          <w:sz w:val="20"/>
          <w:szCs w:val="20"/>
          <w:color w:val="auto"/>
        </w:rPr>
      </w:pPr>
      <w:r>
        <w:rPr>
          <w:rFonts w:ascii="Arial" w:cs="Arial" w:eastAsia="Arial" w:hAnsi="Arial"/>
          <w:sz w:val="16"/>
          <w:szCs w:val="16"/>
          <w:color w:val="auto"/>
        </w:rPr>
        <w:t>The Sales Agents and their affiliates may in the future provide various investment banking, commercial banking and other financial services for us and our affiliates, for which services they may in the future receive customary fees. To the extent required by Regulation M, the Sales Agents will not engage in any market making activities involving our common stock while the offering is ongoing under this prospectus.</w:t>
      </w:r>
    </w:p>
    <w:p>
      <w:pPr>
        <w:spacing w:after="0" w:line="99" w:lineRule="exact"/>
        <w:rPr>
          <w:sz w:val="20"/>
          <w:szCs w:val="20"/>
          <w:color w:val="auto"/>
        </w:rPr>
      </w:pPr>
    </w:p>
    <w:p>
      <w:pPr>
        <w:jc w:val="both"/>
        <w:ind w:left="1160" w:right="819" w:firstLine="335"/>
        <w:spacing w:after="0" w:line="257" w:lineRule="auto"/>
        <w:rPr>
          <w:sz w:val="20"/>
          <w:szCs w:val="20"/>
          <w:color w:val="auto"/>
        </w:rPr>
      </w:pPr>
      <w:r>
        <w:rPr>
          <w:rFonts w:ascii="Arial" w:cs="Arial" w:eastAsia="Arial" w:hAnsi="Arial"/>
          <w:sz w:val="17"/>
          <w:szCs w:val="17"/>
          <w:color w:val="auto"/>
        </w:rPr>
        <w:t>This prospectus and the accompanying base prospectus in electronic format may be made available on a website maintained by each of the Sales Agents and the Sales Agents may distribute this prospectus and the accompanying base prospectus electronically.</w:t>
      </w:r>
    </w:p>
    <w:p>
      <w:pPr>
        <w:spacing w:after="0" w:line="113" w:lineRule="exact"/>
        <w:rPr>
          <w:sz w:val="20"/>
          <w:szCs w:val="20"/>
          <w:color w:val="auto"/>
        </w:rPr>
      </w:pPr>
    </w:p>
    <w:p>
      <w:pPr>
        <w:ind w:left="1500" w:right="1119"/>
        <w:spacing w:after="0" w:line="464" w:lineRule="auto"/>
        <w:rPr>
          <w:sz w:val="20"/>
          <w:szCs w:val="20"/>
          <w:color w:val="auto"/>
        </w:rPr>
      </w:pPr>
      <w:r>
        <w:rPr>
          <w:rFonts w:ascii="Arial" w:cs="Arial" w:eastAsia="Arial" w:hAnsi="Arial"/>
          <w:sz w:val="16"/>
          <w:szCs w:val="16"/>
          <w:color w:val="auto"/>
        </w:rPr>
        <w:t>Our common stock is listed on The Nasdaq Global Market and trades under the symbol “MRKR.” The transfer agent of our common stock is American Stock Transfer &amp; Company, LLC.</w:t>
      </w:r>
    </w:p>
    <w:p>
      <w:pPr>
        <w:spacing w:after="0" w:line="19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3" w:name="page54"/>
    <w:bookmarkEnd w:id="53"/>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LEGAL MATTERS</w:t>
      </w:r>
    </w:p>
    <w:p>
      <w:pPr>
        <w:spacing w:after="0" w:line="135" w:lineRule="exact"/>
        <w:rPr>
          <w:sz w:val="20"/>
          <w:szCs w:val="20"/>
          <w:color w:val="auto"/>
        </w:rPr>
      </w:pPr>
    </w:p>
    <w:p>
      <w:pPr>
        <w:ind w:left="1160" w:right="739" w:firstLine="335"/>
        <w:spacing w:after="0" w:line="257" w:lineRule="auto"/>
        <w:rPr>
          <w:sz w:val="20"/>
          <w:szCs w:val="20"/>
          <w:color w:val="auto"/>
        </w:rPr>
      </w:pPr>
      <w:r>
        <w:rPr>
          <w:rFonts w:ascii="Arial" w:cs="Arial" w:eastAsia="Arial" w:hAnsi="Arial"/>
          <w:sz w:val="17"/>
          <w:szCs w:val="17"/>
          <w:color w:val="auto"/>
        </w:rPr>
        <w:t>The validity of the securities offered by this prospectus will be passed upon by Cooley LLP, New York, New York. Covington &amp; Burling LLP, New York, New York, is counsel to Cantor Fitzgerald &amp; Co. and RBC Capital Markets, LLC in connection with this offering.</w:t>
      </w:r>
    </w:p>
    <w:p>
      <w:pPr>
        <w:spacing w:after="0" w:line="17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EXPERTS</w:t>
      </w:r>
    </w:p>
    <w:p>
      <w:pPr>
        <w:spacing w:after="0" w:line="148" w:lineRule="exact"/>
        <w:rPr>
          <w:sz w:val="20"/>
          <w:szCs w:val="20"/>
          <w:color w:val="auto"/>
        </w:rPr>
      </w:pPr>
    </w:p>
    <w:p>
      <w:pPr>
        <w:ind w:left="1160" w:right="859" w:firstLine="335"/>
        <w:spacing w:after="0" w:line="252" w:lineRule="auto"/>
        <w:rPr>
          <w:sz w:val="20"/>
          <w:szCs w:val="20"/>
          <w:color w:val="auto"/>
        </w:rPr>
      </w:pPr>
      <w:r>
        <w:rPr>
          <w:rFonts w:ascii="Arial" w:cs="Arial" w:eastAsia="Arial" w:hAnsi="Arial"/>
          <w:sz w:val="17"/>
          <w:szCs w:val="17"/>
          <w:color w:val="auto"/>
        </w:rPr>
        <w:t>Marcum LLP, independent registered public accounting firm, has audited our consolidated financial statements as of and for the years ended December 31, 2020 and 2019, as set forth in its report included in our 2020 Annual Report on Form 10-K. Our 2020 and 2019 financial statements are incorporated by reference in reliance on Marcum LLP’s report, given on their authority as experts in accounting and auditing.</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WHERE YOU CAN FIND MORE INFORMATION</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Arial" w:cs="Arial" w:eastAsia="Arial" w:hAnsi="Arial"/>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08" w:lineRule="exact"/>
        <w:rPr>
          <w:sz w:val="20"/>
          <w:szCs w:val="20"/>
          <w:color w:val="auto"/>
        </w:rPr>
      </w:pPr>
    </w:p>
    <w:p>
      <w:pPr>
        <w:ind w:left="1160" w:right="759" w:firstLine="335"/>
        <w:spacing w:after="0" w:line="281"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issuers, such as us, that file electronically with the SEC.</w:t>
      </w:r>
    </w:p>
    <w:p>
      <w:pPr>
        <w:spacing w:after="0" w:line="95" w:lineRule="exact"/>
        <w:rPr>
          <w:sz w:val="20"/>
          <w:szCs w:val="20"/>
          <w:color w:val="auto"/>
        </w:rPr>
      </w:pPr>
    </w:p>
    <w:p>
      <w:pPr>
        <w:ind w:left="1160" w:right="719" w:firstLine="335"/>
        <w:spacing w:after="0" w:line="254"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4" w:name="page55"/>
    <w:bookmarkEnd w:id="54"/>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INCORPORATION OF CERTAIN INFORMATION BY REFERENCE</w:t>
      </w:r>
    </w:p>
    <w:p>
      <w:pPr>
        <w:spacing w:after="0" w:line="135" w:lineRule="exact"/>
        <w:rPr>
          <w:sz w:val="20"/>
          <w:szCs w:val="20"/>
          <w:color w:val="auto"/>
        </w:rPr>
      </w:pPr>
    </w:p>
    <w:p>
      <w:pPr>
        <w:ind w:left="1160" w:right="719" w:firstLine="335"/>
        <w:spacing w:after="0" w:line="252"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documents are incorporated by reference into this document:</w:t>
      </w:r>
    </w:p>
    <w:p>
      <w:pPr>
        <w:spacing w:after="0" w:line="106" w:lineRule="exact"/>
        <w:rPr>
          <w:sz w:val="20"/>
          <w:szCs w:val="20"/>
          <w:color w:val="auto"/>
        </w:rPr>
      </w:pPr>
    </w:p>
    <w:p>
      <w:pPr>
        <w:ind w:left="1660" w:right="699" w:hanging="161"/>
        <w:spacing w:after="0" w:line="268" w:lineRule="auto"/>
        <w:tabs>
          <w:tab w:leader="none" w:pos="1660" w:val="left"/>
        </w:tabs>
        <w:numPr>
          <w:ilvl w:val="0"/>
          <w:numId w:val="39"/>
        </w:numPr>
        <w:rPr>
          <w:rFonts w:ascii="Arial" w:cs="Arial" w:eastAsia="Arial" w:hAnsi="Arial"/>
          <w:sz w:val="17"/>
          <w:szCs w:val="17"/>
          <w:u w:val="single" w:color="auto"/>
          <w:color w:val="0000EE"/>
        </w:rPr>
      </w:pPr>
      <w:hyperlink r:id="rId37">
        <w:r>
          <w:rPr>
            <w:rFonts w:ascii="Arial" w:cs="Arial" w:eastAsia="Arial" w:hAnsi="Arial"/>
            <w:sz w:val="17"/>
            <w:szCs w:val="17"/>
            <w:u w:val="single" w:color="auto"/>
            <w:color w:val="0000EE"/>
          </w:rPr>
          <w:t>our Annual Report on Form 10-K for the fiscal year ended December 31, 2020, filed with the SEC on</w:t>
        </w:r>
      </w:hyperlink>
      <w:r>
        <w:rPr>
          <w:rFonts w:ascii="Arial" w:cs="Arial" w:eastAsia="Arial" w:hAnsi="Arial"/>
          <w:sz w:val="17"/>
          <w:szCs w:val="17"/>
          <w:u w:val="single" w:color="auto"/>
          <w:color w:val="0000EE"/>
        </w:rPr>
        <w:t xml:space="preserve"> </w:t>
      </w:r>
      <w:hyperlink r:id="rId37">
        <w:r>
          <w:rPr>
            <w:rFonts w:ascii="Arial" w:cs="Arial" w:eastAsia="Arial" w:hAnsi="Arial"/>
            <w:sz w:val="17"/>
            <w:szCs w:val="17"/>
            <w:u w:val="single" w:color="auto"/>
            <w:color w:val="0000EE"/>
          </w:rPr>
          <w:t>March 9, 2021;</w:t>
        </w:r>
      </w:hyperlink>
    </w:p>
    <w:p>
      <w:pPr>
        <w:spacing w:after="0" w:line="66" w:lineRule="exact"/>
        <w:rPr>
          <w:rFonts w:ascii="Arial" w:cs="Arial" w:eastAsia="Arial" w:hAnsi="Arial"/>
          <w:sz w:val="17"/>
          <w:szCs w:val="17"/>
          <w:u w:val="single" w:color="auto"/>
          <w:color w:val="0000EE"/>
        </w:rPr>
      </w:pPr>
    </w:p>
    <w:p>
      <w:pPr>
        <w:ind w:left="1660" w:right="739" w:hanging="161"/>
        <w:spacing w:after="0" w:line="257" w:lineRule="auto"/>
        <w:tabs>
          <w:tab w:leader="none" w:pos="1660" w:val="left"/>
        </w:tabs>
        <w:numPr>
          <w:ilvl w:val="0"/>
          <w:numId w:val="39"/>
        </w:numPr>
        <w:rPr>
          <w:rFonts w:ascii="Arial" w:cs="Arial" w:eastAsia="Arial" w:hAnsi="Arial"/>
          <w:sz w:val="17"/>
          <w:szCs w:val="17"/>
          <w:color w:val="0000EE"/>
        </w:rPr>
      </w:pPr>
      <w:hyperlink r:id="rId37">
        <w:r>
          <w:rPr>
            <w:rFonts w:ascii="Arial" w:cs="Arial" w:eastAsia="Arial" w:hAnsi="Arial"/>
            <w:sz w:val="17"/>
            <w:szCs w:val="17"/>
            <w:u w:val="single" w:color="auto"/>
            <w:color w:val="0000EE"/>
          </w:rPr>
          <w:t>the information specifically incorporated by reference into our Annual Report on Form 10-K for the</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year ended December 31, 2020</w:t>
        </w:r>
        <w:r>
          <w:rPr>
            <w:rFonts w:ascii="Arial" w:cs="Arial" w:eastAsia="Arial" w:hAnsi="Arial"/>
            <w:sz w:val="17"/>
            <w:szCs w:val="17"/>
            <w:color w:val="0000EE"/>
          </w:rPr>
          <w:t xml:space="preserve"> </w:t>
        </w:r>
        <w:r>
          <w:rPr>
            <w:rFonts w:ascii="Arial" w:cs="Arial" w:eastAsia="Arial" w:hAnsi="Arial"/>
            <w:sz w:val="17"/>
            <w:szCs w:val="17"/>
            <w:color w:val="000000"/>
          </w:rPr>
          <w:t>from</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our Definitive Proxy Statement on Schedule 14A, filed with the</w:t>
        </w:r>
      </w:hyperlink>
      <w:r>
        <w:rPr>
          <w:rFonts w:ascii="Arial" w:cs="Arial" w:eastAsia="Arial" w:hAnsi="Arial"/>
          <w:sz w:val="17"/>
          <w:szCs w:val="17"/>
          <w:color w:val="0000EE"/>
        </w:rPr>
        <w:t xml:space="preserve"> </w:t>
      </w:r>
      <w:hyperlink r:id="rId60">
        <w:r>
          <w:rPr>
            <w:rFonts w:ascii="Arial" w:cs="Arial" w:eastAsia="Arial" w:hAnsi="Arial"/>
            <w:sz w:val="17"/>
            <w:szCs w:val="17"/>
            <w:u w:val="single" w:color="auto"/>
            <w:color w:val="0000EE"/>
          </w:rPr>
          <w:t>SEC on April 23, 2021,</w:t>
        </w:r>
        <w:r>
          <w:rPr>
            <w:rFonts w:ascii="Arial" w:cs="Arial" w:eastAsia="Arial" w:hAnsi="Arial"/>
            <w:sz w:val="17"/>
            <w:szCs w:val="17"/>
            <w:color w:val="0000EE"/>
          </w:rPr>
          <w:t xml:space="preserve"> </w:t>
        </w:r>
        <w:r>
          <w:rPr>
            <w:rFonts w:ascii="Arial" w:cs="Arial" w:eastAsia="Arial" w:hAnsi="Arial"/>
            <w:sz w:val="17"/>
            <w:szCs w:val="17"/>
            <w:color w:val="000000"/>
          </w:rPr>
          <w:t>as supplemented on</w:t>
        </w:r>
        <w:r>
          <w:rPr>
            <w:rFonts w:ascii="Arial" w:cs="Arial" w:eastAsia="Arial" w:hAnsi="Arial"/>
            <w:sz w:val="17"/>
            <w:szCs w:val="17"/>
            <w:color w:val="0000EE"/>
          </w:rPr>
          <w:t xml:space="preserve"> </w:t>
        </w:r>
      </w:hyperlink>
      <w:hyperlink r:id="rId61">
        <w:r>
          <w:rPr>
            <w:rFonts w:ascii="Arial" w:cs="Arial" w:eastAsia="Arial" w:hAnsi="Arial"/>
            <w:sz w:val="17"/>
            <w:szCs w:val="17"/>
            <w:u w:val="single" w:color="auto"/>
            <w:color w:val="0000EE"/>
          </w:rPr>
          <w:t>May 5, 2021</w:t>
        </w:r>
      </w:hyperlink>
      <w:hyperlink r:id="rId60">
        <w:r>
          <w:rPr>
            <w:rFonts w:ascii="Arial" w:cs="Arial" w:eastAsia="Arial" w:hAnsi="Arial"/>
            <w:sz w:val="17"/>
            <w:szCs w:val="17"/>
            <w:color w:val="000000"/>
          </w:rPr>
          <w:t>;</w:t>
        </w:r>
      </w:hyperlink>
    </w:p>
    <w:p>
      <w:pPr>
        <w:spacing w:after="0" w:line="75" w:lineRule="exact"/>
        <w:rPr>
          <w:rFonts w:ascii="Arial" w:cs="Arial" w:eastAsia="Arial" w:hAnsi="Arial"/>
          <w:sz w:val="17"/>
          <w:szCs w:val="17"/>
          <w:color w:val="0000EE"/>
        </w:rPr>
      </w:pPr>
    </w:p>
    <w:p>
      <w:pPr>
        <w:ind w:left="1660" w:right="719" w:hanging="161"/>
        <w:spacing w:after="0" w:line="268" w:lineRule="auto"/>
        <w:tabs>
          <w:tab w:leader="none" w:pos="1660" w:val="left"/>
        </w:tabs>
        <w:numPr>
          <w:ilvl w:val="0"/>
          <w:numId w:val="39"/>
        </w:numPr>
        <w:rPr>
          <w:rFonts w:ascii="Arial" w:cs="Arial" w:eastAsia="Arial" w:hAnsi="Arial"/>
          <w:sz w:val="17"/>
          <w:szCs w:val="17"/>
          <w:color w:val="0000EE"/>
        </w:rPr>
      </w:pPr>
      <w:hyperlink r:id="rId62">
        <w:r>
          <w:rPr>
            <w:rFonts w:ascii="Arial" w:cs="Arial" w:eastAsia="Arial" w:hAnsi="Arial"/>
            <w:sz w:val="17"/>
            <w:szCs w:val="17"/>
            <w:u w:val="single" w:color="auto"/>
            <w:color w:val="0000EE"/>
          </w:rPr>
          <w:t>our Quarterly Reports on Form 10-Q for the fiscal quarters ended March 31, 2021</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63">
        <w:r>
          <w:rPr>
            <w:rFonts w:ascii="Arial" w:cs="Arial" w:eastAsia="Arial" w:hAnsi="Arial"/>
            <w:sz w:val="17"/>
            <w:szCs w:val="17"/>
            <w:u w:val="single" w:color="auto"/>
            <w:color w:val="0000EE"/>
          </w:rPr>
          <w:t>June 30,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filed with the SEC on May 12, 2021 and August 10, 2021, respectively;</w:t>
      </w:r>
    </w:p>
    <w:p>
      <w:pPr>
        <w:spacing w:after="0" w:line="66" w:lineRule="exact"/>
        <w:rPr>
          <w:rFonts w:ascii="Arial" w:cs="Arial" w:eastAsia="Arial" w:hAnsi="Arial"/>
          <w:sz w:val="17"/>
          <w:szCs w:val="17"/>
          <w:color w:val="0000EE"/>
        </w:rPr>
      </w:pPr>
    </w:p>
    <w:p>
      <w:pPr>
        <w:ind w:left="1660" w:hanging="161"/>
        <w:spacing w:after="0"/>
        <w:tabs>
          <w:tab w:leader="none" w:pos="1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64">
        <w:r>
          <w:rPr>
            <w:rFonts w:ascii="Arial" w:cs="Arial" w:eastAsia="Arial" w:hAnsi="Arial"/>
            <w:sz w:val="16"/>
            <w:szCs w:val="16"/>
            <w:u w:val="single" w:color="auto"/>
            <w:color w:val="0000EE"/>
          </w:rPr>
          <w:t>March 16,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65">
        <w:r>
          <w:rPr>
            <w:rFonts w:ascii="Arial" w:cs="Arial" w:eastAsia="Arial" w:hAnsi="Arial"/>
            <w:sz w:val="16"/>
            <w:szCs w:val="16"/>
            <w:u w:val="single" w:color="auto"/>
            <w:color w:val="0000EE"/>
          </w:rPr>
          <w:t>June 11, 2021</w:t>
        </w:r>
      </w:hyperlink>
      <w:r>
        <w:rPr>
          <w:rFonts w:ascii="Arial" w:cs="Arial" w:eastAsia="Arial" w:hAnsi="Arial"/>
          <w:sz w:val="16"/>
          <w:szCs w:val="16"/>
          <w:color w:val="auto"/>
        </w:rPr>
        <w:t>; and</w:t>
      </w:r>
    </w:p>
    <w:p>
      <w:pPr>
        <w:spacing w:after="0" w:line="117" w:lineRule="exact"/>
        <w:rPr>
          <w:rFonts w:ascii="Arial" w:cs="Arial" w:eastAsia="Arial" w:hAnsi="Arial"/>
          <w:sz w:val="16"/>
          <w:szCs w:val="16"/>
          <w:color w:val="auto"/>
        </w:rPr>
      </w:pPr>
    </w:p>
    <w:p>
      <w:pPr>
        <w:ind w:left="1660" w:right="719" w:hanging="161"/>
        <w:spacing w:after="0" w:line="254" w:lineRule="auto"/>
        <w:tabs>
          <w:tab w:leader="none" w:pos="1660" w:val="left"/>
        </w:tabs>
        <w:numPr>
          <w:ilvl w:val="0"/>
          <w:numId w:val="39"/>
        </w:numPr>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the description of our common stock set forth in the amendment to the registration statement on</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Form 8-A registering our common stock under Section 12 of the Exchange Act, which was filed with</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the SEC on October 17, 2018, including any amendments or reports filed for purposes of updating</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such description.</w:t>
        </w:r>
      </w:hyperlink>
    </w:p>
    <w:p>
      <w:pPr>
        <w:spacing w:after="0" w:line="115" w:lineRule="exact"/>
        <w:rPr>
          <w:rFonts w:ascii="Arial" w:cs="Arial" w:eastAsia="Arial" w:hAnsi="Arial"/>
          <w:sz w:val="17"/>
          <w:szCs w:val="17"/>
          <w:u w:val="single" w:color="auto"/>
          <w:color w:val="0000EE"/>
        </w:rPr>
      </w:pPr>
    </w:p>
    <w:p>
      <w:pPr>
        <w:ind w:left="1160" w:right="799" w:firstLine="335"/>
        <w:spacing w:after="0" w:line="267"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Arial" w:cs="Arial" w:eastAsia="Arial" w:hAnsi="Arial"/>
          <w:sz w:val="17"/>
          <w:szCs w:val="17"/>
          <w:u w:val="single" w:color="auto"/>
          <w:color w:val="0000EE"/>
        </w:rPr>
      </w:pPr>
    </w:p>
    <w:p>
      <w:pPr>
        <w:ind w:left="1160" w:right="779" w:firstLine="4"/>
        <w:spacing w:after="0" w:line="269" w:lineRule="auto"/>
        <w:tabs>
          <w:tab w:leader="none" w:pos="13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93" w:lineRule="exact"/>
        <w:rPr>
          <w:rFonts w:ascii="Arial" w:cs="Arial" w:eastAsia="Arial" w:hAnsi="Arial"/>
          <w:sz w:val="17"/>
          <w:szCs w:val="17"/>
          <w:u w:val="single" w:color="auto"/>
          <w:color w:val="0000EE"/>
        </w:rPr>
      </w:pPr>
    </w:p>
    <w:p>
      <w:pPr>
        <w:ind w:left="1160" w:right="779" w:firstLine="335"/>
        <w:spacing w:after="0" w:line="251"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2500, Houston, Texas 77027, and our telephone number is (713) 400-6400.</w:t>
      </w:r>
    </w:p>
    <w:p>
      <w:pPr>
        <w:spacing w:after="0" w:line="118" w:lineRule="exact"/>
        <w:rPr>
          <w:rFonts w:ascii="Arial" w:cs="Arial" w:eastAsia="Arial" w:hAnsi="Arial"/>
          <w:sz w:val="17"/>
          <w:szCs w:val="17"/>
          <w:u w:val="single" w:color="auto"/>
          <w:color w:val="0000EE"/>
        </w:rPr>
      </w:pPr>
    </w:p>
    <w:p>
      <w:pPr>
        <w:ind w:left="1160" w:right="919" w:firstLine="335"/>
        <w:spacing w:after="0" w:line="252" w:lineRule="auto"/>
        <w:rPr>
          <w:sz w:val="20"/>
          <w:szCs w:val="20"/>
          <w:color w:val="auto"/>
        </w:rPr>
      </w:pPr>
      <w:r>
        <w:rPr>
          <w:rFonts w:ascii="Arial" w:cs="Arial" w:eastAsia="Arial" w:hAnsi="Arial"/>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78" w:lineRule="exact"/>
        <w:rPr>
          <w:rFonts w:ascii="Arial" w:cs="Arial" w:eastAsia="Arial" w:hAnsi="Arial"/>
          <w:sz w:val="17"/>
          <w:szCs w:val="17"/>
          <w:u w:val="single" w:color="auto"/>
          <w:color w:val="0000EE"/>
        </w:rPr>
      </w:pPr>
    </w:p>
    <w:p>
      <w:pPr>
        <w:jc w:val="center"/>
        <w:ind w:right="-420"/>
        <w:spacing w:after="0"/>
        <w:rPr>
          <w:sz w:val="20"/>
          <w:szCs w:val="20"/>
          <w:color w:val="auto"/>
        </w:rPr>
      </w:pPr>
      <w:r>
        <w:rPr>
          <w:rFonts w:ascii="Arial" w:cs="Arial" w:eastAsia="Arial" w:hAnsi="Arial"/>
          <w:sz w:val="17"/>
          <w:szCs w:val="17"/>
          <w:color w:val="auto"/>
        </w:rPr>
        <w:t>S-18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5" w:name="page56"/>
    <w:bookmarkEnd w:id="55"/>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285115</wp:posOffset>
            </wp:positionV>
            <wp:extent cx="485140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4851400" cy="2413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340995</wp:posOffset>
            </wp:positionV>
            <wp:extent cx="4851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4851400" cy="825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Arial" w:cs="Arial" w:eastAsia="Arial" w:hAnsi="Arial"/>
          <w:sz w:val="23"/>
          <w:szCs w:val="23"/>
          <w:b w:val="1"/>
          <w:bCs w:val="1"/>
          <w:color w:val="auto"/>
        </w:rPr>
        <w:t>$75,000,000</w:t>
      </w:r>
    </w:p>
    <w:p>
      <w:pPr>
        <w:spacing w:after="0" w:line="200" w:lineRule="exact"/>
        <w:rPr>
          <w:sz w:val="20"/>
          <w:szCs w:val="20"/>
          <w:color w:val="auto"/>
        </w:rPr>
      </w:pPr>
    </w:p>
    <w:p>
      <w:pPr>
        <w:jc w:val="center"/>
        <w:ind w:right="-48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284480</wp:posOffset>
            </wp:positionV>
            <wp:extent cx="2657475" cy="726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65747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0"/>
        <w:spacing w:after="0"/>
        <w:tabs>
          <w:tab w:leader="none" w:pos="5540" w:val="left"/>
        </w:tabs>
        <w:rPr>
          <w:sz w:val="20"/>
          <w:szCs w:val="20"/>
          <w:color w:val="auto"/>
        </w:rPr>
      </w:pPr>
      <w:r>
        <w:rPr>
          <w:rFonts w:ascii="Arial" w:cs="Arial" w:eastAsia="Arial" w:hAnsi="Arial"/>
          <w:sz w:val="24"/>
          <w:szCs w:val="24"/>
          <w:b w:val="1"/>
          <w:bCs w:val="1"/>
          <w:color w:val="auto"/>
        </w:rPr>
        <w:t>Cantor</w:t>
      </w:r>
      <w:r>
        <w:rPr>
          <w:sz w:val="20"/>
          <w:szCs w:val="20"/>
          <w:color w:val="auto"/>
        </w:rPr>
        <w:tab/>
      </w:r>
      <w:r>
        <w:rPr>
          <w:rFonts w:ascii="Arial" w:cs="Arial" w:eastAsia="Arial" w:hAnsi="Arial"/>
          <w:sz w:val="24"/>
          <w:szCs w:val="24"/>
          <w:b w:val="1"/>
          <w:bCs w:val="1"/>
          <w:color w:val="auto"/>
        </w:rPr>
        <w:t>RBC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293370</wp:posOffset>
            </wp:positionV>
            <wp:extent cx="4851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4851400"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333375</wp:posOffset>
            </wp:positionV>
            <wp:extent cx="485140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4851400" cy="2413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575945</wp:posOffset>
            </wp:positionV>
            <wp:extent cx="63531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type w:val="continuous"/>
        </w:sectPr>
      </w:pPr>
    </w:p>
    <w:bookmarkStart w:id="56" w:name="page57"/>
    <w:bookmarkEnd w:id="56"/>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PART II</w:t>
      </w:r>
    </w:p>
    <w:p>
      <w:pPr>
        <w:spacing w:after="0" w:line="10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14.  Other Expenses of Issuance and Distribution</w:t>
      </w:r>
    </w:p>
    <w:p>
      <w:pPr>
        <w:spacing w:after="0" w:line="148" w:lineRule="exact"/>
        <w:rPr>
          <w:sz w:val="20"/>
          <w:szCs w:val="20"/>
          <w:color w:val="auto"/>
        </w:rPr>
      </w:pPr>
    </w:p>
    <w:p>
      <w:pPr>
        <w:ind w:left="1160" w:right="819" w:firstLine="335"/>
        <w:spacing w:after="0" w:line="242" w:lineRule="auto"/>
        <w:rPr>
          <w:sz w:val="20"/>
          <w:szCs w:val="20"/>
          <w:color w:val="auto"/>
        </w:rPr>
      </w:pPr>
      <w:r>
        <w:rPr>
          <w:rFonts w:ascii="Arial" w:cs="Arial" w:eastAsia="Arial" w:hAnsi="Arial"/>
          <w:sz w:val="17"/>
          <w:szCs w:val="17"/>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spacing w:after="0" w:line="130"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32,730</w:t>
            </w:r>
          </w:p>
        </w:tc>
      </w:tr>
      <w:tr>
        <w:trPr>
          <w:trHeight w:val="239"/>
        </w:trPr>
        <w:tc>
          <w:tcPr>
            <w:tcW w:w="3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320" w:type="dxa"/>
            <w:vAlign w:val="bottom"/>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3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Transfer agent fees and expenses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320" w:type="dxa"/>
            <w:vAlign w:val="bottom"/>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Trustee fees and expenses</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320" w:type="dxa"/>
            <w:vAlign w:val="bottom"/>
          </w:tcPr>
          <w:p>
            <w:pPr>
              <w:spacing w:after="0"/>
              <w:rPr>
                <w:sz w:val="21"/>
                <w:szCs w:val="21"/>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Printing and miscellaneous expenses</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5"/>
        </w:trPr>
        <w:tc>
          <w:tcPr>
            <w:tcW w:w="320" w:type="dxa"/>
            <w:vAlign w:val="bottom"/>
          </w:tcPr>
          <w:p>
            <w:pPr>
              <w:spacing w:after="0"/>
              <w:rPr>
                <w:sz w:val="23"/>
                <w:szCs w:val="23"/>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3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-270510</wp:posOffset>
            </wp:positionV>
            <wp:extent cx="40697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4069715" cy="8255"/>
                    </a:xfrm>
                    <a:prstGeom prst="rect">
                      <a:avLst/>
                    </a:prstGeom>
                    <a:noFill/>
                  </pic:spPr>
                </pic:pic>
              </a:graphicData>
            </a:graphic>
          </wp:anchor>
        </w:drawing>
      </w:r>
    </w:p>
    <w:p>
      <w:pPr>
        <w:spacing w:after="0" w:line="93" w:lineRule="exact"/>
        <w:rPr>
          <w:sz w:val="20"/>
          <w:szCs w:val="20"/>
          <w:color w:val="auto"/>
        </w:rPr>
      </w:pPr>
    </w:p>
    <w:p>
      <w:pPr>
        <w:ind w:left="1500" w:right="779" w:hanging="336"/>
        <w:spacing w:after="0" w:line="268" w:lineRule="auto"/>
        <w:tabs>
          <w:tab w:leader="none" w:pos="1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15.  Indemnification of Officers and Directors</w:t>
      </w:r>
    </w:p>
    <w:p>
      <w:pPr>
        <w:spacing w:after="0" w:line="135" w:lineRule="exact"/>
        <w:rPr>
          <w:sz w:val="20"/>
          <w:szCs w:val="20"/>
          <w:color w:val="auto"/>
        </w:rPr>
      </w:pPr>
    </w:p>
    <w:p>
      <w:pPr>
        <w:ind w:left="1160" w:right="719" w:firstLine="335"/>
        <w:spacing w:after="0" w:line="249" w:lineRule="auto"/>
        <w:rPr>
          <w:sz w:val="20"/>
          <w:szCs w:val="20"/>
          <w:color w:val="auto"/>
        </w:rPr>
      </w:pPr>
      <w:r>
        <w:rPr>
          <w:rFonts w:ascii="Arial" w:cs="Arial" w:eastAsia="Arial" w:hAnsi="Arial"/>
          <w:sz w:val="16"/>
          <w:szCs w:val="16"/>
          <w:color w:val="auto"/>
        </w:rPr>
        <w:t>We are incorporated under the laws of the State of Delaware. 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0" w:lineRule="exact"/>
        <w:rPr>
          <w:sz w:val="20"/>
          <w:szCs w:val="20"/>
          <w:color w:val="auto"/>
        </w:rPr>
      </w:pPr>
    </w:p>
    <w:p>
      <w:pPr>
        <w:ind w:left="1160" w:right="739" w:firstLine="335"/>
        <w:spacing w:after="0" w:line="24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0" w:lineRule="exact"/>
        <w:rPr>
          <w:sz w:val="20"/>
          <w:szCs w:val="20"/>
          <w:color w:val="auto"/>
        </w:rPr>
      </w:pPr>
    </w:p>
    <w:p>
      <w:pPr>
        <w:ind w:left="1160" w:right="759" w:firstLine="335"/>
        <w:spacing w:after="0" w:line="272" w:lineRule="auto"/>
        <w:rPr>
          <w:sz w:val="20"/>
          <w:szCs w:val="20"/>
          <w:color w:val="auto"/>
        </w:rPr>
      </w:pPr>
      <w:r>
        <w:rPr>
          <w:rFonts w:ascii="Arial" w:cs="Arial" w:eastAsia="Arial" w:hAnsi="Arial"/>
          <w:sz w:val="15"/>
          <w:szCs w:val="15"/>
          <w:color w:val="auto"/>
        </w:rPr>
        <w:t>Section 145 further provides that to the extent a director or officer of a corporation has been successful on the merits or otherwise in the defense of any action, suit or proceeding referred to in subsections (a) and</w:t>
      </w:r>
    </w:p>
    <w:p>
      <w:pPr>
        <w:ind w:left="1420" w:hanging="256"/>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 Section 145, or in defense of any claim, issue or matter therein, such person shall be indemnified</w:t>
      </w:r>
    </w:p>
    <w:p>
      <w:pPr>
        <w:spacing w:after="0" w:line="4" w:lineRule="exact"/>
        <w:rPr>
          <w:rFonts w:ascii="Arial" w:cs="Arial" w:eastAsia="Arial" w:hAnsi="Arial"/>
          <w:sz w:val="16"/>
          <w:szCs w:val="16"/>
          <w:color w:val="auto"/>
        </w:rPr>
      </w:pPr>
    </w:p>
    <w:p>
      <w:pPr>
        <w:ind w:left="1160" w:right="779"/>
        <w:spacing w:after="0" w:line="234" w:lineRule="auto"/>
        <w:rPr>
          <w:rFonts w:ascii="Arial" w:cs="Arial" w:eastAsia="Arial" w:hAnsi="Arial"/>
          <w:sz w:val="16"/>
          <w:szCs w:val="16"/>
          <w:color w:val="auto"/>
        </w:rPr>
      </w:pPr>
      <w:r>
        <w:rPr>
          <w:rFonts w:ascii="Arial" w:cs="Arial" w:eastAsia="Arial" w:hAnsi="Arial"/>
          <w:sz w:val="17"/>
          <w:szCs w:val="17"/>
          <w:color w:val="auto"/>
        </w:rPr>
        <w:t>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w:t>
      </w: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7" w:name="page58"/>
    <w:bookmarkEnd w:id="57"/>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699"/>
        <w:spacing w:after="0" w:line="268" w:lineRule="auto"/>
        <w:rPr>
          <w:sz w:val="20"/>
          <w:szCs w:val="20"/>
          <w:color w:val="auto"/>
        </w:rPr>
      </w:pPr>
      <w:r>
        <w:rPr>
          <w:rFonts w:ascii="Arial" w:cs="Arial" w:eastAsia="Arial" w:hAnsi="Arial"/>
          <w:sz w:val="16"/>
          <w:szCs w:val="16"/>
          <w:color w:val="auto"/>
        </w:rPr>
        <w:t>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95" w:lineRule="exact"/>
        <w:rPr>
          <w:sz w:val="20"/>
          <w:szCs w:val="20"/>
          <w:color w:val="auto"/>
        </w:rPr>
      </w:pPr>
    </w:p>
    <w:p>
      <w:pPr>
        <w:ind w:left="1160" w:right="759" w:firstLine="335"/>
        <w:spacing w:after="0" w:line="250" w:lineRule="auto"/>
        <w:rPr>
          <w:sz w:val="20"/>
          <w:szCs w:val="20"/>
          <w:color w:val="auto"/>
        </w:rPr>
      </w:pPr>
      <w:r>
        <w:rPr>
          <w:rFonts w:ascii="Arial" w:cs="Arial" w:eastAsia="Arial" w:hAnsi="Arial"/>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0" w:lineRule="exact"/>
        <w:rPr>
          <w:sz w:val="20"/>
          <w:szCs w:val="20"/>
          <w:color w:val="auto"/>
        </w:rPr>
      </w:pPr>
    </w:p>
    <w:p>
      <w:pPr>
        <w:ind w:left="1160" w:right="699" w:firstLine="335"/>
        <w:spacing w:after="0" w:line="265" w:lineRule="auto"/>
        <w:rPr>
          <w:sz w:val="20"/>
          <w:szCs w:val="20"/>
          <w:color w:val="auto"/>
        </w:rPr>
      </w:pPr>
      <w:r>
        <w:rPr>
          <w:rFonts w:ascii="Arial" w:cs="Arial" w:eastAsia="Arial" w:hAnsi="Arial"/>
          <w:sz w:val="16"/>
          <w:szCs w:val="16"/>
          <w:color w:val="auto"/>
        </w:rPr>
        <w:t>Our bylaws provide that we will indemnify each person made, or threatened to be made, a party to an action or proceeding by reason of the fact that he or she is or was a director or officer of our company, or a director officer of a predecessor corporation or of another corporation if such person served in such position at our request, against all expenses incurred in defending a criminal or civil action, suit or proceeding. Such expenses will be paid by us in advance of the final disposition of such action, suit or proceeding upon receipt of an undertaking by or on behalf of such director to repay any advanced amounts if it is ultimately determined that he or she is not entitled to indemnification as authorized by relevant section of the DGCL. We are not obligated to advance expenses to an agent who is a party to an action, suit or proceeding brought by us and approved by a majority of our board of directors alleging willful misappropriate of corporate assets by such agent, disclosure of confidential information in violation of such agent’s fiduciary or contractual obligations to us or any other willful and deliberate breach in bad faith of such agent’s duty to us or our stockholders.</w:t>
      </w:r>
    </w:p>
    <w:p>
      <w:pPr>
        <w:spacing w:after="0" w:line="113" w:lineRule="exact"/>
        <w:rPr>
          <w:sz w:val="20"/>
          <w:szCs w:val="20"/>
          <w:color w:val="auto"/>
        </w:rPr>
      </w:pPr>
    </w:p>
    <w:p>
      <w:pPr>
        <w:ind w:left="1160" w:right="739" w:firstLine="335"/>
        <w:spacing w:after="0" w:line="293" w:lineRule="auto"/>
        <w:rPr>
          <w:sz w:val="20"/>
          <w:szCs w:val="20"/>
          <w:color w:val="auto"/>
        </w:rPr>
      </w:pPr>
      <w:r>
        <w:rPr>
          <w:rFonts w:ascii="Arial" w:cs="Arial" w:eastAsia="Arial" w:hAnsi="Arial"/>
          <w:sz w:val="15"/>
          <w:szCs w:val="15"/>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78" w:lineRule="exact"/>
        <w:rPr>
          <w:sz w:val="20"/>
          <w:szCs w:val="20"/>
          <w:color w:val="auto"/>
        </w:rPr>
      </w:pPr>
    </w:p>
    <w:p>
      <w:pPr>
        <w:ind w:left="1160" w:right="859" w:firstLine="335"/>
        <w:spacing w:after="0" w:line="257" w:lineRule="auto"/>
        <w:rPr>
          <w:sz w:val="20"/>
          <w:szCs w:val="20"/>
          <w:color w:val="auto"/>
        </w:rPr>
      </w:pPr>
      <w:r>
        <w:rPr>
          <w:rFonts w:ascii="Arial" w:cs="Arial" w:eastAsia="Arial" w:hAnsi="Arial"/>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13" w:lineRule="exact"/>
        <w:rPr>
          <w:sz w:val="20"/>
          <w:szCs w:val="20"/>
          <w:color w:val="auto"/>
        </w:rPr>
      </w:pPr>
    </w:p>
    <w:p>
      <w:pPr>
        <w:ind w:left="1160" w:right="719" w:firstLine="335"/>
        <w:spacing w:after="0" w:line="248" w:lineRule="auto"/>
        <w:rPr>
          <w:sz w:val="20"/>
          <w:szCs w:val="20"/>
          <w:color w:val="auto"/>
        </w:rPr>
      </w:pPr>
      <w:r>
        <w:rPr>
          <w:rFonts w:ascii="Arial" w:cs="Arial" w:eastAsia="Arial" w:hAnsi="Arial"/>
          <w:sz w:val="17"/>
          <w:szCs w:val="17"/>
          <w:color w:val="auto"/>
        </w:rPr>
        <w:t>Pursuant to the terms of the Merger Agreement and subject to applicable law, from the effective time of the merger, or the Effective Time, through the sixth anniversary of the date on which the Effective Time occurs, we and TapImmune shall each jointly and severally indemnify and hold harmless each person who is, or has been at any time prior to the date thereof, or who became prior to the Effective Time, a director or officer of TapImmune or Private Marker, respectively, against all costs incurred in connection with any claim, action, suit, proceeding or investigation, whether civil, criminal, administrative or investigative, arising out of or pertaining to the fact that such person is or was a director or officer of TapImmune or Private Marker, whether asserted or claimed prior to, at or after the Effective Time, in each case, to the fullest extent permitted under the DGCL for directors or officers of Delaware corporations, provided that any such person to whom expenses are advanced provides an undertaking, as applicable, to the extent then required by the DGCL, to repay such advances if it is ultimately determined that such person is not entitled to indemnification.</w:t>
      </w:r>
    </w:p>
    <w:p>
      <w:pPr>
        <w:spacing w:after="0" w:line="127" w:lineRule="exact"/>
        <w:rPr>
          <w:sz w:val="20"/>
          <w:szCs w:val="20"/>
          <w:color w:val="auto"/>
        </w:rPr>
      </w:pPr>
    </w:p>
    <w:p>
      <w:pPr>
        <w:ind w:left="1160" w:right="739" w:firstLine="335"/>
        <w:spacing w:after="0" w:line="271" w:lineRule="auto"/>
        <w:rPr>
          <w:sz w:val="20"/>
          <w:szCs w:val="20"/>
          <w:color w:val="auto"/>
        </w:rPr>
      </w:pPr>
      <w:r>
        <w:rPr>
          <w:rFonts w:ascii="Arial" w:cs="Arial" w:eastAsia="Arial" w:hAnsi="Arial"/>
          <w:sz w:val="16"/>
          <w:szCs w:val="16"/>
          <w:color w:val="auto"/>
        </w:rPr>
        <w:t>Further, pursuant to the Merger Agreement, the provisions of our certificate of incorporation and our bylaws shall contain provisions no less favorable with respect to indemnification, advancement of expenses and exculpation of present and former directors and officers of each of TapImmune and Private Marker than were set forth in the certificate of incorporation and bylaws of TapImmune and Private Marker, as applicable, and such provisions shall not be amended, modified or repealed for a period of six years from</w:t>
      </w:r>
    </w:p>
    <w:p>
      <w:pPr>
        <w:spacing w:after="0" w:line="33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8" w:name="page59"/>
    <w:bookmarkEnd w:id="58"/>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60" w:right="939"/>
        <w:spacing w:after="0" w:line="253" w:lineRule="auto"/>
        <w:rPr>
          <w:sz w:val="20"/>
          <w:szCs w:val="20"/>
          <w:color w:val="auto"/>
        </w:rPr>
      </w:pPr>
      <w:r>
        <w:rPr>
          <w:rFonts w:ascii="Arial" w:cs="Arial" w:eastAsia="Arial" w:hAnsi="Arial"/>
          <w:sz w:val="17"/>
          <w:szCs w:val="17"/>
          <w:color w:val="auto"/>
        </w:rPr>
        <w:t>the Effective Time in a manner that would adversely affect the rights thereunder of individuals who, at or prior to the Effective Time, were officers or directors of TapImmune or Private Marker.</w:t>
      </w:r>
    </w:p>
    <w:p>
      <w:pPr>
        <w:spacing w:after="0" w:line="91" w:lineRule="exact"/>
        <w:rPr>
          <w:sz w:val="20"/>
          <w:szCs w:val="20"/>
          <w:color w:val="auto"/>
        </w:rPr>
      </w:pPr>
    </w:p>
    <w:p>
      <w:pPr>
        <w:ind w:left="1160" w:right="739" w:firstLine="335"/>
        <w:spacing w:after="0" w:line="236" w:lineRule="auto"/>
        <w:rPr>
          <w:sz w:val="20"/>
          <w:szCs w:val="20"/>
          <w:color w:val="auto"/>
        </w:rPr>
      </w:pPr>
      <w:r>
        <w:rPr>
          <w:rFonts w:ascii="Arial" w:cs="Arial" w:eastAsia="Arial" w:hAnsi="Arial"/>
          <w:sz w:val="17"/>
          <w:szCs w:val="17"/>
          <w:color w:val="auto"/>
        </w:rPr>
        <w:t>We shall pay all expenses, including reasonable attorneys’ fees, that are incurred by indemnified persons in connection with their enforcement of the rights provided to such persons in the Merger Agreement. The director and officer indemnification provisions of the Merger Agreement are intended to be in addition to the rights otherwise available to the former officers and directors of TapImmune and Private Marker by law, charter, statute, bylaw or agreement, and shall operate for the benefit of, and shall be enforceable by, each of such indemnified persons, their heirs and their representatives.</w:t>
      </w:r>
    </w:p>
    <w:p>
      <w:pPr>
        <w:spacing w:after="0" w:line="116" w:lineRule="exact"/>
        <w:rPr>
          <w:sz w:val="20"/>
          <w:szCs w:val="20"/>
          <w:color w:val="auto"/>
        </w:rPr>
      </w:pPr>
    </w:p>
    <w:p>
      <w:pPr>
        <w:ind w:left="1160" w:right="699" w:firstLine="335"/>
        <w:spacing w:after="0" w:line="237" w:lineRule="auto"/>
        <w:rPr>
          <w:sz w:val="20"/>
          <w:szCs w:val="20"/>
          <w:color w:val="auto"/>
        </w:rPr>
      </w:pPr>
      <w:r>
        <w:rPr>
          <w:rFonts w:ascii="Arial" w:cs="Arial" w:eastAsia="Arial" w:hAnsi="Arial"/>
          <w:sz w:val="17"/>
          <w:szCs w:val="17"/>
          <w:color w:val="auto"/>
        </w:rPr>
        <w:t>In the event we or TapImmune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our successors and assigns shall succeed to the indemnification obligations set forth in the Merger Agreement.</w:t>
      </w:r>
    </w:p>
    <w:p>
      <w:pPr>
        <w:spacing w:after="0" w:line="116" w:lineRule="exact"/>
        <w:rPr>
          <w:sz w:val="20"/>
          <w:szCs w:val="20"/>
          <w:color w:val="auto"/>
        </w:rPr>
      </w:pPr>
    </w:p>
    <w:p>
      <w:pPr>
        <w:ind w:left="1160" w:right="759" w:firstLine="335"/>
        <w:spacing w:after="0" w:line="239" w:lineRule="auto"/>
        <w:rPr>
          <w:sz w:val="20"/>
          <w:szCs w:val="20"/>
          <w:color w:val="auto"/>
        </w:rPr>
      </w:pPr>
      <w:r>
        <w:rPr>
          <w:rFonts w:ascii="Arial" w:cs="Arial" w:eastAsia="Arial" w:hAnsi="Arial"/>
          <w:sz w:val="17"/>
          <w:szCs w:val="17"/>
          <w:color w:val="auto"/>
        </w:rPr>
        <w:t>The underwriting or sales agreement, if any, entered into with respect to an offering of securities registered hereunder will provide for indemnification by any underwriters of any offering, our directors and officers who sign the registration statement and our controlling persons for some liabilities, including liabilities arising under the Securities Act.</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65"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620" w:type="dxa"/>
            <w:vAlign w:val="bottom"/>
          </w:tcPr>
          <w:p>
            <w:pPr>
              <w:jc w:val="right"/>
              <w:ind w:right="58"/>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0" w:type="dxa"/>
            <w:vAlign w:val="bottom"/>
            <w:gridSpan w:val="18"/>
          </w:tcPr>
          <w:p>
            <w:pPr>
              <w:ind w:left="60"/>
              <w:spacing w:after="0"/>
              <w:rPr>
                <w:sz w:val="20"/>
                <w:szCs w:val="20"/>
                <w:color w:val="auto"/>
              </w:rPr>
            </w:pPr>
            <w:r>
              <w:rPr>
                <w:rFonts w:ascii="Arial" w:cs="Arial" w:eastAsia="Arial" w:hAnsi="Arial"/>
                <w:sz w:val="13"/>
                <w:szCs w:val="13"/>
                <w:b w:val="1"/>
                <w:bCs w:val="1"/>
                <w:color w:val="auto"/>
              </w:rPr>
              <w:t>Description of Document</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6900" w:type="dxa"/>
            <w:vAlign w:val="bottom"/>
            <w:gridSpan w:val="24"/>
          </w:tcPr>
          <w:p>
            <w:pPr>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135"/>
        </w:trPr>
        <w:tc>
          <w:tcPr>
            <w:tcW w:w="620" w:type="dxa"/>
            <w:vAlign w:val="bottom"/>
            <w:vMerge w:val="restart"/>
          </w:tcPr>
          <w:p>
            <w:pPr>
              <w:jc w:val="right"/>
              <w:ind w:right="98"/>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1"/>
                <w:szCs w:val="11"/>
                <w:color w:val="auto"/>
              </w:rPr>
            </w:pPr>
          </w:p>
        </w:tc>
        <w:tc>
          <w:tcPr>
            <w:tcW w:w="1900" w:type="dxa"/>
            <w:vAlign w:val="bottom"/>
            <w:gridSpan w:val="3"/>
            <w:vMerge w:val="restart"/>
          </w:tcPr>
          <w:p>
            <w:pPr>
              <w:spacing w:after="0"/>
              <w:rPr>
                <w:rFonts w:ascii="Arial" w:cs="Arial" w:eastAsia="Arial" w:hAnsi="Arial"/>
                <w:sz w:val="17"/>
                <w:szCs w:val="17"/>
                <w:color w:val="0000EE"/>
                <w:w w:val="96"/>
              </w:rPr>
            </w:pPr>
            <w:hyperlink w:anchor="page63">
              <w:r>
                <w:rPr>
                  <w:rFonts w:ascii="Arial" w:cs="Arial" w:eastAsia="Arial" w:hAnsi="Arial"/>
                  <w:sz w:val="17"/>
                  <w:szCs w:val="17"/>
                  <w:color w:val="0000EE"/>
                  <w:w w:val="96"/>
                </w:rPr>
                <w:t>Controlled Equity Offering</w:t>
              </w:r>
            </w:hyperlink>
          </w:p>
        </w:tc>
        <w:tc>
          <w:tcPr>
            <w:tcW w:w="180" w:type="dxa"/>
            <w:vAlign w:val="bottom"/>
            <w:tcBorders>
              <w:bottom w:val="single" w:sz="8" w:color="0000EE"/>
            </w:tcBorders>
          </w:tcPr>
          <w:p>
            <w:pPr>
              <w:spacing w:after="0" w:line="114" w:lineRule="exact"/>
              <w:rPr>
                <w:rFonts w:ascii="Arial" w:cs="Arial" w:eastAsia="Arial" w:hAnsi="Arial"/>
                <w:sz w:val="13"/>
                <w:szCs w:val="13"/>
                <w:color w:val="0000EE"/>
                <w:w w:val="81"/>
              </w:rPr>
            </w:pPr>
            <w:hyperlink w:anchor="page63">
              <w:r>
                <w:rPr>
                  <w:rFonts w:ascii="Arial" w:cs="Arial" w:eastAsia="Arial" w:hAnsi="Arial"/>
                  <w:sz w:val="13"/>
                  <w:szCs w:val="13"/>
                  <w:color w:val="0000EE"/>
                  <w:w w:val="81"/>
                </w:rPr>
                <w:t>SM</w:t>
              </w:r>
            </w:hyperlink>
          </w:p>
        </w:tc>
        <w:tc>
          <w:tcPr>
            <w:tcW w:w="40" w:type="dxa"/>
            <w:vAlign w:val="bottom"/>
            <w:vMerge w:val="restart"/>
          </w:tcPr>
          <w:p>
            <w:pPr>
              <w:spacing w:after="0"/>
              <w:rPr>
                <w:sz w:val="11"/>
                <w:szCs w:val="11"/>
                <w:color w:val="auto"/>
              </w:rPr>
            </w:pPr>
          </w:p>
        </w:tc>
        <w:tc>
          <w:tcPr>
            <w:tcW w:w="4600" w:type="dxa"/>
            <w:vAlign w:val="bottom"/>
            <w:gridSpan w:val="15"/>
            <w:vMerge w:val="restart"/>
          </w:tcPr>
          <w:p>
            <w:pPr>
              <w:spacing w:after="0"/>
              <w:rPr>
                <w:rFonts w:ascii="Arial" w:cs="Arial" w:eastAsia="Arial" w:hAnsi="Arial"/>
                <w:sz w:val="17"/>
                <w:szCs w:val="17"/>
                <w:color w:val="0000EE"/>
                <w:w w:val="91"/>
              </w:rPr>
            </w:pPr>
            <w:hyperlink w:anchor="page63">
              <w:r>
                <w:rPr>
                  <w:rFonts w:ascii="Arial" w:cs="Arial" w:eastAsia="Arial" w:hAnsi="Arial"/>
                  <w:sz w:val="17"/>
                  <w:szCs w:val="17"/>
                  <w:color w:val="0000EE"/>
                  <w:w w:val="91"/>
                </w:rPr>
                <w:t>Sales Agreement, dated as of August 10, 2021, by and among the</w:t>
              </w:r>
            </w:hyperlink>
          </w:p>
        </w:tc>
        <w:tc>
          <w:tcPr>
            <w:tcW w:w="18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000EE"/>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600" w:type="dxa"/>
            <w:vAlign w:val="bottom"/>
            <w:tcBorders>
              <w:bottom w:val="single" w:sz="8" w:color="0000EE"/>
            </w:tcBorders>
            <w:gridSpan w:val="15"/>
            <w:vMerge w:val="continue"/>
          </w:tcPr>
          <w:p>
            <w:pPr>
              <w:spacing w:after="0"/>
              <w:rPr>
                <w:sz w:val="4"/>
                <w:szCs w:val="4"/>
                <w:color w:val="auto"/>
              </w:rPr>
            </w:pPr>
          </w:p>
        </w:tc>
        <w:tc>
          <w:tcPr>
            <w:tcW w:w="1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tcBorders>
              <w:bottom w:val="single" w:sz="8" w:color="0000EE"/>
            </w:tcBorders>
            <w:gridSpan w:val="10"/>
          </w:tcPr>
          <w:p>
            <w:pPr>
              <w:spacing w:after="0" w:line="194"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Registrant, Cantor Fitzgerald &amp; Co. and RBC Capital Markets, LLC.</w:t>
              </w:r>
            </w:hyperlink>
          </w:p>
        </w:tc>
        <w:tc>
          <w:tcPr>
            <w:tcW w:w="20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6660" w:type="dxa"/>
            <w:vAlign w:val="bottom"/>
            <w:tcBorders>
              <w:bottom w:val="single" w:sz="8" w:color="0000EE"/>
            </w:tcBorders>
            <w:gridSpan w:val="19"/>
          </w:tcPr>
          <w:p>
            <w:pPr>
              <w:spacing w:after="0"/>
              <w:rPr>
                <w:rFonts w:ascii="Arial" w:cs="Arial" w:eastAsia="Arial" w:hAnsi="Arial"/>
                <w:sz w:val="17"/>
                <w:szCs w:val="17"/>
                <w:color w:val="0000EE"/>
                <w:w w:val="93"/>
              </w:rPr>
            </w:pPr>
            <w:hyperlink r:id="rId106">
              <w:r>
                <w:rPr>
                  <w:rFonts w:ascii="Arial" w:cs="Arial" w:eastAsia="Arial" w:hAnsi="Arial"/>
                  <w:sz w:val="17"/>
                  <w:szCs w:val="17"/>
                  <w:color w:val="0000EE"/>
                  <w:w w:val="93"/>
                </w:rPr>
                <w:t>Agreement and Plan of Merger and Reorganization, dated as of May 15, 2018 (incorporated by</w:t>
              </w:r>
            </w:hyperlink>
          </w:p>
        </w:tc>
        <w:tc>
          <w:tcPr>
            <w:tcW w:w="2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60" w:type="dxa"/>
            <w:vAlign w:val="bottom"/>
            <w:tcBorders>
              <w:bottom w:val="single" w:sz="8" w:color="0000EE"/>
            </w:tcBorders>
            <w:gridSpan w:val="22"/>
          </w:tcPr>
          <w:p>
            <w:pPr>
              <w:spacing w:after="0" w:line="181" w:lineRule="exact"/>
              <w:rPr>
                <w:rFonts w:ascii="Arial" w:cs="Arial" w:eastAsia="Arial" w:hAnsi="Arial"/>
                <w:sz w:val="17"/>
                <w:szCs w:val="17"/>
                <w:color w:val="0000EE"/>
                <w:w w:val="95"/>
              </w:rPr>
            </w:pPr>
            <w:hyperlink r:id="rId106">
              <w:r>
                <w:rPr>
                  <w:rFonts w:ascii="Arial" w:cs="Arial" w:eastAsia="Arial" w:hAnsi="Arial"/>
                  <w:sz w:val="17"/>
                  <w:szCs w:val="17"/>
                  <w:color w:val="0000EE"/>
                  <w:w w:val="95"/>
                </w:rPr>
                <w:t>reference to Annex A to the Registrant’s Definitive Proxy Statement (File No. 001-37939), filed</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bottom w:val="single" w:sz="8" w:color="0000EE"/>
            </w:tcBorders>
            <w:gridSpan w:val="6"/>
          </w:tcPr>
          <w:p>
            <w:pPr>
              <w:spacing w:after="0" w:line="181" w:lineRule="exact"/>
              <w:rPr>
                <w:rFonts w:ascii="Arial" w:cs="Arial" w:eastAsia="Arial" w:hAnsi="Arial"/>
                <w:sz w:val="17"/>
                <w:szCs w:val="17"/>
                <w:color w:val="0000EE"/>
                <w:w w:val="92"/>
              </w:rPr>
            </w:pPr>
            <w:hyperlink r:id="rId106">
              <w:r>
                <w:rPr>
                  <w:rFonts w:ascii="Arial" w:cs="Arial" w:eastAsia="Arial" w:hAnsi="Arial"/>
                  <w:sz w:val="17"/>
                  <w:szCs w:val="17"/>
                  <w:color w:val="0000EE"/>
                  <w:w w:val="92"/>
                </w:rPr>
                <w:t>with the SEC on September 14, 2018).</w:t>
              </w:r>
            </w:hyperlink>
          </w:p>
        </w:tc>
        <w:tc>
          <w:tcPr>
            <w:tcW w:w="42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6500" w:type="dxa"/>
            <w:vAlign w:val="bottom"/>
            <w:tcBorders>
              <w:bottom w:val="single" w:sz="8" w:color="0000EE"/>
            </w:tcBorders>
            <w:gridSpan w:val="17"/>
          </w:tcPr>
          <w:p>
            <w:pPr>
              <w:spacing w:after="0"/>
              <w:rPr>
                <w:rFonts w:ascii="Arial" w:cs="Arial" w:eastAsia="Arial" w:hAnsi="Arial"/>
                <w:sz w:val="17"/>
                <w:szCs w:val="17"/>
                <w:color w:val="0000EE"/>
                <w:w w:val="94"/>
              </w:rPr>
            </w:pPr>
            <w:hyperlink r:id="rId107">
              <w:r>
                <w:rPr>
                  <w:rFonts w:ascii="Arial" w:cs="Arial" w:eastAsia="Arial" w:hAnsi="Arial"/>
                  <w:sz w:val="17"/>
                  <w:szCs w:val="17"/>
                  <w:color w:val="0000EE"/>
                  <w:w w:val="94"/>
                </w:rPr>
                <w:t>Certificate of Incorporation of the Registrant (incorporated by reference to Exhibit 3.4 to the</w:t>
              </w:r>
            </w:hyperlink>
          </w:p>
        </w:tc>
        <w:tc>
          <w:tcPr>
            <w:tcW w:w="4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40" w:type="dxa"/>
            <w:vAlign w:val="bottom"/>
            <w:tcBorders>
              <w:bottom w:val="single" w:sz="8" w:color="0000EE"/>
            </w:tcBorders>
            <w:gridSpan w:val="16"/>
          </w:tcPr>
          <w:p>
            <w:pPr>
              <w:spacing w:after="0" w:line="181" w:lineRule="exact"/>
              <w:rPr>
                <w:rFonts w:ascii="Arial" w:cs="Arial" w:eastAsia="Arial" w:hAnsi="Arial"/>
                <w:sz w:val="17"/>
                <w:szCs w:val="17"/>
                <w:color w:val="0000EE"/>
                <w:w w:val="94"/>
              </w:rPr>
            </w:pPr>
            <w:hyperlink r:id="rId107">
              <w:r>
                <w:rPr>
                  <w:rFonts w:ascii="Arial" w:cs="Arial" w:eastAsia="Arial" w:hAnsi="Arial"/>
                  <w:sz w:val="17"/>
                  <w:szCs w:val="17"/>
                  <w:color w:val="0000EE"/>
                  <w:w w:val="94"/>
                </w:rPr>
                <w:t>Registrant’s Current Report on Form 8-K (File No. 001-37939), filed with the SEC on</w:t>
              </w:r>
            </w:hyperlink>
          </w:p>
        </w:tc>
        <w:tc>
          <w:tcPr>
            <w:tcW w:w="8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0000EE"/>
            </w:tcBorders>
          </w:tcPr>
          <w:p>
            <w:pPr>
              <w:spacing w:after="0" w:line="181" w:lineRule="exact"/>
              <w:rPr>
                <w:rFonts w:ascii="Arial" w:cs="Arial" w:eastAsia="Arial" w:hAnsi="Arial"/>
                <w:sz w:val="17"/>
                <w:szCs w:val="17"/>
                <w:color w:val="0000EE"/>
                <w:w w:val="91"/>
              </w:rPr>
            </w:pPr>
            <w:hyperlink r:id="rId107">
              <w:r>
                <w:rPr>
                  <w:rFonts w:ascii="Arial" w:cs="Arial" w:eastAsia="Arial" w:hAnsi="Arial"/>
                  <w:sz w:val="17"/>
                  <w:szCs w:val="17"/>
                  <w:color w:val="0000EE"/>
                  <w:w w:val="91"/>
                </w:rPr>
                <w:t>October 17, 2018).</w:t>
              </w:r>
            </w:hyperlink>
          </w:p>
        </w:tc>
        <w:tc>
          <w:tcPr>
            <w:tcW w:w="558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6560" w:type="dxa"/>
            <w:vAlign w:val="bottom"/>
            <w:tcBorders>
              <w:bottom w:val="single" w:sz="8" w:color="0000EE"/>
            </w:tcBorders>
            <w:gridSpan w:val="18"/>
          </w:tcPr>
          <w:p>
            <w:pPr>
              <w:spacing w:after="0"/>
              <w:rPr>
                <w:rFonts w:ascii="Arial" w:cs="Arial" w:eastAsia="Arial" w:hAnsi="Arial"/>
                <w:sz w:val="17"/>
                <w:szCs w:val="17"/>
                <w:color w:val="0000EE"/>
                <w:w w:val="94"/>
              </w:rPr>
            </w:pPr>
            <w:hyperlink r:id="rId108">
              <w:r>
                <w:rPr>
                  <w:rFonts w:ascii="Arial" w:cs="Arial" w:eastAsia="Arial" w:hAnsi="Arial"/>
                  <w:sz w:val="17"/>
                  <w:szCs w:val="17"/>
                  <w:color w:val="0000EE"/>
                  <w:w w:val="94"/>
                </w:rPr>
                <w:t>Bylaws of the Registrant (incorporated by reference to Exhibit 3.6 to the Registrant’s Current</w:t>
              </w:r>
            </w:hyperlink>
          </w:p>
        </w:tc>
        <w:tc>
          <w:tcPr>
            <w:tcW w:w="3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940" w:type="dxa"/>
            <w:vAlign w:val="bottom"/>
            <w:tcBorders>
              <w:bottom w:val="single" w:sz="8" w:color="0000EE"/>
            </w:tcBorders>
            <w:gridSpan w:val="15"/>
          </w:tcPr>
          <w:p>
            <w:pPr>
              <w:spacing w:after="0" w:line="181" w:lineRule="exact"/>
              <w:rPr>
                <w:rFonts w:ascii="Arial" w:cs="Arial" w:eastAsia="Arial" w:hAnsi="Arial"/>
                <w:sz w:val="17"/>
                <w:szCs w:val="17"/>
                <w:color w:val="0000EE"/>
                <w:w w:val="94"/>
              </w:rPr>
            </w:pPr>
            <w:hyperlink r:id="rId108">
              <w:r>
                <w:rPr>
                  <w:rFonts w:ascii="Arial" w:cs="Arial" w:eastAsia="Arial" w:hAnsi="Arial"/>
                  <w:sz w:val="17"/>
                  <w:szCs w:val="17"/>
                  <w:color w:val="0000EE"/>
                  <w:w w:val="94"/>
                </w:rPr>
                <w:t>Report on Form 8-K (File No. 001-37939), filed with the SEC on October 17, 2018).</w:t>
              </w:r>
            </w:hyperlink>
          </w:p>
        </w:tc>
        <w:tc>
          <w:tcPr>
            <w:tcW w:w="9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6740" w:type="dxa"/>
            <w:vAlign w:val="bottom"/>
            <w:tcBorders>
              <w:bottom w:val="single" w:sz="8" w:color="0000EE"/>
            </w:tcBorders>
            <w:gridSpan w:val="21"/>
          </w:tcPr>
          <w:p>
            <w:pPr>
              <w:spacing w:after="0"/>
              <w:rPr>
                <w:rFonts w:ascii="Arial" w:cs="Arial" w:eastAsia="Arial" w:hAnsi="Arial"/>
                <w:sz w:val="17"/>
                <w:szCs w:val="17"/>
                <w:color w:val="0000EE"/>
                <w:w w:val="93"/>
              </w:rPr>
            </w:pPr>
            <w:hyperlink r:id="rId109">
              <w:r>
                <w:rPr>
                  <w:rFonts w:ascii="Arial" w:cs="Arial" w:eastAsia="Arial" w:hAnsi="Arial"/>
                  <w:sz w:val="17"/>
                  <w:szCs w:val="17"/>
                  <w:color w:val="0000EE"/>
                  <w:w w:val="93"/>
                </w:rPr>
                <w:t>Specimen Stock Certificate evidencing shares of Common Stock of the Registrant (incorporated</w:t>
              </w:r>
            </w:hyperlink>
          </w:p>
        </w:tc>
        <w:tc>
          <w:tcPr>
            <w:tcW w:w="1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tcBorders>
              <w:bottom w:val="single" w:sz="8" w:color="0000EE"/>
            </w:tcBorders>
            <w:gridSpan w:val="23"/>
          </w:tcPr>
          <w:p>
            <w:pPr>
              <w:spacing w:after="0" w:line="181" w:lineRule="exact"/>
              <w:rPr>
                <w:rFonts w:ascii="Arial" w:cs="Arial" w:eastAsia="Arial" w:hAnsi="Arial"/>
                <w:sz w:val="17"/>
                <w:szCs w:val="17"/>
                <w:color w:val="0000EE"/>
                <w:w w:val="94"/>
              </w:rPr>
            </w:pPr>
            <w:hyperlink r:id="rId109">
              <w:r>
                <w:rPr>
                  <w:rFonts w:ascii="Arial" w:cs="Arial" w:eastAsia="Arial" w:hAnsi="Arial"/>
                  <w:sz w:val="17"/>
                  <w:szCs w:val="17"/>
                  <w:color w:val="0000EE"/>
                  <w:w w:val="94"/>
                </w:rPr>
                <w:t>by reference to Exhibit 4.1 to the Registrant’s Current Report on Form 8-K (File No. 001-37939)</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Borders>
              <w:bottom w:val="single" w:sz="8" w:color="0000EE"/>
            </w:tcBorders>
            <w:gridSpan w:val="7"/>
          </w:tcPr>
          <w:p>
            <w:pPr>
              <w:spacing w:after="0" w:line="181" w:lineRule="exact"/>
              <w:rPr>
                <w:rFonts w:ascii="Arial" w:cs="Arial" w:eastAsia="Arial" w:hAnsi="Arial"/>
                <w:sz w:val="17"/>
                <w:szCs w:val="17"/>
                <w:color w:val="0000EE"/>
                <w:w w:val="93"/>
              </w:rPr>
            </w:pPr>
            <w:hyperlink r:id="rId109">
              <w:r>
                <w:rPr>
                  <w:rFonts w:ascii="Arial" w:cs="Arial" w:eastAsia="Arial" w:hAnsi="Arial"/>
                  <w:sz w:val="17"/>
                  <w:szCs w:val="17"/>
                  <w:color w:val="0000EE"/>
                  <w:w w:val="93"/>
                </w:rPr>
                <w:t>filed with the SEC on October 17, 2018).</w:t>
              </w:r>
            </w:hyperlink>
          </w:p>
        </w:tc>
        <w:tc>
          <w:tcPr>
            <w:tcW w:w="40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Arial" w:cs="Arial" w:eastAsia="Arial" w:hAnsi="Arial"/>
                <w:sz w:val="17"/>
                <w:szCs w:val="17"/>
                <w:color w:val="auto"/>
                <w:w w:val="95"/>
              </w:rPr>
              <w:t>Form of Specimen Preferred Stock Certificate and Certificate of Designation of Preferred Stock.</w:t>
            </w:r>
          </w:p>
        </w:tc>
        <w:tc>
          <w:tcPr>
            <w:tcW w:w="0" w:type="dxa"/>
            <w:vAlign w:val="bottom"/>
          </w:tcPr>
          <w:p>
            <w:pPr>
              <w:spacing w:after="0"/>
              <w:rPr>
                <w:sz w:val="1"/>
                <w:szCs w:val="1"/>
                <w:color w:val="auto"/>
              </w:rPr>
            </w:pPr>
          </w:p>
        </w:tc>
      </w:tr>
      <w:tr>
        <w:trPr>
          <w:trHeight w:val="214"/>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6900" w:type="dxa"/>
            <w:vAlign w:val="bottom"/>
            <w:gridSpan w:val="24"/>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Form of Indenture, between the Registrant and one or more trustees to be named.</w:t>
              </w:r>
            </w:hyperlink>
          </w:p>
        </w:tc>
        <w:tc>
          <w:tcPr>
            <w:tcW w:w="0" w:type="dxa"/>
            <w:vAlign w:val="bottom"/>
          </w:tcPr>
          <w:p>
            <w:pPr>
              <w:spacing w:after="0"/>
              <w:rPr>
                <w:sz w:val="1"/>
                <w:szCs w:val="1"/>
                <w:color w:val="auto"/>
              </w:rPr>
            </w:pPr>
          </w:p>
        </w:tc>
      </w:tr>
      <w:tr>
        <w:trPr>
          <w:trHeight w:val="269"/>
        </w:trPr>
        <w:tc>
          <w:tcPr>
            <w:tcW w:w="6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3"/>
                <w:szCs w:val="23"/>
                <w:color w:val="auto"/>
              </w:rPr>
            </w:pPr>
          </w:p>
        </w:tc>
        <w:tc>
          <w:tcPr>
            <w:tcW w:w="568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auto"/>
              </w:rPr>
              <w:t>Form of Debt Securities.</w:t>
            </w:r>
          </w:p>
        </w:tc>
        <w:tc>
          <w:tcPr>
            <w:tcW w:w="122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8"/>
                <w:szCs w:val="18"/>
                <w:color w:val="auto"/>
              </w:rPr>
            </w:pPr>
          </w:p>
        </w:tc>
        <w:tc>
          <w:tcPr>
            <w:tcW w:w="4860" w:type="dxa"/>
            <w:vAlign w:val="bottom"/>
            <w:tcBorders>
              <w:bottom w:val="single" w:sz="8" w:color="0000EE"/>
            </w:tcBorders>
            <w:gridSpan w:val="12"/>
          </w:tcPr>
          <w:p>
            <w:pPr>
              <w:spacing w:after="0"/>
              <w:rPr>
                <w:rFonts w:ascii="Arial" w:cs="Arial" w:eastAsia="Arial" w:hAnsi="Arial"/>
                <w:sz w:val="17"/>
                <w:szCs w:val="17"/>
                <w:color w:val="0000EE"/>
                <w:w w:val="93"/>
              </w:rPr>
            </w:pPr>
            <w:hyperlink w:anchor="page161">
              <w:r>
                <w:rPr>
                  <w:rFonts w:ascii="Arial" w:cs="Arial" w:eastAsia="Arial" w:hAnsi="Arial"/>
                  <w:sz w:val="17"/>
                  <w:szCs w:val="17"/>
                  <w:color w:val="0000EE"/>
                  <w:w w:val="93"/>
                </w:rPr>
                <w:t>Form of Common Stock Warrant Agreement and Warrant Certificate.</w:t>
              </w:r>
            </w:hyperlink>
          </w:p>
        </w:tc>
        <w:tc>
          <w:tcPr>
            <w:tcW w:w="20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4860" w:type="dxa"/>
            <w:vAlign w:val="bottom"/>
            <w:tcBorders>
              <w:bottom w:val="single" w:sz="8" w:color="0000EE"/>
            </w:tcBorders>
            <w:gridSpan w:val="12"/>
          </w:tcPr>
          <w:p>
            <w:pPr>
              <w:spacing w:after="0"/>
              <w:rPr>
                <w:rFonts w:ascii="Arial" w:cs="Arial" w:eastAsia="Arial" w:hAnsi="Arial"/>
                <w:sz w:val="17"/>
                <w:szCs w:val="17"/>
                <w:color w:val="0000EE"/>
                <w:w w:val="93"/>
              </w:rPr>
            </w:pPr>
            <w:hyperlink w:anchor="page181">
              <w:r>
                <w:rPr>
                  <w:rFonts w:ascii="Arial" w:cs="Arial" w:eastAsia="Arial" w:hAnsi="Arial"/>
                  <w:sz w:val="17"/>
                  <w:szCs w:val="17"/>
                  <w:color w:val="0000EE"/>
                  <w:w w:val="93"/>
                </w:rPr>
                <w:t>Form of Preferred Stock Warrant Agreement and Warrant Certificate.</w:t>
              </w:r>
            </w:hyperlink>
          </w:p>
        </w:tc>
        <w:tc>
          <w:tcPr>
            <w:tcW w:w="20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484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201">
              <w:r>
                <w:rPr>
                  <w:rFonts w:ascii="Arial" w:cs="Arial" w:eastAsia="Arial" w:hAnsi="Arial"/>
                  <w:sz w:val="17"/>
                  <w:szCs w:val="17"/>
                  <w:color w:val="0000EE"/>
                  <w:w w:val="93"/>
                </w:rPr>
                <w:t>Form of Debt Securities Warrant Agreement and Warrant Certificate.</w:t>
              </w:r>
            </w:hyperlink>
          </w:p>
        </w:tc>
        <w:tc>
          <w:tcPr>
            <w:tcW w:w="20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0"/>
                <w:szCs w:val="20"/>
                <w:color w:val="auto"/>
              </w:rPr>
            </w:pPr>
          </w:p>
        </w:tc>
        <w:tc>
          <w:tcPr>
            <w:tcW w:w="168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219">
              <w:r>
                <w:rPr>
                  <w:rFonts w:ascii="Arial" w:cs="Arial" w:eastAsia="Arial" w:hAnsi="Arial"/>
                  <w:sz w:val="17"/>
                  <w:szCs w:val="17"/>
                  <w:color w:val="0000EE"/>
                  <w:w w:val="94"/>
                </w:rPr>
                <w:t>Opinion of Cooley LLP.</w:t>
              </w:r>
            </w:hyperlink>
          </w:p>
        </w:tc>
        <w:tc>
          <w:tcPr>
            <w:tcW w:w="522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20"/>
                <w:szCs w:val="20"/>
                <w:color w:val="auto"/>
              </w:rPr>
            </w:pPr>
          </w:p>
        </w:tc>
        <w:tc>
          <w:tcPr>
            <w:tcW w:w="5100" w:type="dxa"/>
            <w:vAlign w:val="bottom"/>
            <w:tcBorders>
              <w:bottom w:val="single" w:sz="8" w:color="0000EE"/>
            </w:tcBorders>
            <w:gridSpan w:val="13"/>
          </w:tcPr>
          <w:p>
            <w:pPr>
              <w:spacing w:after="0"/>
              <w:rPr>
                <w:rFonts w:ascii="Arial" w:cs="Arial" w:eastAsia="Arial" w:hAnsi="Arial"/>
                <w:sz w:val="17"/>
                <w:szCs w:val="17"/>
                <w:color w:val="0000EE"/>
                <w:w w:val="93"/>
              </w:rPr>
            </w:pPr>
            <w:hyperlink w:anchor="page224">
              <w:r>
                <w:rPr>
                  <w:rFonts w:ascii="Arial" w:cs="Arial" w:eastAsia="Arial" w:hAnsi="Arial"/>
                  <w:sz w:val="17"/>
                  <w:szCs w:val="17"/>
                  <w:color w:val="0000EE"/>
                  <w:w w:val="93"/>
                </w:rPr>
                <w:t>Consent of Marcum LLP, independent registered public accounting firm.</w:t>
              </w:r>
            </w:hyperlink>
          </w:p>
        </w:tc>
        <w:tc>
          <w:tcPr>
            <w:tcW w:w="180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0"/>
                <w:szCs w:val="20"/>
                <w:color w:val="auto"/>
              </w:rPr>
            </w:pPr>
          </w:p>
        </w:tc>
        <w:tc>
          <w:tcPr>
            <w:tcW w:w="3480" w:type="dxa"/>
            <w:vAlign w:val="bottom"/>
            <w:tcBorders>
              <w:bottom w:val="single" w:sz="8" w:color="0000EE"/>
            </w:tcBorders>
            <w:gridSpan w:val="9"/>
          </w:tcPr>
          <w:p>
            <w:pPr>
              <w:spacing w:after="0"/>
              <w:rPr>
                <w:rFonts w:ascii="Arial" w:cs="Arial" w:eastAsia="Arial" w:hAnsi="Arial"/>
                <w:sz w:val="17"/>
                <w:szCs w:val="17"/>
                <w:color w:val="0000EE"/>
                <w:w w:val="95"/>
              </w:rPr>
            </w:pPr>
            <w:hyperlink w:anchor="page219">
              <w:r>
                <w:rPr>
                  <w:rFonts w:ascii="Arial" w:cs="Arial" w:eastAsia="Arial" w:hAnsi="Arial"/>
                  <w:sz w:val="17"/>
                  <w:szCs w:val="17"/>
                  <w:color w:val="0000EE"/>
                  <w:w w:val="95"/>
                </w:rPr>
                <w:t>Consent of Cooley LLP (included in Exhibit 5.1).</w:t>
              </w:r>
            </w:hyperlink>
          </w:p>
        </w:tc>
        <w:tc>
          <w:tcPr>
            <w:tcW w:w="34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0" w:type="dxa"/>
            <w:vAlign w:val="bottom"/>
          </w:tcPr>
          <w:p>
            <w:pPr>
              <w:jc w:val="right"/>
              <w:ind w:right="98"/>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20"/>
                <w:szCs w:val="20"/>
                <w:color w:val="auto"/>
              </w:rPr>
            </w:pPr>
          </w:p>
        </w:tc>
        <w:tc>
          <w:tcPr>
            <w:tcW w:w="6900" w:type="dxa"/>
            <w:vAlign w:val="bottom"/>
            <w:gridSpan w:val="24"/>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25.1**  Statement of Eligibility of Trustee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154940</wp:posOffset>
            </wp:positionV>
            <wp:extent cx="11493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350" w:lineRule="exact"/>
        <w:rPr>
          <w:sz w:val="20"/>
          <w:szCs w:val="20"/>
          <w:color w:val="auto"/>
        </w:rPr>
      </w:pPr>
    </w:p>
    <w:p>
      <w:pPr>
        <w:ind w:left="1500" w:right="819" w:hanging="336"/>
        <w:spacing w:after="0" w:line="268" w:lineRule="auto"/>
        <w:tabs>
          <w:tab w:leader="none" w:pos="1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be filed, if applicable, by amendment or by a report filed under the Exchange Act and incorporated herein by reference.</w:t>
      </w: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59" w:name="page60"/>
    <w:bookmarkEnd w:id="59"/>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500" w:right="1299" w:hanging="336"/>
        <w:spacing w:after="0" w:line="268"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be filed, if applicable, in accordance with the requirements of Section 305(b)(2) of the Trust Indenture Act of 1939 and Rule 5b-3 thereunder.</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17.  Undertakings</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undersigned registrant hereby undertakes:</w:t>
      </w:r>
    </w:p>
    <w:p>
      <w:pPr>
        <w:spacing w:after="0" w:line="131" w:lineRule="exact"/>
        <w:rPr>
          <w:sz w:val="20"/>
          <w:szCs w:val="20"/>
          <w:color w:val="auto"/>
        </w:rPr>
      </w:pPr>
    </w:p>
    <w:p>
      <w:pPr>
        <w:ind w:left="1840" w:right="859" w:hanging="341"/>
        <w:spacing w:after="0" w:line="268"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91" w:lineRule="exact"/>
        <w:rPr>
          <w:rFonts w:ascii="Arial" w:cs="Arial" w:eastAsia="Arial" w:hAnsi="Arial"/>
          <w:sz w:val="17"/>
          <w:szCs w:val="17"/>
          <w:color w:val="auto"/>
        </w:rPr>
      </w:pPr>
    </w:p>
    <w:p>
      <w:pPr>
        <w:ind w:left="2160" w:hanging="326"/>
        <w:spacing w:after="0"/>
        <w:tabs>
          <w:tab w:leader="none" w:pos="21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31" w:lineRule="exact"/>
        <w:rPr>
          <w:rFonts w:ascii="Arial" w:cs="Arial" w:eastAsia="Arial" w:hAnsi="Arial"/>
          <w:sz w:val="17"/>
          <w:szCs w:val="17"/>
          <w:color w:val="auto"/>
        </w:rPr>
      </w:pPr>
    </w:p>
    <w:p>
      <w:pPr>
        <w:ind w:left="2160" w:right="859" w:hanging="326"/>
        <w:spacing w:after="0" w:line="286" w:lineRule="auto"/>
        <w:tabs>
          <w:tab w:leader="none" w:pos="2160" w:val="left"/>
        </w:tabs>
        <w:numPr>
          <w:ilvl w:val="1"/>
          <w:numId w:val="4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3" w:lineRule="exact"/>
        <w:rPr>
          <w:rFonts w:ascii="Arial" w:cs="Arial" w:eastAsia="Arial" w:hAnsi="Arial"/>
          <w:sz w:val="15"/>
          <w:szCs w:val="15"/>
          <w:color w:val="auto"/>
        </w:rPr>
      </w:pPr>
    </w:p>
    <w:p>
      <w:pPr>
        <w:ind w:left="2160" w:right="999" w:hanging="326"/>
        <w:spacing w:after="0" w:line="257" w:lineRule="auto"/>
        <w:tabs>
          <w:tab w:leader="none" w:pos="21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01" w:lineRule="exact"/>
        <w:rPr>
          <w:sz w:val="20"/>
          <w:szCs w:val="20"/>
          <w:color w:val="auto"/>
        </w:rPr>
      </w:pPr>
    </w:p>
    <w:p>
      <w:pPr>
        <w:ind w:left="1840" w:right="759"/>
        <w:spacing w:after="0" w:line="23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the undertakings set forth in paragraphs (1)(i), (1)(ii) and (1)(iii) above do</w:t>
      </w:r>
      <w:r>
        <w:rPr>
          <w:rFonts w:ascii="Arial" w:cs="Arial" w:eastAsia="Arial" w:hAnsi="Arial"/>
          <w:sz w:val="17"/>
          <w:szCs w:val="17"/>
          <w:i w:val="1"/>
          <w:iCs w:val="1"/>
          <w:color w:val="auto"/>
        </w:rPr>
        <w:t xml:space="preserve"> </w:t>
      </w:r>
      <w:r>
        <w:rPr>
          <w:rFonts w:ascii="Arial" w:cs="Arial" w:eastAsia="Arial" w:hAnsi="Arial"/>
          <w:sz w:val="17"/>
          <w:szCs w:val="17"/>
          <w:color w:val="auto"/>
        </w:rPr>
        <w:t>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are contained in a form of prospectus filed pursuant to Rule 424(b) that is part of this registration statement.</w:t>
      </w:r>
    </w:p>
    <w:p>
      <w:pPr>
        <w:spacing w:after="0" w:line="116" w:lineRule="exact"/>
        <w:rPr>
          <w:sz w:val="20"/>
          <w:szCs w:val="20"/>
          <w:color w:val="auto"/>
        </w:rPr>
      </w:pPr>
    </w:p>
    <w:p>
      <w:pPr>
        <w:ind w:left="1840" w:right="719" w:hanging="341"/>
        <w:spacing w:after="0" w:line="254" w:lineRule="auto"/>
        <w:tabs>
          <w:tab w:leader="none" w:pos="1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p>
    <w:p>
      <w:pPr>
        <w:spacing w:after="0" w:line="102" w:lineRule="exact"/>
        <w:rPr>
          <w:rFonts w:ascii="Arial" w:cs="Arial" w:eastAsia="Arial" w:hAnsi="Arial"/>
          <w:sz w:val="17"/>
          <w:szCs w:val="17"/>
          <w:color w:val="auto"/>
        </w:rPr>
      </w:pPr>
    </w:p>
    <w:p>
      <w:pPr>
        <w:ind w:left="1840" w:right="899" w:hanging="341"/>
        <w:spacing w:after="0" w:line="268" w:lineRule="auto"/>
        <w:tabs>
          <w:tab w:leader="none" w:pos="1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3" w:lineRule="exact"/>
        <w:rPr>
          <w:rFonts w:ascii="Arial" w:cs="Arial" w:eastAsia="Arial" w:hAnsi="Arial"/>
          <w:sz w:val="17"/>
          <w:szCs w:val="17"/>
          <w:color w:val="auto"/>
        </w:rPr>
      </w:pPr>
    </w:p>
    <w:p>
      <w:pPr>
        <w:ind w:left="1840" w:hanging="341"/>
        <w:spacing w:after="0"/>
        <w:tabs>
          <w:tab w:leader="none" w:pos="18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142" w:lineRule="exact"/>
        <w:rPr>
          <w:rFonts w:ascii="Arial" w:cs="Arial" w:eastAsia="Arial" w:hAnsi="Arial"/>
          <w:sz w:val="16"/>
          <w:szCs w:val="16"/>
          <w:color w:val="auto"/>
        </w:rPr>
      </w:pPr>
    </w:p>
    <w:p>
      <w:pPr>
        <w:ind w:left="2160" w:right="819" w:hanging="326"/>
        <w:spacing w:after="0" w:line="257" w:lineRule="auto"/>
        <w:tabs>
          <w:tab w:leader="none" w:pos="21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0" w:lineRule="exact"/>
        <w:rPr>
          <w:rFonts w:ascii="Arial" w:cs="Arial" w:eastAsia="Arial" w:hAnsi="Arial"/>
          <w:sz w:val="17"/>
          <w:szCs w:val="17"/>
          <w:color w:val="auto"/>
        </w:rPr>
      </w:pPr>
    </w:p>
    <w:p>
      <w:pPr>
        <w:ind w:left="2160" w:right="799" w:hanging="326"/>
        <w:spacing w:after="0" w:line="265" w:lineRule="auto"/>
        <w:tabs>
          <w:tab w:leader="none" w:pos="2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w:t>
      </w:r>
    </w:p>
    <w:p>
      <w:pPr>
        <w:spacing w:after="0" w:line="35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60" w:name="page61"/>
    <w:bookmarkEnd w:id="60"/>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60" w:right="739"/>
        <w:spacing w:after="0" w:line="252" w:lineRule="auto"/>
        <w:rPr>
          <w:sz w:val="20"/>
          <w:szCs w:val="20"/>
          <w:color w:val="auto"/>
        </w:rPr>
      </w:pP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5" w:lineRule="exact"/>
        <w:rPr>
          <w:sz w:val="20"/>
          <w:szCs w:val="20"/>
          <w:color w:val="auto"/>
        </w:rPr>
      </w:pPr>
    </w:p>
    <w:p>
      <w:pPr>
        <w:ind w:left="1840" w:right="699" w:hanging="341"/>
        <w:spacing w:after="0" w:line="265" w:lineRule="auto"/>
        <w:tabs>
          <w:tab w:leader="none" w:pos="1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11" w:lineRule="exact"/>
        <w:rPr>
          <w:rFonts w:ascii="Arial" w:cs="Arial" w:eastAsia="Arial" w:hAnsi="Arial"/>
          <w:sz w:val="16"/>
          <w:szCs w:val="16"/>
          <w:color w:val="auto"/>
        </w:rPr>
      </w:pPr>
    </w:p>
    <w:p>
      <w:pPr>
        <w:ind w:left="1840" w:right="699" w:hanging="341"/>
        <w:spacing w:after="0" w:line="250" w:lineRule="auto"/>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20" w:lineRule="exact"/>
        <w:rPr>
          <w:rFonts w:ascii="Arial" w:cs="Arial" w:eastAsia="Arial" w:hAnsi="Arial"/>
          <w:sz w:val="17"/>
          <w:szCs w:val="17"/>
          <w:color w:val="auto"/>
        </w:rPr>
      </w:pPr>
    </w:p>
    <w:p>
      <w:pPr>
        <w:ind w:left="1840" w:right="1059" w:hanging="341"/>
        <w:spacing w:after="0" w:line="308" w:lineRule="auto"/>
        <w:tabs>
          <w:tab w:leader="none" w:pos="18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65" w:lineRule="exact"/>
        <w:rPr>
          <w:sz w:val="20"/>
          <w:szCs w:val="20"/>
          <w:color w:val="auto"/>
        </w:rPr>
      </w:pPr>
    </w:p>
    <w:p>
      <w:pPr>
        <w:ind w:left="1160" w:right="699" w:firstLine="335"/>
        <w:spacing w:after="0" w:line="26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229870</wp:posOffset>
            </wp:positionV>
            <wp:extent cx="635317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32" w:right="1440" w:bottom="1440" w:gutter="0" w:footer="0" w:header="0"/>
        </w:sectPr>
      </w:pPr>
    </w:p>
    <w:bookmarkStart w:id="61" w:name="page62"/>
    <w:bookmarkEnd w:id="61"/>
    <w:p>
      <w:pPr>
        <w:spacing w:after="0"/>
        <w:rPr>
          <w:rFonts w:ascii="Arial" w:cs="Arial" w:eastAsia="Arial" w:hAnsi="Arial"/>
          <w:sz w:val="13"/>
          <w:szCs w:val="13"/>
          <w:color w:val="003366"/>
        </w:rPr>
      </w:pPr>
      <w:hyperlink w:anchor="page35">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60" w:lineRule="exact"/>
        <w:rPr>
          <w:sz w:val="20"/>
          <w:szCs w:val="20"/>
          <w:color w:val="auto"/>
        </w:rPr>
      </w:pPr>
    </w:p>
    <w:p>
      <w:pPr>
        <w:ind w:left="1160" w:right="1240" w:firstLine="335"/>
        <w:spacing w:after="0" w:line="235"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 -3 and has duly caused this Registration Statement to be signed on its behalf by the undersigned, thereunto duly authorized, in the City of Houston, State of Texas, on this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August, 2021.</w:t>
      </w:r>
    </w:p>
    <w:p>
      <w:pPr>
        <w:spacing w:after="0" w:line="58"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MARKER THERAPEUTICS, INC.</w:t>
      </w:r>
    </w:p>
    <w:p>
      <w:pPr>
        <w:spacing w:after="0" w:line="98"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7"/>
          <w:szCs w:val="17"/>
          <w:color w:val="auto"/>
        </w:rPr>
        <w:t>By:</w:t>
        <w:tab/>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43180</wp:posOffset>
            </wp:positionV>
            <wp:extent cx="2202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2202180" cy="8255"/>
                    </a:xfrm>
                    <a:prstGeom prst="rect">
                      <a:avLst/>
                    </a:prstGeom>
                    <a:noFill/>
                  </pic:spPr>
                </pic:pic>
              </a:graphicData>
            </a:graphic>
          </wp:anchor>
        </w:drawing>
      </w:r>
    </w:p>
    <w:p>
      <w:pPr>
        <w:spacing w:after="0" w:line="7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Peter Hoang</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President and Chief Executive Officer</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POWER OF ATTORNEY</w:t>
      </w:r>
    </w:p>
    <w:p>
      <w:pPr>
        <w:spacing w:after="0" w:line="60" w:lineRule="exact"/>
        <w:rPr>
          <w:sz w:val="20"/>
          <w:szCs w:val="20"/>
          <w:color w:val="auto"/>
        </w:rPr>
      </w:pPr>
    </w:p>
    <w:p>
      <w:pPr>
        <w:ind w:left="1160" w:right="1160" w:firstLine="335"/>
        <w:spacing w:after="0" w:line="24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Peter Hoang and Anthony Kim, jointly and severally, as his or her true and lawful agent, proxy and attorneys -in-fact, with full power of substitution and resubstitution, for him or her and in his or her name, place and stead, in any and all capacities, to (i) act on, sign and file with the Securities and Exchange Commission any and all amendments (including post -effective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w:t>
      </w:r>
    </w:p>
    <w:p>
      <w:pPr>
        <w:spacing w:after="0" w:line="5" w:lineRule="exact"/>
        <w:rPr>
          <w:sz w:val="20"/>
          <w:szCs w:val="20"/>
          <w:color w:val="auto"/>
        </w:rPr>
      </w:pPr>
    </w:p>
    <w:p>
      <w:pPr>
        <w:ind w:left="1160" w:right="1280" w:firstLine="4"/>
        <w:spacing w:after="0" w:line="234" w:lineRule="auto"/>
        <w:tabs>
          <w:tab w:leader="none" w:pos="1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28" w:lineRule="exact"/>
        <w:rPr>
          <w:sz w:val="20"/>
          <w:szCs w:val="20"/>
          <w:color w:val="auto"/>
        </w:rPr>
      </w:pPr>
    </w:p>
    <w:p>
      <w:pPr>
        <w:ind w:left="1160" w:right="1200" w:firstLine="335"/>
        <w:spacing w:after="0" w:line="25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5"/>
              </w:rPr>
              <w:t>Name</w:t>
            </w:r>
          </w:p>
        </w:tc>
        <w:tc>
          <w:tcPr>
            <w:tcW w:w="200" w:type="dxa"/>
            <w:vAlign w:val="bottom"/>
          </w:tcPr>
          <w:p>
            <w:pPr>
              <w:spacing w:after="0"/>
              <w:rPr>
                <w:sz w:val="15"/>
                <w:szCs w:val="15"/>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Title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7"/>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3"/>
              </w:rPr>
              <w:t>/s/ Peter Hoang</w:t>
            </w:r>
          </w:p>
        </w:tc>
        <w:tc>
          <w:tcPr>
            <w:tcW w:w="200" w:type="dxa"/>
            <w:vAlign w:val="bottom"/>
          </w:tcPr>
          <w:p>
            <w:pPr>
              <w:spacing w:after="0"/>
              <w:rPr>
                <w:sz w:val="24"/>
                <w:szCs w:val="24"/>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President, Chief Executive Officer and 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620" w:type="dxa"/>
            <w:vAlign w:val="bottom"/>
            <w:gridSpan w:val="2"/>
            <w:vMerge w:val="restart"/>
          </w:tcPr>
          <w:p>
            <w:pPr>
              <w:jc w:val="center"/>
              <w:ind w:right="220"/>
              <w:spacing w:after="0"/>
              <w:rPr>
                <w:sz w:val="20"/>
                <w:szCs w:val="20"/>
                <w:color w:val="auto"/>
              </w:rPr>
            </w:pPr>
            <w:r>
              <w:rPr>
                <w:rFonts w:ascii="Arial" w:cs="Arial" w:eastAsia="Arial" w:hAnsi="Arial"/>
                <w:sz w:val="17"/>
                <w:szCs w:val="17"/>
                <w:i w:val="1"/>
                <w:iCs w:val="1"/>
                <w:color w:val="auto"/>
                <w:w w:val="97"/>
              </w:rPr>
              <w:t>(Principal Executive Officer)</w:t>
            </w:r>
          </w:p>
        </w:tc>
        <w:tc>
          <w:tcPr>
            <w:tcW w:w="1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18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7"/>
                <w:szCs w:val="17"/>
                <w:color w:val="auto"/>
                <w:w w:val="90"/>
              </w:rPr>
              <w:t>Peter Hoang</w:t>
            </w:r>
          </w:p>
        </w:tc>
        <w:tc>
          <w:tcPr>
            <w:tcW w:w="200" w:type="dxa"/>
            <w:vAlign w:val="bottom"/>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5"/>
              </w:rPr>
              <w:t>/s/ Anthony Kim</w:t>
            </w:r>
          </w:p>
        </w:tc>
        <w:tc>
          <w:tcPr>
            <w:tcW w:w="200" w:type="dxa"/>
            <w:vAlign w:val="bottom"/>
          </w:tcPr>
          <w:p>
            <w:pPr>
              <w:spacing w:after="0"/>
              <w:rPr>
                <w:sz w:val="24"/>
                <w:szCs w:val="24"/>
                <w:color w:val="auto"/>
              </w:rPr>
            </w:pPr>
          </w:p>
        </w:tc>
        <w:tc>
          <w:tcPr>
            <w:tcW w:w="3620" w:type="dxa"/>
            <w:vAlign w:val="bottom"/>
            <w:gridSpan w:val="2"/>
          </w:tcPr>
          <w:p>
            <w:pPr>
              <w:ind w:left="860"/>
              <w:spacing w:after="0"/>
              <w:rPr>
                <w:sz w:val="20"/>
                <w:szCs w:val="20"/>
                <w:color w:val="auto"/>
              </w:rPr>
            </w:pPr>
            <w:r>
              <w:rPr>
                <w:rFonts w:ascii="Arial" w:cs="Arial" w:eastAsia="Arial" w:hAnsi="Arial"/>
                <w:sz w:val="17"/>
                <w:szCs w:val="17"/>
                <w:color w:val="auto"/>
              </w:rPr>
              <w:t>Chief Financial Officer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620" w:type="dxa"/>
            <w:vAlign w:val="bottom"/>
            <w:gridSpan w:val="2"/>
            <w:vMerge w:val="restart"/>
          </w:tcPr>
          <w:p>
            <w:pPr>
              <w:jc w:val="center"/>
              <w:ind w:right="220"/>
              <w:spacing w:after="0"/>
              <w:rPr>
                <w:sz w:val="20"/>
                <w:szCs w:val="20"/>
                <w:color w:val="auto"/>
              </w:rPr>
            </w:pPr>
            <w:r>
              <w:rPr>
                <w:rFonts w:ascii="Arial" w:cs="Arial" w:eastAsia="Arial" w:hAnsi="Arial"/>
                <w:sz w:val="17"/>
                <w:szCs w:val="17"/>
                <w:i w:val="1"/>
                <w:iCs w:val="1"/>
                <w:color w:val="auto"/>
                <w:w w:val="98"/>
              </w:rPr>
              <w:t>(Principal Financial and Accounting Officer)</w:t>
            </w:r>
          </w:p>
        </w:tc>
        <w:tc>
          <w:tcPr>
            <w:tcW w:w="1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18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7"/>
                <w:szCs w:val="17"/>
                <w:color w:val="auto"/>
                <w:w w:val="99"/>
              </w:rPr>
              <w:t>Anthony Kim</w:t>
            </w:r>
          </w:p>
        </w:tc>
        <w:tc>
          <w:tcPr>
            <w:tcW w:w="200" w:type="dxa"/>
            <w:vAlign w:val="bottom"/>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2"/>
              </w:rPr>
              <w:t>/s/ Frederick Wasserman</w:t>
            </w:r>
          </w:p>
        </w:tc>
        <w:tc>
          <w:tcPr>
            <w:tcW w:w="200" w:type="dxa"/>
            <w:vAlign w:val="bottom"/>
          </w:tcPr>
          <w:p>
            <w:pPr>
              <w:spacing w:after="0"/>
              <w:rPr>
                <w:sz w:val="24"/>
                <w:szCs w:val="24"/>
                <w:color w:val="auto"/>
              </w:rPr>
            </w:pPr>
          </w:p>
        </w:tc>
        <w:tc>
          <w:tcPr>
            <w:tcW w:w="362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Chairman of the Board</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0"/>
              </w:rPr>
              <w:t>Frederick Wasserman</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3"/>
              </w:rPr>
              <w:t>/s/ David Laskow-Pooley</w:t>
            </w:r>
          </w:p>
        </w:tc>
        <w:tc>
          <w:tcPr>
            <w:tcW w:w="20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6"/>
              </w:rPr>
              <w:t>David Laskow-Pooley</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1"/>
              </w:rPr>
              <w:t>/s/ John Wilson</w:t>
            </w:r>
          </w:p>
        </w:tc>
        <w:tc>
          <w:tcPr>
            <w:tcW w:w="20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2"/>
              </w:rPr>
              <w:t>John Wilson</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89"/>
              </w:rPr>
              <w:t>/s/ Juan Vera</w:t>
            </w:r>
          </w:p>
        </w:tc>
        <w:tc>
          <w:tcPr>
            <w:tcW w:w="20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0"/>
              </w:rPr>
              <w:t>Juan Vera</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4"/>
              </w:rPr>
              <w:t>/s/ N. David Eansor</w:t>
            </w:r>
          </w:p>
        </w:tc>
        <w:tc>
          <w:tcPr>
            <w:tcW w:w="20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5"/>
              </w:rPr>
              <w:t>N. David Eansor</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118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7"/>
                <w:szCs w:val="17"/>
                <w:i w:val="1"/>
                <w:iCs w:val="1"/>
                <w:color w:val="auto"/>
                <w:w w:val="90"/>
              </w:rPr>
              <w:t>/s/ Steve Elms</w:t>
            </w:r>
          </w:p>
        </w:tc>
        <w:tc>
          <w:tcPr>
            <w:tcW w:w="200" w:type="dxa"/>
            <w:vAlign w:val="bottom"/>
          </w:tcPr>
          <w:p>
            <w:pPr>
              <w:spacing w:after="0"/>
              <w:rPr>
                <w:sz w:val="24"/>
                <w:szCs w:val="24"/>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Director</w:t>
            </w:r>
          </w:p>
        </w:tc>
        <w:tc>
          <w:tcPr>
            <w:tcW w:w="1420" w:type="dxa"/>
            <w:vAlign w:val="bottom"/>
          </w:tcPr>
          <w:p>
            <w:pPr>
              <w:jc w:val="center"/>
              <w:spacing w:after="0"/>
              <w:rPr>
                <w:sz w:val="20"/>
                <w:szCs w:val="20"/>
                <w:color w:val="auto"/>
              </w:rPr>
            </w:pPr>
            <w:r>
              <w:rPr>
                <w:rFonts w:ascii="Arial" w:cs="Arial" w:eastAsia="Arial" w:hAnsi="Arial"/>
                <w:sz w:val="17"/>
                <w:szCs w:val="17"/>
                <w:color w:val="auto"/>
                <w:w w:val="93"/>
              </w:rPr>
              <w:t>August 10,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0"/>
              </w:rPr>
              <w:t>Steve Elms</w:t>
            </w: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8"/>
        </w:trPr>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ind w:left="1060"/>
              <w:spacing w:after="0"/>
              <w:rPr>
                <w:sz w:val="20"/>
                <w:szCs w:val="20"/>
                <w:color w:val="auto"/>
              </w:rPr>
            </w:pPr>
            <w:r>
              <w:rPr>
                <w:rFonts w:ascii="Arial" w:cs="Arial" w:eastAsia="Arial" w:hAnsi="Arial"/>
                <w:sz w:val="17"/>
                <w:szCs w:val="17"/>
                <w:color w:val="auto"/>
              </w:rPr>
              <w:t>II-6</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-27940</wp:posOffset>
            </wp:positionV>
            <wp:extent cx="3365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9960"/>
          </w:cols>
          <w:pgMar w:left="960" w:top="132" w:right="97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1.2</w:t>
      </w:r>
    </w:p>
    <w:p>
      <w:pPr>
        <w:spacing w:after="0" w:line="207" w:lineRule="exact"/>
        <w:rPr>
          <w:sz w:val="20"/>
          <w:szCs w:val="20"/>
          <w:color w:val="auto"/>
        </w:rPr>
      </w:pPr>
    </w:p>
    <w:p>
      <w:pPr>
        <w:ind w:left="9920"/>
        <w:spacing w:after="0"/>
        <w:rPr>
          <w:sz w:val="20"/>
          <w:szCs w:val="20"/>
          <w:color w:val="auto"/>
        </w:rPr>
      </w:pPr>
      <w:r>
        <w:rPr>
          <w:rFonts w:ascii="Arial" w:cs="Arial" w:eastAsia="Arial" w:hAnsi="Arial"/>
          <w:sz w:val="15"/>
          <w:szCs w:val="15"/>
          <w:b w:val="1"/>
          <w:bCs w:val="1"/>
          <w:color w:val="auto"/>
        </w:rPr>
        <w:t>Execution Version</w:t>
      </w:r>
    </w:p>
    <w:p>
      <w:pPr>
        <w:spacing w:after="0" w:line="230"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Marker Therapeutics, Inc.</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Shares of Common Stock</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(par value $0.001 per share)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Controlled Equity Offering</w:t>
      </w:r>
      <w:r>
        <w:rPr>
          <w:rFonts w:ascii="Arial" w:cs="Arial" w:eastAsia="Arial" w:hAnsi="Arial"/>
          <w:sz w:val="27"/>
          <w:szCs w:val="27"/>
          <w:b w:val="1"/>
          <w:bCs w:val="1"/>
          <w:color w:val="auto"/>
          <w:vertAlign w:val="superscript"/>
        </w:rPr>
        <w:t>SM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Sales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August 10,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Cantor Fitzgerald &amp; Co.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499 Park Avenue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RBC Capital Markets</w:t>
      </w:r>
    </w:p>
    <w:p>
      <w:pPr>
        <w:spacing w:after="0" w:line="199" w:lineRule="auto"/>
        <w:rPr>
          <w:sz w:val="20"/>
          <w:szCs w:val="20"/>
          <w:color w:val="auto"/>
        </w:rPr>
      </w:pPr>
      <w:r>
        <w:rPr>
          <w:rFonts w:ascii="Arial" w:cs="Arial" w:eastAsia="Arial" w:hAnsi="Arial"/>
          <w:sz w:val="17"/>
          <w:szCs w:val="17"/>
          <w:color w:val="auto"/>
        </w:rPr>
        <w:t>200 Vesey St., 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10281</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3" w:lineRule="exact"/>
        <w:rPr>
          <w:sz w:val="20"/>
          <w:szCs w:val="20"/>
          <w:color w:val="auto"/>
        </w:rPr>
      </w:pPr>
    </w:p>
    <w:p>
      <w:pPr>
        <w:ind w:firstLine="603"/>
        <w:spacing w:after="0" w:line="273" w:lineRule="auto"/>
        <w:rPr>
          <w:sz w:val="20"/>
          <w:szCs w:val="20"/>
          <w:color w:val="auto"/>
        </w:rPr>
      </w:pPr>
      <w:r>
        <w:rPr>
          <w:rFonts w:ascii="Arial" w:cs="Arial" w:eastAsia="Arial" w:hAnsi="Arial"/>
          <w:sz w:val="17"/>
          <w:szCs w:val="17"/>
          <w:color w:val="auto"/>
        </w:rPr>
        <w:t>Marker Therapeutics,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confirms its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Cantor Fitzgerald &amp; Co. and RBC Capital Markets, LLC (each, an “</w:t>
      </w:r>
      <w:r>
        <w:rPr>
          <w:rFonts w:ascii="Arial" w:cs="Arial" w:eastAsia="Arial" w:hAnsi="Arial"/>
          <w:sz w:val="17"/>
          <w:szCs w:val="17"/>
          <w:b w:val="1"/>
          <w:bCs w:val="1"/>
          <w:u w:val="single" w:color="auto"/>
          <w:color w:val="auto"/>
        </w:rPr>
        <w:t>Agent</w:t>
      </w:r>
      <w:r>
        <w:rPr>
          <w:rFonts w:ascii="Arial" w:cs="Arial" w:eastAsia="Arial" w:hAnsi="Arial"/>
          <w:sz w:val="17"/>
          <w:szCs w:val="17"/>
          <w:color w:val="auto"/>
        </w:rPr>
        <w:t>,” and together, the “</w:t>
      </w:r>
      <w:r>
        <w:rPr>
          <w:rFonts w:ascii="Arial" w:cs="Arial" w:eastAsia="Arial" w:hAnsi="Arial"/>
          <w:sz w:val="17"/>
          <w:szCs w:val="17"/>
          <w:b w:val="1"/>
          <w:bCs w:val="1"/>
          <w:u w:val="single" w:color="auto"/>
          <w:color w:val="auto"/>
        </w:rPr>
        <w:t>Agents</w:t>
      </w:r>
      <w:r>
        <w:rPr>
          <w:rFonts w:ascii="Arial" w:cs="Arial" w:eastAsia="Arial" w:hAnsi="Arial"/>
          <w:sz w:val="17"/>
          <w:szCs w:val="17"/>
          <w:color w:val="auto"/>
        </w:rPr>
        <w:t>”), as follows:</w:t>
      </w:r>
    </w:p>
    <w:p>
      <w:pPr>
        <w:spacing w:after="0" w:line="162" w:lineRule="exact"/>
        <w:rPr>
          <w:sz w:val="20"/>
          <w:szCs w:val="20"/>
          <w:color w:val="auto"/>
        </w:rPr>
      </w:pPr>
    </w:p>
    <w:p>
      <w:pPr>
        <w:jc w:val="both"/>
        <w:ind w:firstLine="604"/>
        <w:spacing w:after="0" w:line="284" w:lineRule="auto"/>
        <w:tabs>
          <w:tab w:leader="none" w:pos="1001"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Issuance and Sale of Shares</w:t>
      </w:r>
      <w:r>
        <w:rPr>
          <w:rFonts w:ascii="Arial" w:cs="Arial" w:eastAsia="Arial" w:hAnsi="Arial"/>
          <w:sz w:val="15"/>
          <w:szCs w:val="15"/>
          <w:color w:val="auto"/>
        </w:rPr>
        <w:t>. The Company agrees that, from time to time during the term of this Agreement, on the terms and subject to the conditions set forth herein, it may issue and sell through the Agents, shares of common stock (the “</w:t>
      </w:r>
      <w:r>
        <w:rPr>
          <w:rFonts w:ascii="Arial" w:cs="Arial" w:eastAsia="Arial" w:hAnsi="Arial"/>
          <w:sz w:val="15"/>
          <w:szCs w:val="15"/>
          <w:b w:val="1"/>
          <w:bCs w:val="1"/>
          <w:u w:val="single" w:color="auto"/>
          <w:color w:val="auto"/>
        </w:rPr>
        <w:t>Placement Shares</w:t>
      </w:r>
      <w:r>
        <w:rPr>
          <w:rFonts w:ascii="Arial" w:cs="Arial" w:eastAsia="Arial" w:hAnsi="Arial"/>
          <w:sz w:val="15"/>
          <w:szCs w:val="15"/>
          <w:color w:val="auto"/>
        </w:rPr>
        <w:t>”) of the Company, par value $0.001 per share (the “</w:t>
      </w:r>
      <w:r>
        <w:rPr>
          <w:rFonts w:ascii="Arial" w:cs="Arial" w:eastAsia="Arial" w:hAnsi="Arial"/>
          <w:sz w:val="15"/>
          <w:szCs w:val="15"/>
          <w:b w:val="1"/>
          <w:bCs w:val="1"/>
          <w:u w:val="single" w:color="auto"/>
          <w:color w:val="auto"/>
        </w:rPr>
        <w:t>Common Stock</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no event shall the Company issue or sell through the Agents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Arial" w:cs="Arial" w:eastAsia="Arial" w:hAnsi="Arial"/>
          <w:sz w:val="15"/>
          <w:szCs w:val="15"/>
          <w:b w:val="1"/>
          <w:bCs w:val="1"/>
          <w:u w:val="single" w:color="auto"/>
          <w:color w:val="auto"/>
        </w:rPr>
        <w:t>Maximum Amount</w:t>
      </w:r>
      <w:r>
        <w:rPr>
          <w:rFonts w:ascii="Arial" w:cs="Arial" w:eastAsia="Arial" w:hAnsi="Arial"/>
          <w:sz w:val="15"/>
          <w:szCs w:val="15"/>
          <w:color w:val="auto"/>
        </w:rPr>
        <w:t xml:space="preserve">”). Notwithstanding anything to the contrary contained herein, the parties hereto agree that compliance with the limitations set forth in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with the Securities and Exchange Commission (the “</w:t>
      </w:r>
      <w:r>
        <w:rPr>
          <w:rFonts w:ascii="Arial" w:cs="Arial" w:eastAsia="Arial" w:hAnsi="Arial"/>
          <w:sz w:val="15"/>
          <w:szCs w:val="15"/>
          <w:b w:val="1"/>
          <w:bCs w:val="1"/>
          <w:u w:val="single" w:color="auto"/>
          <w:color w:val="auto"/>
        </w:rPr>
        <w:t>Commission</w:t>
      </w:r>
      <w:r>
        <w:rPr>
          <w:rFonts w:ascii="Arial" w:cs="Arial" w:eastAsia="Arial" w:hAnsi="Arial"/>
          <w:sz w:val="15"/>
          <w:szCs w:val="15"/>
          <w:color w:val="auto"/>
        </w:rPr>
        <w:t>”) on August 10, 2021 after such Registration Statement has been declared effective by the Commission, although nothing in this Agreement shall be construed as requiring the Company to use the Registration Statement to issue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714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both"/>
        <w:ind w:firstLine="603"/>
        <w:spacing w:after="0" w:line="284" w:lineRule="auto"/>
        <w:rPr>
          <w:sz w:val="20"/>
          <w:szCs w:val="20"/>
          <w:color w:val="auto"/>
        </w:rPr>
      </w:pPr>
      <w:r>
        <w:rPr>
          <w:rFonts w:ascii="Arial" w:cs="Arial" w:eastAsia="Arial" w:hAnsi="Arial"/>
          <w:sz w:val="15"/>
          <w:szCs w:val="15"/>
          <w:color w:val="auto"/>
        </w:rPr>
        <w:t>The Company has filed, in accordance with the provisions of the Securities Act of 1933, as amended (the “</w:t>
      </w:r>
      <w:r>
        <w:rPr>
          <w:rFonts w:ascii="Arial" w:cs="Arial" w:eastAsia="Arial" w:hAnsi="Arial"/>
          <w:sz w:val="15"/>
          <w:szCs w:val="15"/>
          <w:b w:val="1"/>
          <w:bCs w:val="1"/>
          <w:u w:val="single" w:color="auto"/>
          <w:color w:val="auto"/>
        </w:rPr>
        <w:t>Securities Act</w:t>
      </w:r>
      <w:r>
        <w:rPr>
          <w:rFonts w:ascii="Arial" w:cs="Arial" w:eastAsia="Arial" w:hAnsi="Arial"/>
          <w:sz w:val="15"/>
          <w:szCs w:val="15"/>
          <w:color w:val="auto"/>
        </w:rPr>
        <w:t>”) and the rules and regulations thereunder (the “</w:t>
      </w:r>
      <w:r>
        <w:rPr>
          <w:rFonts w:ascii="Arial" w:cs="Arial" w:eastAsia="Arial" w:hAnsi="Arial"/>
          <w:sz w:val="15"/>
          <w:szCs w:val="15"/>
          <w:b w:val="1"/>
          <w:bCs w:val="1"/>
          <w:u w:val="single" w:color="auto"/>
          <w:color w:val="auto"/>
        </w:rPr>
        <w:t>Securities Act Regulations</w:t>
      </w:r>
      <w:r>
        <w:rPr>
          <w:rFonts w:ascii="Arial" w:cs="Arial" w:eastAsia="Arial" w:hAnsi="Arial"/>
          <w:sz w:val="15"/>
          <w:szCs w:val="15"/>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Arial" w:cs="Arial" w:eastAsia="Arial" w:hAnsi="Arial"/>
          <w:sz w:val="15"/>
          <w:szCs w:val="15"/>
          <w:b w:val="1"/>
          <w:bCs w:val="1"/>
          <w:u w:val="single" w:color="auto"/>
          <w:color w:val="auto"/>
        </w:rPr>
        <w:t>Exchange Act</w:t>
      </w:r>
      <w:r>
        <w:rPr>
          <w:rFonts w:ascii="Arial" w:cs="Arial" w:eastAsia="Arial" w:hAnsi="Arial"/>
          <w:sz w:val="15"/>
          <w:szCs w:val="15"/>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Arial" w:cs="Arial" w:eastAsia="Arial" w:hAnsi="Arial"/>
          <w:sz w:val="15"/>
          <w:szCs w:val="15"/>
          <w:b w:val="1"/>
          <w:bCs w:val="1"/>
          <w:u w:val="single" w:color="auto"/>
          <w:color w:val="auto"/>
        </w:rPr>
        <w:t>Prospectus Supplement</w:t>
      </w:r>
      <w:r>
        <w:rPr>
          <w:rFonts w:ascii="Arial" w:cs="Arial" w:eastAsia="Arial" w:hAnsi="Arial"/>
          <w:sz w:val="15"/>
          <w:szCs w:val="15"/>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or deemed to be a part of such registration statement pursuant to Rule 430B, is herein called the “</w:t>
      </w:r>
      <w:r>
        <w:rPr>
          <w:rFonts w:ascii="Arial" w:cs="Arial" w:eastAsia="Arial" w:hAnsi="Arial"/>
          <w:sz w:val="15"/>
          <w:szCs w:val="15"/>
          <w:b w:val="1"/>
          <w:bCs w:val="1"/>
          <w:u w:val="single" w:color="auto"/>
          <w:color w:val="auto"/>
        </w:rPr>
        <w:t>Registration Statement</w:t>
      </w:r>
      <w:r>
        <w:rPr>
          <w:rFonts w:ascii="Arial" w:cs="Arial" w:eastAsia="Arial" w:hAnsi="Arial"/>
          <w:sz w:val="15"/>
          <w:szCs w:val="15"/>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together with the then issued Issuer Free Writing Prospectus(es), is herein called the “</w:t>
      </w:r>
      <w:r>
        <w:rPr>
          <w:rFonts w:ascii="Arial" w:cs="Arial" w:eastAsia="Arial" w:hAnsi="Arial"/>
          <w:sz w:val="15"/>
          <w:szCs w:val="15"/>
          <w:b w:val="1"/>
          <w:bCs w:val="1"/>
          <w:u w:val="single" w:color="auto"/>
          <w:color w:val="auto"/>
        </w:rPr>
        <w:t>Prospectus</w:t>
      </w:r>
      <w:r>
        <w:rPr>
          <w:rFonts w:ascii="Arial" w:cs="Arial" w:eastAsia="Arial" w:hAnsi="Arial"/>
          <w:sz w:val="15"/>
          <w:szCs w:val="15"/>
          <w:color w:val="auto"/>
        </w:rPr>
        <w:t>.”</w:t>
      </w:r>
    </w:p>
    <w:p>
      <w:pPr>
        <w:spacing w:after="0" w:line="159"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Any reference herein to the Registration Statement, any Prospectus Supplement, Prospectus or any Issuer Free Writing Prospectus (defined below) shall be deemed to refer to and include the documents, if any, incorporated by reference therein (the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4" w:name="page65"/>
    <w:bookmarkEnd w:id="64"/>
    <w:p>
      <w:pPr>
        <w:jc w:val="both"/>
        <w:ind w:firstLine="604"/>
        <w:spacing w:after="0" w:line="265" w:lineRule="auto"/>
        <w:tabs>
          <w:tab w:leader="none" w:pos="100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an Agent (such Agent, the “</w:t>
      </w:r>
      <w:r>
        <w:rPr>
          <w:rFonts w:ascii="Arial" w:cs="Arial" w:eastAsia="Arial" w:hAnsi="Arial"/>
          <w:sz w:val="16"/>
          <w:szCs w:val="16"/>
          <w:b w:val="1"/>
          <w:bCs w:val="1"/>
          <w:u w:val="single" w:color="auto"/>
          <w:color w:val="auto"/>
        </w:rPr>
        <w:t>Designated Agent</w:t>
      </w:r>
      <w:r>
        <w:rPr>
          <w:rFonts w:ascii="Arial" w:cs="Arial" w:eastAsia="Arial" w:hAnsi="Arial"/>
          <w:sz w:val="16"/>
          <w:szCs w:val="16"/>
          <w:color w:val="auto"/>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the form of which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Designated Agent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may be amended from time to time. The Placement Notice shall be effective unless and until (i) the Designated Agent declines in writing to accept the terms contained therein for any reason, in its sole discretion, which declination must occur within two (2) Business Days of the receipt of the Placement Notice, (ii) the entire amount of the Placement Shares thereunder have been sold, (iii) the Company amends, supersedes, suspends or terminates the Placement Notice or (iv) this Agreement has been terminated under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(and the Company does not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3" w:lineRule="exact"/>
        <w:rPr>
          <w:rFonts w:ascii="Arial" w:cs="Arial" w:eastAsia="Arial" w:hAnsi="Arial"/>
          <w:sz w:val="16"/>
          <w:szCs w:val="16"/>
          <w:color w:val="auto"/>
        </w:rPr>
      </w:pPr>
    </w:p>
    <w:p>
      <w:pPr>
        <w:jc w:val="both"/>
        <w:ind w:firstLine="604"/>
        <w:spacing w:after="0" w:line="285" w:lineRule="auto"/>
        <w:tabs>
          <w:tab w:leader="none" w:pos="1001"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Sale of Placement Shares by the Agents</w:t>
      </w:r>
      <w:r>
        <w:rPr>
          <w:rFonts w:ascii="Arial" w:cs="Arial" w:eastAsia="Arial" w:hAnsi="Arial"/>
          <w:sz w:val="15"/>
          <w:szCs w:val="15"/>
          <w:color w:val="auto"/>
        </w:rPr>
        <w:t xml:space="preserve">. Subject to the provisions of </w:t>
      </w:r>
      <w:r>
        <w:rPr>
          <w:rFonts w:ascii="Arial" w:cs="Arial" w:eastAsia="Arial" w:hAnsi="Arial"/>
          <w:sz w:val="15"/>
          <w:szCs w:val="15"/>
          <w:u w:val="single" w:color="auto"/>
          <w:color w:val="auto"/>
        </w:rPr>
        <w:t>Section 5(a)</w:t>
      </w:r>
      <w:r>
        <w:rPr>
          <w:rFonts w:ascii="Arial" w:cs="Arial" w:eastAsia="Arial" w:hAnsi="Arial"/>
          <w:sz w:val="15"/>
          <w:szCs w:val="15"/>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5"/>
          <w:szCs w:val="15"/>
          <w:b w:val="1"/>
          <w:bCs w:val="1"/>
          <w:u w:val="single" w:color="auto"/>
          <w:color w:val="auto"/>
        </w:rPr>
        <w:t>Exchange</w:t>
      </w:r>
      <w:r>
        <w:rPr>
          <w:rFonts w:ascii="Arial" w:cs="Arial" w:eastAsia="Arial" w:hAnsi="Arial"/>
          <w:sz w:val="15"/>
          <w:szCs w:val="15"/>
          <w:color w:val="auto"/>
        </w:rPr>
        <w:t xml:space="preserve">”), to sell the Placement Shares up to the amount specified,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with respect to such sales, and the Net Proceeds (as defined below) payable to the Company, with an itemization of the deductions made by the Designated Agent (as set forth in </w:t>
      </w:r>
      <w:r>
        <w:rPr>
          <w:rFonts w:ascii="Arial" w:cs="Arial" w:eastAsia="Arial" w:hAnsi="Arial"/>
          <w:sz w:val="15"/>
          <w:szCs w:val="15"/>
          <w:u w:val="single" w:color="auto"/>
          <w:color w:val="auto"/>
        </w:rPr>
        <w:t>Section 5(b)</w:t>
      </w:r>
      <w:r>
        <w:rPr>
          <w:rFonts w:ascii="Arial" w:cs="Arial" w:eastAsia="Arial" w:hAnsi="Arial"/>
          <w:sz w:val="15"/>
          <w:szCs w:val="15"/>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Arial" w:cs="Arial" w:eastAsia="Arial" w:hAnsi="Arial"/>
          <w:sz w:val="15"/>
          <w:szCs w:val="15"/>
          <w:b w:val="1"/>
          <w:bCs w:val="1"/>
          <w:u w:val="single" w:color="auto"/>
          <w:color w:val="auto"/>
        </w:rPr>
        <w:t>Trading Day</w:t>
      </w:r>
      <w:r>
        <w:rPr>
          <w:rFonts w:ascii="Arial" w:cs="Arial" w:eastAsia="Arial" w:hAnsi="Arial"/>
          <w:sz w:val="15"/>
          <w:szCs w:val="15"/>
          <w:color w:val="auto"/>
        </w:rPr>
        <w:t>” means any day on which Common Stock is traded on the Exchange.</w:t>
      </w:r>
    </w:p>
    <w:p>
      <w:pPr>
        <w:spacing w:after="0" w:line="159" w:lineRule="exact"/>
        <w:rPr>
          <w:rFonts w:ascii="Arial" w:cs="Arial" w:eastAsia="Arial" w:hAnsi="Arial"/>
          <w:sz w:val="15"/>
          <w:szCs w:val="15"/>
          <w:color w:val="auto"/>
        </w:rPr>
      </w:pPr>
    </w:p>
    <w:p>
      <w:pPr>
        <w:jc w:val="both"/>
        <w:ind w:firstLine="604"/>
        <w:spacing w:after="0" w:line="267" w:lineRule="auto"/>
        <w:tabs>
          <w:tab w:leader="none" w:pos="100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Company or the Designated Agent may, upon notice to the other party in writing (including by email correspondence to each of the individuals of the other party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suspend any sale of Placement Shares (a “</w:t>
      </w:r>
      <w:r>
        <w:rPr>
          <w:rFonts w:ascii="Arial" w:cs="Arial" w:eastAsia="Arial" w:hAnsi="Arial"/>
          <w:sz w:val="16"/>
          <w:szCs w:val="16"/>
          <w:b w:val="1"/>
          <w:bCs w:val="1"/>
          <w:u w:val="single" w:color="auto"/>
          <w:color w:val="auto"/>
        </w:rPr>
        <w:t>Suspension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16"/>
          <w:szCs w:val="16"/>
          <w:u w:val="single" w:color="auto"/>
          <w:color w:val="auto"/>
        </w:rPr>
        <w:t>Sections 7(l)</w:t>
      </w:r>
      <w:r>
        <w:rPr>
          <w:rFonts w:ascii="Arial" w:cs="Arial" w:eastAsia="Arial" w:hAnsi="Arial"/>
          <w:sz w:val="16"/>
          <w:szCs w:val="16"/>
          <w:color w:val="auto"/>
        </w:rPr>
        <w:t xml:space="preserve">, </w:t>
      </w:r>
      <w:r>
        <w:rPr>
          <w:rFonts w:ascii="Arial" w:cs="Arial" w:eastAsia="Arial" w:hAnsi="Arial"/>
          <w:sz w:val="16"/>
          <w:szCs w:val="16"/>
          <w:u w:val="single" w:color="auto"/>
          <w:color w:val="auto"/>
        </w:rPr>
        <w:t>7(m)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7(n)</w:t>
      </w:r>
      <w:r>
        <w:rPr>
          <w:rFonts w:ascii="Arial" w:cs="Arial" w:eastAsia="Arial" w:hAnsi="Arial"/>
          <w:sz w:val="16"/>
          <w:szCs w:val="16"/>
          <w:color w:val="auto"/>
        </w:rPr>
        <w:t xml:space="preserve"> with respect to the delivery of certificates, opinions, or comfort letters to the Agents, shall be waived. Each of the parties agrees that no such notice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effective against any other party unless it is made to one of the individuals named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as such Schedule may be amended from time to time.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5" w:name="page66"/>
    <w:bookmarkEnd w:id="65"/>
    <w:p>
      <w:pPr>
        <w:ind w:left="1000" w:hanging="396"/>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Sale and Delivery to the Agent; Settlement</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jc w:val="both"/>
        <w:ind w:firstLine="1207"/>
        <w:spacing w:after="0" w:line="266" w:lineRule="auto"/>
        <w:tabs>
          <w:tab w:leader="none" w:pos="1643"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Sale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72" w:lineRule="exact"/>
        <w:rPr>
          <w:rFonts w:ascii="Arial" w:cs="Arial" w:eastAsia="Arial" w:hAnsi="Arial"/>
          <w:sz w:val="16"/>
          <w:szCs w:val="16"/>
          <w:color w:val="auto"/>
        </w:rPr>
      </w:pPr>
    </w:p>
    <w:p>
      <w:pPr>
        <w:jc w:val="both"/>
        <w:ind w:firstLine="1207"/>
        <w:spacing w:after="0" w:line="268" w:lineRule="auto"/>
        <w:tabs>
          <w:tab w:leader="none" w:pos="1653"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and (ii) any transaction fees imposed by any Governmental Authority (as defined below) in respect of such sales.</w:t>
      </w:r>
    </w:p>
    <w:p>
      <w:pPr>
        <w:spacing w:after="0" w:line="170" w:lineRule="exact"/>
        <w:rPr>
          <w:rFonts w:ascii="Arial" w:cs="Arial" w:eastAsia="Arial" w:hAnsi="Arial"/>
          <w:sz w:val="16"/>
          <w:szCs w:val="16"/>
          <w:color w:val="auto"/>
        </w:rPr>
      </w:pPr>
    </w:p>
    <w:p>
      <w:pPr>
        <w:jc w:val="both"/>
        <w:ind w:firstLine="1207"/>
        <w:spacing w:after="0" w:line="286" w:lineRule="auto"/>
        <w:tabs>
          <w:tab w:leader="none" w:pos="1643" w:val="left"/>
        </w:tabs>
        <w:numPr>
          <w:ilvl w:val="1"/>
          <w:numId w:val="51"/>
        </w:numPr>
        <w:rPr>
          <w:rFonts w:ascii="Arial" w:cs="Arial" w:eastAsia="Arial" w:hAnsi="Arial"/>
          <w:sz w:val="15"/>
          <w:szCs w:val="15"/>
          <w:color w:val="auto"/>
        </w:rPr>
      </w:pPr>
      <w:r>
        <w:rPr>
          <w:rFonts w:ascii="Arial" w:cs="Arial" w:eastAsia="Arial" w:hAnsi="Arial"/>
          <w:sz w:val="15"/>
          <w:szCs w:val="15"/>
          <w:u w:val="single" w:color="auto"/>
          <w:color w:val="auto"/>
        </w:rPr>
        <w:t>Delivery of Placement Shares</w:t>
      </w:r>
      <w:r>
        <w:rPr>
          <w:rFonts w:ascii="Arial" w:cs="Arial" w:eastAsia="Arial" w:hAnsi="Arial"/>
          <w:sz w:val="15"/>
          <w:szCs w:val="15"/>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If the Company, or its transfer agent (if applicable), defaults in its obligation to deliver Placement Shares on a Settlement Date, the Company agrees that in addition to and in no way limiting the rights and obligations set forth in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hereto, it will (i) hold the Designated Agent harmless against any loss, claim, damage, or expense (including reasonable and documented legal fees and expenses), as incurred, arising out of or in connection with such default by the Company or its transfer agent (if applicable) through no fault of the Agents and (ii) pay to the Designated Agent (without duplication) any commission, discount, or other compensation to which it would otherwise have been entitled absent such default.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6" w:name="page67"/>
    <w:bookmarkEnd w:id="66"/>
    <w:p>
      <w:pPr>
        <w:jc w:val="both"/>
        <w:ind w:firstLine="1207"/>
        <w:spacing w:after="0" w:line="254" w:lineRule="auto"/>
        <w:tabs>
          <w:tab w:leader="none" w:pos="1632" w:val="left"/>
        </w:tabs>
        <w:numPr>
          <w:ilvl w:val="2"/>
          <w:numId w:val="52"/>
        </w:numPr>
        <w:rPr>
          <w:rFonts w:ascii="Arial" w:cs="Arial" w:eastAsia="Arial" w:hAnsi="Arial"/>
          <w:sz w:val="17"/>
          <w:szCs w:val="17"/>
          <w:color w:val="auto"/>
        </w:rPr>
      </w:pPr>
      <w:r>
        <w:rPr>
          <w:rFonts w:ascii="Arial" w:cs="Arial" w:eastAsia="Arial" w:hAnsi="Arial"/>
          <w:sz w:val="17"/>
          <w:szCs w:val="17"/>
          <w:u w:val="single" w:color="auto"/>
          <w:color w:val="auto"/>
        </w:rPr>
        <w:t>Denominations; Registration</w:t>
      </w:r>
      <w:r>
        <w:rPr>
          <w:rFonts w:ascii="Arial" w:cs="Arial" w:eastAsia="Arial" w:hAnsi="Arial"/>
          <w:sz w:val="17"/>
          <w:szCs w:val="17"/>
          <w:i w:val="1"/>
          <w:iCs w:val="1"/>
          <w:color w:val="auto"/>
        </w:rPr>
        <w:t>.</w:t>
      </w:r>
      <w:r>
        <w:rPr>
          <w:rFonts w:ascii="Arial" w:cs="Arial" w:eastAsia="Arial" w:hAnsi="Arial"/>
          <w:sz w:val="17"/>
          <w:szCs w:val="17"/>
          <w:color w:val="auto"/>
        </w:rPr>
        <w:t xml:space="preserve"> Certificates for the Placement Shares, if any, shall be in such denominations and registered in such names as the Agents may request in writing at least one full Business Day (as defined below) before the Settlement Date. The certificates for the Placement Shares, if any, will be made available by the Company for examination and packaging by the Agents in The City of New York not later than noon (New York time) on the Business Day prior to the Settlement Date.</w:t>
      </w:r>
    </w:p>
    <w:p>
      <w:pPr>
        <w:spacing w:after="0" w:line="177" w:lineRule="exact"/>
        <w:rPr>
          <w:rFonts w:ascii="Arial" w:cs="Arial" w:eastAsia="Arial" w:hAnsi="Arial"/>
          <w:sz w:val="17"/>
          <w:szCs w:val="17"/>
          <w:color w:val="auto"/>
        </w:rPr>
      </w:pPr>
    </w:p>
    <w:p>
      <w:pPr>
        <w:jc w:val="both"/>
        <w:ind w:firstLine="1207"/>
        <w:spacing w:after="0" w:line="288" w:lineRule="auto"/>
        <w:tabs>
          <w:tab w:leader="none" w:pos="1643" w:val="left"/>
        </w:tabs>
        <w:numPr>
          <w:ilvl w:val="2"/>
          <w:numId w:val="52"/>
        </w:numPr>
        <w:rPr>
          <w:rFonts w:ascii="Arial" w:cs="Arial" w:eastAsia="Arial" w:hAnsi="Arial"/>
          <w:sz w:val="15"/>
          <w:szCs w:val="15"/>
          <w:color w:val="auto"/>
        </w:rPr>
      </w:pPr>
      <w:r>
        <w:rPr>
          <w:rFonts w:ascii="Arial" w:cs="Arial" w:eastAsia="Arial" w:hAnsi="Arial"/>
          <w:sz w:val="15"/>
          <w:szCs w:val="15"/>
          <w:u w:val="single" w:color="auto"/>
          <w:color w:val="auto"/>
        </w:rPr>
        <w:t>Limitations on Offering Size</w:t>
      </w:r>
      <w:r>
        <w:rPr>
          <w:rFonts w:ascii="Arial" w:cs="Arial" w:eastAsia="Arial" w:hAnsi="Arial"/>
          <w:sz w:val="15"/>
          <w:szCs w:val="15"/>
          <w:i w:val="1"/>
          <w:iCs w:val="1"/>
          <w:color w:val="auto"/>
        </w:rPr>
        <w:t>.</w:t>
      </w:r>
      <w:r>
        <w:rPr>
          <w:rFonts w:ascii="Arial" w:cs="Arial" w:eastAsia="Arial" w:hAnsi="Arial"/>
          <w:sz w:val="15"/>
          <w:szCs w:val="15"/>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w:t>
      </w:r>
    </w:p>
    <w:p>
      <w:pPr>
        <w:jc w:val="both"/>
        <w:ind w:firstLine="1"/>
        <w:spacing w:after="0" w:line="248" w:lineRule="auto"/>
        <w:tabs>
          <w:tab w:leader="none" w:pos="2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83" w:lineRule="exact"/>
        <w:rPr>
          <w:rFonts w:ascii="Arial" w:cs="Arial" w:eastAsia="Arial" w:hAnsi="Arial"/>
          <w:sz w:val="17"/>
          <w:szCs w:val="17"/>
          <w:color w:val="auto"/>
        </w:rPr>
      </w:pPr>
    </w:p>
    <w:p>
      <w:pPr>
        <w:jc w:val="both"/>
        <w:ind w:firstLine="1207"/>
        <w:spacing w:after="0" w:line="254" w:lineRule="auto"/>
        <w:tabs>
          <w:tab w:leader="none" w:pos="1625" w:val="left"/>
        </w:tabs>
        <w:numPr>
          <w:ilvl w:val="2"/>
          <w:numId w:val="53"/>
        </w:numPr>
        <w:rPr>
          <w:rFonts w:ascii="Arial" w:cs="Arial" w:eastAsia="Arial" w:hAnsi="Arial"/>
          <w:sz w:val="17"/>
          <w:szCs w:val="17"/>
          <w:color w:val="auto"/>
        </w:rPr>
      </w:pPr>
      <w:r>
        <w:rPr>
          <w:rFonts w:ascii="Arial" w:cs="Arial" w:eastAsia="Arial" w:hAnsi="Arial"/>
          <w:sz w:val="17"/>
          <w:szCs w:val="17"/>
          <w:u w:val="single" w:color="auto"/>
          <w:color w:val="auto"/>
        </w:rPr>
        <w:t>Sales Through Agents</w:t>
      </w:r>
      <w:r>
        <w:rPr>
          <w:rFonts w:ascii="Arial" w:cs="Arial" w:eastAsia="Arial" w:hAnsi="Arial"/>
          <w:sz w:val="17"/>
          <w:szCs w:val="17"/>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one single Agent as the Designated Agent on any single given Trading Day, and in no event shall the Company request that more than one Agent offer or sell Placement Shares pursuant to this Agreement on the same Trading Day.</w:t>
      </w:r>
    </w:p>
    <w:p>
      <w:pPr>
        <w:spacing w:after="0" w:line="177" w:lineRule="exact"/>
        <w:rPr>
          <w:rFonts w:ascii="Arial" w:cs="Arial" w:eastAsia="Arial" w:hAnsi="Arial"/>
          <w:sz w:val="17"/>
          <w:szCs w:val="17"/>
          <w:color w:val="auto"/>
        </w:rPr>
      </w:pPr>
    </w:p>
    <w:p>
      <w:pPr>
        <w:ind w:firstLine="604"/>
        <w:spacing w:after="0" w:line="268" w:lineRule="auto"/>
        <w:tabs>
          <w:tab w:leader="none" w:pos="100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Agents that as of the date of this Agreement and as of each Applicable Time (as defined below), unless such representation, warranty or agreement specifies a different time:</w:t>
      </w:r>
    </w:p>
    <w:p>
      <w:pPr>
        <w:spacing w:after="0" w:line="166" w:lineRule="exact"/>
        <w:rPr>
          <w:rFonts w:ascii="Arial" w:cs="Arial" w:eastAsia="Arial" w:hAnsi="Arial"/>
          <w:sz w:val="17"/>
          <w:szCs w:val="17"/>
          <w:color w:val="auto"/>
        </w:rPr>
      </w:pPr>
    </w:p>
    <w:p>
      <w:pPr>
        <w:jc w:val="both"/>
        <w:ind w:firstLine="1207"/>
        <w:spacing w:after="0" w:line="266" w:lineRule="auto"/>
        <w:tabs>
          <w:tab w:leader="none" w:pos="1643"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No order preventing or suspending the use of the 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Agents pursuant to Rule 430B or otherwise under the Securities Act), such part conformed or will conform in all material respects to the requirements of the Securities Act and the Securities Act Regulations. Upon the filing or first use within the meaning of the Securities Act Regulations, the Prospectus (or any supplement thereto) conformed or will conform in all material respects to the requirements of the Securities Act and the Securities Act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7" w:name="page68"/>
    <w:bookmarkEnd w:id="67"/>
    <w:p>
      <w:pPr>
        <w:jc w:val="both"/>
        <w:ind w:firstLine="1207"/>
        <w:spacing w:after="0" w:line="285" w:lineRule="auto"/>
        <w:tabs>
          <w:tab w:leader="none" w:pos="1632"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Accurate Disclosure</w:t>
      </w:r>
      <w:r>
        <w:rPr>
          <w:rFonts w:ascii="Arial" w:cs="Arial" w:eastAsia="Arial" w:hAnsi="Arial"/>
          <w:sz w:val="15"/>
          <w:szCs w:val="15"/>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becomes effective,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Agents specifically for use in the preparation thereof.</w:t>
      </w:r>
    </w:p>
    <w:p>
      <w:pPr>
        <w:spacing w:after="0" w:line="159" w:lineRule="exact"/>
        <w:rPr>
          <w:rFonts w:ascii="Arial" w:cs="Arial" w:eastAsia="Arial" w:hAnsi="Arial"/>
          <w:sz w:val="15"/>
          <w:szCs w:val="15"/>
          <w:color w:val="auto"/>
        </w:rPr>
      </w:pPr>
    </w:p>
    <w:p>
      <w:pPr>
        <w:jc w:val="both"/>
        <w:ind w:firstLine="1207"/>
        <w:spacing w:after="0" w:line="275" w:lineRule="auto"/>
        <w:tabs>
          <w:tab w:leader="none" w:pos="164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(i) Each Issuer Free Writing Prospectus does not include any information that conflicts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any Agents through you specifically for use therein; it being understood and agreed that the only such information furnished by any Agent consists of the Agent Information (as defined below).</w:t>
      </w:r>
    </w:p>
    <w:p>
      <w:pPr>
        <w:spacing w:after="0" w:line="162" w:lineRule="exact"/>
        <w:rPr>
          <w:rFonts w:ascii="Arial" w:cs="Arial" w:eastAsia="Arial" w:hAnsi="Arial"/>
          <w:sz w:val="16"/>
          <w:szCs w:val="16"/>
          <w:color w:val="auto"/>
        </w:rPr>
      </w:pPr>
    </w:p>
    <w:p>
      <w:pPr>
        <w:jc w:val="both"/>
        <w:ind w:firstLine="1810"/>
        <w:spacing w:after="0" w:line="293" w:lineRule="auto"/>
        <w:tabs>
          <w:tab w:leader="none" w:pos="2328" w:val="left"/>
        </w:tabs>
        <w:numPr>
          <w:ilvl w:val="1"/>
          <w:numId w:val="55"/>
        </w:numPr>
        <w:rPr>
          <w:rFonts w:ascii="Arial" w:cs="Arial" w:eastAsia="Arial" w:hAnsi="Arial"/>
          <w:sz w:val="15"/>
          <w:szCs w:val="15"/>
          <w:color w:val="auto"/>
        </w:rPr>
      </w:pPr>
      <w:r>
        <w:rPr>
          <w:rFonts w:ascii="Arial" w:cs="Arial" w:eastAsia="Arial" w:hAnsi="Arial"/>
          <w:sz w:val="15"/>
          <w:szCs w:val="15"/>
          <w:color w:val="auto"/>
        </w:rPr>
        <w:t xml:space="preserve">(1) At the earliest time after the filing of the Registration Statement that the Company or another offering participant made a </w:t>
      </w:r>
      <w:r>
        <w:rPr>
          <w:rFonts w:ascii="Arial" w:cs="Arial" w:eastAsia="Arial" w:hAnsi="Arial"/>
          <w:sz w:val="15"/>
          <w:szCs w:val="15"/>
          <w:i w:val="1"/>
          <w:iCs w:val="1"/>
          <w:color w:val="auto"/>
        </w:rPr>
        <w:t>bona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fide </w:t>
      </w:r>
      <w:r>
        <w:rPr>
          <w:rFonts w:ascii="Arial" w:cs="Arial" w:eastAsia="Arial" w:hAnsi="Arial"/>
          <w:sz w:val="15"/>
          <w:szCs w:val="15"/>
          <w:color w:val="auto"/>
        </w:rPr>
        <w:t>offer (within the meaning of Rule 164(h)(2)) of the Placement Shares and (2) at the date hereof, the Company was not and is not an “ineligible issuer,” as defined</w:t>
      </w:r>
      <w:r>
        <w:rPr>
          <w:rFonts w:ascii="Arial" w:cs="Arial" w:eastAsia="Arial" w:hAnsi="Arial"/>
          <w:sz w:val="15"/>
          <w:szCs w:val="15"/>
          <w:i w:val="1"/>
          <w:iCs w:val="1"/>
          <w:color w:val="auto"/>
        </w:rPr>
        <w:t xml:space="preserve"> </w:t>
      </w:r>
      <w:r>
        <w:rPr>
          <w:rFonts w:ascii="Arial" w:cs="Arial" w:eastAsia="Arial" w:hAnsi="Arial"/>
          <w:sz w:val="15"/>
          <w:szCs w:val="15"/>
          <w:color w:val="auto"/>
        </w:rPr>
        <w:t>in Rule 405, including the Company or any subsidiary in the preceding three years not having been convicted of a felony or misdemeanor or having been made the subject of a judicial or administrative decree or order as described in Rule 405 (without taking account of any determination by the Commission pursuant to Rule 405 that it is not necessary that the Company be considered an ineligible issuer), nor an “excluded issuer” as defined in Rule 164.</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8" w:name="page69"/>
    <w:bookmarkEnd w:id="68"/>
    <w:p>
      <w:pPr>
        <w:ind w:left="2340" w:hanging="530"/>
        <w:spacing w:after="0"/>
        <w:tabs>
          <w:tab w:leader="none" w:pos="234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Each issuer free writing prospectus satisfied, as of its issue date and at each Applicable Time, all other conditions to use thereof as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set forth in Rules 164 and 433.</w:t>
      </w:r>
    </w:p>
    <w:p>
      <w:pPr>
        <w:spacing w:after="0" w:line="194" w:lineRule="exact"/>
        <w:rPr>
          <w:rFonts w:ascii="Arial" w:cs="Arial" w:eastAsia="Arial" w:hAnsi="Arial"/>
          <w:sz w:val="15"/>
          <w:szCs w:val="15"/>
          <w:color w:val="auto"/>
        </w:rPr>
      </w:pPr>
    </w:p>
    <w:p>
      <w:pPr>
        <w:jc w:val="both"/>
        <w:ind w:firstLine="1207"/>
        <w:spacing w:after="0" w:line="293" w:lineRule="auto"/>
        <w:tabs>
          <w:tab w:leader="none" w:pos="1632"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No Other Offering Materials</w:t>
      </w:r>
      <w:r>
        <w:rPr>
          <w:rFonts w:ascii="Arial" w:cs="Arial" w:eastAsia="Arial" w:hAnsi="Arial"/>
          <w:sz w:val="15"/>
          <w:szCs w:val="15"/>
          <w:color w:val="auto"/>
        </w:rPr>
        <w:t xml:space="preserve">. The Company has not distributed and will not distribute any prospectus or other offering material in connection with the offering and sale of the Placement Shares other than the Registration Statement, the Prospectus, any Issuer Free Writing Prospectus to which the Agents have consented, any such consent not to be unreasonably withheld, conditioned or delayed, or other materials permitted by the Securities Act to be distributed by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except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the Company has not made and will not make any offer relating to the Placement Shares that would constitute an Issuer Free Writing Prospectus, except in accordance with the provisions of Section 21 of this Agreement.</w:t>
      </w:r>
    </w:p>
    <w:p>
      <w:pPr>
        <w:spacing w:after="0" w:line="153" w:lineRule="exact"/>
        <w:rPr>
          <w:rFonts w:ascii="Arial" w:cs="Arial" w:eastAsia="Arial" w:hAnsi="Arial"/>
          <w:sz w:val="15"/>
          <w:szCs w:val="15"/>
          <w:color w:val="auto"/>
        </w:rPr>
      </w:pPr>
    </w:p>
    <w:p>
      <w:pPr>
        <w:jc w:val="both"/>
        <w:ind w:firstLine="1207"/>
        <w:spacing w:after="0" w:line="265" w:lineRule="auto"/>
        <w:tabs>
          <w:tab w:leader="none" w:pos="164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of the Company, together with the related notes, set forth or incorporated by reference in the Registration Statement and the Prospectus,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consistently applied throughout the periods involved; the supporting schedules, if any, included in, or incorporated by reference into, the Registration Statement present fairly the information required to be stated therein; all non-GAAP financial information included in, or incorporated by reference into, the Registration Statement and the Prospectus complies in all material respects with the requirements of Regulation G and Item 10 of Regulation S-K under the Securities Act; and, except as disclosed in the Prospectus, there are no material off-balance sheet arrangements (as defined in Regulation S-K under the Securities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or the Prospectus. To the Company’s knowledge, Marcum LLP, which has expressed its opinion with respect to the financial statements and schedules filed as, or incorporated by reference into, a part of the Registration Statement and included in the Registration Statement and the Prospectus, is (x) an independent public accounting firm within the meaning of the Securities Act and the Securities Act Regulations, (y) a registered public accounting firm (as defined in Section 2(a)(12) of the Sarbanes-Oxley Act of 2002 (the “</w:t>
      </w:r>
      <w:r>
        <w:rPr>
          <w:rFonts w:ascii="Arial" w:cs="Arial" w:eastAsia="Arial" w:hAnsi="Arial"/>
          <w:sz w:val="16"/>
          <w:szCs w:val="16"/>
          <w:b w:val="1"/>
          <w:bCs w:val="1"/>
          <w:u w:val="single" w:color="auto"/>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169" w:lineRule="exact"/>
        <w:rPr>
          <w:rFonts w:ascii="Arial" w:cs="Arial" w:eastAsia="Arial" w:hAnsi="Arial"/>
          <w:sz w:val="16"/>
          <w:szCs w:val="16"/>
          <w:color w:val="auto"/>
        </w:rPr>
      </w:pPr>
    </w:p>
    <w:p>
      <w:pPr>
        <w:jc w:val="both"/>
        <w:ind w:firstLine="1207"/>
        <w:spacing w:after="0" w:line="291" w:lineRule="auto"/>
        <w:tabs>
          <w:tab w:leader="none" w:pos="1625"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Organization and Good Standing</w:t>
      </w:r>
      <w:r>
        <w:rPr>
          <w:rFonts w:ascii="Arial" w:cs="Arial" w:eastAsia="Arial" w:hAnsi="Arial"/>
          <w:sz w:val="15"/>
          <w:szCs w:val="15"/>
          <w:color w:val="auto"/>
        </w:rPr>
        <w:t>. Each of the Company and its subsidiaries has been duly organized and is validly existing as a corporation in good standing under the laws of its jurisdiction of incorporation. Each of the Company and its subsidiaries has full corporate power and authority to own its properties and conduct its business as currently being carried on and as described in the Registration Statement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business, prospects, management, properties, operations, condition (financial or otherwise) or results of operations of the Company and its subsidiaries, taken as a whole (“</w:t>
      </w:r>
      <w:r>
        <w:rPr>
          <w:rFonts w:ascii="Arial" w:cs="Arial" w:eastAsia="Arial" w:hAnsi="Arial"/>
          <w:sz w:val="15"/>
          <w:szCs w:val="15"/>
          <w:b w:val="1"/>
          <w:bCs w:val="1"/>
          <w:u w:val="single" w:color="auto"/>
          <w:color w:val="auto"/>
        </w:rPr>
        <w:t>Material Adverse Effect</w:t>
      </w:r>
      <w:r>
        <w:rPr>
          <w:rFonts w:ascii="Arial" w:cs="Arial" w:eastAsia="Arial" w:hAnsi="Arial"/>
          <w:sz w:val="15"/>
          <w:szCs w:val="15"/>
          <w:color w:val="auto"/>
        </w:rPr>
        <w: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9" w:name="page70"/>
    <w:bookmarkEnd w:id="69"/>
    <w:p>
      <w:pPr>
        <w:jc w:val="both"/>
        <w:ind w:firstLine="1207"/>
        <w:spacing w:after="0" w:line="287" w:lineRule="auto"/>
        <w:tabs>
          <w:tab w:leader="none" w:pos="1653"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Absence of Certain Events</w:t>
      </w:r>
      <w:r>
        <w:rPr>
          <w:rFonts w:ascii="Arial" w:cs="Arial" w:eastAsia="Arial" w:hAnsi="Arial"/>
          <w:sz w:val="15"/>
          <w:szCs w:val="15"/>
          <w:color w:val="auto"/>
        </w:rPr>
        <w:t>. Except as contemplated in the Prospectus, subsequent to the respective dates as of which information is given in the Prospectus,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5"/>
          <w:szCs w:val="15"/>
          <w:b w:val="1"/>
          <w:bCs w:val="1"/>
          <w:u w:val="single" w:color="auto"/>
          <w:color w:val="auto"/>
        </w:rPr>
        <w:t>Material Adverse Change</w:t>
      </w:r>
      <w:r>
        <w:rPr>
          <w:rFonts w:ascii="Arial" w:cs="Arial" w:eastAsia="Arial" w:hAnsi="Arial"/>
          <w:sz w:val="15"/>
          <w:szCs w:val="15"/>
          <w:color w:val="auto"/>
        </w:rPr>
        <w:t>”) or any development which could reasonably be expected to result in any Material Adverse Change.</w:t>
      </w:r>
    </w:p>
    <w:p>
      <w:pPr>
        <w:spacing w:after="0" w:line="159" w:lineRule="exact"/>
        <w:rPr>
          <w:rFonts w:ascii="Arial" w:cs="Arial" w:eastAsia="Arial" w:hAnsi="Arial"/>
          <w:sz w:val="15"/>
          <w:szCs w:val="15"/>
          <w:color w:val="auto"/>
        </w:rPr>
      </w:pPr>
    </w:p>
    <w:p>
      <w:pPr>
        <w:jc w:val="both"/>
        <w:ind w:firstLine="1207"/>
        <w:spacing w:after="0" w:line="266" w:lineRule="auto"/>
        <w:tabs>
          <w:tab w:leader="none" w:pos="16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set forth or incorporated by reference in the Prospectus, there is not pending or, to the knowledge of the Company, threatened or contemplated,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which, individually or in the aggregate, might reasonably be expected to result in any Material Adverse Change, or would materially and adversely affect the ability of the Company to perform its obligations under this Agreement or which are otherwise material in the context of the sale of the Placement Shares.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by the Securities Act or by the Securities Act Regulations and that have not been so described.</w:t>
      </w:r>
    </w:p>
    <w:p>
      <w:pPr>
        <w:spacing w:after="0" w:line="172" w:lineRule="exact"/>
        <w:rPr>
          <w:rFonts w:ascii="Arial" w:cs="Arial" w:eastAsia="Arial" w:hAnsi="Arial"/>
          <w:sz w:val="16"/>
          <w:szCs w:val="16"/>
          <w:color w:val="auto"/>
        </w:rPr>
      </w:pPr>
    </w:p>
    <w:p>
      <w:pPr>
        <w:jc w:val="both"/>
        <w:ind w:firstLine="1207"/>
        <w:spacing w:after="0" w:line="257" w:lineRule="auto"/>
        <w:tabs>
          <w:tab w:leader="none" w:pos="163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Disclosure of Legal Matters</w:t>
      </w:r>
      <w:r>
        <w:rPr>
          <w:rFonts w:ascii="Arial" w:cs="Arial" w:eastAsia="Arial" w:hAnsi="Arial"/>
          <w:sz w:val="17"/>
          <w:szCs w:val="17"/>
          <w:color w:val="auto"/>
        </w:rPr>
        <w:t>. There are no statutes, regulations, contracts or documents that are required to be described in the Registration Statement and in the Prospectus or required to be filed as exhibits to the Registration Statement by the Securities Act or by the Securities Act Regulations that have not been so described or filed.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0" w:name="page71"/>
    <w:bookmarkEnd w:id="70"/>
    <w:p>
      <w:pPr>
        <w:jc w:val="both"/>
        <w:ind w:firstLine="1207"/>
        <w:spacing w:after="0" w:line="284" w:lineRule="auto"/>
        <w:tabs>
          <w:tab w:leader="none" w:pos="1637"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Authorization; No Conflicts; Authority</w:t>
      </w:r>
      <w:r>
        <w:rPr>
          <w:rFonts w:ascii="Arial" w:cs="Arial" w:eastAsia="Arial" w:hAnsi="Arial"/>
          <w:sz w:val="15"/>
          <w:szCs w:val="15"/>
          <w:color w:val="auto"/>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charter or bylaws or (C) result in the violation of any law or statute or any judgment, order, rule, regulation or decree of any Governmental Authority, except in the case of clauses (A) and (C) as would not reasonably be expected to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Placement Shares by the Company, except such as may be required under the Securities Act, the rules of the Financial Industry Regulatory Authority (</w:t>
      </w:r>
      <w:r>
        <w:rPr>
          <w:rFonts w:ascii="Arial" w:cs="Arial" w:eastAsia="Arial" w:hAnsi="Arial"/>
          <w:sz w:val="15"/>
          <w:szCs w:val="15"/>
          <w:b w:val="1"/>
          <w:bCs w:val="1"/>
          <w:i w:val="1"/>
          <w:iCs w:val="1"/>
          <w:color w:val="auto"/>
        </w:rPr>
        <w:t>“</w:t>
      </w:r>
      <w:r>
        <w:rPr>
          <w:rFonts w:ascii="Arial" w:cs="Arial" w:eastAsia="Arial" w:hAnsi="Arial"/>
          <w:sz w:val="15"/>
          <w:szCs w:val="15"/>
          <w:b w:val="1"/>
          <w:bCs w:val="1"/>
          <w:u w:val="single" w:color="auto"/>
          <w:color w:val="auto"/>
        </w:rPr>
        <w:t>FINRA</w:t>
      </w:r>
      <w:r>
        <w:rPr>
          <w:rFonts w:ascii="Arial" w:cs="Arial" w:eastAsia="Arial" w:hAnsi="Arial"/>
          <w:sz w:val="15"/>
          <w:szCs w:val="15"/>
          <w:b w:val="1"/>
          <w:bCs w:val="1"/>
          <w:i w:val="1"/>
          <w:iCs w:val="1"/>
          <w:color w:val="auto"/>
        </w:rPr>
        <w:t>”</w:t>
      </w:r>
      <w:r>
        <w:rPr>
          <w:rFonts w:ascii="Arial" w:cs="Arial" w:eastAsia="Arial" w:hAnsi="Arial"/>
          <w:sz w:val="15"/>
          <w:szCs w:val="15"/>
          <w:color w:val="auto"/>
        </w:rPr>
        <w:t>) or state securities or blue sky laws; and the Company has full power and authority to enter into this Agreement and to consummate the transactions contemplated hereby, including the authorization, issuance and sale of the Placement Shares as contemplated by this Agreement.</w:t>
      </w:r>
    </w:p>
    <w:p>
      <w:pPr>
        <w:spacing w:after="0" w:line="158" w:lineRule="exact"/>
        <w:rPr>
          <w:rFonts w:ascii="Arial" w:cs="Arial" w:eastAsia="Arial" w:hAnsi="Arial"/>
          <w:sz w:val="15"/>
          <w:szCs w:val="15"/>
          <w:color w:val="auto"/>
        </w:rPr>
      </w:pPr>
    </w:p>
    <w:p>
      <w:pPr>
        <w:jc w:val="both"/>
        <w:ind w:firstLine="1207"/>
        <w:spacing w:after="0" w:line="283" w:lineRule="auto"/>
        <w:tabs>
          <w:tab w:leader="none" w:pos="1653"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Capitalization; the Placement Shares; Registration Rights</w:t>
      </w:r>
      <w:r>
        <w:rPr>
          <w:rFonts w:ascii="Arial" w:cs="Arial" w:eastAsia="Arial" w:hAnsi="Arial"/>
          <w:sz w:val="15"/>
          <w:szCs w:val="15"/>
          <w:color w:val="auto"/>
        </w:rPr>
        <w:t>. All of the issued and outstanding shares of capital stock of the Company, 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Agents), and the holders thereof are not subject to personal liability by reason of being such holders; the Placement Shares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to the description thereof in the Registration Statement and in the Prospectus. Except as otherwise stated in the Registration Statement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Placement Shares as contemplated by this Agreement gives rise to any rights for or relating to the registration of any shares of Common Stock or other securities of the Company (collectively “</w:t>
      </w:r>
      <w:r>
        <w:rPr>
          <w:rFonts w:ascii="Arial" w:cs="Arial" w:eastAsia="Arial" w:hAnsi="Arial"/>
          <w:sz w:val="15"/>
          <w:szCs w:val="15"/>
          <w:b w:val="1"/>
          <w:bCs w:val="1"/>
          <w:u w:val="single" w:color="auto"/>
          <w:color w:val="auto"/>
        </w:rPr>
        <w:t>Registration Rights</w:t>
      </w:r>
      <w:r>
        <w:rPr>
          <w:rFonts w:ascii="Arial" w:cs="Arial" w:eastAsia="Arial" w:hAnsi="Arial"/>
          <w:sz w:val="15"/>
          <w:szCs w:val="15"/>
          <w:color w:val="auto"/>
        </w:rPr>
        <w:t>”). All of the issued and outstanding shares of capital stock of each of the Company’s subsidiaries have been duly and validly authorized and issued and are fully paid and nonassessable, and, except as otherwise described in the Registration Statement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and in the Prospectus under the caption “Capitalization.” The Common Stock (including the Placement Shares) conforms in all material respects to the description thereof contained in the Prospectus.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1" w:name="page72"/>
    <w:bookmarkEnd w:id="71"/>
    <w:p>
      <w:pPr>
        <w:jc w:val="both"/>
        <w:ind w:firstLine="1207"/>
        <w:spacing w:after="0" w:line="286" w:lineRule="auto"/>
        <w:tabs>
          <w:tab w:leader="none" w:pos="1637"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Stock Options</w:t>
      </w:r>
      <w:r>
        <w:rPr>
          <w:rFonts w:ascii="Arial" w:cs="Arial" w:eastAsia="Arial" w:hAnsi="Arial"/>
          <w:sz w:val="15"/>
          <w:szCs w:val="15"/>
          <w:color w:val="auto"/>
        </w:rPr>
        <w:t>. Except as described in the Registration Statement and in the Prospectus, 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Arial" w:cs="Arial" w:eastAsia="Arial" w:hAnsi="Arial"/>
          <w:sz w:val="15"/>
          <w:szCs w:val="15"/>
          <w:b w:val="1"/>
          <w:bCs w:val="1"/>
          <w:u w:val="single" w:color="auto"/>
          <w:color w:val="auto"/>
        </w:rPr>
        <w:t>Company Stock Plans</w:t>
      </w:r>
      <w:r>
        <w:rPr>
          <w:rFonts w:ascii="Arial" w:cs="Arial" w:eastAsia="Arial" w:hAnsi="Arial"/>
          <w:sz w:val="15"/>
          <w:szCs w:val="15"/>
          <w:color w:val="auto"/>
        </w:rPr>
        <w:t>”), and the options (the “</w:t>
      </w:r>
      <w:r>
        <w:rPr>
          <w:rFonts w:ascii="Arial" w:cs="Arial" w:eastAsia="Arial" w:hAnsi="Arial"/>
          <w:sz w:val="15"/>
          <w:szCs w:val="15"/>
          <w:b w:val="1"/>
          <w:bCs w:val="1"/>
          <w:u w:val="single" w:color="auto"/>
          <w:color w:val="auto"/>
        </w:rPr>
        <w:t>Options</w:t>
      </w:r>
      <w:r>
        <w:rPr>
          <w:rFonts w:ascii="Arial" w:cs="Arial" w:eastAsia="Arial" w:hAnsi="Arial"/>
          <w:sz w:val="15"/>
          <w:szCs w:val="15"/>
          <w:color w:val="auto"/>
        </w:rPr>
        <w:t>”) or other rights granted thereunder, set forth in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60" w:lineRule="exact"/>
        <w:rPr>
          <w:rFonts w:ascii="Arial" w:cs="Arial" w:eastAsia="Arial" w:hAnsi="Arial"/>
          <w:sz w:val="15"/>
          <w:szCs w:val="15"/>
          <w:color w:val="auto"/>
        </w:rPr>
      </w:pPr>
    </w:p>
    <w:p>
      <w:pPr>
        <w:ind w:left="1680" w:hanging="473"/>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Except as would not reasonably be expected to result in a Material Adverse Effect, whether singularly or in the</w:t>
      </w:r>
    </w:p>
    <w:p>
      <w:pPr>
        <w:spacing w:after="0" w:line="29"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5"/>
          <w:szCs w:val="15"/>
          <w:color w:val="auto"/>
        </w:rPr>
        <w:t>aggregate: (A) the Company and each of its subsidiaries holds, and is operating in compliance with, all franchises, grants, authorizations, licenses, permits, easements, consents, certificates and orders of any Governmental Authority or self-regulatory body required for the conduct of its business and all such franchises, grants, authorizations, licenses, permits, easements, consents, certifications and orders are valid and in full force and effect; (B)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(C) the Company and each of its subsidiaries is in compliance with all applicable federal, state, local and foreign laws, regulations, orders and decrees.</w:t>
      </w:r>
    </w:p>
    <w:p>
      <w:pPr>
        <w:spacing w:after="0" w:line="157" w:lineRule="exact"/>
        <w:rPr>
          <w:rFonts w:ascii="Arial" w:cs="Arial" w:eastAsia="Arial" w:hAnsi="Arial"/>
          <w:sz w:val="16"/>
          <w:szCs w:val="16"/>
          <w:color w:val="auto"/>
        </w:rPr>
      </w:pPr>
    </w:p>
    <w:p>
      <w:pPr>
        <w:jc w:val="both"/>
        <w:ind w:firstLine="1207"/>
        <w:spacing w:after="0" w:line="269" w:lineRule="auto"/>
        <w:tabs>
          <w:tab w:leader="none" w:pos="163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Ownership of Assets</w:t>
      </w:r>
      <w:r>
        <w:rPr>
          <w:rFonts w:ascii="Arial" w:cs="Arial" w:eastAsia="Arial" w:hAnsi="Arial"/>
          <w:sz w:val="16"/>
          <w:szCs w:val="16"/>
          <w:color w:val="auto"/>
        </w:rPr>
        <w:t>. The Company and its subsidiaries have good and marketable title to all property (whether real or personal) described in the Registration Statement and in the Prospectus as being owned by them, in each case free and clear of all liens, claims, security interests, other encumbrances or defects except such as are described in the Registration Statement and in the Prospectus or as do not materially affect the value of such property and do not materially interfere with the use made and proposed to be made of such property by the Company.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2" w:name="page73"/>
    <w:bookmarkEnd w:id="72"/>
    <w:p>
      <w:pPr>
        <w:jc w:val="both"/>
        <w:ind w:firstLine="1207"/>
        <w:spacing w:after="0" w:line="281" w:lineRule="auto"/>
        <w:tabs>
          <w:tab w:leader="none" w:pos="1653"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Registration Statement and the Prospectus (collectively, the “</w:t>
      </w:r>
      <w:r>
        <w:rPr>
          <w:rFonts w:ascii="Arial" w:cs="Arial" w:eastAsia="Arial" w:hAnsi="Arial"/>
          <w:sz w:val="15"/>
          <w:szCs w:val="15"/>
          <w:b w:val="1"/>
          <w:bCs w:val="1"/>
          <w:u w:val="single" w:color="auto"/>
          <w:color w:val="auto"/>
        </w:rPr>
        <w:t>Company Intellectual Property</w:t>
      </w:r>
      <w:r>
        <w:rPr>
          <w:rFonts w:ascii="Arial" w:cs="Arial" w:eastAsia="Arial" w:hAnsi="Arial"/>
          <w:sz w:val="15"/>
          <w:szCs w:val="15"/>
          <w:color w:val="auto"/>
        </w:rPr>
        <w:t>”), and, to the Company’s knowledge, the conduct of its business (including the development and commercialization of the product candidates described in the Registration Statement and the Prospectus) has not and will not infringe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the patents, trademarks and copyrights held or licensed by the Company included within the Company Intellectual Property are valid, enforceable and subsisting; to the Company’s knowledge, there is no infringement by third parties of any of the Company Intellectual Property; other than as disclosed in the Registration Statement and the Prospectus, (i) the Company is not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and the Company is unaware of any facts which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Registration Statement and the Prospectus, in the current or proposed conduct of the business of the Company, do not currently, and will not upon commercialization, to the knowledge of the Company, infringe any right or valid patent claim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 the Company has complied with the terms of each agreement pursuant to which the Company’s Intellectual Property has been licensed to the Company, and all such agreements are in full force and effect. 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w:t>
      </w:r>
      <w:r>
        <w:rPr>
          <w:rFonts w:ascii="Arial" w:cs="Arial" w:eastAsia="Arial" w:hAnsi="Arial"/>
          <w:sz w:val="15"/>
          <w:szCs w:val="15"/>
          <w:b w:val="1"/>
          <w:bCs w:val="1"/>
          <w:u w:val="single" w:color="auto"/>
          <w:color w:val="auto"/>
        </w:rPr>
        <w:t>USPTO</w:t>
      </w:r>
      <w:r>
        <w:rPr>
          <w:rFonts w:ascii="Arial" w:cs="Arial" w:eastAsia="Arial" w:hAnsi="Arial"/>
          <w:sz w:val="15"/>
          <w:szCs w:val="15"/>
          <w:color w:val="auto"/>
        </w:rPr>
        <w:t>”)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3" w:name="page74"/>
    <w:bookmarkEnd w:id="73"/>
    <w:p>
      <w:pPr>
        <w:jc w:val="both"/>
        <w:ind w:firstLine="1207"/>
        <w:spacing w:after="0" w:line="266" w:lineRule="auto"/>
        <w:tabs>
          <w:tab w:leader="none" w:pos="163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Health Care Authorizations</w:t>
      </w:r>
      <w:r>
        <w:rPr>
          <w:rFonts w:ascii="Arial" w:cs="Arial" w:eastAsia="Arial" w:hAnsi="Arial"/>
          <w:sz w:val="16"/>
          <w:szCs w:val="16"/>
          <w:color w:val="auto"/>
        </w:rPr>
        <w:t>. The Company possesses, and is in compliance with the terms of, all applications, certificates, approvals, clearances, registrations, exemptions, franchises, licenses, permits, consents and other authorizations necessary to conduct its business, as currently conducted (collectively, “</w:t>
      </w:r>
      <w:r>
        <w:rPr>
          <w:rFonts w:ascii="Arial" w:cs="Arial" w:eastAsia="Arial" w:hAnsi="Arial"/>
          <w:sz w:val="16"/>
          <w:szCs w:val="16"/>
          <w:b w:val="1"/>
          <w:bCs w:val="1"/>
          <w:u w:val="single" w:color="auto"/>
          <w:color w:val="auto"/>
        </w:rPr>
        <w:t>Licenses</w:t>
      </w:r>
      <w:r>
        <w:rPr>
          <w:rFonts w:ascii="Arial" w:cs="Arial" w:eastAsia="Arial" w:hAnsi="Arial"/>
          <w:sz w:val="16"/>
          <w:szCs w:val="16"/>
          <w:color w:val="auto"/>
        </w:rPr>
        <w:t>”), issued by the appropriate Governmental Authorities, including, without limitation, all Licenses required by the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or any component thereof, the National Institutes of Health and/or by any other U.S., state, local or foreign government or drug regulatory agency (collectively, the “</w:t>
      </w:r>
      <w:r>
        <w:rPr>
          <w:rFonts w:ascii="Arial" w:cs="Arial" w:eastAsia="Arial" w:hAnsi="Arial"/>
          <w:sz w:val="16"/>
          <w:szCs w:val="16"/>
          <w:b w:val="1"/>
          <w:bCs w:val="1"/>
          <w:u w:val="single" w:color="auto"/>
          <w:color w:val="auto"/>
        </w:rPr>
        <w:t>Regulatory Agencies</w:t>
      </w:r>
      <w:r>
        <w:rPr>
          <w:rFonts w:ascii="Arial" w:cs="Arial" w:eastAsia="Arial" w:hAnsi="Arial"/>
          <w:sz w:val="16"/>
          <w:szCs w:val="16"/>
          <w:color w:val="auto"/>
        </w:rPr>
        <w:t>”), other than for such instances of non-compliance which would not reasonably be expected to result in a Material Adverse Effect. All Licenses are in full force and effect and, to the Company’s knowledge, the Company is not in violation of any term or conditions of any License. The Company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modification of any Licenses and no Regulatory Agency has taken any action to limit, suspend or revoke any License possessed by the Company.</w:t>
      </w:r>
    </w:p>
    <w:p>
      <w:pPr>
        <w:spacing w:after="0" w:line="172" w:lineRule="exact"/>
        <w:rPr>
          <w:rFonts w:ascii="Arial" w:cs="Arial" w:eastAsia="Arial" w:hAnsi="Arial"/>
          <w:sz w:val="16"/>
          <w:szCs w:val="16"/>
          <w:color w:val="auto"/>
        </w:rPr>
      </w:pPr>
    </w:p>
    <w:p>
      <w:pPr>
        <w:jc w:val="both"/>
        <w:ind w:firstLine="1207"/>
        <w:spacing w:after="0" w:line="267" w:lineRule="auto"/>
        <w:tabs>
          <w:tab w:leader="none" w:pos="163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Clinical Trials</w:t>
      </w:r>
      <w:r>
        <w:rPr>
          <w:rFonts w:ascii="Arial" w:cs="Arial" w:eastAsia="Arial" w:hAnsi="Arial"/>
          <w:sz w:val="16"/>
          <w:szCs w:val="16"/>
          <w:color w:val="auto"/>
        </w:rPr>
        <w:t>. The clinical trials that are described in the Registration Statement and the Prospectus were and, if still pending, are being, conducted in all material respects in accordance with the protocols submitted to FDA or any foreign governmental body exercising comparable authority, procedures and controls pursuant to, where applicable, accepted professional and scientific standards, and all applicable laws and regulations; the descriptions of the clinical trials conducted by or, to the Company’s knowledge, on behalf of the Company, and the results thereof, contained in the Registration Statement and the Prospectus are accurate and complete in all material respects; the Company is not aware of any other clinical trials, the results of which reasonably call into question the results described in the Registration Statement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clinical trials conducted by or on behalf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4" w:name="page75"/>
    <w:bookmarkEnd w:id="74"/>
    <w:p>
      <w:pPr>
        <w:jc w:val="both"/>
        <w:ind w:firstLine="1207"/>
        <w:spacing w:after="0" w:line="281" w:lineRule="auto"/>
        <w:tabs>
          <w:tab w:leader="none" w:pos="1625"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Compliance with Health Care Laws</w:t>
      </w:r>
      <w:r>
        <w:rPr>
          <w:rFonts w:ascii="Arial" w:cs="Arial" w:eastAsia="Arial" w:hAnsi="Arial"/>
          <w:sz w:val="15"/>
          <w:szCs w:val="15"/>
          <w:color w:val="auto"/>
        </w:rPr>
        <w:t>. The Company and its directors, officers and employees, and to the Company’s knowledge, its respective agents, affiliates and representatives, are, and at all times have been, in compliance with all Health Care Laws (as defined below), including, but not limited to, the rules and regulations of the FDA, the U.S. Department of Health and Human Services Office of Inspector General, the Centers for Medicare &amp; Medicaid Services, and has not engaged in any activities which are, as applicable, cause for false claims liability, civil penalties, or mandatory or permissive exclusion from Medicare, Medicaid, or any other local, state or federal healthcare program, other than for such instances of non-compliance which would not reasonably be expected to result in a Material Adverse Effect. For purposes of this Agreement, “</w:t>
      </w:r>
      <w:r>
        <w:rPr>
          <w:rFonts w:ascii="Arial" w:cs="Arial" w:eastAsia="Arial" w:hAnsi="Arial"/>
          <w:sz w:val="15"/>
          <w:szCs w:val="15"/>
          <w:b w:val="1"/>
          <w:bCs w:val="1"/>
          <w:u w:val="single" w:color="auto"/>
          <w:color w:val="auto"/>
        </w:rPr>
        <w:t>Health Care Laws</w:t>
      </w:r>
      <w:r>
        <w:rPr>
          <w:rFonts w:ascii="Arial" w:cs="Arial" w:eastAsia="Arial" w:hAnsi="Arial"/>
          <w:sz w:val="15"/>
          <w:szCs w:val="15"/>
          <w:color w:val="auto"/>
        </w:rPr>
        <w:t>”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5"/>
          <w:szCs w:val="15"/>
          <w:b w:val="1"/>
          <w:bCs w:val="1"/>
          <w:u w:val="single" w:color="auto"/>
          <w:color w:val="auto"/>
        </w:rPr>
        <w:t>HIPAA</w:t>
      </w:r>
      <w:r>
        <w:rPr>
          <w:rFonts w:ascii="Arial" w:cs="Arial" w:eastAsia="Arial" w:hAnsi="Arial"/>
          <w:sz w:val="15"/>
          <w:szCs w:val="15"/>
          <w:color w:val="auto"/>
        </w:rPr>
        <w:t>”), the exclusion laws (42 U.S.C. § 1320a-7), the civil monetary penalties law (42 U.S.C. § 1320a-7a), HIPAA, as amended by the Health Information Technology for Economic and Clinical Health Act (42 U.S.C.</w:t>
      </w:r>
    </w:p>
    <w:p>
      <w:pPr>
        <w:spacing w:after="0" w:line="3" w:lineRule="exact"/>
        <w:rPr>
          <w:rFonts w:ascii="Arial" w:cs="Arial" w:eastAsia="Arial" w:hAnsi="Arial"/>
          <w:sz w:val="15"/>
          <w:szCs w:val="15"/>
          <w:color w:val="auto"/>
        </w:rPr>
      </w:pPr>
    </w:p>
    <w:p>
      <w:pPr>
        <w:jc w:val="both"/>
        <w:ind w:firstLine="1"/>
        <w:spacing w:after="0" w:line="265" w:lineRule="auto"/>
        <w:tabs>
          <w:tab w:leader="none" w:pos="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17921 et seq.), the Federal Food, Drug, and Cosmetic Act (21 U.S.C. §§ 301 et seq.), Medicare statute (Title XVIII of the Social Security Act), Medicaid statute (Title XIX of the Social Security Act), Medicaid Drug Rebate Program (42 U.S.C. § 1396r-8), Medicare average sales price reporting (42 U.S.C. § 1395w-3a), the Public Health Service Act (42 U.S.C. § 256b), the VA Federal Supply Schedule (38 U.S.C § 8126) or the rules and regulations of any other federal, state or local governmental or regulatory body or authority.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governmental authority of non-compliance by, or liability of, the Company or its subsidiaries under any Health Care Laws.</w:t>
      </w:r>
    </w:p>
    <w:p>
      <w:pPr>
        <w:spacing w:after="0" w:line="170" w:lineRule="exact"/>
        <w:rPr>
          <w:rFonts w:ascii="Arial" w:cs="Arial" w:eastAsia="Arial" w:hAnsi="Arial"/>
          <w:sz w:val="16"/>
          <w:szCs w:val="16"/>
          <w:color w:val="auto"/>
        </w:rPr>
      </w:pPr>
    </w:p>
    <w:p>
      <w:pPr>
        <w:jc w:val="both"/>
        <w:ind w:firstLine="1207"/>
        <w:spacing w:after="0" w:line="271" w:lineRule="auto"/>
        <w:tabs>
          <w:tab w:leader="none" w:pos="163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No Violations or Defaults</w:t>
      </w:r>
      <w:r>
        <w:rPr>
          <w:rFonts w:ascii="Arial" w:cs="Arial" w:eastAsia="Arial" w:hAnsi="Arial"/>
          <w:sz w:val="16"/>
          <w:szCs w:val="16"/>
          <w:color w:val="auto"/>
        </w:rPr>
        <w:t>. Neither the Company nor any of its subsidiaries is (i) in violation of its respective charter, bylaws or other organizational documents, or (ii)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 except as would not reasonably be expected to result in a Material Adverse Effect.</w:t>
      </w:r>
    </w:p>
    <w:p>
      <w:pPr>
        <w:spacing w:after="0" w:line="167" w:lineRule="exact"/>
        <w:rPr>
          <w:rFonts w:ascii="Arial" w:cs="Arial" w:eastAsia="Arial" w:hAnsi="Arial"/>
          <w:sz w:val="16"/>
          <w:szCs w:val="16"/>
          <w:color w:val="auto"/>
        </w:rPr>
      </w:pPr>
    </w:p>
    <w:p>
      <w:pPr>
        <w:jc w:val="both"/>
        <w:ind w:firstLine="1207"/>
        <w:spacing w:after="0" w:line="250" w:lineRule="auto"/>
        <w:tabs>
          <w:tab w:leader="none" w:pos="1616"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and its subsidiaries have timely filed all federal, state, local and foreign income and franchise tax returns required to be filed and are not in default in the payment of any taxes which were payable pursuant to said returns or any assessments with respect thereto, other than any which the Company or any of its subsidiaries is contesting in good faith, except where such dispute or liability would not reasonably be expected to result in a Material Adverse Effect. There is no pending dispute with any taxing authority relating to any of such returns, and the Company has no knowledge of any proposed liability for any tax to be imposed upon the properties or assets of the Company for which there is not an adequate reserve reflected in the Company’s financial statements incorporated by reference in the Registration Statement and the Prospectus, except where such dispute or liability would not reasonably be expected to result in a Material Adverse Effect.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5" w:name="page76"/>
    <w:bookmarkEnd w:id="75"/>
    <w:p>
      <w:pPr>
        <w:jc w:val="both"/>
        <w:ind w:firstLine="1207"/>
        <w:spacing w:after="0" w:line="289" w:lineRule="auto"/>
        <w:tabs>
          <w:tab w:leader="none" w:pos="1632"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Exchange Listing and Exchange Act Registration</w:t>
      </w:r>
      <w:r>
        <w:rPr>
          <w:rFonts w:ascii="Arial" w:cs="Arial" w:eastAsia="Arial" w:hAnsi="Arial"/>
          <w:sz w:val="15"/>
          <w:szCs w:val="15"/>
          <w:color w:val="auto"/>
        </w:rPr>
        <w:t>. The Common Stock is registered pursuant to Section 12(b) of the Exchange Act and is included or approved for listing on the Exchange and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has complied in all material respects with the applicable requirements of the Exchange for maintenance of inclusion of the Common Stock thereon. The Company has filed an application to include the Placement Shares on the Exchange.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affiliate with a FINRA member.</w:t>
      </w:r>
    </w:p>
    <w:p>
      <w:pPr>
        <w:spacing w:after="0" w:line="154" w:lineRule="exact"/>
        <w:rPr>
          <w:rFonts w:ascii="Arial" w:cs="Arial" w:eastAsia="Arial" w:hAnsi="Arial"/>
          <w:sz w:val="15"/>
          <w:szCs w:val="15"/>
          <w:color w:val="auto"/>
        </w:rPr>
      </w:pPr>
    </w:p>
    <w:p>
      <w:pPr>
        <w:jc w:val="both"/>
        <w:ind w:firstLine="1207"/>
        <w:spacing w:after="0" w:line="257" w:lineRule="auto"/>
        <w:tabs>
          <w:tab w:leader="none" w:pos="163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Ownership of Other Entities</w:t>
      </w:r>
      <w:r>
        <w:rPr>
          <w:rFonts w:ascii="Arial" w:cs="Arial" w:eastAsia="Arial" w:hAnsi="Arial"/>
          <w:sz w:val="17"/>
          <w:szCs w:val="17"/>
          <w:color w:val="auto"/>
        </w:rPr>
        <w:t>. Other than the subsidiaries of the Company listed in Exhibit 21.1 to the Company’s Annual Report on Form 10-K for the fiscal year ended December 31, 2020, the Company, directly or indirectly, owns no capital stock or other equity or ownership or proprietary interest in any corporation, partnership, association, trust or other entity.</w:t>
      </w:r>
    </w:p>
    <w:p>
      <w:pPr>
        <w:spacing w:after="0" w:line="176" w:lineRule="exact"/>
        <w:rPr>
          <w:rFonts w:ascii="Arial" w:cs="Arial" w:eastAsia="Arial" w:hAnsi="Arial"/>
          <w:sz w:val="17"/>
          <w:szCs w:val="17"/>
          <w:color w:val="auto"/>
        </w:rPr>
      </w:pPr>
    </w:p>
    <w:p>
      <w:pPr>
        <w:jc w:val="both"/>
        <w:ind w:firstLine="1207"/>
        <w:spacing w:after="0" w:line="283" w:lineRule="auto"/>
        <w:tabs>
          <w:tab w:leader="none" w:pos="1648"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Internal Controls</w:t>
      </w:r>
      <w:r>
        <w:rPr>
          <w:rFonts w:ascii="Arial" w:cs="Arial" w:eastAsia="Arial" w:hAnsi="Arial"/>
          <w:sz w:val="15"/>
          <w:szCs w:val="15"/>
          <w:color w:val="auto"/>
        </w:rPr>
        <w:t>. The Company and its subsidiaries maintain a system of internal accounting controls sufficient to provide reasonable assurances that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Except as disclosed in the Registration Statement and in the Prospectus, the Company’s internal control over financial reporting is effective and none of the Company, its board of directors and audit committee is aware of any “significant deficiencies” or “material weaknesses” (each as defined by the Public Company Accounting Oversight Board)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Arial" w:cs="Arial" w:eastAsia="Arial" w:hAnsi="Arial"/>
          <w:sz w:val="15"/>
          <w:szCs w:val="15"/>
          <w:b w:val="1"/>
          <w:bCs w:val="1"/>
          <w:u w:val="single" w:color="auto"/>
          <w:color w:val="auto"/>
        </w:rPr>
        <w:t>Exchange Rules</w:t>
      </w:r>
      <w:r>
        <w:rPr>
          <w:rFonts w:ascii="Arial" w:cs="Arial" w:eastAsia="Arial" w:hAnsi="Arial"/>
          <w:sz w:val="15"/>
          <w:szCs w:val="15"/>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6" w:name="page77"/>
    <w:bookmarkEnd w:id="76"/>
    <w:p>
      <w:pPr>
        <w:ind w:firstLine="1207"/>
        <w:spacing w:after="0" w:line="336" w:lineRule="auto"/>
        <w:tabs>
          <w:tab w:leader="none" w:pos="1653"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No Brokers or Finders</w:t>
      </w:r>
      <w:r>
        <w:rPr>
          <w:rFonts w:ascii="Arial" w:cs="Arial" w:eastAsia="Arial" w:hAnsi="Arial"/>
          <w:sz w:val="15"/>
          <w:szCs w:val="15"/>
          <w:color w:val="auto"/>
        </w:rPr>
        <w:t>. Other than as contemplated by this Agreement, the Company has not incurred any liability for any finder’s or broker’s fee or agent’s commission in connection with the execution and delivery of this Agreement or the consummation of the transactions contemplated hereby.</w:t>
      </w:r>
    </w:p>
    <w:p>
      <w:pPr>
        <w:spacing w:after="0" w:line="120" w:lineRule="exact"/>
        <w:rPr>
          <w:rFonts w:ascii="Arial" w:cs="Arial" w:eastAsia="Arial" w:hAnsi="Arial"/>
          <w:sz w:val="15"/>
          <w:szCs w:val="15"/>
          <w:color w:val="auto"/>
        </w:rPr>
      </w:pPr>
    </w:p>
    <w:p>
      <w:pPr>
        <w:jc w:val="both"/>
        <w:ind w:firstLine="1207"/>
        <w:spacing w:after="0" w:line="267" w:lineRule="auto"/>
        <w:tabs>
          <w:tab w:leader="none" w:pos="1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carries, or is covered by, insurance from reputable insurers in such amounts and covering such risks as is adequate for the conduct of its business and the value of its properties and the properties of its subsidiaries and as is reasonable and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reasonably be expected to result in a Material Adverse Effect.</w:t>
      </w:r>
    </w:p>
    <w:p>
      <w:pPr>
        <w:spacing w:after="0" w:line="168" w:lineRule="exact"/>
        <w:rPr>
          <w:rFonts w:ascii="Arial" w:cs="Arial" w:eastAsia="Arial" w:hAnsi="Arial"/>
          <w:sz w:val="16"/>
          <w:szCs w:val="16"/>
          <w:color w:val="auto"/>
        </w:rPr>
      </w:pPr>
    </w:p>
    <w:p>
      <w:pPr>
        <w:jc w:val="both"/>
        <w:ind w:firstLine="1207"/>
        <w:spacing w:after="0" w:line="257" w:lineRule="auto"/>
        <w:tabs>
          <w:tab w:leader="none" w:pos="164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and, after giving effect to the offering and sale of the Placement Shares in accordance with this Agreement and the application of proceeds as described in the Prospectus under the caption “Use of Proceeds,” will not be an “investment company,” within the meaning of the Investment Company Act of 1940, as amended.</w:t>
      </w:r>
    </w:p>
    <w:p>
      <w:pPr>
        <w:spacing w:after="0" w:line="176" w:lineRule="exact"/>
        <w:rPr>
          <w:sz w:val="20"/>
          <w:szCs w:val="20"/>
          <w:color w:val="auto"/>
        </w:rPr>
      </w:pPr>
    </w:p>
    <w:p>
      <w:pPr>
        <w:jc w:val="both"/>
        <w:ind w:firstLine="1207"/>
        <w:spacing w:after="0" w:line="271" w:lineRule="auto"/>
        <w:tabs>
          <w:tab w:leader="none" w:pos="167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Eligibility to use Form S-3</w:t>
      </w:r>
      <w:r>
        <w:rPr>
          <w:rFonts w:ascii="Arial" w:cs="Arial" w:eastAsia="Arial" w:hAnsi="Arial"/>
          <w:sz w:val="16"/>
          <w:szCs w:val="16"/>
          <w:color w:val="auto"/>
        </w:rPr>
        <w:t>. The conditions for use of Form S-3, set forth in the General Instructions thereto, have been satisfied. The aggregate market value of the outstanding voting and non-voting common equity (as defined in Rule 405) of the Company held by persons other than affiliates of the Company (pursuant to Rule 144, those that directly, or indirectly through one or more intermediaries, control, or are controlled by, or are under common control with, the Company) (the “</w:t>
      </w:r>
      <w:r>
        <w:rPr>
          <w:rFonts w:ascii="Arial" w:cs="Arial" w:eastAsia="Arial" w:hAnsi="Arial"/>
          <w:sz w:val="16"/>
          <w:szCs w:val="16"/>
          <w:b w:val="1"/>
          <w:bCs w:val="1"/>
          <w:u w:val="single" w:color="auto"/>
          <w:color w:val="auto"/>
        </w:rPr>
        <w:t>Non-Affiliate Shares</w:t>
      </w:r>
      <w:r>
        <w:rPr>
          <w:rFonts w:ascii="Arial" w:cs="Arial" w:eastAsia="Arial" w:hAnsi="Arial"/>
          <w:sz w:val="16"/>
          <w:szCs w:val="16"/>
          <w:color w:val="auto"/>
        </w:rPr>
        <w:t>”), was equal to or greater than $75 million (calculated by multiplying (x) the highest price at which the common equity of the Company closed on the Exchange within 60 days of the date of this Agreement times (y) the number of Non-Affiliate Shares).</w:t>
      </w:r>
    </w:p>
    <w:p>
      <w:pPr>
        <w:spacing w:after="0" w:line="167" w:lineRule="exact"/>
        <w:rPr>
          <w:rFonts w:ascii="Arial" w:cs="Arial" w:eastAsia="Arial" w:hAnsi="Arial"/>
          <w:sz w:val="16"/>
          <w:szCs w:val="16"/>
          <w:color w:val="auto"/>
        </w:rPr>
      </w:pPr>
    </w:p>
    <w:p>
      <w:pPr>
        <w:jc w:val="both"/>
        <w:ind w:firstLine="1207"/>
        <w:spacing w:after="0" w:line="267" w:lineRule="auto"/>
        <w:tabs>
          <w:tab w:leader="none" w:pos="1674"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xml:space="preserve">. The documents incorporated by reference in the 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any statements or omissions made in reliance upon and in conformity with the Agent Information.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7" w:name="page78"/>
    <w:bookmarkEnd w:id="77"/>
    <w:p>
      <w:pPr>
        <w:ind w:firstLine="1207"/>
        <w:spacing w:after="0" w:line="268" w:lineRule="auto"/>
        <w:tabs>
          <w:tab w:leader="none" w:pos="167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Sarbanes-Oxley Act</w:t>
      </w:r>
      <w:r>
        <w:rPr>
          <w:rFonts w:ascii="Arial" w:cs="Arial" w:eastAsia="Arial" w:hAnsi="Arial"/>
          <w:sz w:val="17"/>
          <w:szCs w:val="17"/>
          <w:color w:val="auto"/>
        </w:rPr>
        <w:t>. The Company is in compliance with all applicable provisions of the Sarbanes-Oxley Act and the rules and regulations of the Commission thereunder.</w:t>
      </w:r>
    </w:p>
    <w:p>
      <w:pPr>
        <w:spacing w:after="0" w:line="166" w:lineRule="exact"/>
        <w:rPr>
          <w:rFonts w:ascii="Arial" w:cs="Arial" w:eastAsia="Arial" w:hAnsi="Arial"/>
          <w:sz w:val="17"/>
          <w:szCs w:val="17"/>
          <w:color w:val="auto"/>
        </w:rPr>
      </w:pPr>
    </w:p>
    <w:p>
      <w:pPr>
        <w:jc w:val="both"/>
        <w:ind w:firstLine="1207"/>
        <w:spacing w:after="0" w:line="254" w:lineRule="auto"/>
        <w:tabs>
          <w:tab w:leader="none" w:pos="167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Disclosure Controls</w:t>
      </w:r>
      <w:r>
        <w:rPr>
          <w:rFonts w:ascii="Arial" w:cs="Arial" w:eastAsia="Arial" w:hAnsi="Arial"/>
          <w:sz w:val="17"/>
          <w:szCs w:val="17"/>
          <w:color w:val="auto"/>
        </w:rPr>
        <w:t>. The Company has established and maintains disclosure controls and procedures (as defined in Rules 13a-14 and 15d-14 under the Exchange Act) and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Registration Statement and in the Prospectus.</w:t>
      </w:r>
    </w:p>
    <w:p>
      <w:pPr>
        <w:spacing w:after="0" w:line="177" w:lineRule="exact"/>
        <w:rPr>
          <w:rFonts w:ascii="Arial" w:cs="Arial" w:eastAsia="Arial" w:hAnsi="Arial"/>
          <w:sz w:val="17"/>
          <w:szCs w:val="17"/>
          <w:color w:val="auto"/>
        </w:rPr>
      </w:pPr>
    </w:p>
    <w:p>
      <w:pPr>
        <w:jc w:val="both"/>
        <w:ind w:firstLine="1207"/>
        <w:spacing w:after="0" w:line="285" w:lineRule="auto"/>
        <w:tabs>
          <w:tab w:leader="none" w:pos="1676"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Anti-Bribery and Anti-Money Laundering Laws</w:t>
      </w:r>
      <w:r>
        <w:rPr>
          <w:rFonts w:ascii="Arial" w:cs="Arial" w:eastAsia="Arial" w:hAnsi="Arial"/>
          <w:sz w:val="15"/>
          <w:szCs w:val="15"/>
          <w:color w:val="auto"/>
        </w:rPr>
        <w:t>. Each of the Company, its subsidiaries, its affiliates and, to the knowledge of the Company, any of their respective officers, directors, supervisors, managers, agents, or employees, has not violated, its participation in the offering will not violate, and the Company and each of its subsidiaries has instituted and maintains policies and procedures designed to ensure 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59" w:lineRule="exact"/>
        <w:rPr>
          <w:rFonts w:ascii="Arial" w:cs="Arial" w:eastAsia="Arial" w:hAnsi="Arial"/>
          <w:sz w:val="15"/>
          <w:szCs w:val="15"/>
          <w:color w:val="auto"/>
        </w:rPr>
      </w:pPr>
    </w:p>
    <w:p>
      <w:pPr>
        <w:ind w:left="1660" w:hanging="453"/>
        <w:spacing w:after="0"/>
        <w:tabs>
          <w:tab w:leader="none" w:pos="16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07" w:lineRule="exact"/>
        <w:rPr>
          <w:sz w:val="20"/>
          <w:szCs w:val="20"/>
          <w:color w:val="auto"/>
        </w:rPr>
      </w:pPr>
    </w:p>
    <w:p>
      <w:pPr>
        <w:jc w:val="both"/>
        <w:ind w:left="600" w:firstLine="1210"/>
        <w:spacing w:after="0" w:line="257" w:lineRule="auto"/>
        <w:tabs>
          <w:tab w:leader="none" w:pos="2299"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Company’s knowledge,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176" w:lineRule="exact"/>
        <w:rPr>
          <w:sz w:val="20"/>
          <w:szCs w:val="20"/>
          <w:color w:val="auto"/>
        </w:rPr>
      </w:pPr>
    </w:p>
    <w:p>
      <w:pPr>
        <w:ind w:left="1200" w:firstLine="610"/>
        <w:spacing w:after="0" w:line="336" w:lineRule="auto"/>
        <w:tabs>
          <w:tab w:leader="none" w:pos="2341"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5"/>
          <w:szCs w:val="15"/>
          <w:b w:val="1"/>
          <w:bCs w:val="1"/>
          <w:u w:val="single" w:color="auto"/>
          <w:color w:val="auto"/>
        </w:rPr>
        <w:t>Sanctions</w:t>
      </w:r>
      <w:r>
        <w:rPr>
          <w:rFonts w:ascii="Arial" w:cs="Arial" w:eastAsia="Arial" w:hAnsi="Arial"/>
          <w:sz w:val="15"/>
          <w:szCs w:val="15"/>
          <w:color w:val="auto"/>
        </w:rPr>
        <w:t>”), nor</w:t>
      </w:r>
    </w:p>
    <w:p>
      <w:pPr>
        <w:spacing w:after="0" w:line="120" w:lineRule="exact"/>
        <w:rPr>
          <w:rFonts w:ascii="Arial" w:cs="Arial" w:eastAsia="Arial" w:hAnsi="Arial"/>
          <w:sz w:val="15"/>
          <w:szCs w:val="15"/>
          <w:color w:val="auto"/>
        </w:rPr>
      </w:pPr>
    </w:p>
    <w:p>
      <w:pPr>
        <w:ind w:left="1200" w:firstLine="610"/>
        <w:spacing w:after="0" w:line="268" w:lineRule="auto"/>
        <w:tabs>
          <w:tab w:leader="none" w:pos="2319" w:val="left"/>
        </w:tabs>
        <w:numPr>
          <w:ilvl w:val="0"/>
          <w:numId w:val="70"/>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Crimea, Cuba, Iran, North Korea and Syria).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8" w:name="page79"/>
    <w:bookmarkEnd w:id="78"/>
    <w:p>
      <w:pPr>
        <w:ind w:left="600" w:firstLine="1210"/>
        <w:spacing w:after="0" w:line="268" w:lineRule="auto"/>
        <w:tabs>
          <w:tab w:leader="none" w:pos="2283"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directly or indirectly, use the proceeds of the offering, or lend, contribute or otherwise make available such proceeds to any subsidiary, joint venture partner or other individual or entity:</w:t>
      </w:r>
    </w:p>
    <w:p>
      <w:pPr>
        <w:spacing w:after="0" w:line="167" w:lineRule="exact"/>
        <w:rPr>
          <w:sz w:val="20"/>
          <w:szCs w:val="20"/>
          <w:color w:val="auto"/>
        </w:rPr>
      </w:pPr>
    </w:p>
    <w:p>
      <w:pPr>
        <w:ind w:left="1200" w:firstLine="610"/>
        <w:spacing w:after="0" w:line="268" w:lineRule="auto"/>
        <w:tabs>
          <w:tab w:leader="none" w:pos="228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individual or entity or in any country or territory that, at the time of such funding or facilitation, is the subject of Sanctions; or</w:t>
      </w:r>
    </w:p>
    <w:p>
      <w:pPr>
        <w:spacing w:after="0" w:line="166" w:lineRule="exact"/>
        <w:rPr>
          <w:rFonts w:ascii="Arial" w:cs="Arial" w:eastAsia="Arial" w:hAnsi="Arial"/>
          <w:sz w:val="17"/>
          <w:szCs w:val="17"/>
          <w:color w:val="auto"/>
        </w:rPr>
      </w:pPr>
    </w:p>
    <w:p>
      <w:pPr>
        <w:ind w:left="1200" w:firstLine="610"/>
        <w:spacing w:after="0" w:line="268" w:lineRule="auto"/>
        <w:tabs>
          <w:tab w:leader="none" w:pos="2298"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any other manner that will result in a violation of Sanctions by any individual or entity (including any individual or entity participating in the offering, whether as underwriter, advisor, investor or otherwise).</w:t>
      </w:r>
    </w:p>
    <w:p>
      <w:pPr>
        <w:spacing w:after="0" w:line="167" w:lineRule="exact"/>
        <w:rPr>
          <w:sz w:val="20"/>
          <w:szCs w:val="20"/>
          <w:color w:val="auto"/>
        </w:rPr>
      </w:pPr>
    </w:p>
    <w:p>
      <w:pPr>
        <w:jc w:val="both"/>
        <w:ind w:left="600" w:firstLine="1210"/>
        <w:spacing w:after="0" w:line="257" w:lineRule="auto"/>
        <w:tabs>
          <w:tab w:leader="none" w:pos="2309" w:val="left"/>
        </w:tabs>
        <w:numPr>
          <w:ilvl w:val="1"/>
          <w:numId w:val="73"/>
        </w:numPr>
        <w:rPr>
          <w:rFonts w:ascii="Arial" w:cs="Arial" w:eastAsia="Arial" w:hAnsi="Arial"/>
          <w:sz w:val="17"/>
          <w:szCs w:val="17"/>
          <w:color w:val="auto"/>
        </w:rPr>
      </w:pPr>
      <w:r>
        <w:rPr>
          <w:rFonts w:ascii="Arial" w:cs="Arial" w:eastAsia="Arial" w:hAnsi="Arial"/>
          <w:sz w:val="17"/>
          <w:szCs w:val="17"/>
          <w:color w:val="auto"/>
        </w:rPr>
        <w:t>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176" w:lineRule="exact"/>
        <w:rPr>
          <w:rFonts w:ascii="Arial" w:cs="Arial" w:eastAsia="Arial" w:hAnsi="Arial"/>
          <w:sz w:val="17"/>
          <w:szCs w:val="17"/>
          <w:color w:val="auto"/>
        </w:rPr>
      </w:pPr>
    </w:p>
    <w:p>
      <w:pPr>
        <w:jc w:val="both"/>
        <w:ind w:firstLine="1207"/>
        <w:spacing w:after="0" w:line="249" w:lineRule="auto"/>
        <w:tabs>
          <w:tab w:leader="none" w:pos="167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Except as disclosed in the Prospectus, 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u w:val="single" w:color="auto"/>
          <w:color w:val="auto"/>
        </w:rPr>
        <w:t>Environmental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Laws</w:t>
      </w:r>
      <w:r>
        <w:rPr>
          <w:rFonts w:ascii="Arial" w:cs="Arial" w:eastAsia="Arial" w:hAnsi="Arial"/>
          <w:sz w:val="17"/>
          <w:szCs w:val="17"/>
          <w:color w:val="auto"/>
        </w:rPr>
        <w:t>”), owns or operates any real property contaminated with any substance that is subject to any Environmental Laws, is liable for any off-site disposal or</w:t>
      </w:r>
      <w:r>
        <w:rPr>
          <w:rFonts w:ascii="Arial" w:cs="Arial" w:eastAsia="Arial" w:hAnsi="Arial"/>
          <w:sz w:val="17"/>
          <w:szCs w:val="17"/>
          <w:b w:val="1"/>
          <w:bCs w:val="1"/>
          <w:color w:val="auto"/>
        </w:rPr>
        <w:t xml:space="preserve"> </w:t>
      </w:r>
      <w:r>
        <w:rPr>
          <w:rFonts w:ascii="Arial" w:cs="Arial" w:eastAsia="Arial" w:hAnsi="Arial"/>
          <w:sz w:val="17"/>
          <w:szCs w:val="17"/>
          <w:color w:val="auto"/>
        </w:rPr>
        <w:t>contamination pursuant to any Environmental Laws, or is subject to any claim relating to any Environmental Laws, which violation, contamination, liability or claim would individually or in the aggregate, not reasonably be expected to result in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87" w:lineRule="exact"/>
        <w:rPr>
          <w:rFonts w:ascii="Arial" w:cs="Arial" w:eastAsia="Arial" w:hAnsi="Arial"/>
          <w:sz w:val="17"/>
          <w:szCs w:val="17"/>
          <w:color w:val="auto"/>
        </w:rPr>
      </w:pPr>
    </w:p>
    <w:p>
      <w:pPr>
        <w:jc w:val="both"/>
        <w:ind w:firstLine="1207"/>
        <w:spacing w:after="0" w:line="267" w:lineRule="auto"/>
        <w:tabs>
          <w:tab w:leader="none" w:pos="167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Compliance with Occupational Laws</w:t>
      </w:r>
      <w:r>
        <w:rPr>
          <w:rFonts w:ascii="Arial" w:cs="Arial" w:eastAsia="Arial" w:hAnsi="Arial"/>
          <w:sz w:val="16"/>
          <w:szCs w:val="16"/>
          <w:color w:val="auto"/>
        </w:rPr>
        <w:t>. The Company and each of its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6"/>
          <w:szCs w:val="16"/>
          <w:b w:val="1"/>
          <w:bCs w:val="1"/>
          <w:u w:val="single" w:color="auto"/>
          <w:color w:val="auto"/>
        </w:rPr>
        <w:t>Occupational Laws</w:t>
      </w:r>
      <w:r>
        <w:rPr>
          <w:rFonts w:ascii="Arial" w:cs="Arial" w:eastAsia="Arial" w:hAnsi="Arial"/>
          <w:sz w:val="16"/>
          <w:szCs w:val="16"/>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9" w:name="page80"/>
    <w:bookmarkEnd w:id="79"/>
    <w:p>
      <w:pPr>
        <w:jc w:val="both"/>
        <w:ind w:firstLine="1207"/>
        <w:spacing w:after="0" w:line="282" w:lineRule="auto"/>
        <w:tabs>
          <w:tab w:leader="none" w:pos="1662"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ERISA and Employee Benefits Matters</w:t>
      </w:r>
      <w:r>
        <w:rPr>
          <w:rFonts w:ascii="Arial" w:cs="Arial" w:eastAsia="Arial" w:hAnsi="Arial"/>
          <w:sz w:val="15"/>
          <w:szCs w:val="15"/>
          <w:color w:val="auto"/>
        </w:rPr>
        <w:t>. (A) To the knowledge of the Company, no “prohibited transaction” as defined 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would reasonably be expected to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5"/>
          <w:szCs w:val="15"/>
          <w:b w:val="1"/>
          <w:bCs w:val="1"/>
          <w:u w:val="single" w:color="auto"/>
          <w:color w:val="auto"/>
        </w:rPr>
        <w:t>Code</w:t>
      </w:r>
      <w:r>
        <w:rPr>
          <w:rFonts w:ascii="Arial" w:cs="Arial" w:eastAsia="Arial" w:hAnsi="Arial"/>
          <w:sz w:val="15"/>
          <w:szCs w:val="15"/>
          <w:color w:val="auto"/>
        </w:rPr>
        <w:t>” means the Internal Revenue Code of 1986, as amended; “</w:t>
      </w:r>
      <w:r>
        <w:rPr>
          <w:rFonts w:ascii="Arial" w:cs="Arial" w:eastAsia="Arial" w:hAnsi="Arial"/>
          <w:sz w:val="15"/>
          <w:szCs w:val="15"/>
          <w:b w:val="1"/>
          <w:bCs w:val="1"/>
          <w:u w:val="single" w:color="auto"/>
          <w:color w:val="auto"/>
        </w:rPr>
        <w:t>Employee Benefit Plan</w:t>
      </w:r>
      <w:r>
        <w:rPr>
          <w:rFonts w:ascii="Arial" w:cs="Arial" w:eastAsia="Arial" w:hAnsi="Arial"/>
          <w:sz w:val="15"/>
          <w:szCs w:val="15"/>
          <w:color w:val="auto"/>
        </w:rPr>
        <w:t>” means any “employee benefit plan” within the meaning of Section 3(3) of ERISA, including, without limitation, all stock purchase, stock option, stock-based severance, employment, change- 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Arial" w:cs="Arial" w:eastAsia="Arial" w:hAnsi="Arial"/>
          <w:sz w:val="15"/>
          <w:szCs w:val="15"/>
          <w:b w:val="1"/>
          <w:bCs w:val="1"/>
          <w:u w:val="single" w:color="auto"/>
          <w:color w:val="auto"/>
        </w:rPr>
        <w:t>ERISA</w:t>
      </w:r>
      <w:r>
        <w:rPr>
          <w:rFonts w:ascii="Arial" w:cs="Arial" w:eastAsia="Arial" w:hAnsi="Arial"/>
          <w:sz w:val="15"/>
          <w:szCs w:val="15"/>
          <w:color w:val="auto"/>
        </w:rPr>
        <w:t>” means the Employee Retirement Income Security Act of 1974, as amended; “</w:t>
      </w:r>
      <w:r>
        <w:rPr>
          <w:rFonts w:ascii="Arial" w:cs="Arial" w:eastAsia="Arial" w:hAnsi="Arial"/>
          <w:sz w:val="15"/>
          <w:szCs w:val="15"/>
          <w:b w:val="1"/>
          <w:bCs w:val="1"/>
          <w:u w:val="single" w:color="auto"/>
          <w:color w:val="auto"/>
        </w:rPr>
        <w:t>ERISA Affiliate</w:t>
      </w:r>
      <w:r>
        <w:rPr>
          <w:rFonts w:ascii="Arial" w:cs="Arial" w:eastAsia="Arial" w:hAnsi="Arial"/>
          <w:sz w:val="15"/>
          <w:szCs w:val="15"/>
          <w:color w:val="auto"/>
        </w:rPr>
        <w:t>” means any member of the company’s controlled group as defined in Code Section 414(b), (c), (m) or (o); and “</w:t>
      </w:r>
      <w:r>
        <w:rPr>
          <w:rFonts w:ascii="Arial" w:cs="Arial" w:eastAsia="Arial" w:hAnsi="Arial"/>
          <w:sz w:val="15"/>
          <w:szCs w:val="15"/>
          <w:b w:val="1"/>
          <w:bCs w:val="1"/>
          <w:u w:val="single" w:color="auto"/>
          <w:color w:val="auto"/>
        </w:rPr>
        <w:t>Foreign Benefit Plan</w:t>
      </w:r>
      <w:r>
        <w:rPr>
          <w:rFonts w:ascii="Arial" w:cs="Arial" w:eastAsia="Arial" w:hAnsi="Arial"/>
          <w:sz w:val="15"/>
          <w:szCs w:val="15"/>
          <w:color w:val="auto"/>
        </w:rPr>
        <w:t>” means any Employee Benefit Plan established, maintained or contributed to outside of the United States of America or which covers any employee working or residing outside of the United States.</w:t>
      </w:r>
    </w:p>
    <w:p>
      <w:pPr>
        <w:spacing w:after="0" w:line="160" w:lineRule="exact"/>
        <w:rPr>
          <w:rFonts w:ascii="Arial" w:cs="Arial" w:eastAsia="Arial" w:hAnsi="Arial"/>
          <w:sz w:val="15"/>
          <w:szCs w:val="15"/>
          <w:color w:val="auto"/>
        </w:rPr>
      </w:pPr>
    </w:p>
    <w:p>
      <w:pPr>
        <w:jc w:val="both"/>
        <w:ind w:firstLine="1207"/>
        <w:spacing w:after="0" w:line="308" w:lineRule="auto"/>
        <w:tabs>
          <w:tab w:leader="none" w:pos="1662"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Business Arrangements</w:t>
      </w:r>
      <w:r>
        <w:rPr>
          <w:rFonts w:ascii="Arial" w:cs="Arial" w:eastAsia="Arial" w:hAnsi="Arial"/>
          <w:sz w:val="15"/>
          <w:szCs w:val="15"/>
          <w:color w:val="auto"/>
        </w:rPr>
        <w:t>. Except as disclosed in the Registration Statement and the Prospectus, neither the Company nor any of its subsidiaries has granted rights to develop, manufacture, produce, assemble, distribute, license, market or sell its products to any other person and is not bound by any agreement that materially affects the exclusive right of the Company or such subsidiary to develop, manufacture, produce, assemble, distribute, license, market or sell its products.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0" w:name="page81"/>
    <w:bookmarkEnd w:id="80"/>
    <w:p>
      <w:pPr>
        <w:jc w:val="both"/>
        <w:ind w:firstLine="1207"/>
        <w:spacing w:after="0" w:line="257" w:lineRule="auto"/>
        <w:tabs>
          <w:tab w:leader="none" w:pos="169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Labor Matters</w:t>
      </w:r>
      <w:r>
        <w:rPr>
          <w:rFonts w:ascii="Arial" w:cs="Arial" w:eastAsia="Arial" w:hAnsi="Arial"/>
          <w:sz w:val="17"/>
          <w:szCs w:val="17"/>
          <w:color w:val="auto"/>
        </w:rPr>
        <w:t>. No labor problem 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result in a Material Adverse Effect.</w:t>
      </w:r>
    </w:p>
    <w:p>
      <w:pPr>
        <w:spacing w:after="0" w:line="176" w:lineRule="exact"/>
        <w:rPr>
          <w:rFonts w:ascii="Arial" w:cs="Arial" w:eastAsia="Arial" w:hAnsi="Arial"/>
          <w:sz w:val="17"/>
          <w:szCs w:val="17"/>
          <w:color w:val="auto"/>
        </w:rPr>
      </w:pPr>
    </w:p>
    <w:p>
      <w:pPr>
        <w:jc w:val="both"/>
        <w:ind w:firstLine="1207"/>
        <w:spacing w:after="0" w:line="254" w:lineRule="auto"/>
        <w:tabs>
          <w:tab w:leader="none" w:pos="1662"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Restrictions on Subsidiary Payments to the Company</w:t>
      </w:r>
      <w:r>
        <w:rPr>
          <w:rFonts w:ascii="Arial" w:cs="Arial" w:eastAsia="Arial" w:hAnsi="Arial"/>
          <w:sz w:val="17"/>
          <w:szCs w:val="17"/>
          <w:color w:val="auto"/>
        </w:rPr>
        <w: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Prospectus.</w:t>
      </w:r>
    </w:p>
    <w:p>
      <w:pPr>
        <w:spacing w:after="0" w:line="177" w:lineRule="exact"/>
        <w:rPr>
          <w:rFonts w:ascii="Arial" w:cs="Arial" w:eastAsia="Arial" w:hAnsi="Arial"/>
          <w:sz w:val="17"/>
          <w:szCs w:val="17"/>
          <w:color w:val="auto"/>
        </w:rPr>
      </w:pPr>
    </w:p>
    <w:p>
      <w:pPr>
        <w:ind w:firstLine="1207"/>
        <w:spacing w:after="0" w:line="300" w:lineRule="auto"/>
        <w:tabs>
          <w:tab w:leader="none" w:pos="172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Statistical Information</w:t>
      </w:r>
      <w:r>
        <w:rPr>
          <w:rFonts w:ascii="Arial" w:cs="Arial" w:eastAsia="Arial" w:hAnsi="Arial"/>
          <w:sz w:val="16"/>
          <w:szCs w:val="16"/>
          <w:color w:val="auto"/>
        </w:rPr>
        <w:t>. Any third-party statistical and market-related data included in the Registration Statement and the Prospectus are based on or derived from sources that the Company believes, after reasonable inquiry, to be reliable and accurate in all material respects.</w:t>
      </w:r>
    </w:p>
    <w:p>
      <w:pPr>
        <w:spacing w:after="0" w:line="143" w:lineRule="exact"/>
        <w:rPr>
          <w:rFonts w:ascii="Arial" w:cs="Arial" w:eastAsia="Arial" w:hAnsi="Arial"/>
          <w:sz w:val="16"/>
          <w:szCs w:val="16"/>
          <w:color w:val="auto"/>
        </w:rPr>
      </w:pPr>
    </w:p>
    <w:p>
      <w:pPr>
        <w:jc w:val="both"/>
        <w:ind w:firstLine="1207"/>
        <w:spacing w:after="0" w:line="257" w:lineRule="auto"/>
        <w:tabs>
          <w:tab w:leader="none" w:pos="167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Forward-looking Statements</w:t>
      </w:r>
      <w:r>
        <w:rPr>
          <w:rFonts w:ascii="Arial" w:cs="Arial" w:eastAsia="Arial" w:hAnsi="Arial"/>
          <w:sz w:val="17"/>
          <w:szCs w:val="17"/>
          <w:color w:val="auto"/>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spacing w:after="0" w:line="176" w:lineRule="exact"/>
        <w:rPr>
          <w:rFonts w:ascii="Arial" w:cs="Arial" w:eastAsia="Arial" w:hAnsi="Arial"/>
          <w:sz w:val="17"/>
          <w:szCs w:val="17"/>
          <w:color w:val="auto"/>
        </w:rPr>
      </w:pPr>
    </w:p>
    <w:p>
      <w:pPr>
        <w:jc w:val="both"/>
        <w:ind w:firstLine="1207"/>
        <w:spacing w:after="0" w:line="264" w:lineRule="auto"/>
        <w:tabs>
          <w:tab w:leader="none" w:pos="167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u w:val="single" w:color="auto"/>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u w:val="single" w:color="auto"/>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u w:val="single" w:color="auto"/>
          <w:color w:val="auto"/>
        </w:rPr>
        <w:t>HIPAA</w:t>
      </w:r>
      <w:r>
        <w:rPr>
          <w:rFonts w:ascii="Arial" w:cs="Arial" w:eastAsia="Arial" w:hAnsi="Arial"/>
          <w:sz w:val="16"/>
          <w:szCs w:val="16"/>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1" w:name="page82"/>
    <w:bookmarkEnd w:id="81"/>
    <w:p>
      <w:pPr>
        <w:jc w:val="both"/>
        <w:ind w:firstLine="1207"/>
        <w:spacing w:after="0" w:line="281" w:lineRule="auto"/>
        <w:tabs>
          <w:tab w:leader="none" w:pos="1674" w:val="left"/>
        </w:tabs>
        <w:numPr>
          <w:ilvl w:val="1"/>
          <w:numId w:val="77"/>
        </w:numPr>
        <w:rPr>
          <w:rFonts w:ascii="Arial" w:cs="Arial" w:eastAsia="Arial" w:hAnsi="Arial"/>
          <w:sz w:val="15"/>
          <w:szCs w:val="15"/>
          <w:color w:val="auto"/>
        </w:rPr>
      </w:pPr>
      <w:r>
        <w:rPr>
          <w:rFonts w:ascii="Arial" w:cs="Arial" w:eastAsia="Arial" w:hAnsi="Arial"/>
          <w:sz w:val="15"/>
          <w:szCs w:val="15"/>
          <w:u w:val="single" w:color="auto"/>
          <w:color w:val="auto"/>
        </w:rPr>
        <w:t>Compliance with Data Privacy Laws</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Arial" w:cs="Arial" w:eastAsia="Arial" w:hAnsi="Arial"/>
          <w:sz w:val="15"/>
          <w:szCs w:val="15"/>
          <w:b w:val="1"/>
          <w:bCs w:val="1"/>
          <w:u w:val="single" w:color="auto"/>
          <w:color w:val="auto"/>
        </w:rPr>
        <w:t>GDPR</w:t>
      </w:r>
      <w:r>
        <w:rPr>
          <w:rFonts w:ascii="Arial" w:cs="Arial" w:eastAsia="Arial" w:hAnsi="Arial"/>
          <w:sz w:val="15"/>
          <w:szCs w:val="15"/>
          <w:color w:val="auto"/>
        </w:rPr>
        <w:t>”) (EU 2016/679) (collectively, the “</w:t>
      </w:r>
      <w:r>
        <w:rPr>
          <w:rFonts w:ascii="Arial" w:cs="Arial" w:eastAsia="Arial" w:hAnsi="Arial"/>
          <w:sz w:val="15"/>
          <w:szCs w:val="15"/>
          <w:b w:val="1"/>
          <w:bCs w:val="1"/>
          <w:u w:val="single" w:color="auto"/>
          <w:color w:val="auto"/>
        </w:rPr>
        <w:t>Privacy Laws</w:t>
      </w:r>
      <w:r>
        <w:rPr>
          <w:rFonts w:ascii="Arial" w:cs="Arial" w:eastAsia="Arial" w:hAnsi="Arial"/>
          <w:sz w:val="15"/>
          <w:szCs w:val="15"/>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5"/>
          <w:szCs w:val="15"/>
          <w:b w:val="1"/>
          <w:bCs w:val="1"/>
          <w:u w:val="single" w:color="auto"/>
          <w:color w:val="auto"/>
        </w:rPr>
        <w:t>Policies</w:t>
      </w:r>
      <w:r>
        <w:rPr>
          <w:rFonts w:ascii="Arial" w:cs="Arial" w:eastAsia="Arial" w:hAnsi="Arial"/>
          <w:sz w:val="15"/>
          <w:szCs w:val="15"/>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material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w:t>
      </w:r>
    </w:p>
    <w:p>
      <w:pPr>
        <w:spacing w:after="0" w:line="2" w:lineRule="exact"/>
        <w:rPr>
          <w:rFonts w:ascii="Arial" w:cs="Arial" w:eastAsia="Arial" w:hAnsi="Arial"/>
          <w:sz w:val="15"/>
          <w:szCs w:val="15"/>
          <w:color w:val="auto"/>
        </w:rPr>
      </w:pPr>
    </w:p>
    <w:p>
      <w:pPr>
        <w:ind w:left="300" w:hanging="299"/>
        <w:spacing w:after="0"/>
        <w:tabs>
          <w:tab w:leader="none" w:pos="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is a party to any order, decree, or agreement that imposes any obligation or liability under any Privacy Law.</w:t>
      </w:r>
    </w:p>
    <w:p>
      <w:pPr>
        <w:spacing w:after="0" w:line="194" w:lineRule="exact"/>
        <w:rPr>
          <w:sz w:val="20"/>
          <w:szCs w:val="20"/>
          <w:color w:val="auto"/>
        </w:rPr>
      </w:pPr>
    </w:p>
    <w:p>
      <w:pPr>
        <w:ind w:firstLine="603"/>
        <w:spacing w:after="0" w:line="300" w:lineRule="auto"/>
        <w:rPr>
          <w:sz w:val="20"/>
          <w:szCs w:val="20"/>
          <w:color w:val="auto"/>
        </w:rPr>
      </w:pPr>
      <w:r>
        <w:rPr>
          <w:rFonts w:ascii="Arial" w:cs="Arial" w:eastAsia="Arial" w:hAnsi="Arial"/>
          <w:sz w:val="16"/>
          <w:szCs w:val="16"/>
          <w:color w:val="auto"/>
        </w:rPr>
        <w:t>Any certificate signed by an officer of the Company and delivered to an Agent or to counsel for the Agents pursuant to or in connection with this Agreement shall be deemed to be a representation and warranty by the Company, as applicable, to such Agent as to the matters set forth therein.</w:t>
      </w:r>
    </w:p>
    <w:p>
      <w:pPr>
        <w:spacing w:after="0" w:line="143" w:lineRule="exact"/>
        <w:rPr>
          <w:sz w:val="20"/>
          <w:szCs w:val="20"/>
          <w:color w:val="auto"/>
        </w:rPr>
      </w:pPr>
    </w:p>
    <w:p>
      <w:pPr>
        <w:ind w:left="1000" w:hanging="396"/>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Covenants of the Company</w:t>
      </w:r>
      <w:r>
        <w:rPr>
          <w:rFonts w:ascii="Arial" w:cs="Arial" w:eastAsia="Arial" w:hAnsi="Arial"/>
          <w:sz w:val="17"/>
          <w:szCs w:val="17"/>
          <w:color w:val="auto"/>
        </w:rPr>
        <w:t>. The Company covenants and agrees with Agents that:</w:t>
      </w:r>
    </w:p>
    <w:p>
      <w:pPr>
        <w:spacing w:after="0" w:line="206" w:lineRule="exact"/>
        <w:rPr>
          <w:rFonts w:ascii="Arial" w:cs="Arial" w:eastAsia="Arial" w:hAnsi="Arial"/>
          <w:sz w:val="17"/>
          <w:szCs w:val="17"/>
          <w:color w:val="auto"/>
        </w:rPr>
      </w:pPr>
    </w:p>
    <w:p>
      <w:pPr>
        <w:jc w:val="both"/>
        <w:ind w:firstLine="1207"/>
        <w:spacing w:after="0" w:line="282" w:lineRule="auto"/>
        <w:tabs>
          <w:tab w:leader="none" w:pos="1643"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Registration Statement Amendments</w:t>
      </w:r>
      <w:r>
        <w:rPr>
          <w:rFonts w:ascii="Arial" w:cs="Arial" w:eastAsia="Arial" w:hAnsi="Arial"/>
          <w:sz w:val="15"/>
          <w:szCs w:val="15"/>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Agents within a reasonable period of time before the filing and the Agents have not objected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failure of the Agents to make such objection shall not relieve the Company of any obligation or liability hereunder, or affect the Agents’ right to rely on the representations and warranties made by the Company in this Agreement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5"/>
          <w:szCs w:val="15"/>
          <w:u w:val="single" w:color="auto"/>
          <w:color w:val="auto"/>
        </w:rPr>
        <w:t>Section 7(a)</w:t>
      </w:r>
      <w:r>
        <w:rPr>
          <w:rFonts w:ascii="Arial" w:cs="Arial" w:eastAsia="Arial" w:hAnsi="Arial"/>
          <w:sz w:val="15"/>
          <w:szCs w:val="15"/>
          <w:color w:val="auto"/>
        </w:rPr>
        <w:t>, based on the Company’s reasonable opinion or reasonable objections, shall be made exclusively by the Company).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2" w:name="page83"/>
    <w:bookmarkEnd w:id="82"/>
    <w:p>
      <w:pPr>
        <w:jc w:val="both"/>
        <w:ind w:firstLine="1207"/>
        <w:spacing w:after="0" w:line="268" w:lineRule="auto"/>
        <w:tabs>
          <w:tab w:leader="none" w:pos="163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Notice of Commission Stop Orders</w:t>
      </w:r>
      <w:r>
        <w:rPr>
          <w:rFonts w:ascii="Arial" w:cs="Arial" w:eastAsia="Arial" w:hAnsi="Arial"/>
          <w:sz w:val="16"/>
          <w:szCs w:val="16"/>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70" w:lineRule="exact"/>
        <w:rPr>
          <w:rFonts w:ascii="Arial" w:cs="Arial" w:eastAsia="Arial" w:hAnsi="Arial"/>
          <w:sz w:val="16"/>
          <w:szCs w:val="16"/>
          <w:color w:val="auto"/>
        </w:rPr>
      </w:pPr>
    </w:p>
    <w:p>
      <w:pPr>
        <w:jc w:val="both"/>
        <w:ind w:firstLine="1207"/>
        <w:spacing w:after="0" w:line="284" w:lineRule="auto"/>
        <w:tabs>
          <w:tab w:leader="none" w:pos="1643"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Delivery of Prospectus; Subsequent Changes</w:t>
      </w:r>
      <w:r>
        <w:rPr>
          <w:rFonts w:ascii="Arial" w:cs="Arial" w:eastAsia="Arial" w:hAnsi="Arial"/>
          <w:sz w:val="15"/>
          <w:szCs w:val="15"/>
          <w:color w:val="auto"/>
        </w:rPr>
        <w:t>.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it will use its best efforts to comply with the provisions of and make all requisite filings with the Commission pursuant to said Rule 430B and to notify the Agents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Agents to resume the offering of Placement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3" w:name="page84"/>
    <w:bookmarkEnd w:id="83"/>
    <w:p>
      <w:pPr>
        <w:ind w:firstLine="1207"/>
        <w:spacing w:after="0" w:line="268" w:lineRule="auto"/>
        <w:tabs>
          <w:tab w:leader="none" w:pos="163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Listing of Placement Shares</w:t>
      </w:r>
      <w:r>
        <w:rPr>
          <w:rFonts w:ascii="Arial" w:cs="Arial" w:eastAsia="Arial" w:hAnsi="Arial"/>
          <w:sz w:val="17"/>
          <w:szCs w:val="17"/>
          <w:color w:val="auto"/>
        </w:rPr>
        <w:t>. Prior to the date of the first Placement Notice, the Company will use its reasonable best efforts to cause the Placement Shares to be listed on the Exchange.</w:t>
      </w:r>
    </w:p>
    <w:p>
      <w:pPr>
        <w:spacing w:after="0" w:line="166" w:lineRule="exact"/>
        <w:rPr>
          <w:rFonts w:ascii="Arial" w:cs="Arial" w:eastAsia="Arial" w:hAnsi="Arial"/>
          <w:sz w:val="17"/>
          <w:szCs w:val="17"/>
          <w:color w:val="auto"/>
        </w:rPr>
      </w:pPr>
    </w:p>
    <w:p>
      <w:pPr>
        <w:jc w:val="both"/>
        <w:ind w:firstLine="1207"/>
        <w:spacing w:after="0" w:line="289" w:lineRule="auto"/>
        <w:tabs>
          <w:tab w:leader="none" w:pos="1643"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Delivery of Registration Statement and Prospectus</w:t>
      </w:r>
      <w:r>
        <w:rPr>
          <w:rFonts w:ascii="Arial" w:cs="Arial" w:eastAsia="Arial" w:hAnsi="Arial"/>
          <w:sz w:val="15"/>
          <w:szCs w:val="15"/>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required to furnish any document (other than the Prospectus) to the Agents to the extent such document is available on EDGAR.</w:t>
      </w:r>
    </w:p>
    <w:p>
      <w:pPr>
        <w:spacing w:after="0" w:line="154" w:lineRule="exact"/>
        <w:rPr>
          <w:rFonts w:ascii="Arial" w:cs="Arial" w:eastAsia="Arial" w:hAnsi="Arial"/>
          <w:sz w:val="15"/>
          <w:szCs w:val="15"/>
          <w:color w:val="auto"/>
        </w:rPr>
      </w:pPr>
    </w:p>
    <w:p>
      <w:pPr>
        <w:jc w:val="both"/>
        <w:ind w:firstLine="1207"/>
        <w:spacing w:after="0" w:line="308" w:lineRule="auto"/>
        <w:tabs>
          <w:tab w:leader="none" w:pos="1625"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Earning Statement</w:t>
      </w:r>
      <w:r>
        <w:rPr>
          <w:rFonts w:ascii="Arial" w:cs="Arial" w:eastAsia="Arial" w:hAnsi="Arial"/>
          <w:sz w:val="15"/>
          <w:szCs w:val="15"/>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provided that the Company will be deemed to have furnished such statement to its security holders to the extent it is available on EDGAR.</w:t>
      </w:r>
    </w:p>
    <w:p>
      <w:pPr>
        <w:spacing w:after="0" w:line="140" w:lineRule="exact"/>
        <w:rPr>
          <w:rFonts w:ascii="Arial" w:cs="Arial" w:eastAsia="Arial" w:hAnsi="Arial"/>
          <w:sz w:val="15"/>
          <w:szCs w:val="15"/>
          <w:color w:val="auto"/>
        </w:rPr>
      </w:pPr>
    </w:p>
    <w:p>
      <w:pPr>
        <w:ind w:left="1640" w:hanging="433"/>
        <w:spacing w:after="0"/>
        <w:tabs>
          <w:tab w:leader="none" w:pos="164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“Use of Proceeds.”</w:t>
      </w:r>
    </w:p>
    <w:p>
      <w:pPr>
        <w:spacing w:after="0" w:line="218" w:lineRule="exact"/>
        <w:rPr>
          <w:rFonts w:ascii="Arial" w:cs="Arial" w:eastAsia="Arial" w:hAnsi="Arial"/>
          <w:sz w:val="16"/>
          <w:szCs w:val="16"/>
          <w:color w:val="auto"/>
        </w:rPr>
      </w:pPr>
    </w:p>
    <w:p>
      <w:pPr>
        <w:jc w:val="both"/>
        <w:ind w:firstLine="1207"/>
        <w:spacing w:after="0" w:line="253" w:lineRule="auto"/>
        <w:tabs>
          <w:tab w:leader="none" w:pos="163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Notice of Other Sales</w:t>
      </w:r>
      <w:r>
        <w:rPr>
          <w:rFonts w:ascii="Arial" w:cs="Arial" w:eastAsia="Arial" w:hAnsi="Arial"/>
          <w:sz w:val="15"/>
          <w:szCs w:val="15"/>
          <w:color w:val="auto"/>
        </w:rPr>
        <w:t>.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Arial" w:cs="Arial" w:eastAsia="Arial" w:hAnsi="Arial"/>
          <w:sz w:val="24"/>
          <w:szCs w:val="24"/>
          <w:color w:val="auto"/>
          <w:vertAlign w:val="superscript"/>
        </w:rPr>
        <w:t>th</w:t>
      </w:r>
      <w:r>
        <w:rPr>
          <w:rFonts w:ascii="Arial" w:cs="Arial" w:eastAsia="Arial" w:hAnsi="Arial"/>
          <w:sz w:val="15"/>
          <w:szCs w:val="15"/>
          <w:color w:val="auto"/>
        </w:rPr>
        <w:t>)</w:t>
      </w:r>
    </w:p>
    <w:p>
      <w:pPr>
        <w:jc w:val="both"/>
        <w:spacing w:after="0" w:line="258" w:lineRule="auto"/>
        <w:rPr>
          <w:sz w:val="20"/>
          <w:szCs w:val="20"/>
          <w:color w:val="auto"/>
        </w:rPr>
      </w:pPr>
      <w:r>
        <w:rPr>
          <w:rFonts w:ascii="Arial" w:cs="Arial" w:eastAsia="Arial" w:hAnsi="Arial"/>
          <w:sz w:val="15"/>
          <w:szCs w:val="15"/>
          <w:color w:val="auto"/>
        </w:rPr>
        <w:t>Trading Day immediately prior to the date on which any Placement Notice is delivered to Agents hereunder and ending on the fifth (5</w:t>
      </w:r>
      <w:r>
        <w:rPr>
          <w:rFonts w:ascii="Arial" w:cs="Arial" w:eastAsia="Arial" w:hAnsi="Arial"/>
          <w:sz w:val="24"/>
          <w:szCs w:val="24"/>
          <w:color w:val="auto"/>
          <w:vertAlign w:val="superscript"/>
        </w:rPr>
        <w:t>th</w:t>
      </w:r>
      <w:r>
        <w:rPr>
          <w:rFonts w:ascii="Arial" w:cs="Arial" w:eastAsia="Arial" w:hAnsi="Arial"/>
          <w:sz w:val="15"/>
          <w:szCs w:val="15"/>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acquire, Common Stock prior to the sixtieth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immediately following the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restrictions will not be required in connection with the Company’s issuance or sale of (i) Common Stock, options to purchase Common Stock or Common Stock issuable upon the exercise of options, including any Common Stock sold on behalf of an employee to cover tax withholding obligations,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Agents and (iii) Common Stock or securities convertible into or exchangeable for shares of Common Stock as consideration for mergers, acquisitions, other business combinations or research, collaboration, technology license, development, marketing or other similar agreements or strategic partnerships or alliances occurring after the date of this Agreement which are not issued for capital raising purposes.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4" w:name="page85"/>
    <w:bookmarkEnd w:id="84"/>
    <w:p>
      <w:pPr>
        <w:jc w:val="both"/>
        <w:ind w:firstLine="1207"/>
        <w:spacing w:after="0" w:line="257" w:lineRule="auto"/>
        <w:tabs>
          <w:tab w:leader="none" w:pos="1657" w:val="left"/>
        </w:tabs>
        <w:numPr>
          <w:ilvl w:val="2"/>
          <w:numId w:val="82"/>
        </w:numPr>
        <w:rPr>
          <w:rFonts w:ascii="Arial" w:cs="Arial" w:eastAsia="Arial" w:hAnsi="Arial"/>
          <w:sz w:val="17"/>
          <w:szCs w:val="17"/>
          <w:color w:val="auto"/>
        </w:rPr>
      </w:pPr>
      <w:r>
        <w:rPr>
          <w:rFonts w:ascii="Arial" w:cs="Arial" w:eastAsia="Arial" w:hAnsi="Arial"/>
          <w:sz w:val="17"/>
          <w:szCs w:val="17"/>
          <w:u w:val="single" w:color="auto"/>
          <w:color w:val="auto"/>
        </w:rPr>
        <w:t>Change of Circumstances</w:t>
      </w:r>
      <w:r>
        <w:rPr>
          <w:rFonts w:ascii="Arial" w:cs="Arial" w:eastAsia="Arial" w:hAnsi="Arial"/>
          <w:sz w:val="17"/>
          <w:szCs w:val="17"/>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76" w:lineRule="exact"/>
        <w:rPr>
          <w:rFonts w:ascii="Arial" w:cs="Arial" w:eastAsia="Arial" w:hAnsi="Arial"/>
          <w:sz w:val="17"/>
          <w:szCs w:val="17"/>
          <w:color w:val="auto"/>
        </w:rPr>
      </w:pPr>
    </w:p>
    <w:p>
      <w:pPr>
        <w:jc w:val="both"/>
        <w:ind w:firstLine="1207"/>
        <w:spacing w:after="0" w:line="281" w:lineRule="auto"/>
        <w:tabs>
          <w:tab w:leader="none" w:pos="1682" w:val="left"/>
        </w:tabs>
        <w:numPr>
          <w:ilvl w:val="2"/>
          <w:numId w:val="82"/>
        </w:numPr>
        <w:rPr>
          <w:rFonts w:ascii="Arial" w:cs="Arial" w:eastAsia="Arial" w:hAnsi="Arial"/>
          <w:sz w:val="16"/>
          <w:szCs w:val="16"/>
          <w:color w:val="auto"/>
        </w:rPr>
      </w:pPr>
      <w:r>
        <w:rPr>
          <w:rFonts w:ascii="Arial" w:cs="Arial" w:eastAsia="Arial" w:hAnsi="Arial"/>
          <w:sz w:val="16"/>
          <w:szCs w:val="16"/>
          <w:u w:val="single" w:color="auto"/>
          <w:color w:val="auto"/>
        </w:rPr>
        <w:t>Due Diligence Cooperation</w:t>
      </w:r>
      <w:r>
        <w:rPr>
          <w:rFonts w:ascii="Arial" w:cs="Arial" w:eastAsia="Arial" w:hAnsi="Arial"/>
          <w:sz w:val="16"/>
          <w:szCs w:val="16"/>
          <w:color w:val="auto"/>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58" w:lineRule="exact"/>
        <w:rPr>
          <w:rFonts w:ascii="Arial" w:cs="Arial" w:eastAsia="Arial" w:hAnsi="Arial"/>
          <w:sz w:val="16"/>
          <w:szCs w:val="16"/>
          <w:color w:val="auto"/>
        </w:rPr>
      </w:pPr>
    </w:p>
    <w:p>
      <w:pPr>
        <w:jc w:val="both"/>
        <w:ind w:firstLine="1207"/>
        <w:spacing w:after="0" w:line="284" w:lineRule="auto"/>
        <w:tabs>
          <w:tab w:leader="none" w:pos="1674" w:val="left"/>
        </w:tabs>
        <w:numPr>
          <w:ilvl w:val="2"/>
          <w:numId w:val="82"/>
        </w:numPr>
        <w:rPr>
          <w:rFonts w:ascii="Arial" w:cs="Arial" w:eastAsia="Arial" w:hAnsi="Arial"/>
          <w:sz w:val="15"/>
          <w:szCs w:val="15"/>
          <w:color w:val="auto"/>
        </w:rPr>
      </w:pPr>
      <w:r>
        <w:rPr>
          <w:rFonts w:ascii="Arial" w:cs="Arial" w:eastAsia="Arial" w:hAnsi="Arial"/>
          <w:sz w:val="15"/>
          <w:szCs w:val="15"/>
          <w:u w:val="single" w:color="auto"/>
          <w:color w:val="auto"/>
        </w:rPr>
        <w:t>Required Filings Relating to Placement of Placement Shares</w:t>
      </w:r>
      <w:r>
        <w:rPr>
          <w:rFonts w:ascii="Arial" w:cs="Arial" w:eastAsia="Arial" w:hAnsi="Arial"/>
          <w:sz w:val="15"/>
          <w:szCs w:val="15"/>
          <w:color w:val="auto"/>
        </w:rPr>
        <w:t>. The Company agrees that on such dates as the Securities Act shall require, with respect to the Placement Shares, the Company will (i) file a prospectus supplement with the Commission under the applicable paragraph of Rule 424(b) (each and every filing date under Rule 424(b), a “</w:t>
      </w:r>
      <w:r>
        <w:rPr>
          <w:rFonts w:ascii="Arial" w:cs="Arial" w:eastAsia="Arial" w:hAnsi="Arial"/>
          <w:sz w:val="15"/>
          <w:szCs w:val="15"/>
          <w:b w:val="1"/>
          <w:bCs w:val="1"/>
          <w:u w:val="single" w:color="auto"/>
          <w:color w:val="auto"/>
        </w:rPr>
        <w:t>Filing Date</w:t>
      </w:r>
      <w:r>
        <w:rPr>
          <w:rFonts w:ascii="Arial" w:cs="Arial" w:eastAsia="Arial" w:hAnsi="Arial"/>
          <w:sz w:val="15"/>
          <w:szCs w:val="15"/>
          <w:color w:val="auto"/>
        </w:rPr>
        <w:t>”), which prospectus supplement will set forth, within the relevant period, the amount of Placement Shares sold through the Agents, the Net Proceeds to the Company and the compensation payable by the Company to the Agents with respect to such Placement Shares, and</w:t>
      </w:r>
    </w:p>
    <w:p>
      <w:pPr>
        <w:ind w:firstLine="1"/>
        <w:spacing w:after="0" w:line="253" w:lineRule="auto"/>
        <w:tabs>
          <w:tab w:leader="none" w:pos="2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deliver such number of copies of each such prospectus supplement to each exchange or market on which such sales were effected as may be required by the rules or regulations of such exchange or market.</w:t>
      </w:r>
    </w:p>
    <w:p>
      <w:pPr>
        <w:spacing w:after="0" w:line="178" w:lineRule="exact"/>
        <w:rPr>
          <w:rFonts w:ascii="Arial" w:cs="Arial" w:eastAsia="Arial" w:hAnsi="Arial"/>
          <w:sz w:val="17"/>
          <w:szCs w:val="17"/>
          <w:color w:val="auto"/>
        </w:rPr>
      </w:pPr>
    </w:p>
    <w:p>
      <w:pPr>
        <w:ind w:left="1660" w:hanging="453"/>
        <w:spacing w:after="0"/>
        <w:tabs>
          <w:tab w:leader="none" w:pos="1660"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Representation Dates; Certificate</w:t>
      </w:r>
      <w:r>
        <w:rPr>
          <w:rFonts w:ascii="Arial" w:cs="Arial" w:eastAsia="Arial" w:hAnsi="Arial"/>
          <w:sz w:val="17"/>
          <w:szCs w:val="17"/>
          <w:color w:val="auto"/>
        </w:rPr>
        <w:t>. (1) On or prior to the date of the first Placement Notice and (2) each time the Company:</w:t>
      </w:r>
    </w:p>
    <w:p>
      <w:pPr>
        <w:spacing w:after="0" w:line="206" w:lineRule="exact"/>
        <w:rPr>
          <w:rFonts w:ascii="Arial" w:cs="Arial" w:eastAsia="Arial" w:hAnsi="Arial"/>
          <w:sz w:val="17"/>
          <w:szCs w:val="17"/>
          <w:color w:val="auto"/>
        </w:rPr>
      </w:pPr>
    </w:p>
    <w:p>
      <w:pPr>
        <w:jc w:val="both"/>
        <w:ind w:left="600" w:firstLine="4"/>
        <w:spacing w:after="0" w:line="281" w:lineRule="auto"/>
        <w:tabs>
          <w:tab w:leader="none" w:pos="811" w:val="left"/>
        </w:tabs>
        <w:numPr>
          <w:ilvl w:val="1"/>
          <w:numId w:val="83"/>
        </w:numPr>
        <w:rPr>
          <w:rFonts w:ascii="Arial" w:cs="Arial" w:eastAsia="Arial" w:hAnsi="Arial"/>
          <w:sz w:val="16"/>
          <w:szCs w:val="16"/>
          <w:color w:val="auto"/>
        </w:rPr>
      </w:pPr>
      <w:r>
        <w:rPr>
          <w:rFonts w:ascii="Arial" w:cs="Arial" w:eastAsia="Arial" w:hAnsi="Arial"/>
          <w:sz w:val="16"/>
          <w:szCs w:val="16"/>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5" w:name="page86"/>
    <w:bookmarkEnd w:id="85"/>
    <w:p>
      <w:pPr>
        <w:ind w:left="860" w:hanging="256"/>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files an annual report on Form 10-K under the Exchange Act (including any Form 10-K/A containing amended financial information);</w:t>
      </w:r>
    </w:p>
    <w:p>
      <w:pPr>
        <w:spacing w:after="0" w:line="206" w:lineRule="exact"/>
        <w:rPr>
          <w:rFonts w:ascii="Arial" w:cs="Arial" w:eastAsia="Arial" w:hAnsi="Arial"/>
          <w:sz w:val="17"/>
          <w:szCs w:val="17"/>
          <w:color w:val="auto"/>
        </w:rPr>
      </w:pPr>
    </w:p>
    <w:p>
      <w:pPr>
        <w:ind w:left="900" w:hanging="29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files its quarterly reports on Form 10-Q under the Exchange Act; or</w:t>
      </w:r>
    </w:p>
    <w:p>
      <w:pPr>
        <w:spacing w:after="0" w:line="206" w:lineRule="exact"/>
        <w:rPr>
          <w:rFonts w:ascii="Arial" w:cs="Arial" w:eastAsia="Arial" w:hAnsi="Arial"/>
          <w:sz w:val="17"/>
          <w:szCs w:val="17"/>
          <w:color w:val="auto"/>
        </w:rPr>
      </w:pPr>
    </w:p>
    <w:p>
      <w:pPr>
        <w:jc w:val="both"/>
        <w:ind w:left="600" w:firstLine="4"/>
        <w:spacing w:after="0" w:line="254" w:lineRule="auto"/>
        <w:tabs>
          <w:tab w:leader="none" w:pos="909" w:val="left"/>
        </w:tabs>
        <w:numPr>
          <w:ilvl w:val="0"/>
          <w:numId w:val="84"/>
        </w:numPr>
        <w:rPr>
          <w:rFonts w:ascii="Arial" w:cs="Arial" w:eastAsia="Arial" w:hAnsi="Arial"/>
          <w:sz w:val="17"/>
          <w:szCs w:val="17"/>
          <w:color w:val="auto"/>
        </w:rPr>
      </w:pPr>
      <w:r>
        <w:rPr>
          <w:rFonts w:ascii="Arial" w:cs="Arial" w:eastAsia="Arial" w:hAnsi="Arial"/>
          <w:sz w:val="17"/>
          <w:szCs w:val="17"/>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7"/>
          <w:szCs w:val="17"/>
          <w:b w:val="1"/>
          <w:bCs w:val="1"/>
          <w:u w:val="single" w:color="auto"/>
          <w:color w:val="auto"/>
        </w:rPr>
        <w:t>Representation Date</w:t>
      </w:r>
      <w:r>
        <w:rPr>
          <w:rFonts w:ascii="Arial" w:cs="Arial" w:eastAsia="Arial" w:hAnsi="Arial"/>
          <w:sz w:val="17"/>
          <w:szCs w:val="17"/>
          <w:color w:val="auto"/>
        </w:rPr>
        <w: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the Company shall furnish the Agents (but in the case of clause (iv) above only if the Agents reasonably determine that the information contained in such Form 8-K is material) with a certificate dated the Representation Date, in the form and substance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Arial" w:cs="Arial" w:eastAsia="Arial" w:hAnsi="Arial"/>
          <w:sz w:val="15"/>
          <w:szCs w:val="15"/>
          <w:u w:val="single" w:color="auto"/>
          <w:color w:val="auto"/>
        </w:rPr>
        <w:t>Section 7(l)</w:t>
      </w:r>
      <w:r>
        <w:rPr>
          <w:rFonts w:ascii="Arial" w:cs="Arial" w:eastAsia="Arial" w:hAnsi="Arial"/>
          <w:sz w:val="15"/>
          <w:szCs w:val="15"/>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Arial" w:cs="Arial" w:eastAsia="Arial" w:hAnsi="Arial"/>
          <w:sz w:val="15"/>
          <w:szCs w:val="15"/>
          <w:u w:val="single" w:color="auto"/>
          <w:color w:val="auto"/>
        </w:rPr>
        <w:t>Section 7(l)</w:t>
      </w:r>
      <w:r>
        <w:rPr>
          <w:rFonts w:ascii="Arial" w:cs="Arial" w:eastAsia="Arial" w:hAnsi="Arial"/>
          <w:sz w:val="15"/>
          <w:szCs w:val="15"/>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Arial" w:cs="Arial" w:eastAsia="Arial" w:hAnsi="Arial"/>
          <w:sz w:val="15"/>
          <w:szCs w:val="15"/>
          <w:u w:val="single" w:color="auto"/>
          <w:color w:val="auto"/>
        </w:rPr>
        <w:t>Section 7(l)</w:t>
      </w:r>
      <w:r>
        <w:rPr>
          <w:rFonts w:ascii="Arial" w:cs="Arial" w:eastAsia="Arial" w:hAnsi="Arial"/>
          <w:sz w:val="15"/>
          <w:szCs w:val="15"/>
          <w:color w:val="auto"/>
        </w:rPr>
        <w:t xml:space="preserve"> dated as of the date that the instructions for the sale of Placement Shares are issued.</w:t>
      </w:r>
    </w:p>
    <w:p>
      <w:pPr>
        <w:spacing w:after="0" w:line="161" w:lineRule="exact"/>
        <w:rPr>
          <w:sz w:val="20"/>
          <w:szCs w:val="20"/>
          <w:color w:val="auto"/>
        </w:rPr>
      </w:pPr>
    </w:p>
    <w:p>
      <w:pPr>
        <w:jc w:val="both"/>
        <w:ind w:firstLine="1207"/>
        <w:spacing w:after="0" w:line="267" w:lineRule="auto"/>
        <w:tabs>
          <w:tab w:leader="none" w:pos="165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(1) On or prior to the date of the first Placement Notice and (2) within five (5) Trading Days of each Representation Date with respect to which the Company is obligated to deliver a certificate pursuant to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for which no waiver is applicable and excluding the date of this Agreement, the Company shall cause to be furnished to the Agents a written opinion of Cooley LLP (“</w:t>
      </w:r>
      <w:r>
        <w:rPr>
          <w:rFonts w:ascii="Arial" w:cs="Arial" w:eastAsia="Arial" w:hAnsi="Arial"/>
          <w:sz w:val="16"/>
          <w:szCs w:val="16"/>
          <w:b w:val="1"/>
          <w:bCs w:val="1"/>
          <w:u w:val="single" w:color="auto"/>
          <w:color w:val="auto"/>
        </w:rPr>
        <w:t>Company Counsel</w:t>
      </w:r>
      <w:r>
        <w:rPr>
          <w:rFonts w:ascii="Arial" w:cs="Arial" w:eastAsia="Arial" w:hAnsi="Arial"/>
          <w:sz w:val="16"/>
          <w:szCs w:val="16"/>
          <w:color w:val="auto"/>
        </w:rPr>
        <w:t xml:space="preserve">”), or other counsel reasonably satisfactory to the Agents, in form and substance satisfactory to Agents and their counsel, substantially similar to the form previously provided to the Agents and their counsel,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Company shall be required to furnish to Agents no more than one opinion hereunder per calendar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lieu of such opinions for subsequent periodic filings under the Exchange Act, counsel may furnish the Agents with a letter (a “</w:t>
      </w:r>
      <w:r>
        <w:rPr>
          <w:rFonts w:ascii="Arial" w:cs="Arial" w:eastAsia="Arial" w:hAnsi="Arial"/>
          <w:sz w:val="16"/>
          <w:szCs w:val="16"/>
          <w:b w:val="1"/>
          <w:bCs w:val="1"/>
          <w:u w:val="single" w:color="auto"/>
          <w:color w:val="auto"/>
        </w:rPr>
        <w:t>Reliance Letter</w:t>
      </w:r>
      <w:r>
        <w:rPr>
          <w:rFonts w:ascii="Arial" w:cs="Arial" w:eastAsia="Arial" w:hAnsi="Arial"/>
          <w:sz w:val="16"/>
          <w:szCs w:val="16"/>
          <w:color w:val="auto"/>
        </w:rPr>
        <w:t xml:space="preserve">”) to the effect that the Agents may rely on a prior opinion delivered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6" w:name="page87"/>
    <w:bookmarkEnd w:id="86"/>
    <w:p>
      <w:pPr>
        <w:jc w:val="both"/>
        <w:ind w:firstLine="1207"/>
        <w:spacing w:after="0" w:line="266" w:lineRule="auto"/>
        <w:tabs>
          <w:tab w:leader="none" w:pos="163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xml:space="preserve">. (1) On or prior to the date of the first Placement Notice and (2) within five (5) Trading Days of each Representation Date with respect to which the Company is obligated to deliver a certificate pursuant to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for which no waiver is applicable and excluding the date of this Agreement, the Company shall cause its independent registered public accounting firm to furnish the Agents letters (the “</w:t>
      </w:r>
      <w:r>
        <w:rPr>
          <w:rFonts w:ascii="Arial" w:cs="Arial" w:eastAsia="Arial" w:hAnsi="Arial"/>
          <w:sz w:val="16"/>
          <w:szCs w:val="16"/>
          <w:b w:val="1"/>
          <w:bCs w:val="1"/>
          <w:u w:val="single" w:color="auto"/>
          <w:color w:val="auto"/>
        </w:rPr>
        <w:t>Comfort Letters</w:t>
      </w:r>
      <w:r>
        <w:rPr>
          <w:rFonts w:ascii="Arial" w:cs="Arial" w:eastAsia="Arial" w:hAnsi="Arial"/>
          <w:sz w:val="16"/>
          <w:szCs w:val="16"/>
          <w:color w:val="auto"/>
        </w:rPr>
        <w:t xml:space="preserve">”), dated the date the Comfort Letter is delivered, which shall meet the requirements set forth in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requested by the Agents, the Company shall cause a Comfort Letter to be furnished to the Agents within ten (10) Trading Days of the date of occurrence of any material transaction or event,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6"/>
          <w:szCs w:val="16"/>
          <w:b w:val="1"/>
          <w:bCs w:val="1"/>
          <w:u w:val="single" w:color="auto"/>
          <w:color w:val="auto"/>
        </w:rPr>
        <w:t>Initial Comfort Letter</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69" w:lineRule="exact"/>
        <w:rPr>
          <w:rFonts w:ascii="Arial" w:cs="Arial" w:eastAsia="Arial" w:hAnsi="Arial"/>
          <w:sz w:val="16"/>
          <w:szCs w:val="16"/>
          <w:color w:val="auto"/>
        </w:rPr>
      </w:pPr>
    </w:p>
    <w:p>
      <w:pPr>
        <w:jc w:val="both"/>
        <w:ind w:firstLine="1207"/>
        <w:spacing w:after="0" w:line="288" w:lineRule="auto"/>
        <w:tabs>
          <w:tab w:leader="none" w:pos="1632"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Market Activities</w:t>
      </w:r>
      <w:r>
        <w:rPr>
          <w:rFonts w:ascii="Arial" w:cs="Arial" w:eastAsia="Arial" w:hAnsi="Arial"/>
          <w:sz w:val="15"/>
          <w:szCs w:val="15"/>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w:t>
      </w:r>
    </w:p>
    <w:p>
      <w:pPr>
        <w:ind w:firstLine="1"/>
        <w:spacing w:after="0" w:line="253" w:lineRule="auto"/>
        <w:tabs>
          <w:tab w:leader="none" w:pos="225"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sell, bid for, or purchase Common Stock in violation of Regulation M, or pay anyone any compensation for soliciting purchases of the Placement Shares other than the Agents.</w:t>
      </w:r>
    </w:p>
    <w:p>
      <w:pPr>
        <w:spacing w:after="0" w:line="178" w:lineRule="exact"/>
        <w:rPr>
          <w:rFonts w:ascii="Arial" w:cs="Arial" w:eastAsia="Arial" w:hAnsi="Arial"/>
          <w:sz w:val="17"/>
          <w:szCs w:val="17"/>
          <w:color w:val="auto"/>
        </w:rPr>
      </w:pPr>
    </w:p>
    <w:p>
      <w:pPr>
        <w:jc w:val="both"/>
        <w:ind w:firstLine="1207"/>
        <w:spacing w:after="0" w:line="257" w:lineRule="auto"/>
        <w:tabs>
          <w:tab w:leader="none" w:pos="1632"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6" w:lineRule="exact"/>
        <w:rPr>
          <w:rFonts w:ascii="Arial" w:cs="Arial" w:eastAsia="Arial" w:hAnsi="Arial"/>
          <w:sz w:val="17"/>
          <w:szCs w:val="17"/>
          <w:color w:val="auto"/>
        </w:rPr>
      </w:pPr>
    </w:p>
    <w:p>
      <w:pPr>
        <w:jc w:val="both"/>
        <w:ind w:firstLine="1207"/>
        <w:spacing w:after="0" w:line="254" w:lineRule="auto"/>
        <w:tabs>
          <w:tab w:leader="none" w:pos="1632"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No Offer to Sell</w:t>
      </w:r>
      <w:r>
        <w:rPr>
          <w:rFonts w:ascii="Arial" w:cs="Arial" w:eastAsia="Arial" w:hAnsi="Arial"/>
          <w:sz w:val="17"/>
          <w:szCs w:val="17"/>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77" w:lineRule="exact"/>
        <w:rPr>
          <w:rFonts w:ascii="Arial" w:cs="Arial" w:eastAsia="Arial" w:hAnsi="Arial"/>
          <w:sz w:val="17"/>
          <w:szCs w:val="17"/>
          <w:color w:val="auto"/>
        </w:rPr>
      </w:pPr>
    </w:p>
    <w:p>
      <w:pPr>
        <w:jc w:val="both"/>
        <w:ind w:firstLine="1207"/>
        <w:spacing w:after="0" w:line="267" w:lineRule="auto"/>
        <w:tabs>
          <w:tab w:leader="none" w:pos="1625"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Blue Sky and Other Qualifications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7" w:name="page88"/>
    <w:bookmarkEnd w:id="87"/>
    <w:p>
      <w:pPr>
        <w:jc w:val="both"/>
        <w:ind w:firstLine="1207"/>
        <w:spacing w:after="0" w:line="283" w:lineRule="auto"/>
        <w:tabs>
          <w:tab w:leader="none" w:pos="1634" w:val="left"/>
        </w:tabs>
        <w:numPr>
          <w:ilvl w:val="2"/>
          <w:numId w:val="88"/>
        </w:numPr>
        <w:rPr>
          <w:rFonts w:ascii="Arial" w:cs="Arial" w:eastAsia="Arial" w:hAnsi="Arial"/>
          <w:sz w:val="15"/>
          <w:szCs w:val="15"/>
          <w:color w:val="auto"/>
        </w:rPr>
      </w:pPr>
      <w:r>
        <w:rPr>
          <w:rFonts w:ascii="Arial" w:cs="Arial" w:eastAsia="Arial" w:hAnsi="Arial"/>
          <w:sz w:val="15"/>
          <w:szCs w:val="15"/>
          <w:u w:val="single" w:color="auto"/>
          <w:color w:val="auto"/>
        </w:rPr>
        <w:t>Sarbanes-Oxley Act</w:t>
      </w:r>
      <w:r>
        <w:rPr>
          <w:rFonts w:ascii="Arial" w:cs="Arial" w:eastAsia="Arial" w:hAnsi="Arial"/>
          <w:sz w:val="15"/>
          <w:szCs w:val="15"/>
          <w:color w:val="auto"/>
        </w:rPr>
        <w:t>. The Company and the Subsidiaries will use reasonable best efforts to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66" w:lineRule="exact"/>
        <w:rPr>
          <w:rFonts w:ascii="Arial" w:cs="Arial" w:eastAsia="Arial" w:hAnsi="Arial"/>
          <w:sz w:val="15"/>
          <w:szCs w:val="15"/>
          <w:color w:val="auto"/>
        </w:rPr>
      </w:pPr>
    </w:p>
    <w:p>
      <w:pPr>
        <w:jc w:val="both"/>
        <w:ind w:firstLine="1207"/>
        <w:spacing w:after="0" w:line="251" w:lineRule="auto"/>
        <w:tabs>
          <w:tab w:leader="none" w:pos="1616" w:val="left"/>
        </w:tabs>
        <w:numPr>
          <w:ilvl w:val="2"/>
          <w:numId w:val="88"/>
        </w:numPr>
        <w:rPr>
          <w:rFonts w:ascii="Arial" w:cs="Arial" w:eastAsia="Arial" w:hAnsi="Arial"/>
          <w:sz w:val="17"/>
          <w:szCs w:val="17"/>
          <w:color w:val="auto"/>
        </w:rPr>
      </w:pPr>
      <w:r>
        <w:rPr>
          <w:rFonts w:ascii="Arial" w:cs="Arial" w:eastAsia="Arial" w:hAnsi="Arial"/>
          <w:sz w:val="17"/>
          <w:szCs w:val="17"/>
          <w:u w:val="single" w:color="auto"/>
          <w:color w:val="auto"/>
        </w:rPr>
        <w:t>Secretary’s Certificate; Further Documentation</w:t>
      </w:r>
      <w:r>
        <w:rPr>
          <w:rFonts w:ascii="Arial" w:cs="Arial" w:eastAsia="Arial" w:hAnsi="Arial"/>
          <w:sz w:val="17"/>
          <w:szCs w:val="17"/>
          <w:color w:val="auto"/>
        </w:rPr>
        <w:t>. Prior to the date of the first Placement Notice, the Company shall deliver to the Agents a certificate of the Secretary of the Company and attested to by an executive officer of the Company, dated as of such date, certifying as to (i) the charter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spacing w:after="0" w:line="180" w:lineRule="exact"/>
        <w:rPr>
          <w:rFonts w:ascii="Arial" w:cs="Arial" w:eastAsia="Arial" w:hAnsi="Arial"/>
          <w:sz w:val="17"/>
          <w:szCs w:val="17"/>
          <w:color w:val="auto"/>
        </w:rPr>
      </w:pPr>
    </w:p>
    <w:p>
      <w:pPr>
        <w:ind w:left="1000" w:hanging="396"/>
        <w:spacing w:after="0"/>
        <w:tabs>
          <w:tab w:leader="none" w:pos="1000" w:val="left"/>
        </w:tabs>
        <w:numPr>
          <w:ilvl w:val="1"/>
          <w:numId w:val="89"/>
        </w:numPr>
        <w:rPr>
          <w:rFonts w:ascii="Arial" w:cs="Arial" w:eastAsia="Arial" w:hAnsi="Arial"/>
          <w:sz w:val="15"/>
          <w:szCs w:val="15"/>
          <w:color w:val="auto"/>
        </w:rPr>
      </w:pPr>
      <w:r>
        <w:rPr>
          <w:rFonts w:ascii="Arial" w:cs="Arial" w:eastAsia="Arial" w:hAnsi="Arial"/>
          <w:sz w:val="15"/>
          <w:szCs w:val="15"/>
          <w:u w:val="single" w:color="auto"/>
          <w:color w:val="auto"/>
        </w:rPr>
        <w:t>Payment of Expenses</w:t>
      </w:r>
      <w:r>
        <w:rPr>
          <w:rFonts w:ascii="Arial" w:cs="Arial" w:eastAsia="Arial" w:hAnsi="Arial"/>
          <w:sz w:val="15"/>
          <w:szCs w:val="15"/>
          <w:color w:val="auto"/>
        </w:rPr>
        <w:t>. The Company will pay all reasonable expenses incident to the performance of its obligations under this Agreement, including</w:t>
      </w:r>
    </w:p>
    <w:p>
      <w:pPr>
        <w:spacing w:after="0" w:line="40" w:lineRule="exact"/>
        <w:rPr>
          <w:rFonts w:ascii="Arial" w:cs="Arial" w:eastAsia="Arial" w:hAnsi="Arial"/>
          <w:sz w:val="15"/>
          <w:szCs w:val="15"/>
          <w:color w:val="auto"/>
        </w:rPr>
      </w:pPr>
    </w:p>
    <w:p>
      <w:pPr>
        <w:jc w:val="both"/>
        <w:ind w:firstLine="1"/>
        <w:spacing w:after="0" w:line="279" w:lineRule="auto"/>
        <w:tabs>
          <w:tab w:leader="none" w:pos="179"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fees and expenses of the Agents including but not limited to the fees and expenses of the counsel to the Agents, payable within thirty (30) days of the execution of this Agreement, in an amount not to exceed $75,000 in connection with the execution of this Agreement, and $25,000 for each program “refresh” executed pursuant to this Agreement, (vi) the qualification or exemption of the Placement Shares under state securities laws in accordance with the provisions of </w:t>
      </w:r>
      <w:r>
        <w:rPr>
          <w:rFonts w:ascii="Arial" w:cs="Arial" w:eastAsia="Arial" w:hAnsi="Arial"/>
          <w:sz w:val="15"/>
          <w:szCs w:val="15"/>
          <w:u w:val="single" w:color="auto"/>
          <w:color w:val="auto"/>
        </w:rPr>
        <w:t>Section 7(r)</w:t>
      </w:r>
      <w:r>
        <w:rPr>
          <w:rFonts w:ascii="Arial" w:cs="Arial" w:eastAsia="Arial" w:hAnsi="Arial"/>
          <w:sz w:val="15"/>
          <w:szCs w:val="15"/>
          <w:color w:val="auto"/>
        </w:rPr>
        <w:t xml:space="preserve"> hereof, including filing fees, but excluding fees of the Agents’ counsel, (vii) the printing and delivery to the Agents of</w:t>
      </w:r>
    </w:p>
    <w:p>
      <w:pPr>
        <w:spacing w:after="0" w:line="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copies of any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8" w:name="page89"/>
    <w:bookmarkEnd w:id="88"/>
    <w:p>
      <w:pPr>
        <w:jc w:val="both"/>
        <w:ind w:firstLine="604"/>
        <w:spacing w:after="0" w:line="254" w:lineRule="auto"/>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Conditions to Agents’ Obligations</w:t>
      </w:r>
      <w:r>
        <w:rPr>
          <w:rFonts w:ascii="Arial" w:cs="Arial" w:eastAsia="Arial" w:hAnsi="Arial"/>
          <w:sz w:val="17"/>
          <w:szCs w:val="17"/>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them in their reasonable judgment, and to the continuing satisfaction (or waiver by the Agents in their sole discretion) of the following additional conditions:</w:t>
      </w:r>
    </w:p>
    <w:p>
      <w:pPr>
        <w:spacing w:after="0" w:line="177" w:lineRule="exact"/>
        <w:rPr>
          <w:rFonts w:ascii="Arial" w:cs="Arial" w:eastAsia="Arial" w:hAnsi="Arial"/>
          <w:sz w:val="17"/>
          <w:szCs w:val="17"/>
          <w:color w:val="auto"/>
        </w:rPr>
      </w:pPr>
    </w:p>
    <w:p>
      <w:pPr>
        <w:ind w:firstLine="1207"/>
        <w:spacing w:after="0" w:line="336" w:lineRule="auto"/>
        <w:tabs>
          <w:tab w:leader="none" w:pos="1643"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Registration Statement Effective</w:t>
      </w:r>
      <w:r>
        <w:rPr>
          <w:rFonts w:ascii="Arial" w:cs="Arial" w:eastAsia="Arial" w:hAnsi="Arial"/>
          <w:sz w:val="15"/>
          <w:szCs w:val="15"/>
          <w:color w:val="auto"/>
        </w:rPr>
        <w:t>. The Registration Statement shall have become effective and shall be available for the (i) resale of all Placement Shares issued to the Agents and not yet sold by the Agents and (ii) sale of all Placement Shares contemplated to be issued by any Placement Notice.</w:t>
      </w:r>
    </w:p>
    <w:p>
      <w:pPr>
        <w:spacing w:after="0" w:line="120" w:lineRule="exact"/>
        <w:rPr>
          <w:rFonts w:ascii="Arial" w:cs="Arial" w:eastAsia="Arial" w:hAnsi="Arial"/>
          <w:sz w:val="15"/>
          <w:szCs w:val="15"/>
          <w:color w:val="auto"/>
        </w:rPr>
      </w:pPr>
    </w:p>
    <w:p>
      <w:pPr>
        <w:jc w:val="both"/>
        <w:ind w:firstLine="1207"/>
        <w:spacing w:after="0" w:line="285" w:lineRule="auto"/>
        <w:tabs>
          <w:tab w:leader="none" w:pos="1632"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No Material Notices</w:t>
      </w:r>
      <w:r>
        <w:rPr>
          <w:rFonts w:ascii="Arial" w:cs="Arial" w:eastAsia="Arial" w:hAnsi="Arial"/>
          <w:sz w:val="15"/>
          <w:szCs w:val="15"/>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any material fact or omit to state any material fact required to be stated therein or necessary to make the statements therein not misleading and, that in the case of the Prospectus, it will not contain an untrue statement of a material fact or omit to state any material fact required to be stated therein or necessary to make the statements therein, in the light of the circumstances under which they were made, not misleading.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9" w:name="page90"/>
    <w:bookmarkEnd w:id="89"/>
    <w:p>
      <w:pPr>
        <w:jc w:val="both"/>
        <w:ind w:firstLine="1207"/>
        <w:spacing w:after="0" w:line="308" w:lineRule="auto"/>
        <w:tabs>
          <w:tab w:leader="none" w:pos="1643"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No Misstatement or Material Omission</w:t>
      </w:r>
      <w:r>
        <w:rPr>
          <w:rFonts w:ascii="Arial" w:cs="Arial" w:eastAsia="Arial" w:hAnsi="Arial"/>
          <w:sz w:val="15"/>
          <w:szCs w:val="15"/>
          <w:color w:val="auto"/>
        </w:rPr>
        <w:t>. The Agents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spacing w:after="0" w:line="140" w:lineRule="exact"/>
        <w:rPr>
          <w:rFonts w:ascii="Arial" w:cs="Arial" w:eastAsia="Arial" w:hAnsi="Arial"/>
          <w:sz w:val="15"/>
          <w:szCs w:val="15"/>
          <w:color w:val="auto"/>
        </w:rPr>
      </w:pPr>
    </w:p>
    <w:p>
      <w:pPr>
        <w:jc w:val="both"/>
        <w:ind w:firstLine="1207"/>
        <w:spacing w:after="0" w:line="268" w:lineRule="auto"/>
        <w:tabs>
          <w:tab w:leader="none" w:pos="16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0" w:lineRule="exact"/>
        <w:rPr>
          <w:rFonts w:ascii="Arial" w:cs="Arial" w:eastAsia="Arial" w:hAnsi="Arial"/>
          <w:sz w:val="16"/>
          <w:szCs w:val="16"/>
          <w:color w:val="auto"/>
        </w:rPr>
      </w:pPr>
    </w:p>
    <w:p>
      <w:pPr>
        <w:ind w:firstLine="1207"/>
        <w:spacing w:after="0" w:line="268" w:lineRule="auto"/>
        <w:tabs>
          <w:tab w:leader="none" w:pos="164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The Agents shall have received the opinions of Company Counsel required to be delivered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on or before the date on which such delivery of such opinions is required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firstLine="1207"/>
        <w:spacing w:after="0" w:line="268" w:lineRule="auto"/>
        <w:tabs>
          <w:tab w:leader="none" w:pos="162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The Agents shall have received the Comfort Letter required to be delivered pursuant to </w:t>
      </w:r>
      <w:r>
        <w:rPr>
          <w:rFonts w:ascii="Arial" w:cs="Arial" w:eastAsia="Arial" w:hAnsi="Arial"/>
          <w:sz w:val="17"/>
          <w:szCs w:val="17"/>
          <w:u w:val="single" w:color="auto"/>
          <w:color w:val="auto"/>
        </w:rPr>
        <w:t>Section 7(n)</w:t>
      </w:r>
      <w:r>
        <w:rPr>
          <w:rFonts w:ascii="Arial" w:cs="Arial" w:eastAsia="Arial" w:hAnsi="Arial"/>
          <w:sz w:val="17"/>
          <w:szCs w:val="17"/>
          <w:color w:val="auto"/>
        </w:rPr>
        <w:t xml:space="preserve"> on or before the date on which such delivery of such Comfort Letter is required pursuant to </w:t>
      </w:r>
      <w:r>
        <w:rPr>
          <w:rFonts w:ascii="Arial" w:cs="Arial" w:eastAsia="Arial" w:hAnsi="Arial"/>
          <w:sz w:val="17"/>
          <w:szCs w:val="17"/>
          <w:u w:val="single" w:color="auto"/>
          <w:color w:val="auto"/>
        </w:rPr>
        <w:t>Section 7(n)</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firstLine="1207"/>
        <w:spacing w:after="0" w:line="268" w:lineRule="auto"/>
        <w:tabs>
          <w:tab w:leader="none" w:pos="163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Representation Certificate</w:t>
      </w:r>
      <w:r>
        <w:rPr>
          <w:rFonts w:ascii="Arial" w:cs="Arial" w:eastAsia="Arial" w:hAnsi="Arial"/>
          <w:sz w:val="17"/>
          <w:szCs w:val="17"/>
          <w:color w:val="auto"/>
        </w:rPr>
        <w:t xml:space="preserve">. The Agents shall have received the certificate required to be delivered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on or before the date on which delivery of such certificate is required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firstLine="1207"/>
        <w:spacing w:after="0" w:line="268" w:lineRule="auto"/>
        <w:tabs>
          <w:tab w:leader="none" w:pos="163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Suspension</w:t>
      </w:r>
      <w:r>
        <w:rPr>
          <w:rFonts w:ascii="Arial" w:cs="Arial" w:eastAsia="Arial" w:hAnsi="Arial"/>
          <w:sz w:val="17"/>
          <w:szCs w:val="17"/>
          <w:color w:val="auto"/>
        </w:rPr>
        <w:t>. Trading in the Common Stock shall not have been suspended on the Exchange and the Common Stock shall not have been delisted from the Exchange.</w:t>
      </w:r>
    </w:p>
    <w:p>
      <w:pPr>
        <w:spacing w:after="0" w:line="166" w:lineRule="exact"/>
        <w:rPr>
          <w:rFonts w:ascii="Arial" w:cs="Arial" w:eastAsia="Arial" w:hAnsi="Arial"/>
          <w:sz w:val="17"/>
          <w:szCs w:val="17"/>
          <w:color w:val="auto"/>
        </w:rPr>
      </w:pPr>
    </w:p>
    <w:p>
      <w:pPr>
        <w:jc w:val="both"/>
        <w:ind w:firstLine="1207"/>
        <w:spacing w:after="0" w:line="257" w:lineRule="auto"/>
        <w:tabs>
          <w:tab w:leader="none" w:pos="1637"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0" w:name="page91"/>
    <w:bookmarkEnd w:id="90"/>
    <w:p>
      <w:pPr>
        <w:ind w:firstLine="1207"/>
        <w:spacing w:after="0" w:line="268" w:lineRule="auto"/>
        <w:tabs>
          <w:tab w:leader="none" w:pos="1637"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Securities Act Filings Made</w:t>
      </w:r>
      <w:r>
        <w:rPr>
          <w:rFonts w:ascii="Arial" w:cs="Arial" w:eastAsia="Arial" w:hAnsi="Arial"/>
          <w:sz w:val="17"/>
          <w:szCs w:val="17"/>
          <w:color w:val="auto"/>
        </w:rPr>
        <w:t>. All filings with the Commission required by Rule 424 to have been filed prior to the issuance of any Placement Notice hereunder shall have been made within the applicable time period prescribed for such filing by Rule 424.</w:t>
      </w:r>
    </w:p>
    <w:p>
      <w:pPr>
        <w:spacing w:after="0" w:line="166" w:lineRule="exact"/>
        <w:rPr>
          <w:rFonts w:ascii="Arial" w:cs="Arial" w:eastAsia="Arial" w:hAnsi="Arial"/>
          <w:sz w:val="17"/>
          <w:szCs w:val="17"/>
          <w:color w:val="auto"/>
        </w:rPr>
      </w:pPr>
    </w:p>
    <w:p>
      <w:pPr>
        <w:jc w:val="both"/>
        <w:ind w:firstLine="1207"/>
        <w:spacing w:after="0" w:line="257" w:lineRule="auto"/>
        <w:tabs>
          <w:tab w:leader="none" w:pos="1653"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Approval for Listing</w:t>
      </w:r>
      <w:r>
        <w:rPr>
          <w:rFonts w:ascii="Arial" w:cs="Arial" w:eastAsia="Arial" w:hAnsi="Arial"/>
          <w:sz w:val="17"/>
          <w:szCs w:val="17"/>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6" w:lineRule="exact"/>
        <w:rPr>
          <w:rFonts w:ascii="Arial" w:cs="Arial" w:eastAsia="Arial" w:hAnsi="Arial"/>
          <w:sz w:val="17"/>
          <w:szCs w:val="17"/>
          <w:color w:val="auto"/>
        </w:rPr>
      </w:pPr>
    </w:p>
    <w:p>
      <w:pPr>
        <w:ind w:firstLine="1207"/>
        <w:spacing w:after="0" w:line="268" w:lineRule="auto"/>
        <w:tabs>
          <w:tab w:leader="none" w:pos="1616"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FINRA</w:t>
      </w:r>
      <w:r>
        <w:rPr>
          <w:rFonts w:ascii="Arial" w:cs="Arial" w:eastAsia="Arial" w:hAnsi="Arial"/>
          <w:sz w:val="17"/>
          <w:szCs w:val="17"/>
          <w:color w:val="auto"/>
        </w:rPr>
        <w:t>. If applicable, FINRA shall have raised no objection to the terms of this offering and the amount of compensation allowable or payable to the Agents as described in the Prospectus.</w:t>
      </w:r>
    </w:p>
    <w:p>
      <w:pPr>
        <w:spacing w:after="0" w:line="166" w:lineRule="exact"/>
        <w:rPr>
          <w:rFonts w:ascii="Arial" w:cs="Arial" w:eastAsia="Arial" w:hAnsi="Arial"/>
          <w:sz w:val="17"/>
          <w:szCs w:val="17"/>
          <w:color w:val="auto"/>
        </w:rPr>
      </w:pPr>
    </w:p>
    <w:p>
      <w:pPr>
        <w:ind w:left="1680" w:hanging="473"/>
        <w:spacing w:after="0"/>
        <w:tabs>
          <w:tab w:leader="none" w:pos="1680"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No Termination Event</w:t>
      </w:r>
      <w:r>
        <w:rPr>
          <w:rFonts w:ascii="Arial" w:cs="Arial" w:eastAsia="Arial" w:hAnsi="Arial"/>
          <w:sz w:val="15"/>
          <w:szCs w:val="15"/>
          <w:color w:val="auto"/>
        </w:rPr>
        <w:t xml:space="preserve">. There shall not have occurred any event that would permit the Agents to terminate this Agreement pursuant to </w:t>
      </w:r>
      <w:r>
        <w:rPr>
          <w:rFonts w:ascii="Arial" w:cs="Arial" w:eastAsia="Arial" w:hAnsi="Arial"/>
          <w:sz w:val="15"/>
          <w:szCs w:val="15"/>
          <w:u w:val="single" w:color="auto"/>
          <w:color w:val="auto"/>
        </w:rPr>
        <w:t>Section</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u w:val="single" w:color="auto"/>
          <w:color w:val="auto"/>
        </w:rPr>
        <w:t>12(a)</w:t>
      </w:r>
      <w:r>
        <w:rPr>
          <w:rFonts w:ascii="Arial" w:cs="Arial" w:eastAsia="Arial" w:hAnsi="Arial"/>
          <w:sz w:val="17"/>
          <w:szCs w:val="17"/>
          <w:color w:val="auto"/>
        </w:rPr>
        <w:t>.</w:t>
      </w:r>
    </w:p>
    <w:p>
      <w:pPr>
        <w:spacing w:after="0" w:line="194" w:lineRule="exact"/>
        <w:rPr>
          <w:rFonts w:ascii="Arial" w:cs="Arial" w:eastAsia="Arial" w:hAnsi="Arial"/>
          <w:sz w:val="15"/>
          <w:szCs w:val="15"/>
          <w:color w:val="auto"/>
        </w:rPr>
      </w:pPr>
    </w:p>
    <w:p>
      <w:pPr>
        <w:ind w:left="1040" w:hanging="436"/>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jc w:val="both"/>
        <w:ind w:firstLine="1207"/>
        <w:spacing w:after="0" w:line="257" w:lineRule="auto"/>
        <w:tabs>
          <w:tab w:leader="none" w:pos="1622"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Company Indemnification</w:t>
      </w:r>
      <w:r>
        <w:rPr>
          <w:rFonts w:ascii="Arial" w:cs="Arial" w:eastAsia="Arial" w:hAnsi="Arial"/>
          <w:sz w:val="17"/>
          <w:szCs w:val="17"/>
          <w:color w:val="auto"/>
        </w:rPr>
        <w:t>. The Company agrees to indemnify and hold harmless the Agents, their affiliates and their respective partners, members, directors, officers, employees and agents and each person, if any, who controls the applicable Agent or any affiliate within the meaning of Section 15 of the Securities Act or Section 20 of the Exchange Act as follows:</w:t>
      </w:r>
    </w:p>
    <w:p>
      <w:pPr>
        <w:spacing w:after="0" w:line="176" w:lineRule="exact"/>
        <w:rPr>
          <w:rFonts w:ascii="Arial" w:cs="Arial" w:eastAsia="Arial" w:hAnsi="Arial"/>
          <w:sz w:val="17"/>
          <w:szCs w:val="17"/>
          <w:color w:val="auto"/>
        </w:rPr>
      </w:pPr>
    </w:p>
    <w:p>
      <w:pPr>
        <w:jc w:val="both"/>
        <w:ind w:firstLine="1810"/>
        <w:spacing w:after="0" w:line="251" w:lineRule="auto"/>
        <w:tabs>
          <w:tab w:leader="none" w:pos="2282" w:val="left"/>
        </w:tabs>
        <w:numPr>
          <w:ilvl w:val="2"/>
          <w:numId w:val="94"/>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0" w:lineRule="exact"/>
        <w:rPr>
          <w:rFonts w:ascii="Arial" w:cs="Arial" w:eastAsia="Arial" w:hAnsi="Arial"/>
          <w:sz w:val="17"/>
          <w:szCs w:val="17"/>
          <w:color w:val="auto"/>
        </w:rPr>
      </w:pPr>
    </w:p>
    <w:p>
      <w:pPr>
        <w:jc w:val="both"/>
        <w:ind w:firstLine="1810"/>
        <w:spacing w:after="0" w:line="275" w:lineRule="auto"/>
        <w:tabs>
          <w:tab w:leader="none" w:pos="2307"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below) any such settlement is effected with the written consent of the Company, which consent shall not unreasonably be delayed or withheld; and</w:t>
      </w:r>
    </w:p>
    <w:p>
      <w:pPr>
        <w:spacing w:after="0" w:line="162" w:lineRule="exact"/>
        <w:rPr>
          <w:rFonts w:ascii="Arial" w:cs="Arial" w:eastAsia="Arial" w:hAnsi="Arial"/>
          <w:sz w:val="16"/>
          <w:szCs w:val="16"/>
          <w:color w:val="auto"/>
        </w:rPr>
      </w:pPr>
    </w:p>
    <w:p>
      <w:pPr>
        <w:jc w:val="both"/>
        <w:ind w:firstLine="1810"/>
        <w:spacing w:after="0" w:line="254" w:lineRule="auto"/>
        <w:tabs>
          <w:tab w:leader="none" w:pos="2333" w:val="left"/>
        </w:tabs>
        <w:numPr>
          <w:ilvl w:val="2"/>
          <w:numId w:val="94"/>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1" w:name="page92"/>
    <w:bookmarkEnd w:id="91"/>
    <w:p>
      <w:pPr>
        <w:spacing w:after="0" w:line="26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indemnity agreement shall not apply to any loss, liability, claim, damage or expense to the extent arising out of any untrue statement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omission or alleged untrue statement or omission made solely in reliance upon and in conformity with the Agent Information.</w:t>
      </w:r>
    </w:p>
    <w:p>
      <w:pPr>
        <w:spacing w:after="0" w:line="167" w:lineRule="exact"/>
        <w:rPr>
          <w:sz w:val="20"/>
          <w:szCs w:val="20"/>
          <w:color w:val="auto"/>
        </w:rPr>
      </w:pPr>
    </w:p>
    <w:p>
      <w:pPr>
        <w:jc w:val="both"/>
        <w:ind w:firstLine="1207"/>
        <w:spacing w:after="0" w:line="267" w:lineRule="auto"/>
        <w:tabs>
          <w:tab w:leader="none" w:pos="1632"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Agent Indemnification</w:t>
      </w:r>
      <w:r>
        <w:rPr>
          <w:rFonts w:ascii="Arial" w:cs="Arial" w:eastAsia="Arial" w:hAnsi="Arial"/>
          <w:sz w:val="16"/>
          <w:szCs w:val="16"/>
          <w:color w:val="auto"/>
        </w:rPr>
        <w:t xml:space="preserve">. Each respective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6"/>
          <w:szCs w:val="16"/>
          <w:u w:val="single" w:color="auto"/>
          <w:color w:val="auto"/>
        </w:rPr>
        <w:t>Section 10(a)</w:t>
      </w:r>
      <w:r>
        <w:rPr>
          <w:rFonts w:ascii="Arial" w:cs="Arial" w:eastAsia="Arial" w:hAnsi="Arial"/>
          <w:sz w:val="16"/>
          <w:szCs w:val="16"/>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Arial" w:cs="Arial" w:eastAsia="Arial" w:hAnsi="Arial"/>
          <w:sz w:val="16"/>
          <w:szCs w:val="16"/>
          <w:b w:val="1"/>
          <w:bCs w:val="1"/>
          <w:u w:val="single" w:color="auto"/>
          <w:color w:val="auto"/>
        </w:rPr>
        <w:t>Agent Information</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207"/>
        <w:spacing w:after="0" w:line="280" w:lineRule="auto"/>
        <w:tabs>
          <w:tab w:leader="none" w:pos="1643"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 xml:space="preserve">. Any party that proposes to assert the right to be indemnified under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and (ii) any liability that it may have to any indemnified party under the foregoing provisions of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9" w:lineRule="exact"/>
        <w:rPr>
          <w:rFonts w:ascii="Arial" w:cs="Arial" w:eastAsia="Arial" w:hAnsi="Arial"/>
          <w:sz w:val="15"/>
          <w:szCs w:val="15"/>
          <w:color w:val="auto"/>
        </w:rPr>
      </w:pPr>
    </w:p>
    <w:p>
      <w:pPr>
        <w:jc w:val="both"/>
        <w:ind w:firstLine="1"/>
        <w:spacing w:after="0" w:line="283" w:lineRule="auto"/>
        <w:tabs>
          <w:tab w:leader="none" w:pos="216"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(which consent shall not be unreasonably withheld or delayed), settle or compromise or consent to the entry of any judgment in any pending or threatened claim, action or proceeding relating to the matters contemplated by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2" w:name="page93"/>
    <w:bookmarkEnd w:id="92"/>
    <w:p>
      <w:pPr>
        <w:jc w:val="both"/>
        <w:ind w:firstLine="1207"/>
        <w:spacing w:after="0" w:line="298" w:lineRule="auto"/>
        <w:tabs>
          <w:tab w:leader="none" w:pos="1632" w:val="left"/>
        </w:tabs>
        <w:numPr>
          <w:ilvl w:val="1"/>
          <w:numId w:val="97"/>
        </w:numPr>
        <w:rPr>
          <w:rFonts w:ascii="Arial" w:cs="Arial" w:eastAsia="Arial" w:hAnsi="Arial"/>
          <w:sz w:val="15"/>
          <w:szCs w:val="15"/>
          <w:color w:val="auto"/>
        </w:rPr>
      </w:pPr>
      <w:r>
        <w:rPr>
          <w:rFonts w:ascii="Arial" w:cs="Arial" w:eastAsia="Arial" w:hAnsi="Arial"/>
          <w:sz w:val="15"/>
          <w:szCs w:val="15"/>
          <w:u w:val="single" w:color="auto"/>
          <w:color w:val="auto"/>
        </w:rPr>
        <w:t>Settlement Without Consent if Failure to Reimburse</w:t>
      </w:r>
      <w:r>
        <w:rPr>
          <w:rFonts w:ascii="Arial" w:cs="Arial" w:eastAsia="Arial" w:hAnsi="Arial"/>
          <w:sz w:val="15"/>
          <w:szCs w:val="15"/>
          <w:i w:val="1"/>
          <w:iCs w:val="1"/>
          <w:color w:val="auto"/>
        </w:rPr>
        <w:t>.</w:t>
      </w:r>
      <w:r>
        <w:rPr>
          <w:rFonts w:ascii="Arial" w:cs="Arial" w:eastAsia="Arial" w:hAnsi="Arial"/>
          <w:sz w:val="15"/>
          <w:szCs w:val="15"/>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Arial" w:cs="Arial" w:eastAsia="Arial" w:hAnsi="Arial"/>
          <w:sz w:val="15"/>
          <w:szCs w:val="15"/>
          <w:u w:val="single" w:color="auto"/>
          <w:color w:val="auto"/>
        </w:rPr>
        <w:t>Section 10(a)(ii)</w:t>
      </w:r>
      <w:r>
        <w:rPr>
          <w:rFonts w:ascii="Arial" w:cs="Arial" w:eastAsia="Arial" w:hAnsi="Arial"/>
          <w:sz w:val="15"/>
          <w:szCs w:val="15"/>
          <w:color w:val="auto"/>
        </w:rPr>
        <w:t xml:space="preserve"> effected without its written consent if (1) such settlement is entered into more than 45 days after receipt by such indemnifying party of the aforesaid request and (2) such indemnifying party shall not have reimbursed such indemnified party in accordance with such request prior to the date of such settlement.</w:t>
      </w:r>
    </w:p>
    <w:p>
      <w:pPr>
        <w:spacing w:after="0" w:line="148" w:lineRule="exact"/>
        <w:rPr>
          <w:rFonts w:ascii="Arial" w:cs="Arial" w:eastAsia="Arial" w:hAnsi="Arial"/>
          <w:sz w:val="15"/>
          <w:szCs w:val="15"/>
          <w:color w:val="auto"/>
        </w:rPr>
      </w:pPr>
    </w:p>
    <w:p>
      <w:pPr>
        <w:jc w:val="both"/>
        <w:ind w:firstLine="1207"/>
        <w:spacing w:after="0" w:line="281" w:lineRule="auto"/>
        <w:tabs>
          <w:tab w:leader="none" w:pos="1643" w:val="left"/>
        </w:tabs>
        <w:numPr>
          <w:ilvl w:val="1"/>
          <w:numId w:val="97"/>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 xml:space="preserve">. In order to provide for just and equitable contribution in circumstances in which the indemnification provided for in the foregoing paragraphs of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shall be deemed to include, for the purpose of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hereof. Notwithstanding the foregoing provisions of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no Agent shall be required to contribute any amount in excess of the commissions received by such Agent under this Agreement and no person found guilty of fraudulent misrepresentation (within the meaning of </w:t>
      </w:r>
      <w:r>
        <w:rPr>
          <w:rFonts w:ascii="Arial" w:cs="Arial" w:eastAsia="Arial" w:hAnsi="Arial"/>
          <w:sz w:val="15"/>
          <w:szCs w:val="15"/>
          <w:u w:val="single" w:color="auto"/>
          <w:color w:val="auto"/>
        </w:rPr>
        <w:t>Section 11(f)</w:t>
      </w:r>
      <w:r>
        <w:rPr>
          <w:rFonts w:ascii="Arial" w:cs="Arial" w:eastAsia="Arial" w:hAnsi="Arial"/>
          <w:sz w:val="15"/>
          <w:szCs w:val="15"/>
          <w:color w:val="auto"/>
        </w:rPr>
        <w:t xml:space="preserve"> of the Securities Act) will be entitled to contribution from any person who was not guilty of such fraudulent misrepresentation. For purposes of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hereof. The Agents’ respective obligations to contribute pursuant to this section are several in proportion to the respective number of Placement Shares they have sold hereunder, and not joint.</w:t>
      </w:r>
    </w:p>
    <w:p>
      <w:pPr>
        <w:spacing w:after="0" w:line="174" w:lineRule="exact"/>
        <w:rPr>
          <w:rFonts w:ascii="Arial" w:cs="Arial" w:eastAsia="Arial" w:hAnsi="Arial"/>
          <w:sz w:val="15"/>
          <w:szCs w:val="15"/>
          <w:color w:val="auto"/>
        </w:rPr>
      </w:pPr>
    </w:p>
    <w:p>
      <w:pPr>
        <w:jc w:val="both"/>
        <w:ind w:firstLine="604"/>
        <w:spacing w:after="0" w:line="275" w:lineRule="auto"/>
        <w:tabs>
          <w:tab w:leader="none" w:pos="10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xml:space="preserve">. The indemnity and contribution agreements contained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3" w:name="page94"/>
    <w:bookmarkEnd w:id="93"/>
    <w:p>
      <w:pPr>
        <w:ind w:left="1040" w:hanging="436"/>
        <w:spacing w:after="0"/>
        <w:tabs>
          <w:tab w:leader="none" w:pos="104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jc w:val="both"/>
        <w:ind w:firstLine="1207"/>
        <w:spacing w:after="0" w:line="283" w:lineRule="auto"/>
        <w:tabs>
          <w:tab w:leader="none" w:pos="1643"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Either Agent may terminate this Agreement with respect to its own rights and obligations under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(Payment of Expenses),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(Indemnification and Contribution),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(Representations and Agreements to Survive Delivery),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(Governing Law and Time; Waiver of Jury Trial) and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(Consent to Jurisdiction) hereof shall remain in full force and effect notwithstanding such termination. If an Agent elects to terminate this Agreement as provided in this </w:t>
      </w:r>
      <w:r>
        <w:rPr>
          <w:rFonts w:ascii="Arial" w:cs="Arial" w:eastAsia="Arial" w:hAnsi="Arial"/>
          <w:sz w:val="15"/>
          <w:szCs w:val="15"/>
          <w:u w:val="single" w:color="auto"/>
          <w:color w:val="auto"/>
        </w:rPr>
        <w:t>Section 12(a)</w:t>
      </w:r>
      <w:r>
        <w:rPr>
          <w:rFonts w:ascii="Arial" w:cs="Arial" w:eastAsia="Arial" w:hAnsi="Arial"/>
          <w:sz w:val="15"/>
          <w:szCs w:val="15"/>
          <w:color w:val="auto"/>
        </w:rPr>
        <w:t xml:space="preserve">, such Agent shall provide the required notice as specified in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(Notices). For the avoidance of doubt, the termination by one Agent of its rights and obligations under this Agreement pursuant to this Section 12(a) shall not affect the rights and obligations of the other Agent under this Agreement.</w:t>
      </w:r>
    </w:p>
    <w:p>
      <w:pPr>
        <w:spacing w:after="0" w:line="159" w:lineRule="exact"/>
        <w:rPr>
          <w:rFonts w:ascii="Arial" w:cs="Arial" w:eastAsia="Arial" w:hAnsi="Arial"/>
          <w:sz w:val="15"/>
          <w:szCs w:val="15"/>
          <w:color w:val="auto"/>
        </w:rPr>
      </w:pPr>
    </w:p>
    <w:p>
      <w:pPr>
        <w:jc w:val="both"/>
        <w:ind w:firstLine="1207"/>
        <w:spacing w:after="0" w:line="281" w:lineRule="auto"/>
        <w:tabs>
          <w:tab w:leader="none" w:pos="1632"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hereof shall remain in full force and effect notwithstanding such termination.</w:t>
      </w:r>
    </w:p>
    <w:p>
      <w:pPr>
        <w:spacing w:after="0" w:line="158" w:lineRule="exact"/>
        <w:rPr>
          <w:rFonts w:ascii="Arial" w:cs="Arial" w:eastAsia="Arial" w:hAnsi="Arial"/>
          <w:sz w:val="16"/>
          <w:szCs w:val="16"/>
          <w:color w:val="auto"/>
        </w:rPr>
      </w:pPr>
    </w:p>
    <w:p>
      <w:pPr>
        <w:jc w:val="both"/>
        <w:ind w:firstLine="1207"/>
        <w:spacing w:after="0" w:line="271" w:lineRule="auto"/>
        <w:tabs>
          <w:tab w:leader="none" w:pos="1643"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Each of the Agent shall have the right, by giving ten (10) days’ notice as hereinafter specified to terminate this Agreement, with respect to such Agent’s rights and obligations under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 under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4" w:name="page95"/>
    <w:bookmarkEnd w:id="94"/>
    <w:p>
      <w:pPr>
        <w:jc w:val="both"/>
        <w:ind w:firstLine="1207"/>
        <w:spacing w:after="0" w:line="257" w:lineRule="auto"/>
        <w:tabs>
          <w:tab w:leader="none" w:pos="163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terminated pursuant to </w:t>
      </w:r>
      <w:r>
        <w:rPr>
          <w:rFonts w:ascii="Arial" w:cs="Arial" w:eastAsia="Arial" w:hAnsi="Arial"/>
          <w:sz w:val="17"/>
          <w:szCs w:val="17"/>
          <w:u w:val="single" w:color="auto"/>
          <w:color w:val="auto"/>
        </w:rPr>
        <w:t>Sections 12(a)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or otherwise by mutual agreement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termination by mutual agreement shall in all cases be deemed to provide that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remain in full force and effect.</w:t>
      </w:r>
    </w:p>
    <w:p>
      <w:pPr>
        <w:spacing w:after="0" w:line="176" w:lineRule="exact"/>
        <w:rPr>
          <w:rFonts w:ascii="Arial" w:cs="Arial" w:eastAsia="Arial" w:hAnsi="Arial"/>
          <w:sz w:val="17"/>
          <w:szCs w:val="17"/>
          <w:color w:val="auto"/>
        </w:rPr>
      </w:pPr>
    </w:p>
    <w:p>
      <w:pPr>
        <w:jc w:val="both"/>
        <w:ind w:firstLine="1207"/>
        <w:spacing w:after="0" w:line="308" w:lineRule="auto"/>
        <w:tabs>
          <w:tab w:leader="none" w:pos="164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Any termination of this Agreement shall be effective on the date specified in such notice of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40" w:lineRule="exact"/>
        <w:rPr>
          <w:rFonts w:ascii="Arial" w:cs="Arial" w:eastAsia="Arial" w:hAnsi="Arial"/>
          <w:sz w:val="15"/>
          <w:szCs w:val="15"/>
          <w:color w:val="auto"/>
        </w:rPr>
      </w:pPr>
    </w:p>
    <w:p>
      <w:pPr>
        <w:ind w:firstLine="604"/>
        <w:spacing w:after="0" w:line="268" w:lineRule="auto"/>
        <w:tabs>
          <w:tab w:leader="none" w:pos="1126"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Cantor Fitzgerald &amp; Co.</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499 Park Avenue</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New York, NY 10022</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Capital Markets</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Facsimile:  (212) 307-3730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Cantor Fitzgerald &amp; Co.</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499 Park Avenue</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New York, NY 10022</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General Counsel</w:t>
      </w:r>
    </w:p>
    <w:p>
      <w:pPr>
        <w:spacing w:after="0" w:line="6" w:lineRule="exact"/>
        <w:rPr>
          <w:sz w:val="20"/>
          <w:szCs w:val="20"/>
          <w:color w:val="auto"/>
        </w:rPr>
      </w:pPr>
    </w:p>
    <w:p>
      <w:pPr>
        <w:ind w:left="1200"/>
        <w:spacing w:after="0"/>
        <w:tabs>
          <w:tab w:leader="none" w:pos="204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5"/>
          <w:szCs w:val="15"/>
          <w:color w:val="auto"/>
        </w:rPr>
        <w:t>(212) 829-4708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RBC Capital Markets, LLC</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Equity Syndicate</w:t>
      </w:r>
    </w:p>
    <w:p>
      <w:pPr>
        <w:ind w:left="1200"/>
        <w:spacing w:after="0" w:line="190" w:lineRule="auto"/>
        <w:rPr>
          <w:sz w:val="20"/>
          <w:szCs w:val="20"/>
          <w:color w:val="auto"/>
        </w:rPr>
      </w:pPr>
      <w:r>
        <w:rPr>
          <w:rFonts w:ascii="Arial" w:cs="Arial" w:eastAsia="Arial" w:hAnsi="Arial"/>
          <w:sz w:val="17"/>
          <w:szCs w:val="17"/>
          <w:color w:val="auto"/>
        </w:rPr>
        <w:t>200 Vesey St.,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1200"/>
        <w:spacing w:after="0"/>
        <w:rPr>
          <w:sz w:val="20"/>
          <w:szCs w:val="20"/>
          <w:color w:val="auto"/>
        </w:rPr>
      </w:pPr>
      <w:r>
        <w:rPr>
          <w:rFonts w:ascii="Arial" w:cs="Arial" w:eastAsia="Arial" w:hAnsi="Arial"/>
          <w:sz w:val="17"/>
          <w:szCs w:val="17"/>
          <w:color w:val="auto"/>
        </w:rPr>
        <w:t>New York, NY 10281</w:t>
      </w:r>
    </w:p>
    <w:p>
      <w:pPr>
        <w:spacing w:after="0" w:line="4" w:lineRule="exact"/>
        <w:rPr>
          <w:sz w:val="20"/>
          <w:szCs w:val="20"/>
          <w:color w:val="auto"/>
        </w:rPr>
      </w:pPr>
    </w:p>
    <w:p>
      <w:pPr>
        <w:ind w:left="1200"/>
        <w:spacing w:after="0"/>
        <w:tabs>
          <w:tab w:leader="none" w:pos="20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TJ Opladen</w:t>
      </w:r>
    </w:p>
    <w:p>
      <w:pPr>
        <w:spacing w:after="0" w:line="6"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5"/>
          <w:szCs w:val="15"/>
          <w:color w:val="auto"/>
        </w:rPr>
        <w:t>(212) 428-6260</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Email: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Covington &amp; Burling LLP</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New York Times Building</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620 Eighth Avenue</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New York, NY 10018</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Brian K. Rosenzweig</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Telephone: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and if to the Company, shall be delivered to:</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Marker Therapeutics, Inc.</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3200 Southwest Freeway, Suite 2500</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Houston, TX 77027</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Peter Hoang</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Telephone: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Cooley LLP</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55 Hudson Yards</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New York, NY 10001</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Attention: Divakar Gupta</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Telephone:</w:t>
      </w:r>
    </w:p>
    <w:p>
      <w:pPr>
        <w:spacing w:after="0" w:line="194" w:lineRule="exact"/>
        <w:rPr>
          <w:sz w:val="20"/>
          <w:szCs w:val="20"/>
          <w:color w:val="auto"/>
        </w:rPr>
      </w:pPr>
    </w:p>
    <w:p>
      <w:pPr>
        <w:jc w:val="both"/>
        <w:ind w:firstLine="603"/>
        <w:spacing w:after="0" w:line="251" w:lineRule="auto"/>
        <w:rPr>
          <w:sz w:val="20"/>
          <w:szCs w:val="20"/>
          <w:color w:val="auto"/>
        </w:rPr>
      </w:pPr>
      <w:r>
        <w:rPr>
          <w:rFonts w:ascii="Arial" w:cs="Arial" w:eastAsia="Arial" w:hAnsi="Arial"/>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on which the Exchange and commercial banks in the City of New York are open for business.</w:t>
      </w:r>
    </w:p>
    <w:p>
      <w:pPr>
        <w:spacing w:after="0" w:line="177"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5"/>
          <w:szCs w:val="15"/>
          <w:color w:val="auto"/>
        </w:rPr>
        <w:t>An electronic communication (“</w:t>
      </w:r>
      <w:r>
        <w:rPr>
          <w:rFonts w:ascii="Arial" w:cs="Arial" w:eastAsia="Arial" w:hAnsi="Arial"/>
          <w:sz w:val="15"/>
          <w:szCs w:val="15"/>
          <w:b w:val="1"/>
          <w:bCs w:val="1"/>
          <w:u w:val="single" w:color="auto"/>
          <w:color w:val="auto"/>
        </w:rPr>
        <w:t>Electronic Notice</w:t>
      </w:r>
      <w:r>
        <w:rPr>
          <w:rFonts w:ascii="Arial" w:cs="Arial" w:eastAsia="Arial" w:hAnsi="Arial"/>
          <w:sz w:val="15"/>
          <w:szCs w:val="15"/>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5"/>
          <w:szCs w:val="15"/>
          <w:b w:val="1"/>
          <w:bCs w:val="1"/>
          <w:u w:val="single" w:color="auto"/>
          <w:color w:val="auto"/>
        </w:rPr>
        <w:t>Nonelectronic Notic</w:t>
      </w:r>
      <w:r>
        <w:rPr>
          <w:rFonts w:ascii="Arial" w:cs="Arial" w:eastAsia="Arial" w:hAnsi="Arial"/>
          <w:sz w:val="15"/>
          <w:szCs w:val="15"/>
          <w:b w:val="1"/>
          <w:bCs w:val="1"/>
          <w:color w:val="auto"/>
        </w:rPr>
        <w:t>e</w:t>
      </w:r>
      <w:r>
        <w:rPr>
          <w:rFonts w:ascii="Arial" w:cs="Arial" w:eastAsia="Arial" w:hAnsi="Arial"/>
          <w:sz w:val="15"/>
          <w:szCs w:val="15"/>
          <w:color w:val="auto"/>
        </w:rPr>
        <w:t>”) which shall be sent to the requesting party within ten (10) days of receipt of the written request for Nonelectronic Notice.</w:t>
      </w:r>
    </w:p>
    <w:p>
      <w:pPr>
        <w:spacing w:after="0" w:line="147" w:lineRule="exact"/>
        <w:rPr>
          <w:sz w:val="20"/>
          <w:szCs w:val="20"/>
          <w:color w:val="auto"/>
        </w:rPr>
      </w:pPr>
    </w:p>
    <w:p>
      <w:pPr>
        <w:jc w:val="both"/>
        <w:ind w:firstLine="604"/>
        <w:spacing w:after="0" w:line="269" w:lineRule="auto"/>
        <w:tabs>
          <w:tab w:leader="none" w:pos="104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Company and the Agents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Agents may assign their rights and obligations hereunder to an affiliate thereof without obtaining the Company’s consent.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6" w:name="page97"/>
    <w:bookmarkEnd w:id="96"/>
    <w:p>
      <w:pPr>
        <w:ind w:firstLine="604"/>
        <w:spacing w:after="0" w:line="268" w:lineRule="auto"/>
        <w:tabs>
          <w:tab w:leader="none" w:pos="102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Adjustments for Stock Splits</w:t>
      </w:r>
      <w:r>
        <w:rPr>
          <w:rFonts w:ascii="Arial" w:cs="Arial" w:eastAsia="Arial" w:hAnsi="Arial"/>
          <w:sz w:val="17"/>
          <w:szCs w:val="17"/>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66" w:lineRule="exact"/>
        <w:rPr>
          <w:rFonts w:ascii="Arial" w:cs="Arial" w:eastAsia="Arial" w:hAnsi="Arial"/>
          <w:sz w:val="17"/>
          <w:szCs w:val="17"/>
          <w:color w:val="auto"/>
        </w:rPr>
      </w:pPr>
    </w:p>
    <w:p>
      <w:pPr>
        <w:jc w:val="both"/>
        <w:ind w:firstLine="604"/>
        <w:spacing w:after="0" w:line="286" w:lineRule="auto"/>
        <w:tabs>
          <w:tab w:leader="none" w:pos="1043"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Entire Agreement; Amendment; Severability; Waiver</w:t>
      </w:r>
      <w:r>
        <w:rPr>
          <w:rFonts w:ascii="Arial" w:cs="Arial" w:eastAsia="Arial" w:hAnsi="Arial"/>
          <w:sz w:val="15"/>
          <w:szCs w:val="15"/>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52" w:lineRule="exact"/>
        <w:rPr>
          <w:rFonts w:ascii="Arial" w:cs="Arial" w:eastAsia="Arial" w:hAnsi="Arial"/>
          <w:sz w:val="15"/>
          <w:szCs w:val="15"/>
          <w:color w:val="auto"/>
        </w:rPr>
      </w:pPr>
    </w:p>
    <w:p>
      <w:pPr>
        <w:jc w:val="both"/>
        <w:ind w:firstLine="604"/>
        <w:spacing w:after="0" w:line="253" w:lineRule="auto"/>
        <w:tabs>
          <w:tab w:leader="none" w:pos="1022"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TIME; WAIVER OF JURY TRIAL</w:t>
      </w:r>
      <w:r>
        <w:rPr>
          <w:rFonts w:ascii="Arial" w:cs="Arial" w:eastAsia="Arial" w:hAnsi="Arial"/>
          <w:sz w:val="17"/>
          <w:szCs w:val="17"/>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rFonts w:ascii="Arial" w:cs="Arial" w:eastAsia="Arial" w:hAnsi="Arial"/>
          <w:sz w:val="17"/>
          <w:szCs w:val="17"/>
          <w:color w:val="auto"/>
        </w:rPr>
      </w:pPr>
    </w:p>
    <w:p>
      <w:pPr>
        <w:jc w:val="both"/>
        <w:ind w:firstLine="604"/>
        <w:spacing w:after="0" w:line="249" w:lineRule="auto"/>
        <w:tabs>
          <w:tab w:leader="none" w:pos="1043"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CONSENT TO JURISDICTION</w:t>
      </w:r>
      <w:r>
        <w:rPr>
          <w:rFonts w:ascii="Arial" w:cs="Arial" w:eastAsia="Arial" w:hAnsi="Arial"/>
          <w:sz w:val="17"/>
          <w:szCs w:val="17"/>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7" w:name="page98"/>
    <w:bookmarkEnd w:id="97"/>
    <w:p>
      <w:pPr>
        <w:jc w:val="both"/>
        <w:ind w:firstLine="604"/>
        <w:spacing w:after="0" w:line="298" w:lineRule="auto"/>
        <w:tabs>
          <w:tab w:leader="none" w:pos="1043"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any electronic signature covered by the U.S. federal ESIGN Act of 2000, Uniform Electronic Transactions Act, the Electronic Signatures Records Act, or other applicable law, e.g., </w:t>
      </w:r>
      <w:r>
        <w:rPr>
          <w:rFonts w:ascii="Arial" w:cs="Arial" w:eastAsia="Arial" w:hAnsi="Arial"/>
          <w:sz w:val="15"/>
          <w:szCs w:val="15"/>
          <w:u w:val="single" w:color="auto"/>
          <w:color w:val="auto"/>
        </w:rPr>
        <w:t>www.docusign.com</w:t>
      </w:r>
      <w:r>
        <w:rPr>
          <w:rFonts w:ascii="Arial" w:cs="Arial" w:eastAsia="Arial" w:hAnsi="Arial"/>
          <w:sz w:val="15"/>
          <w:szCs w:val="15"/>
          <w:color w:val="auto"/>
        </w:rPr>
        <w:t>) or other transmission method and any counterpart so delivered shall be deemed to have been duly and validly delivered and be valid and effective for all purposes.</w:t>
      </w:r>
    </w:p>
    <w:p>
      <w:pPr>
        <w:spacing w:after="0" w:line="148" w:lineRule="exact"/>
        <w:rPr>
          <w:rFonts w:ascii="Arial" w:cs="Arial" w:eastAsia="Arial" w:hAnsi="Arial"/>
          <w:sz w:val="15"/>
          <w:szCs w:val="15"/>
          <w:color w:val="auto"/>
        </w:rPr>
      </w:pPr>
    </w:p>
    <w:p>
      <w:pPr>
        <w:jc w:val="both"/>
        <w:ind w:firstLine="604"/>
        <w:spacing w:after="0" w:line="254" w:lineRule="auto"/>
        <w:tabs>
          <w:tab w:leader="none" w:pos="104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7" w:lineRule="exact"/>
        <w:rPr>
          <w:rFonts w:ascii="Arial" w:cs="Arial" w:eastAsia="Arial" w:hAnsi="Arial"/>
          <w:sz w:val="17"/>
          <w:szCs w:val="17"/>
          <w:color w:val="auto"/>
        </w:rPr>
      </w:pPr>
    </w:p>
    <w:p>
      <w:pPr>
        <w:jc w:val="both"/>
        <w:ind w:firstLine="604"/>
        <w:spacing w:after="0" w:line="285" w:lineRule="auto"/>
        <w:tabs>
          <w:tab w:leader="none" w:pos="1043"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Permitted Free Writing Prospectuses</w:t>
      </w:r>
      <w:r>
        <w:rPr>
          <w:rFonts w:ascii="Arial" w:cs="Arial" w:eastAsia="Arial" w:hAnsi="Arial"/>
          <w:sz w:val="15"/>
          <w:szCs w:val="15"/>
          <w:color w:val="auto"/>
        </w:rPr>
        <w:t>. The Company represents, warrants and agrees that, unless it obtains the prior written consent of each of the Agents (which consent shall not be unreasonably withheld or delayed), and each of the Agents represents, warrants and agrees that, unless it obtains the prior written consent of the Company, it has not made and will not make any offer relating to the Placement Shares that would constitute an Issuer Free Writing Prospectus, or that</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are Permitted Free Writing Prospectuses.</w:t>
      </w:r>
    </w:p>
    <w:p>
      <w:pPr>
        <w:spacing w:after="0" w:line="183" w:lineRule="exact"/>
        <w:rPr>
          <w:sz w:val="20"/>
          <w:szCs w:val="20"/>
          <w:color w:val="auto"/>
        </w:rPr>
      </w:pPr>
    </w:p>
    <w:p>
      <w:pPr>
        <w:ind w:left="1040" w:hanging="436"/>
        <w:spacing w:after="0"/>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Absence of Fiduciary Relationship</w:t>
      </w:r>
      <w:r>
        <w:rPr>
          <w:rFonts w:ascii="Arial" w:cs="Arial" w:eastAsia="Arial" w:hAnsi="Arial"/>
          <w:sz w:val="17"/>
          <w:szCs w:val="17"/>
          <w:color w:val="auto"/>
        </w:rPr>
        <w:t>. The Company acknowledges and agrees that:</w:t>
      </w:r>
    </w:p>
    <w:p>
      <w:pPr>
        <w:spacing w:after="0" w:line="206" w:lineRule="exact"/>
        <w:rPr>
          <w:rFonts w:ascii="Arial" w:cs="Arial" w:eastAsia="Arial" w:hAnsi="Arial"/>
          <w:sz w:val="17"/>
          <w:szCs w:val="17"/>
          <w:color w:val="auto"/>
        </w:rPr>
      </w:pPr>
    </w:p>
    <w:p>
      <w:pPr>
        <w:jc w:val="both"/>
        <w:ind w:firstLine="1207"/>
        <w:spacing w:after="0" w:line="251" w:lineRule="auto"/>
        <w:tabs>
          <w:tab w:leader="none" w:pos="1643"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Agents are acting solely as agents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the Agents have advised or are advising the Company on other matters, and the Agents have no obligation to the Company with respect to the transactions contemplated by this Agreement except the obligations expressly set forth in this Agreement;</w:t>
      </w:r>
    </w:p>
    <w:p>
      <w:pPr>
        <w:spacing w:after="0" w:line="180" w:lineRule="exact"/>
        <w:rPr>
          <w:rFonts w:ascii="Arial" w:cs="Arial" w:eastAsia="Arial" w:hAnsi="Arial"/>
          <w:sz w:val="17"/>
          <w:szCs w:val="17"/>
          <w:color w:val="auto"/>
        </w:rPr>
      </w:pPr>
    </w:p>
    <w:p>
      <w:pPr>
        <w:ind w:left="1660" w:hanging="453"/>
        <w:spacing w:after="0"/>
        <w:tabs>
          <w:tab w:leader="none" w:pos="166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it is capable of evaluating and understanding, and understands and accepts, the terms, risks and conditions of the transactions contemplated by</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8" w:name="page99"/>
    <w:bookmarkEnd w:id="98"/>
    <w:p>
      <w:pPr>
        <w:ind w:firstLine="1207"/>
        <w:spacing w:after="0" w:line="300" w:lineRule="auto"/>
        <w:tabs>
          <w:tab w:leader="none" w:pos="170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none of the Agents nor their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43" w:lineRule="exact"/>
        <w:rPr>
          <w:rFonts w:ascii="Arial" w:cs="Arial" w:eastAsia="Arial" w:hAnsi="Arial"/>
          <w:sz w:val="16"/>
          <w:szCs w:val="16"/>
          <w:color w:val="auto"/>
        </w:rPr>
      </w:pPr>
    </w:p>
    <w:p>
      <w:pPr>
        <w:jc w:val="both"/>
        <w:ind w:firstLine="1207"/>
        <w:spacing w:after="0" w:line="257" w:lineRule="auto"/>
        <w:tabs>
          <w:tab w:leader="none" w:pos="163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it is aware that the Agents and their affiliates are engaged in a broad range of transactions which may involve interests that differ from those of the Company and the Agents and their affiliates have no obligation to disclose such interests and transactions to the Company by virtue of any fiduciary, advisory or agency relationship or otherwise; and</w:t>
      </w:r>
    </w:p>
    <w:p>
      <w:pPr>
        <w:spacing w:after="0" w:line="176" w:lineRule="exact"/>
        <w:rPr>
          <w:rFonts w:ascii="Arial" w:cs="Arial" w:eastAsia="Arial" w:hAnsi="Arial"/>
          <w:sz w:val="17"/>
          <w:szCs w:val="17"/>
          <w:color w:val="auto"/>
        </w:rPr>
      </w:pPr>
    </w:p>
    <w:p>
      <w:pPr>
        <w:jc w:val="both"/>
        <w:ind w:firstLine="1207"/>
        <w:spacing w:after="0" w:line="254" w:lineRule="auto"/>
        <w:tabs>
          <w:tab w:leader="none" w:pos="164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the Agents or their affiliates for breach of fiduciary duty or alleged breach of fiduciary duty in connection with the sale of Placement Shares under this Agreement and agrees that the Agents and their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7" w:lineRule="exact"/>
        <w:rPr>
          <w:rFonts w:ascii="Arial" w:cs="Arial" w:eastAsia="Arial" w:hAnsi="Arial"/>
          <w:sz w:val="17"/>
          <w:szCs w:val="17"/>
          <w:color w:val="auto"/>
        </w:rPr>
      </w:pPr>
    </w:p>
    <w:p>
      <w:pPr>
        <w:ind w:left="1040" w:hanging="436"/>
        <w:spacing w:after="0"/>
        <w:tabs>
          <w:tab w:leader="none" w:pos="104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have the respective meanings set forth below:</w:t>
      </w:r>
    </w:p>
    <w:p>
      <w:pPr>
        <w:spacing w:after="0" w:line="203"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Time</w:t>
      </w:r>
      <w:r>
        <w:rPr>
          <w:rFonts w:ascii="Arial" w:cs="Arial" w:eastAsia="Arial" w:hAnsi="Arial"/>
          <w:sz w:val="17"/>
          <w:szCs w:val="17"/>
          <w:color w:val="auto"/>
        </w:rPr>
        <w:t>” means (i) each Representation Date, (ii) the time of each sale of any Placement Shares pursuant to this Agreement and (iii) each Settlement Date.</w:t>
      </w:r>
    </w:p>
    <w:p>
      <w:pPr>
        <w:spacing w:after="0" w:line="158"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Authority</w:t>
      </w:r>
      <w:r>
        <w:rPr>
          <w:rFonts w:ascii="Arial" w:cs="Arial" w:eastAsia="Arial" w:hAnsi="Arial"/>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69"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Issuer Free Writing Prospectus</w:t>
      </w:r>
      <w:r>
        <w:rPr>
          <w:rFonts w:ascii="Arial" w:cs="Arial" w:eastAsia="Arial" w:hAnsi="Arial"/>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w:t>
      </w:r>
    </w:p>
    <w:p>
      <w:pPr>
        <w:spacing w:after="0" w:line="176" w:lineRule="exact"/>
        <w:rPr>
          <w:sz w:val="20"/>
          <w:szCs w:val="20"/>
          <w:color w:val="auto"/>
        </w:rPr>
      </w:pPr>
    </w:p>
    <w:p>
      <w:pPr>
        <w:ind w:right="400" w:firstLine="60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Rule 164</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172</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405</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415</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424</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424(b)</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Rule 430B</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Rule 433</w:t>
      </w:r>
      <w:r>
        <w:rPr>
          <w:rFonts w:ascii="Arial" w:cs="Arial" w:eastAsia="Arial" w:hAnsi="Arial"/>
          <w:sz w:val="17"/>
          <w:szCs w:val="17"/>
          <w:color w:val="auto"/>
        </w:rPr>
        <w:t>” refer to such rules under the Securities Act Regulations.</w:t>
      </w:r>
    </w:p>
    <w:p>
      <w:pPr>
        <w:spacing w:after="0" w:line="162"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9" w:name="page100"/>
    <w:bookmarkEnd w:id="99"/>
    <w:p>
      <w:pPr>
        <w:jc w:val="both"/>
        <w:ind w:firstLine="603"/>
        <w:spacing w:after="0" w:line="251" w:lineRule="auto"/>
        <w:rPr>
          <w:sz w:val="20"/>
          <w:szCs w:val="20"/>
          <w:color w:val="auto"/>
        </w:rPr>
      </w:pPr>
      <w:r>
        <w:rPr>
          <w:rFonts w:ascii="Arial" w:cs="Arial" w:eastAsia="Arial" w:hAnsi="Arial"/>
          <w:sz w:val="17"/>
          <w:szCs w:val="17"/>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0" w:name="page101"/>
    <w:bookmarkEnd w:id="100"/>
    <w:p>
      <w:pPr>
        <w:ind w:firstLine="603"/>
        <w:spacing w:after="0" w:line="268" w:lineRule="auto"/>
        <w:rPr>
          <w:sz w:val="20"/>
          <w:szCs w:val="20"/>
          <w:color w:val="auto"/>
        </w:rPr>
      </w:pPr>
      <w:r>
        <w:rPr>
          <w:rFonts w:ascii="Arial" w:cs="Arial" w:eastAsia="Arial" w:hAnsi="Arial"/>
          <w:sz w:val="17"/>
          <w:szCs w:val="17"/>
          <w:color w:val="auto"/>
        </w:rPr>
        <w:t>If the foregoing correctly sets forth the understanding between the Company and the Agents, please so indicate in the space provided below for that purpose, whereupon this letter shall constitute a binding agreement between the Company and the Agents.</w:t>
      </w:r>
    </w:p>
    <w:p>
      <w:pPr>
        <w:spacing w:after="0" w:line="1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Very truly yours,</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MARKER THERAPEUTICS, INC.</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7"/>
          <w:szCs w:val="17"/>
          <w:color w:val="auto"/>
        </w:rPr>
        <w:t>By:</w:t>
        <w:tab/>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3279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color w:val="auto"/>
        </w:rPr>
        <w:t>Name: Peter Hoang</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Chief Executive Officer</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ACCEPTED as of the date first-above 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CANTOR FITZGERALD &amp; CO.</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7"/>
          <w:szCs w:val="17"/>
          <w:color w:val="auto"/>
        </w:rPr>
        <w:t>By:</w:t>
        <w:tab/>
        <w:t>/s/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32797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color w:val="auto"/>
        </w:rPr>
        <w:t>Name: Sage Kelly</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Global Head of Investment Banking</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RBC CAPITAL MARKETS, LLC</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7"/>
          <w:szCs w:val="17"/>
          <w:color w:val="auto"/>
        </w:rPr>
        <w:t>By:</w:t>
        <w:tab/>
        <w:t>/s/ Vincent Lozada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3279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color w:val="auto"/>
        </w:rPr>
        <w:t>Name: Vincent Lozada</w:t>
      </w:r>
    </w:p>
    <w:p>
      <w:pPr>
        <w:spacing w:after="0" w:line="18" w:lineRule="exact"/>
        <w:rPr>
          <w:sz w:val="20"/>
          <w:szCs w:val="20"/>
          <w:color w:val="auto"/>
        </w:rPr>
      </w:pPr>
    </w:p>
    <w:p>
      <w:pPr>
        <w:ind w:left="6080"/>
        <w:spacing w:after="0"/>
        <w:tabs>
          <w:tab w:leader="none" w:pos="6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Director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1" w:name="page102"/>
    <w:bookmarkEnd w:id="101"/>
    <w:tbl>
      <w:tblPr>
        <w:tblLayout w:type="fixed"/>
        <w:tblInd w:w="600" w:type="dxa"/>
        <w:tblCellMar>
          <w:top w:w="0" w:type="dxa"/>
          <w:left w:w="0" w:type="dxa"/>
          <w:bottom w:w="0" w:type="dxa"/>
          <w:right w:w="0" w:type="dxa"/>
        </w:tblCellMar>
      </w:tblPr>
      <w:tr>
        <w:trPr>
          <w:trHeight w:val="217"/>
        </w:trPr>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jc w:val="center"/>
              <w:ind w:left="56"/>
              <w:spacing w:after="0"/>
              <w:rPr>
                <w:sz w:val="20"/>
                <w:szCs w:val="20"/>
                <w:color w:val="auto"/>
              </w:rPr>
            </w:pPr>
            <w:r>
              <w:rPr>
                <w:rFonts w:ascii="Arial" w:cs="Arial" w:eastAsia="Arial" w:hAnsi="Arial"/>
                <w:sz w:val="17"/>
                <w:szCs w:val="17"/>
                <w:b w:val="1"/>
                <w:bCs w:val="1"/>
                <w:color w:val="auto"/>
                <w:w w:val="96"/>
              </w:rPr>
              <w:t>SCHEDULE 1</w:t>
            </w:r>
          </w:p>
        </w:tc>
      </w:tr>
      <w:tr>
        <w:trPr>
          <w:trHeight w:val="402"/>
        </w:trPr>
        <w:tc>
          <w:tcPr>
            <w:tcW w:w="660" w:type="dxa"/>
            <w:vAlign w:val="bottom"/>
          </w:tcPr>
          <w:p>
            <w:pPr>
              <w:spacing w:after="0"/>
              <w:rPr>
                <w:sz w:val="24"/>
                <w:szCs w:val="24"/>
                <w:color w:val="auto"/>
              </w:rPr>
            </w:pPr>
          </w:p>
        </w:tc>
        <w:tc>
          <w:tcPr>
            <w:tcW w:w="5460" w:type="dxa"/>
            <w:vAlign w:val="bottom"/>
            <w:gridSpan w:val="3"/>
          </w:tcPr>
          <w:p>
            <w:pPr>
              <w:jc w:val="center"/>
              <w:ind w:left="3196"/>
              <w:spacing w:after="0"/>
              <w:rPr>
                <w:sz w:val="20"/>
                <w:szCs w:val="20"/>
                <w:color w:val="auto"/>
              </w:rPr>
            </w:pPr>
            <w:r>
              <w:rPr>
                <w:rFonts w:ascii="Arial" w:cs="Arial" w:eastAsia="Arial" w:hAnsi="Arial"/>
                <w:sz w:val="17"/>
                <w:szCs w:val="17"/>
                <w:color w:val="auto"/>
                <w:w w:val="88"/>
              </w:rPr>
              <w:t>__________________________</w:t>
            </w:r>
          </w:p>
        </w:tc>
      </w:tr>
      <w:tr>
        <w:trPr>
          <w:trHeight w:val="402"/>
        </w:trPr>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jc w:val="center"/>
              <w:ind w:left="76"/>
              <w:spacing w:after="0"/>
              <w:rPr>
                <w:sz w:val="20"/>
                <w:szCs w:val="20"/>
                <w:color w:val="auto"/>
              </w:rPr>
            </w:pPr>
            <w:r>
              <w:rPr>
                <w:rFonts w:ascii="Arial" w:cs="Arial" w:eastAsia="Arial" w:hAnsi="Arial"/>
                <w:sz w:val="17"/>
                <w:szCs w:val="17"/>
                <w:b w:val="1"/>
                <w:bCs w:val="1"/>
                <w:color w:val="auto"/>
                <w:w w:val="88"/>
              </w:rPr>
              <w:t>Form of Placement Notice</w:t>
            </w:r>
          </w:p>
        </w:tc>
      </w:tr>
      <w:tr>
        <w:trPr>
          <w:trHeight w:val="402"/>
        </w:trPr>
        <w:tc>
          <w:tcPr>
            <w:tcW w:w="660" w:type="dxa"/>
            <w:vAlign w:val="bottom"/>
          </w:tcPr>
          <w:p>
            <w:pPr>
              <w:spacing w:after="0"/>
              <w:rPr>
                <w:sz w:val="24"/>
                <w:szCs w:val="24"/>
                <w:color w:val="auto"/>
              </w:rPr>
            </w:pPr>
          </w:p>
        </w:tc>
        <w:tc>
          <w:tcPr>
            <w:tcW w:w="5460" w:type="dxa"/>
            <w:vAlign w:val="bottom"/>
            <w:gridSpan w:val="3"/>
          </w:tcPr>
          <w:p>
            <w:pPr>
              <w:jc w:val="center"/>
              <w:ind w:left="3196"/>
              <w:spacing w:after="0"/>
              <w:rPr>
                <w:sz w:val="20"/>
                <w:szCs w:val="20"/>
                <w:color w:val="auto"/>
              </w:rPr>
            </w:pPr>
            <w:r>
              <w:rPr>
                <w:rFonts w:ascii="Arial" w:cs="Arial" w:eastAsia="Arial" w:hAnsi="Arial"/>
                <w:sz w:val="17"/>
                <w:szCs w:val="17"/>
                <w:color w:val="auto"/>
                <w:w w:val="88"/>
              </w:rPr>
              <w:t>__________________________</w:t>
            </w:r>
          </w:p>
        </w:tc>
      </w:tr>
      <w:tr>
        <w:trPr>
          <w:trHeight w:val="402"/>
        </w:trPr>
        <w:tc>
          <w:tcPr>
            <w:tcW w:w="660" w:type="dxa"/>
            <w:vAlign w:val="bottom"/>
          </w:tcPr>
          <w:p>
            <w:pPr>
              <w:spacing w:after="0"/>
              <w:rPr>
                <w:sz w:val="20"/>
                <w:szCs w:val="20"/>
                <w:color w:val="auto"/>
              </w:rPr>
            </w:pPr>
            <w:r>
              <w:rPr>
                <w:rFonts w:ascii="Arial" w:cs="Arial" w:eastAsia="Arial" w:hAnsi="Arial"/>
                <w:sz w:val="17"/>
                <w:szCs w:val="17"/>
                <w:color w:val="auto"/>
              </w:rPr>
              <w:t>From:</w:t>
            </w:r>
          </w:p>
        </w:tc>
        <w:tc>
          <w:tcPr>
            <w:tcW w:w="5460" w:type="dxa"/>
            <w:vAlign w:val="bottom"/>
            <w:gridSpan w:val="3"/>
          </w:tcPr>
          <w:p>
            <w:pPr>
              <w:ind w:left="120"/>
              <w:spacing w:after="0"/>
              <w:rPr>
                <w:sz w:val="20"/>
                <w:szCs w:val="20"/>
                <w:color w:val="auto"/>
              </w:rPr>
            </w:pPr>
            <w:r>
              <w:rPr>
                <w:rFonts w:ascii="Arial" w:cs="Arial" w:eastAsia="Arial" w:hAnsi="Arial"/>
                <w:sz w:val="17"/>
                <w:szCs w:val="17"/>
                <w:color w:val="auto"/>
              </w:rPr>
              <w:t>Marker Therapeutics, Inc.</w:t>
            </w:r>
          </w:p>
        </w:tc>
      </w:tr>
      <w:tr>
        <w:trPr>
          <w:trHeight w:val="365"/>
        </w:trPr>
        <w:tc>
          <w:tcPr>
            <w:tcW w:w="660" w:type="dxa"/>
            <w:vAlign w:val="bottom"/>
          </w:tcPr>
          <w:p>
            <w:pPr>
              <w:spacing w:after="0"/>
              <w:rPr>
                <w:sz w:val="20"/>
                <w:szCs w:val="20"/>
                <w:color w:val="auto"/>
              </w:rPr>
            </w:pPr>
            <w:r>
              <w:rPr>
                <w:rFonts w:ascii="Arial" w:cs="Arial" w:eastAsia="Arial" w:hAnsi="Arial"/>
                <w:sz w:val="17"/>
                <w:szCs w:val="17"/>
                <w:color w:val="auto"/>
              </w:rPr>
              <w:t>To:</w:t>
            </w:r>
          </w:p>
        </w:tc>
        <w:tc>
          <w:tcPr>
            <w:tcW w:w="5460" w:type="dxa"/>
            <w:vAlign w:val="bottom"/>
            <w:gridSpan w:val="3"/>
          </w:tcPr>
          <w:p>
            <w:pPr>
              <w:ind w:left="120"/>
              <w:spacing w:after="0"/>
              <w:rPr>
                <w:sz w:val="20"/>
                <w:szCs w:val="20"/>
                <w:color w:val="auto"/>
              </w:rPr>
            </w:pPr>
            <w:r>
              <w:rPr>
                <w:rFonts w:ascii="Arial" w:cs="Arial" w:eastAsia="Arial" w:hAnsi="Arial"/>
                <w:sz w:val="17"/>
                <w:szCs w:val="17"/>
                <w:color w:val="auto"/>
              </w:rPr>
              <w:t>[Designated Agent] (the “</w:t>
            </w:r>
            <w:r>
              <w:rPr>
                <w:rFonts w:ascii="Arial" w:cs="Arial" w:eastAsia="Arial" w:hAnsi="Arial"/>
                <w:sz w:val="17"/>
                <w:szCs w:val="17"/>
                <w:b w:val="1"/>
                <w:bCs w:val="1"/>
                <w:color w:val="auto"/>
              </w:rPr>
              <w:t>Designated Agent</w:t>
            </w:r>
            <w:r>
              <w:rPr>
                <w:rFonts w:ascii="Arial" w:cs="Arial" w:eastAsia="Arial" w:hAnsi="Arial"/>
                <w:sz w:val="17"/>
                <w:szCs w:val="17"/>
                <w:color w:val="auto"/>
              </w:rPr>
              <w:t>”) Attention: [•]</w:t>
            </w:r>
          </w:p>
        </w:tc>
      </w:tr>
      <w:tr>
        <w:trPr>
          <w:trHeight w:val="420"/>
        </w:trPr>
        <w:tc>
          <w:tcPr>
            <w:tcW w:w="660" w:type="dxa"/>
            <w:vAlign w:val="bottom"/>
          </w:tcPr>
          <w:p>
            <w:pPr>
              <w:spacing w:after="0"/>
              <w:rPr>
                <w:sz w:val="20"/>
                <w:szCs w:val="20"/>
                <w:color w:val="auto"/>
              </w:rPr>
            </w:pPr>
            <w:r>
              <w:rPr>
                <w:rFonts w:ascii="Arial" w:cs="Arial" w:eastAsia="Arial" w:hAnsi="Arial"/>
                <w:sz w:val="17"/>
                <w:szCs w:val="17"/>
                <w:color w:val="auto"/>
              </w:rPr>
              <w:t>Subject:</w:t>
            </w:r>
          </w:p>
        </w:tc>
        <w:tc>
          <w:tcPr>
            <w:tcW w:w="1860" w:type="dxa"/>
            <w:vAlign w:val="bottom"/>
          </w:tcPr>
          <w:p>
            <w:pPr>
              <w:ind w:left="120"/>
              <w:spacing w:after="0"/>
              <w:rPr>
                <w:sz w:val="20"/>
                <w:szCs w:val="20"/>
                <w:color w:val="auto"/>
              </w:rPr>
            </w:pPr>
            <w:r>
              <w:rPr>
                <w:rFonts w:ascii="Arial" w:cs="Arial" w:eastAsia="Arial" w:hAnsi="Arial"/>
                <w:sz w:val="17"/>
                <w:szCs w:val="17"/>
                <w:color w:val="auto"/>
              </w:rPr>
              <w:t>Placement Notice</w:t>
            </w:r>
          </w:p>
        </w:tc>
        <w:tc>
          <w:tcPr>
            <w:tcW w:w="126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r>
        <w:trPr>
          <w:trHeight w:val="402"/>
        </w:trPr>
        <w:tc>
          <w:tcPr>
            <w:tcW w:w="660" w:type="dxa"/>
            <w:vAlign w:val="bottom"/>
          </w:tcPr>
          <w:p>
            <w:pPr>
              <w:spacing w:after="0"/>
              <w:rPr>
                <w:sz w:val="20"/>
                <w:szCs w:val="20"/>
                <w:color w:val="auto"/>
              </w:rPr>
            </w:pPr>
            <w:r>
              <w:rPr>
                <w:rFonts w:ascii="Arial" w:cs="Arial" w:eastAsia="Arial" w:hAnsi="Arial"/>
                <w:sz w:val="17"/>
                <w:szCs w:val="17"/>
                <w:color w:val="auto"/>
              </w:rPr>
              <w:t>Date:</w:t>
            </w:r>
          </w:p>
        </w:tc>
        <w:tc>
          <w:tcPr>
            <w:tcW w:w="5460" w:type="dxa"/>
            <w:vAlign w:val="bottom"/>
            <w:gridSpan w:val="3"/>
          </w:tcPr>
          <w:p>
            <w:pPr>
              <w:ind w:left="120"/>
              <w:spacing w:after="0"/>
              <w:rPr>
                <w:sz w:val="20"/>
                <w:szCs w:val="20"/>
                <w:color w:val="auto"/>
              </w:rPr>
            </w:pPr>
            <w:r>
              <w:rPr>
                <w:rFonts w:ascii="Arial" w:cs="Arial" w:eastAsia="Arial" w:hAnsi="Arial"/>
                <w:sz w:val="17"/>
                <w:szCs w:val="17"/>
                <w:color w:val="auto"/>
              </w:rPr>
              <w:t>[•], 202[•]</w:t>
            </w:r>
          </w:p>
        </w:tc>
      </w:tr>
    </w:tbl>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Ladies and Gentlemen:</w:t>
      </w:r>
    </w:p>
    <w:p>
      <w:pPr>
        <w:spacing w:after="0" w:line="208" w:lineRule="exact"/>
        <w:rPr>
          <w:sz w:val="20"/>
          <w:szCs w:val="20"/>
          <w:color w:val="auto"/>
        </w:rPr>
      </w:pPr>
    </w:p>
    <w:p>
      <w:pPr>
        <w:jc w:val="both"/>
        <w:ind w:firstLine="603"/>
        <w:spacing w:after="0" w:line="228" w:lineRule="auto"/>
        <w:rPr>
          <w:sz w:val="20"/>
          <w:szCs w:val="20"/>
          <w:color w:val="auto"/>
        </w:rPr>
      </w:pPr>
      <w:r>
        <w:rPr>
          <w:rFonts w:ascii="Arial" w:cs="Arial" w:eastAsia="Arial" w:hAnsi="Arial"/>
          <w:sz w:val="17"/>
          <w:szCs w:val="17"/>
          <w:color w:val="auto"/>
        </w:rPr>
        <w:t>Pursuant to the terms and subject to the conditions contained in the Controlled Equity Offering</w:t>
      </w:r>
      <w:r>
        <w:rPr>
          <w:rFonts w:ascii="Arial" w:cs="Arial" w:eastAsia="Arial" w:hAnsi="Arial"/>
          <w:sz w:val="27"/>
          <w:szCs w:val="27"/>
          <w:color w:val="auto"/>
          <w:vertAlign w:val="superscript"/>
        </w:rPr>
        <w:t>SM</w:t>
      </w:r>
      <w:r>
        <w:rPr>
          <w:rFonts w:ascii="Arial" w:cs="Arial" w:eastAsia="Arial" w:hAnsi="Arial"/>
          <w:sz w:val="17"/>
          <w:szCs w:val="17"/>
          <w:color w:val="auto"/>
        </w:rPr>
        <w:t xml:space="preserve"> Sales Agreement among Marker Therapeutics,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Cantor Fitzgerald &amp; Co. and RBC Capital Markets, LLC, dated August 10, 2021, the Company hereby requests that the Designated Agent sell up to [•] of the Company’s common stock, par value $0.001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399415</wp:posOffset>
            </wp:positionV>
            <wp:extent cx="7141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7"/>
          <w:szCs w:val="17"/>
          <w:b w:val="1"/>
          <w:bCs w:val="1"/>
          <w:color w:val="auto"/>
        </w:rPr>
        <w:t>SCHEDULE 2</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__________________________</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__________________________</w:t>
      </w:r>
    </w:p>
    <w:p>
      <w:pPr>
        <w:spacing w:after="0" w:line="20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The Company shall pay to the Designated Agent in cash, upon each sale of Placement Shares pursuant to this Agreement, an amount equal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3" w:name="page104"/>
    <w:bookmarkEnd w:id="103"/>
    <w:p>
      <w:pPr>
        <w:jc w:val="center"/>
        <w:ind w:right="-1120"/>
        <w:spacing w:after="0"/>
        <w:rPr>
          <w:sz w:val="20"/>
          <w:szCs w:val="20"/>
          <w:color w:val="auto"/>
        </w:rPr>
      </w:pPr>
      <w:r>
        <w:rPr>
          <w:rFonts w:ascii="Arial" w:cs="Arial" w:eastAsia="Arial" w:hAnsi="Arial"/>
          <w:sz w:val="17"/>
          <w:szCs w:val="17"/>
          <w:b w:val="1"/>
          <w:bCs w:val="1"/>
          <w:color w:val="auto"/>
        </w:rPr>
        <w:t>SCHEDULE 3</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__________________________</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Notice Parties</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Peter Hoang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Anthony Kim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Michael Loiacono</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Cantor Fitzgerald &amp; Co.</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Sameer Vasudev</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With copies to:</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RBC Capital Markets, LLC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TJ Opladen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Form of Representation Date Certificate Pursuant to Section 7(l)</w:t>
      </w:r>
    </w:p>
    <w:p>
      <w:pPr>
        <w:spacing w:after="0" w:line="211" w:lineRule="exact"/>
        <w:rPr>
          <w:sz w:val="20"/>
          <w:szCs w:val="20"/>
          <w:color w:val="auto"/>
        </w:rPr>
      </w:pPr>
    </w:p>
    <w:p>
      <w:pPr>
        <w:jc w:val="both"/>
        <w:ind w:firstLine="603"/>
        <w:spacing w:after="0" w:line="262" w:lineRule="auto"/>
        <w:rPr>
          <w:sz w:val="20"/>
          <w:szCs w:val="20"/>
          <w:color w:val="auto"/>
        </w:rPr>
      </w:pPr>
      <w:r>
        <w:rPr>
          <w:rFonts w:ascii="Arial" w:cs="Arial" w:eastAsia="Arial" w:hAnsi="Arial"/>
          <w:sz w:val="15"/>
          <w:szCs w:val="15"/>
          <w:color w:val="auto"/>
        </w:rPr>
        <w:t>The undersigned, the duly qualified and elected Chief Executive Officer, of Marker Therapeutics,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does hereby certify in such capacity and on behalf of the Company, pursuant to </w:t>
      </w:r>
      <w:r>
        <w:rPr>
          <w:rFonts w:ascii="Arial" w:cs="Arial" w:eastAsia="Arial" w:hAnsi="Arial"/>
          <w:sz w:val="15"/>
          <w:szCs w:val="15"/>
          <w:u w:val="single" w:color="auto"/>
          <w:color w:val="auto"/>
        </w:rPr>
        <w:t>Section 7(l)</w:t>
      </w:r>
      <w:r>
        <w:rPr>
          <w:rFonts w:ascii="Arial" w:cs="Arial" w:eastAsia="Arial" w:hAnsi="Arial"/>
          <w:sz w:val="15"/>
          <w:szCs w:val="15"/>
          <w:color w:val="auto"/>
        </w:rPr>
        <w:t xml:space="preserve"> of the Controlled Equity Offering</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Sales Agreement, dated August 10, 2021 (the “</w:t>
      </w:r>
      <w:r>
        <w:rPr>
          <w:rFonts w:ascii="Arial" w:cs="Arial" w:eastAsia="Arial" w:hAnsi="Arial"/>
          <w:sz w:val="15"/>
          <w:szCs w:val="15"/>
          <w:u w:val="single" w:color="auto"/>
          <w:color w:val="auto"/>
        </w:rPr>
        <w:t>Sales Agreement</w:t>
      </w:r>
      <w:r>
        <w:rPr>
          <w:rFonts w:ascii="Arial" w:cs="Arial" w:eastAsia="Arial" w:hAnsi="Arial"/>
          <w:sz w:val="15"/>
          <w:szCs w:val="15"/>
          <w:color w:val="auto"/>
        </w:rPr>
        <w:t>”), among the Company, Cantor Fitzgerald &amp; Co. and RBC Capital Markets, LLC that to the best of the knowledge of the undersigned:</w:t>
      </w:r>
    </w:p>
    <w:p>
      <w:pPr>
        <w:spacing w:after="0" w:line="164" w:lineRule="exact"/>
        <w:rPr>
          <w:sz w:val="20"/>
          <w:szCs w:val="20"/>
          <w:color w:val="auto"/>
        </w:rPr>
      </w:pPr>
    </w:p>
    <w:p>
      <w:pPr>
        <w:jc w:val="both"/>
        <w:ind w:firstLine="604"/>
        <w:spacing w:after="0" w:line="254" w:lineRule="auto"/>
        <w:tabs>
          <w:tab w:leader="none" w:pos="81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representations and warranties also shall be qualified by the disclosure included or incorporated by reference in the Registration Statement and Prospectus; and</w:t>
      </w:r>
    </w:p>
    <w:p>
      <w:pPr>
        <w:spacing w:after="0" w:line="177" w:lineRule="exact"/>
        <w:rPr>
          <w:rFonts w:ascii="Arial" w:cs="Arial" w:eastAsia="Arial" w:hAnsi="Arial"/>
          <w:sz w:val="17"/>
          <w:szCs w:val="17"/>
          <w:color w:val="auto"/>
        </w:rPr>
      </w:pPr>
    </w:p>
    <w:p>
      <w:pPr>
        <w:ind w:firstLine="604"/>
        <w:spacing w:after="0" w:line="268" w:lineRule="auto"/>
        <w:tabs>
          <w:tab w:leader="none" w:pos="8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has complied with all agreements and satisfied all conditions on its part to be performed or satisfied pursuant to the Sales Agreement at or prior to the date hereof.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Capitalized terms used herein without definition shall have the meanings given to such terms in the Sales Agreement.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MARKER THERAPEUTICS, INC.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11430</wp:posOffset>
            </wp:positionV>
            <wp:extent cx="32797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9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11430</wp:posOffset>
            </wp:positionV>
            <wp:extent cx="2497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19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11430</wp:posOffset>
            </wp:positionV>
            <wp:extent cx="21386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213868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5" w:name="page106"/>
    <w:bookmarkEnd w:id="105"/>
    <w:p>
      <w:pPr>
        <w:jc w:val="center"/>
        <w:ind w:right="-1120"/>
        <w:spacing w:after="0"/>
        <w:rPr>
          <w:sz w:val="20"/>
          <w:szCs w:val="20"/>
          <w:color w:val="auto"/>
        </w:rPr>
      </w:pPr>
      <w:r>
        <w:rPr>
          <w:rFonts w:ascii="Arial" w:cs="Arial" w:eastAsia="Arial" w:hAnsi="Arial"/>
          <w:sz w:val="17"/>
          <w:szCs w:val="17"/>
          <w:b w:val="1"/>
          <w:bCs w:val="1"/>
          <w:u w:val="single" w:color="auto"/>
          <w:color w:val="auto"/>
        </w:rPr>
        <w:t>Exhibit A</w:t>
      </w:r>
    </w:p>
    <w:p>
      <w:pPr>
        <w:spacing w:after="0" w:line="207" w:lineRule="exact"/>
        <w:rPr>
          <w:sz w:val="20"/>
          <w:szCs w:val="20"/>
          <w:color w:val="auto"/>
        </w:rPr>
      </w:pPr>
    </w:p>
    <w:p>
      <w:pPr>
        <w:jc w:val="right"/>
        <w:ind w:right="3259"/>
        <w:spacing w:after="0"/>
        <w:rPr>
          <w:sz w:val="20"/>
          <w:szCs w:val="20"/>
          <w:color w:val="auto"/>
        </w:rPr>
      </w:pPr>
      <w:r>
        <w:rPr>
          <w:rFonts w:ascii="Arial" w:cs="Arial" w:eastAsia="Arial" w:hAnsi="Arial"/>
          <w:sz w:val="17"/>
          <w:szCs w:val="17"/>
          <w:b w:val="1"/>
          <w:bCs w:val="1"/>
          <w:color w:val="auto"/>
        </w:rPr>
        <w:t>Permitted Free Writing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4.3</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MARKER THERAPEUTICS, INC.,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Iss</w:t>
      </w:r>
      <w:r>
        <w:rPr>
          <w:rFonts w:ascii="Arial" w:cs="Arial" w:eastAsia="Arial" w:hAnsi="Arial"/>
          <w:sz w:val="17"/>
          <w:szCs w:val="17"/>
          <w:color w:val="auto"/>
        </w:rPr>
        <w:t>u</w:t>
      </w:r>
      <w:r>
        <w:rPr>
          <w:rFonts w:ascii="Arial" w:cs="Arial" w:eastAsia="Arial" w:hAnsi="Arial"/>
          <w:sz w:val="17"/>
          <w:szCs w:val="17"/>
          <w:b w:val="1"/>
          <w:bCs w:val="1"/>
          <w:color w:val="auto"/>
        </w:rPr>
        <w:t>er</w:t>
      </w:r>
    </w:p>
    <w:p>
      <w:pPr>
        <w:spacing w:after="0" w:line="19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AND</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[TRUSTEE],</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Trustee</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_______________</w:t>
      </w:r>
    </w:p>
    <w:p>
      <w:pPr>
        <w:spacing w:after="0" w:line="19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INDENTURE</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Dated as of [·], 20__</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_______________</w:t>
      </w:r>
    </w:p>
    <w:p>
      <w:pPr>
        <w:spacing w:after="0" w:line="190"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412750</wp:posOffset>
            </wp:positionV>
            <wp:extent cx="7141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980" w:type="dxa"/>
            <w:vAlign w:val="bottom"/>
          </w:tcPr>
          <w:p>
            <w:pPr>
              <w:ind w:left="338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ABLE</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ONTENTS</w:t>
            </w:r>
          </w:p>
        </w:tc>
        <w:tc>
          <w:tcPr>
            <w:tcW w:w="1320" w:type="dxa"/>
            <w:vAlign w:val="bottom"/>
          </w:tcPr>
          <w:p>
            <w:pPr>
              <w:spacing w:after="0"/>
              <w:rPr>
                <w:sz w:val="18"/>
                <w:szCs w:val="18"/>
                <w:color w:val="auto"/>
              </w:rPr>
            </w:pPr>
          </w:p>
        </w:tc>
      </w:tr>
      <w:tr>
        <w:trPr>
          <w:trHeight w:val="402"/>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Arial" w:cs="Arial" w:eastAsia="Arial" w:hAnsi="Arial"/>
                <w:sz w:val="17"/>
                <w:szCs w:val="17"/>
                <w:b w:val="1"/>
                <w:bCs w:val="1"/>
                <w:color w:val="auto"/>
                <w:w w:val="90"/>
              </w:rPr>
              <w:t>P</w:t>
            </w:r>
            <w:r>
              <w:rPr>
                <w:rFonts w:ascii="Arial" w:cs="Arial" w:eastAsia="Arial" w:hAnsi="Arial"/>
                <w:sz w:val="11"/>
                <w:szCs w:val="11"/>
                <w:b w:val="1"/>
                <w:bCs w:val="1"/>
                <w:color w:val="auto"/>
                <w:w w:val="90"/>
              </w:rPr>
              <w:t>AGE</w:t>
            </w:r>
          </w:p>
        </w:tc>
      </w:tr>
      <w:tr>
        <w:trPr>
          <w:trHeight w:val="402"/>
        </w:trPr>
        <w:tc>
          <w:tcPr>
            <w:tcW w:w="1100" w:type="dxa"/>
            <w:vAlign w:val="bottom"/>
          </w:tcPr>
          <w:p>
            <w:pPr>
              <w:spacing w:after="0"/>
              <w:rPr>
                <w:sz w:val="20"/>
                <w:szCs w:val="20"/>
                <w:color w:val="auto"/>
              </w:rPr>
            </w:pPr>
            <w:r>
              <w:rPr>
                <w:rFonts w:ascii="Arial" w:cs="Arial" w:eastAsia="Arial" w:hAnsi="Arial"/>
                <w:sz w:val="17"/>
                <w:szCs w:val="17"/>
                <w:color w:val="auto"/>
              </w:rPr>
              <w:t>ARTICLE 1</w:t>
            </w:r>
          </w:p>
        </w:tc>
        <w:tc>
          <w:tcPr>
            <w:tcW w:w="8440" w:type="dxa"/>
            <w:vAlign w:val="bottom"/>
            <w:gridSpan w:val="2"/>
          </w:tcPr>
          <w:p>
            <w:pPr>
              <w:ind w:left="260"/>
              <w:spacing w:after="0"/>
              <w:rPr>
                <w:sz w:val="20"/>
                <w:szCs w:val="20"/>
                <w:color w:val="auto"/>
              </w:rPr>
            </w:pPr>
            <w:r>
              <w:rPr>
                <w:rFonts w:ascii="Arial" w:cs="Arial" w:eastAsia="Arial" w:hAnsi="Arial"/>
                <w:sz w:val="17"/>
                <w:szCs w:val="17"/>
                <w:color w:val="auto"/>
              </w:rPr>
              <w:t>DEFINITIONS</w:t>
            </w:r>
          </w:p>
        </w:tc>
        <w:tc>
          <w:tcPr>
            <w:tcW w:w="1320" w:type="dxa"/>
            <w:vAlign w:val="bottom"/>
          </w:tcPr>
          <w:p>
            <w:pPr>
              <w:ind w:left="1160"/>
              <w:spacing w:after="0"/>
              <w:rPr>
                <w:sz w:val="20"/>
                <w:szCs w:val="20"/>
                <w:color w:val="auto"/>
              </w:rPr>
            </w:pPr>
            <w:r>
              <w:rPr>
                <w:rFonts w:ascii="Arial" w:cs="Arial" w:eastAsia="Arial" w:hAnsi="Arial"/>
                <w:sz w:val="17"/>
                <w:szCs w:val="17"/>
                <w:color w:val="auto"/>
              </w:rPr>
              <w:t>1</w:t>
            </w:r>
          </w:p>
        </w:tc>
      </w:tr>
      <w:tr>
        <w:trPr>
          <w:trHeight w:val="427"/>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1.01</w:t>
            </w:r>
          </w:p>
        </w:tc>
        <w:tc>
          <w:tcPr>
            <w:tcW w:w="7980" w:type="dxa"/>
            <w:vAlign w:val="bottom"/>
          </w:tcPr>
          <w:p>
            <w:pPr>
              <w:ind w:left="140"/>
              <w:spacing w:after="0"/>
              <w:rPr>
                <w:sz w:val="20"/>
                <w:szCs w:val="20"/>
                <w:color w:val="auto"/>
              </w:rPr>
            </w:pPr>
            <w:r>
              <w:rPr>
                <w:rFonts w:ascii="Arial" w:cs="Arial" w:eastAsia="Arial" w:hAnsi="Arial"/>
                <w:sz w:val="17"/>
                <w:szCs w:val="17"/>
                <w:color w:val="auto"/>
              </w:rPr>
              <w:t>Definitions of Terms</w:t>
            </w:r>
          </w:p>
        </w:tc>
        <w:tc>
          <w:tcPr>
            <w:tcW w:w="1320" w:type="dxa"/>
            <w:vAlign w:val="bottom"/>
          </w:tcPr>
          <w:p>
            <w:pPr>
              <w:ind w:left="1160"/>
              <w:spacing w:after="0"/>
              <w:rPr>
                <w:sz w:val="20"/>
                <w:szCs w:val="20"/>
                <w:color w:val="auto"/>
              </w:rPr>
            </w:pPr>
            <w:r>
              <w:rPr>
                <w:rFonts w:ascii="Arial" w:cs="Arial" w:eastAsia="Arial" w:hAnsi="Arial"/>
                <w:sz w:val="17"/>
                <w:szCs w:val="17"/>
                <w:color w:val="auto"/>
              </w:rPr>
              <w:t>1</w:t>
            </w:r>
          </w:p>
        </w:tc>
      </w:tr>
      <w:tr>
        <w:trPr>
          <w:trHeight w:val="427"/>
        </w:trPr>
        <w:tc>
          <w:tcPr>
            <w:tcW w:w="1100" w:type="dxa"/>
            <w:vAlign w:val="bottom"/>
          </w:tcPr>
          <w:p>
            <w:pPr>
              <w:spacing w:after="0"/>
              <w:rPr>
                <w:sz w:val="20"/>
                <w:szCs w:val="20"/>
                <w:color w:val="auto"/>
              </w:rPr>
            </w:pPr>
            <w:r>
              <w:rPr>
                <w:rFonts w:ascii="Arial" w:cs="Arial" w:eastAsia="Arial" w:hAnsi="Arial"/>
                <w:sz w:val="17"/>
                <w:szCs w:val="17"/>
                <w:color w:val="auto"/>
              </w:rPr>
              <w:t>ARTICLE 2</w:t>
            </w:r>
          </w:p>
        </w:tc>
        <w:tc>
          <w:tcPr>
            <w:tcW w:w="8440" w:type="dxa"/>
            <w:vAlign w:val="bottom"/>
            <w:gridSpan w:val="2"/>
          </w:tcPr>
          <w:p>
            <w:pPr>
              <w:ind w:left="260"/>
              <w:spacing w:after="0"/>
              <w:rPr>
                <w:sz w:val="20"/>
                <w:szCs w:val="20"/>
                <w:color w:val="auto"/>
              </w:rPr>
            </w:pPr>
            <w:r>
              <w:rPr>
                <w:rFonts w:ascii="Arial" w:cs="Arial" w:eastAsia="Arial" w:hAnsi="Arial"/>
                <w:sz w:val="17"/>
                <w:szCs w:val="17"/>
                <w:color w:val="auto"/>
              </w:rPr>
              <w:t>ISSUE, DESCRIPTION, TERMS, EXECUTION, REGISTRATION AND EXCHANGE OF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rPr>
              <w:t>5</w:t>
            </w:r>
          </w:p>
        </w:tc>
      </w:tr>
      <w:tr>
        <w:trPr>
          <w:trHeight w:val="427"/>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2.01</w:t>
            </w:r>
          </w:p>
        </w:tc>
        <w:tc>
          <w:tcPr>
            <w:tcW w:w="7980" w:type="dxa"/>
            <w:vAlign w:val="bottom"/>
          </w:tcPr>
          <w:p>
            <w:pPr>
              <w:ind w:left="140"/>
              <w:spacing w:after="0"/>
              <w:rPr>
                <w:sz w:val="20"/>
                <w:szCs w:val="20"/>
                <w:color w:val="auto"/>
              </w:rPr>
            </w:pPr>
            <w:r>
              <w:rPr>
                <w:rFonts w:ascii="Arial" w:cs="Arial" w:eastAsia="Arial" w:hAnsi="Arial"/>
                <w:sz w:val="17"/>
                <w:szCs w:val="17"/>
                <w:color w:val="auto"/>
              </w:rPr>
              <w:t>Designation and Terms of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rPr>
              <w:t>5</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2.02</w:t>
            </w:r>
          </w:p>
        </w:tc>
        <w:tc>
          <w:tcPr>
            <w:tcW w:w="7980" w:type="dxa"/>
            <w:vAlign w:val="bottom"/>
          </w:tcPr>
          <w:p>
            <w:pPr>
              <w:ind w:left="140"/>
              <w:spacing w:after="0"/>
              <w:rPr>
                <w:sz w:val="20"/>
                <w:szCs w:val="20"/>
                <w:color w:val="auto"/>
              </w:rPr>
            </w:pPr>
            <w:r>
              <w:rPr>
                <w:rFonts w:ascii="Arial" w:cs="Arial" w:eastAsia="Arial" w:hAnsi="Arial"/>
                <w:sz w:val="17"/>
                <w:szCs w:val="17"/>
                <w:color w:val="auto"/>
              </w:rPr>
              <w:t>Form of Securities and Trustee’s Certificate</w:t>
            </w:r>
          </w:p>
        </w:tc>
        <w:tc>
          <w:tcPr>
            <w:tcW w:w="1320" w:type="dxa"/>
            <w:vAlign w:val="bottom"/>
          </w:tcPr>
          <w:p>
            <w:pPr>
              <w:ind w:left="1160"/>
              <w:spacing w:after="0"/>
              <w:rPr>
                <w:sz w:val="20"/>
                <w:szCs w:val="20"/>
                <w:color w:val="auto"/>
              </w:rPr>
            </w:pPr>
            <w:r>
              <w:rPr>
                <w:rFonts w:ascii="Arial" w:cs="Arial" w:eastAsia="Arial" w:hAnsi="Arial"/>
                <w:sz w:val="17"/>
                <w:szCs w:val="17"/>
                <w:color w:val="auto"/>
              </w:rPr>
              <w:t>8</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2.03</w:t>
            </w:r>
          </w:p>
        </w:tc>
        <w:tc>
          <w:tcPr>
            <w:tcW w:w="7980" w:type="dxa"/>
            <w:vAlign w:val="bottom"/>
          </w:tcPr>
          <w:p>
            <w:pPr>
              <w:ind w:left="140"/>
              <w:spacing w:after="0"/>
              <w:rPr>
                <w:sz w:val="20"/>
                <w:szCs w:val="20"/>
                <w:color w:val="auto"/>
              </w:rPr>
            </w:pPr>
            <w:r>
              <w:rPr>
                <w:rFonts w:ascii="Arial" w:cs="Arial" w:eastAsia="Arial" w:hAnsi="Arial"/>
                <w:sz w:val="17"/>
                <w:szCs w:val="17"/>
                <w:color w:val="auto"/>
              </w:rPr>
              <w:t>Denominations: Provisions for Payment</w:t>
            </w:r>
          </w:p>
        </w:tc>
        <w:tc>
          <w:tcPr>
            <w:tcW w:w="1320" w:type="dxa"/>
            <w:vAlign w:val="bottom"/>
          </w:tcPr>
          <w:p>
            <w:pPr>
              <w:ind w:left="1160"/>
              <w:spacing w:after="0"/>
              <w:rPr>
                <w:sz w:val="20"/>
                <w:szCs w:val="20"/>
                <w:color w:val="auto"/>
              </w:rPr>
            </w:pPr>
            <w:r>
              <w:rPr>
                <w:rFonts w:ascii="Arial" w:cs="Arial" w:eastAsia="Arial" w:hAnsi="Arial"/>
                <w:sz w:val="17"/>
                <w:szCs w:val="17"/>
                <w:color w:val="auto"/>
              </w:rPr>
              <w:t>8</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2.04</w:t>
            </w:r>
          </w:p>
        </w:tc>
        <w:tc>
          <w:tcPr>
            <w:tcW w:w="7980" w:type="dxa"/>
            <w:vAlign w:val="bottom"/>
          </w:tcPr>
          <w:p>
            <w:pPr>
              <w:ind w:left="140"/>
              <w:spacing w:after="0"/>
              <w:rPr>
                <w:sz w:val="20"/>
                <w:szCs w:val="20"/>
                <w:color w:val="auto"/>
              </w:rPr>
            </w:pPr>
            <w:r>
              <w:rPr>
                <w:rFonts w:ascii="Arial" w:cs="Arial" w:eastAsia="Arial" w:hAnsi="Arial"/>
                <w:sz w:val="17"/>
                <w:szCs w:val="17"/>
                <w:color w:val="auto"/>
              </w:rPr>
              <w:t>Execution and Authentications</w:t>
            </w:r>
          </w:p>
        </w:tc>
        <w:tc>
          <w:tcPr>
            <w:tcW w:w="1320" w:type="dxa"/>
            <w:vAlign w:val="bottom"/>
          </w:tcPr>
          <w:p>
            <w:pPr>
              <w:ind w:left="1160"/>
              <w:spacing w:after="0"/>
              <w:rPr>
                <w:sz w:val="20"/>
                <w:szCs w:val="20"/>
                <w:color w:val="auto"/>
              </w:rPr>
            </w:pPr>
            <w:r>
              <w:rPr>
                <w:rFonts w:ascii="Arial" w:cs="Arial" w:eastAsia="Arial" w:hAnsi="Arial"/>
                <w:sz w:val="17"/>
                <w:szCs w:val="17"/>
                <w:color w:val="auto"/>
              </w:rPr>
              <w:t>9</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2.05</w:t>
            </w:r>
          </w:p>
        </w:tc>
        <w:tc>
          <w:tcPr>
            <w:tcW w:w="7980" w:type="dxa"/>
            <w:vAlign w:val="bottom"/>
          </w:tcPr>
          <w:p>
            <w:pPr>
              <w:ind w:left="140"/>
              <w:spacing w:after="0"/>
              <w:rPr>
                <w:sz w:val="20"/>
                <w:szCs w:val="20"/>
                <w:color w:val="auto"/>
              </w:rPr>
            </w:pPr>
            <w:r>
              <w:rPr>
                <w:rFonts w:ascii="Arial" w:cs="Arial" w:eastAsia="Arial" w:hAnsi="Arial"/>
                <w:sz w:val="17"/>
                <w:szCs w:val="17"/>
                <w:color w:val="auto"/>
              </w:rPr>
              <w:t>Registration of Transfer and Exchange</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10</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2.06</w:t>
            </w:r>
          </w:p>
        </w:tc>
        <w:tc>
          <w:tcPr>
            <w:tcW w:w="7980" w:type="dxa"/>
            <w:vAlign w:val="bottom"/>
          </w:tcPr>
          <w:p>
            <w:pPr>
              <w:ind w:left="140"/>
              <w:spacing w:after="0"/>
              <w:rPr>
                <w:sz w:val="20"/>
                <w:szCs w:val="20"/>
                <w:color w:val="auto"/>
              </w:rPr>
            </w:pPr>
            <w:r>
              <w:rPr>
                <w:rFonts w:ascii="Arial" w:cs="Arial" w:eastAsia="Arial" w:hAnsi="Arial"/>
                <w:sz w:val="17"/>
                <w:szCs w:val="17"/>
                <w:color w:val="auto"/>
              </w:rPr>
              <w:t>Temporary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11</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2.07</w:t>
            </w:r>
          </w:p>
        </w:tc>
        <w:tc>
          <w:tcPr>
            <w:tcW w:w="7980" w:type="dxa"/>
            <w:vAlign w:val="bottom"/>
          </w:tcPr>
          <w:p>
            <w:pPr>
              <w:ind w:left="140"/>
              <w:spacing w:after="0"/>
              <w:rPr>
                <w:sz w:val="20"/>
                <w:szCs w:val="20"/>
                <w:color w:val="auto"/>
              </w:rPr>
            </w:pPr>
            <w:r>
              <w:rPr>
                <w:rFonts w:ascii="Arial" w:cs="Arial" w:eastAsia="Arial" w:hAnsi="Arial"/>
                <w:sz w:val="17"/>
                <w:szCs w:val="17"/>
                <w:color w:val="auto"/>
              </w:rPr>
              <w:t>Mutilated, Destroyed, Lost or Stolen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12</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2.08</w:t>
            </w:r>
          </w:p>
        </w:tc>
        <w:tc>
          <w:tcPr>
            <w:tcW w:w="7980" w:type="dxa"/>
            <w:vAlign w:val="bottom"/>
          </w:tcPr>
          <w:p>
            <w:pPr>
              <w:ind w:left="140"/>
              <w:spacing w:after="0"/>
              <w:rPr>
                <w:sz w:val="20"/>
                <w:szCs w:val="20"/>
                <w:color w:val="auto"/>
              </w:rPr>
            </w:pPr>
            <w:r>
              <w:rPr>
                <w:rFonts w:ascii="Arial" w:cs="Arial" w:eastAsia="Arial" w:hAnsi="Arial"/>
                <w:sz w:val="17"/>
                <w:szCs w:val="17"/>
                <w:color w:val="auto"/>
              </w:rPr>
              <w:t>Cancellation</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13</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2.09</w:t>
            </w:r>
          </w:p>
        </w:tc>
        <w:tc>
          <w:tcPr>
            <w:tcW w:w="7980" w:type="dxa"/>
            <w:vAlign w:val="bottom"/>
          </w:tcPr>
          <w:p>
            <w:pPr>
              <w:ind w:left="140"/>
              <w:spacing w:after="0"/>
              <w:rPr>
                <w:sz w:val="20"/>
                <w:szCs w:val="20"/>
                <w:color w:val="auto"/>
              </w:rPr>
            </w:pPr>
            <w:r>
              <w:rPr>
                <w:rFonts w:ascii="Arial" w:cs="Arial" w:eastAsia="Arial" w:hAnsi="Arial"/>
                <w:sz w:val="17"/>
                <w:szCs w:val="17"/>
                <w:color w:val="auto"/>
              </w:rPr>
              <w:t>Benefits of Indenture</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13</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2.10</w:t>
            </w:r>
          </w:p>
        </w:tc>
        <w:tc>
          <w:tcPr>
            <w:tcW w:w="7980" w:type="dxa"/>
            <w:vAlign w:val="bottom"/>
          </w:tcPr>
          <w:p>
            <w:pPr>
              <w:ind w:left="140"/>
              <w:spacing w:after="0"/>
              <w:rPr>
                <w:sz w:val="20"/>
                <w:szCs w:val="20"/>
                <w:color w:val="auto"/>
              </w:rPr>
            </w:pPr>
            <w:r>
              <w:rPr>
                <w:rFonts w:ascii="Arial" w:cs="Arial" w:eastAsia="Arial" w:hAnsi="Arial"/>
                <w:sz w:val="17"/>
                <w:szCs w:val="17"/>
                <w:color w:val="auto"/>
              </w:rPr>
              <w:t>Authenticating Agent</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13</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2.11</w:t>
            </w:r>
          </w:p>
        </w:tc>
        <w:tc>
          <w:tcPr>
            <w:tcW w:w="7980" w:type="dxa"/>
            <w:vAlign w:val="bottom"/>
          </w:tcPr>
          <w:p>
            <w:pPr>
              <w:ind w:left="140"/>
              <w:spacing w:after="0"/>
              <w:rPr>
                <w:sz w:val="20"/>
                <w:szCs w:val="20"/>
                <w:color w:val="auto"/>
              </w:rPr>
            </w:pPr>
            <w:r>
              <w:rPr>
                <w:rFonts w:ascii="Arial" w:cs="Arial" w:eastAsia="Arial" w:hAnsi="Arial"/>
                <w:sz w:val="17"/>
                <w:szCs w:val="17"/>
                <w:color w:val="auto"/>
              </w:rPr>
              <w:t>Global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14</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2.12</w:t>
            </w:r>
          </w:p>
        </w:tc>
        <w:tc>
          <w:tcPr>
            <w:tcW w:w="7980" w:type="dxa"/>
            <w:vAlign w:val="bottom"/>
          </w:tcPr>
          <w:p>
            <w:pPr>
              <w:ind w:left="140"/>
              <w:spacing w:after="0"/>
              <w:rPr>
                <w:sz w:val="20"/>
                <w:szCs w:val="20"/>
                <w:color w:val="auto"/>
              </w:rPr>
            </w:pPr>
            <w:r>
              <w:rPr>
                <w:rFonts w:ascii="Arial" w:cs="Arial" w:eastAsia="Arial" w:hAnsi="Arial"/>
                <w:sz w:val="17"/>
                <w:szCs w:val="17"/>
                <w:color w:val="auto"/>
              </w:rPr>
              <w:t>CUSIP Numbers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15</w:t>
            </w:r>
          </w:p>
        </w:tc>
      </w:tr>
      <w:tr>
        <w:trPr>
          <w:trHeight w:val="427"/>
        </w:trPr>
        <w:tc>
          <w:tcPr>
            <w:tcW w:w="1100" w:type="dxa"/>
            <w:vAlign w:val="bottom"/>
          </w:tcPr>
          <w:p>
            <w:pPr>
              <w:spacing w:after="0"/>
              <w:rPr>
                <w:sz w:val="20"/>
                <w:szCs w:val="20"/>
                <w:color w:val="auto"/>
              </w:rPr>
            </w:pPr>
            <w:r>
              <w:rPr>
                <w:rFonts w:ascii="Arial" w:cs="Arial" w:eastAsia="Arial" w:hAnsi="Arial"/>
                <w:sz w:val="17"/>
                <w:szCs w:val="17"/>
                <w:color w:val="auto"/>
              </w:rPr>
              <w:t>ARTICLE 3</w:t>
            </w:r>
          </w:p>
        </w:tc>
        <w:tc>
          <w:tcPr>
            <w:tcW w:w="8440" w:type="dxa"/>
            <w:vAlign w:val="bottom"/>
            <w:gridSpan w:val="2"/>
          </w:tcPr>
          <w:p>
            <w:pPr>
              <w:ind w:left="260"/>
              <w:spacing w:after="0"/>
              <w:rPr>
                <w:sz w:val="20"/>
                <w:szCs w:val="20"/>
                <w:color w:val="auto"/>
              </w:rPr>
            </w:pPr>
            <w:r>
              <w:rPr>
                <w:rFonts w:ascii="Arial" w:cs="Arial" w:eastAsia="Arial" w:hAnsi="Arial"/>
                <w:sz w:val="17"/>
                <w:szCs w:val="17"/>
                <w:color w:val="auto"/>
              </w:rPr>
              <w:t>REDEMPTION OF SECURITIES AND SINKING FUND PROVISIONS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15</w:t>
            </w:r>
          </w:p>
        </w:tc>
      </w:tr>
      <w:tr>
        <w:trPr>
          <w:trHeight w:val="427"/>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3.01</w:t>
            </w:r>
          </w:p>
        </w:tc>
        <w:tc>
          <w:tcPr>
            <w:tcW w:w="7980" w:type="dxa"/>
            <w:vAlign w:val="bottom"/>
          </w:tcPr>
          <w:p>
            <w:pPr>
              <w:ind w:left="140"/>
              <w:spacing w:after="0"/>
              <w:rPr>
                <w:sz w:val="20"/>
                <w:szCs w:val="20"/>
                <w:color w:val="auto"/>
              </w:rPr>
            </w:pPr>
            <w:r>
              <w:rPr>
                <w:rFonts w:ascii="Arial" w:cs="Arial" w:eastAsia="Arial" w:hAnsi="Arial"/>
                <w:sz w:val="17"/>
                <w:szCs w:val="17"/>
                <w:color w:val="auto"/>
              </w:rPr>
              <w:t>Redemption</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15</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3.02</w:t>
            </w:r>
          </w:p>
        </w:tc>
        <w:tc>
          <w:tcPr>
            <w:tcW w:w="7980" w:type="dxa"/>
            <w:vAlign w:val="bottom"/>
          </w:tcPr>
          <w:p>
            <w:pPr>
              <w:ind w:left="140"/>
              <w:spacing w:after="0"/>
              <w:rPr>
                <w:sz w:val="20"/>
                <w:szCs w:val="20"/>
                <w:color w:val="auto"/>
              </w:rPr>
            </w:pPr>
            <w:r>
              <w:rPr>
                <w:rFonts w:ascii="Arial" w:cs="Arial" w:eastAsia="Arial" w:hAnsi="Arial"/>
                <w:sz w:val="17"/>
                <w:szCs w:val="17"/>
                <w:color w:val="auto"/>
              </w:rPr>
              <w:t>Notice of Redemption</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15</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3.03</w:t>
            </w:r>
          </w:p>
        </w:tc>
        <w:tc>
          <w:tcPr>
            <w:tcW w:w="7980" w:type="dxa"/>
            <w:vAlign w:val="bottom"/>
          </w:tcPr>
          <w:p>
            <w:pPr>
              <w:ind w:left="140"/>
              <w:spacing w:after="0"/>
              <w:rPr>
                <w:sz w:val="20"/>
                <w:szCs w:val="20"/>
                <w:color w:val="auto"/>
              </w:rPr>
            </w:pPr>
            <w:r>
              <w:rPr>
                <w:rFonts w:ascii="Arial" w:cs="Arial" w:eastAsia="Arial" w:hAnsi="Arial"/>
                <w:sz w:val="17"/>
                <w:szCs w:val="17"/>
                <w:color w:val="auto"/>
              </w:rPr>
              <w:t>Payment Upon Redemption</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16</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3.04</w:t>
            </w:r>
          </w:p>
        </w:tc>
        <w:tc>
          <w:tcPr>
            <w:tcW w:w="7980" w:type="dxa"/>
            <w:vAlign w:val="bottom"/>
          </w:tcPr>
          <w:p>
            <w:pPr>
              <w:ind w:left="140"/>
              <w:spacing w:after="0"/>
              <w:rPr>
                <w:sz w:val="20"/>
                <w:szCs w:val="20"/>
                <w:color w:val="auto"/>
              </w:rPr>
            </w:pPr>
            <w:r>
              <w:rPr>
                <w:rFonts w:ascii="Arial" w:cs="Arial" w:eastAsia="Arial" w:hAnsi="Arial"/>
                <w:sz w:val="17"/>
                <w:szCs w:val="17"/>
                <w:color w:val="auto"/>
              </w:rPr>
              <w:t>Sinking Fund</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17</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3.05</w:t>
            </w:r>
          </w:p>
        </w:tc>
        <w:tc>
          <w:tcPr>
            <w:tcW w:w="7980" w:type="dxa"/>
            <w:vAlign w:val="bottom"/>
          </w:tcPr>
          <w:p>
            <w:pPr>
              <w:ind w:left="140"/>
              <w:spacing w:after="0"/>
              <w:rPr>
                <w:sz w:val="20"/>
                <w:szCs w:val="20"/>
                <w:color w:val="auto"/>
              </w:rPr>
            </w:pPr>
            <w:r>
              <w:rPr>
                <w:rFonts w:ascii="Arial" w:cs="Arial" w:eastAsia="Arial" w:hAnsi="Arial"/>
                <w:sz w:val="17"/>
                <w:szCs w:val="17"/>
                <w:color w:val="auto"/>
              </w:rPr>
              <w:t>Satisfaction of Sinking Fund Payments with Securities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17</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3.06</w:t>
            </w:r>
          </w:p>
        </w:tc>
        <w:tc>
          <w:tcPr>
            <w:tcW w:w="7980" w:type="dxa"/>
            <w:vAlign w:val="bottom"/>
          </w:tcPr>
          <w:p>
            <w:pPr>
              <w:ind w:left="140"/>
              <w:spacing w:after="0"/>
              <w:rPr>
                <w:sz w:val="20"/>
                <w:szCs w:val="20"/>
                <w:color w:val="auto"/>
              </w:rPr>
            </w:pPr>
            <w:r>
              <w:rPr>
                <w:rFonts w:ascii="Arial" w:cs="Arial" w:eastAsia="Arial" w:hAnsi="Arial"/>
                <w:sz w:val="17"/>
                <w:szCs w:val="17"/>
                <w:color w:val="auto"/>
              </w:rPr>
              <w:t>Redemption of Securities for Sinking Fund</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17</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ARTICLE 4</w:t>
            </w:r>
          </w:p>
        </w:tc>
        <w:tc>
          <w:tcPr>
            <w:tcW w:w="7980" w:type="dxa"/>
            <w:vAlign w:val="bottom"/>
          </w:tcPr>
          <w:p>
            <w:pPr>
              <w:ind w:left="140"/>
              <w:spacing w:after="0"/>
              <w:rPr>
                <w:sz w:val="20"/>
                <w:szCs w:val="20"/>
                <w:color w:val="auto"/>
              </w:rPr>
            </w:pPr>
            <w:r>
              <w:rPr>
                <w:rFonts w:ascii="Arial" w:cs="Arial" w:eastAsia="Arial" w:hAnsi="Arial"/>
                <w:sz w:val="17"/>
                <w:szCs w:val="17"/>
                <w:color w:val="auto"/>
              </w:rPr>
              <w:t>COVENANTS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18</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4.01</w:t>
            </w:r>
          </w:p>
        </w:tc>
        <w:tc>
          <w:tcPr>
            <w:tcW w:w="7980" w:type="dxa"/>
            <w:vAlign w:val="bottom"/>
          </w:tcPr>
          <w:p>
            <w:pPr>
              <w:ind w:left="140"/>
              <w:spacing w:after="0"/>
              <w:rPr>
                <w:sz w:val="20"/>
                <w:szCs w:val="20"/>
                <w:color w:val="auto"/>
              </w:rPr>
            </w:pPr>
            <w:r>
              <w:rPr>
                <w:rFonts w:ascii="Arial" w:cs="Arial" w:eastAsia="Arial" w:hAnsi="Arial"/>
                <w:sz w:val="17"/>
                <w:szCs w:val="17"/>
                <w:color w:val="auto"/>
              </w:rPr>
              <w:t>Payment of Principal, Premium and Interest</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18</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4.02</w:t>
            </w:r>
          </w:p>
        </w:tc>
        <w:tc>
          <w:tcPr>
            <w:tcW w:w="7980" w:type="dxa"/>
            <w:vAlign w:val="bottom"/>
          </w:tcPr>
          <w:p>
            <w:pPr>
              <w:ind w:left="140"/>
              <w:spacing w:after="0"/>
              <w:rPr>
                <w:sz w:val="20"/>
                <w:szCs w:val="20"/>
                <w:color w:val="auto"/>
              </w:rPr>
            </w:pPr>
            <w:r>
              <w:rPr>
                <w:rFonts w:ascii="Arial" w:cs="Arial" w:eastAsia="Arial" w:hAnsi="Arial"/>
                <w:sz w:val="17"/>
                <w:szCs w:val="17"/>
                <w:color w:val="auto"/>
              </w:rPr>
              <w:t>Maintenance of Office or Agency</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18</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4.03</w:t>
            </w:r>
          </w:p>
        </w:tc>
        <w:tc>
          <w:tcPr>
            <w:tcW w:w="7980" w:type="dxa"/>
            <w:vAlign w:val="bottom"/>
          </w:tcPr>
          <w:p>
            <w:pPr>
              <w:ind w:left="140"/>
              <w:spacing w:after="0"/>
              <w:rPr>
                <w:sz w:val="20"/>
                <w:szCs w:val="20"/>
                <w:color w:val="auto"/>
              </w:rPr>
            </w:pPr>
            <w:r>
              <w:rPr>
                <w:rFonts w:ascii="Arial" w:cs="Arial" w:eastAsia="Arial" w:hAnsi="Arial"/>
                <w:sz w:val="17"/>
                <w:szCs w:val="17"/>
                <w:color w:val="auto"/>
              </w:rPr>
              <w:t>Paying Agents</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19</w:t>
            </w:r>
          </w:p>
        </w:tc>
      </w:tr>
      <w:tr>
        <w:trPr>
          <w:trHeight w:val="402"/>
        </w:trPr>
        <w:tc>
          <w:tcPr>
            <w:tcW w:w="1560" w:type="dxa"/>
            <w:vAlign w:val="bottom"/>
            <w:gridSpan w:val="2"/>
          </w:tcPr>
          <w:p>
            <w:pPr>
              <w:ind w:left="560"/>
              <w:spacing w:after="0"/>
              <w:rPr>
                <w:sz w:val="20"/>
                <w:szCs w:val="20"/>
                <w:color w:val="auto"/>
              </w:rPr>
            </w:pPr>
            <w:r>
              <w:rPr>
                <w:rFonts w:ascii="Arial" w:cs="Arial" w:eastAsia="Arial" w:hAnsi="Arial"/>
                <w:sz w:val="17"/>
                <w:szCs w:val="17"/>
                <w:color w:val="auto"/>
              </w:rPr>
              <w:t>Section 4.04</w:t>
            </w:r>
          </w:p>
        </w:tc>
        <w:tc>
          <w:tcPr>
            <w:tcW w:w="7980" w:type="dxa"/>
            <w:vAlign w:val="bottom"/>
          </w:tcPr>
          <w:p>
            <w:pPr>
              <w:ind w:left="140"/>
              <w:spacing w:after="0"/>
              <w:rPr>
                <w:sz w:val="20"/>
                <w:szCs w:val="20"/>
                <w:color w:val="auto"/>
              </w:rPr>
            </w:pPr>
            <w:r>
              <w:rPr>
                <w:rFonts w:ascii="Arial" w:cs="Arial" w:eastAsia="Arial" w:hAnsi="Arial"/>
                <w:sz w:val="17"/>
                <w:szCs w:val="17"/>
                <w:color w:val="auto"/>
              </w:rPr>
              <w:t>Appointment to Fill Vacancy in Office of Trustee</w:t>
            </w:r>
          </w:p>
        </w:tc>
        <w:tc>
          <w:tcPr>
            <w:tcW w:w="1320" w:type="dxa"/>
            <w:vAlign w:val="bottom"/>
          </w:tcPr>
          <w:p>
            <w:pPr>
              <w:ind w:left="1160"/>
              <w:spacing w:after="0"/>
              <w:rPr>
                <w:sz w:val="20"/>
                <w:szCs w:val="20"/>
                <w:color w:val="auto"/>
              </w:rPr>
            </w:pPr>
            <w:r>
              <w:rPr>
                <w:rFonts w:ascii="Arial" w:cs="Arial" w:eastAsia="Arial" w:hAnsi="Arial"/>
                <w:sz w:val="17"/>
                <w:szCs w:val="17"/>
                <w:color w:val="auto"/>
                <w:w w:val="73"/>
              </w:rPr>
              <w:t>20</w:t>
            </w:r>
          </w:p>
        </w:tc>
      </w:tr>
    </w:tbl>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52" w:right="719" w:bottom="1440" w:gutter="0" w:footer="0" w:header="0"/>
        </w:sectPr>
      </w:pPr>
    </w:p>
    <w:bookmarkStart w:id="108" w:name="page109"/>
    <w:bookmarkEnd w:id="108"/>
    <w:p>
      <w:pPr>
        <w:jc w:val="center"/>
        <w:ind w:right="-379"/>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ABLE</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ONTENTS</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1"/>
          <w:szCs w:val="11"/>
          <w:b w:val="1"/>
          <w:bCs w:val="1"/>
          <w:color w:val="auto"/>
        </w:rPr>
        <w:t>CONTINUED</w:t>
      </w:r>
      <w:r>
        <w:rPr>
          <w:rFonts w:ascii="Arial" w:cs="Arial" w:eastAsia="Arial" w:hAnsi="Arial"/>
          <w:sz w:val="17"/>
          <w:szCs w:val="17"/>
          <w:b w:val="1"/>
          <w:bCs w:val="1"/>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AGE</w:t>
            </w:r>
          </w:p>
        </w:tc>
      </w:tr>
      <w:tr>
        <w:trPr>
          <w:trHeight w:val="402"/>
        </w:trPr>
        <w:tc>
          <w:tcPr>
            <w:tcW w:w="1100" w:type="dxa"/>
            <w:vAlign w:val="bottom"/>
          </w:tcPr>
          <w:p>
            <w:pPr>
              <w:spacing w:after="0"/>
              <w:rPr>
                <w:sz w:val="20"/>
                <w:szCs w:val="20"/>
                <w:color w:val="auto"/>
              </w:rPr>
            </w:pPr>
            <w:r>
              <w:rPr>
                <w:rFonts w:ascii="Arial" w:cs="Arial" w:eastAsia="Arial" w:hAnsi="Arial"/>
                <w:sz w:val="17"/>
                <w:szCs w:val="17"/>
                <w:color w:val="auto"/>
              </w:rPr>
              <w:t>ARTICLE 5</w:t>
            </w:r>
          </w:p>
        </w:tc>
        <w:tc>
          <w:tcPr>
            <w:tcW w:w="8020" w:type="dxa"/>
            <w:vAlign w:val="bottom"/>
          </w:tcPr>
          <w:p>
            <w:pPr>
              <w:ind w:left="260"/>
              <w:spacing w:after="0"/>
              <w:rPr>
                <w:sz w:val="20"/>
                <w:szCs w:val="20"/>
                <w:color w:val="auto"/>
              </w:rPr>
            </w:pPr>
            <w:r>
              <w:rPr>
                <w:rFonts w:ascii="Arial" w:cs="Arial" w:eastAsia="Arial" w:hAnsi="Arial"/>
                <w:sz w:val="17"/>
                <w:szCs w:val="17"/>
                <w:color w:val="auto"/>
              </w:rPr>
              <w:t>SECURITYHOLDERS’ LISTS AND REPORTS BY THE COMPANY AND THE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628"/>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5.01    Company to Furnish Trustee Names and Addresses of Securityholders</w:t>
            </w:r>
          </w:p>
        </w:tc>
        <w:tc>
          <w:tcPr>
            <w:tcW w:w="1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5.02    Preservation Of Information; Communications With Securityholders</w:t>
            </w:r>
          </w:p>
        </w:tc>
        <w:tc>
          <w:tcPr>
            <w:tcW w:w="1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5.03    Reports by the Company</w:t>
            </w:r>
          </w:p>
        </w:tc>
        <w:tc>
          <w:tcPr>
            <w:tcW w:w="17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5.04    Reports by the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27"/>
        </w:trPr>
        <w:tc>
          <w:tcPr>
            <w:tcW w:w="1100" w:type="dxa"/>
            <w:vAlign w:val="bottom"/>
          </w:tcPr>
          <w:p>
            <w:pPr>
              <w:spacing w:after="0"/>
              <w:rPr>
                <w:sz w:val="20"/>
                <w:szCs w:val="20"/>
                <w:color w:val="auto"/>
              </w:rPr>
            </w:pPr>
            <w:r>
              <w:rPr>
                <w:rFonts w:ascii="Arial" w:cs="Arial" w:eastAsia="Arial" w:hAnsi="Arial"/>
                <w:sz w:val="17"/>
                <w:szCs w:val="17"/>
                <w:color w:val="auto"/>
              </w:rPr>
              <w:t>ARTICLE 6</w:t>
            </w:r>
          </w:p>
        </w:tc>
        <w:tc>
          <w:tcPr>
            <w:tcW w:w="8020" w:type="dxa"/>
            <w:vAlign w:val="bottom"/>
          </w:tcPr>
          <w:p>
            <w:pPr>
              <w:ind w:left="260"/>
              <w:spacing w:after="0"/>
              <w:rPr>
                <w:sz w:val="20"/>
                <w:szCs w:val="20"/>
                <w:color w:val="auto"/>
              </w:rPr>
            </w:pPr>
            <w:r>
              <w:rPr>
                <w:rFonts w:ascii="Arial" w:cs="Arial" w:eastAsia="Arial" w:hAnsi="Arial"/>
                <w:sz w:val="17"/>
                <w:szCs w:val="17"/>
                <w:color w:val="auto"/>
              </w:rPr>
              <w:t>REMEDIES OF THE TRUSTEE AND SECURITYHOLDERS ON EVENT OF DEFAULT</w:t>
            </w:r>
          </w:p>
        </w:tc>
        <w:tc>
          <w:tcPr>
            <w:tcW w:w="1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27"/>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6.01    Events of Default</w:t>
            </w:r>
          </w:p>
        </w:tc>
        <w:tc>
          <w:tcPr>
            <w:tcW w:w="17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6.02    Collection of Indebtedness and Suits for Enforcement by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6.03    Application of Moneys Collected</w:t>
            </w:r>
          </w:p>
        </w:tc>
        <w:tc>
          <w:tcPr>
            <w:tcW w:w="1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6.04    Limitation on Suits</w:t>
            </w:r>
          </w:p>
        </w:tc>
        <w:tc>
          <w:tcPr>
            <w:tcW w:w="17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6.05    Rights and Remedies Cumulative; Delay or Omission Not Waiver</w:t>
            </w:r>
          </w:p>
        </w:tc>
        <w:tc>
          <w:tcPr>
            <w:tcW w:w="1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6.06    Control by Securityholders</w:t>
            </w:r>
          </w:p>
        </w:tc>
        <w:tc>
          <w:tcPr>
            <w:tcW w:w="1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6.07    Undertaking to Pay Costs</w:t>
            </w:r>
          </w:p>
        </w:tc>
        <w:tc>
          <w:tcPr>
            <w:tcW w:w="1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27"/>
        </w:trPr>
        <w:tc>
          <w:tcPr>
            <w:tcW w:w="1100" w:type="dxa"/>
            <w:vAlign w:val="bottom"/>
          </w:tcPr>
          <w:p>
            <w:pPr>
              <w:spacing w:after="0"/>
              <w:rPr>
                <w:sz w:val="20"/>
                <w:szCs w:val="20"/>
                <w:color w:val="auto"/>
              </w:rPr>
            </w:pPr>
            <w:r>
              <w:rPr>
                <w:rFonts w:ascii="Arial" w:cs="Arial" w:eastAsia="Arial" w:hAnsi="Arial"/>
                <w:sz w:val="17"/>
                <w:szCs w:val="17"/>
                <w:color w:val="auto"/>
              </w:rPr>
              <w:t>ARTICLE 7</w:t>
            </w:r>
          </w:p>
        </w:tc>
        <w:tc>
          <w:tcPr>
            <w:tcW w:w="8020" w:type="dxa"/>
            <w:vAlign w:val="bottom"/>
          </w:tcPr>
          <w:p>
            <w:pPr>
              <w:ind w:left="260"/>
              <w:spacing w:after="0"/>
              <w:rPr>
                <w:sz w:val="20"/>
                <w:szCs w:val="20"/>
                <w:color w:val="auto"/>
              </w:rPr>
            </w:pPr>
            <w:r>
              <w:rPr>
                <w:rFonts w:ascii="Arial" w:cs="Arial" w:eastAsia="Arial" w:hAnsi="Arial"/>
                <w:sz w:val="17"/>
                <w:szCs w:val="17"/>
                <w:color w:val="auto"/>
              </w:rPr>
              <w:t>CONCERNING THE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27"/>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7.01    Certain Duties and Responsibilities of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7.02    Certain Rights of Trustee</w:t>
            </w:r>
          </w:p>
        </w:tc>
        <w:tc>
          <w:tcPr>
            <w:tcW w:w="17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7.03    Trustee Not Responsible for Recitals or Issuance or Securities</w:t>
            </w:r>
          </w:p>
        </w:tc>
        <w:tc>
          <w:tcPr>
            <w:tcW w:w="1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7.04    May Hold Securities</w:t>
            </w:r>
          </w:p>
        </w:tc>
        <w:tc>
          <w:tcPr>
            <w:tcW w:w="1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7.05    Moneys Held in Trust</w:t>
            </w:r>
          </w:p>
        </w:tc>
        <w:tc>
          <w:tcPr>
            <w:tcW w:w="1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7.06    Compensation and Reimbursement</w:t>
            </w:r>
          </w:p>
        </w:tc>
        <w:tc>
          <w:tcPr>
            <w:tcW w:w="1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7.07    Reliance on Officer’s Certificate</w:t>
            </w:r>
          </w:p>
        </w:tc>
        <w:tc>
          <w:tcPr>
            <w:tcW w:w="17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7.08    Disqualification; Conflicting Interests</w:t>
            </w:r>
          </w:p>
        </w:tc>
        <w:tc>
          <w:tcPr>
            <w:tcW w:w="1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7.09    Corporate Trustee Required; Eligibility</w:t>
            </w:r>
          </w:p>
        </w:tc>
        <w:tc>
          <w:tcPr>
            <w:tcW w:w="1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7.10    Resignation and Removal; Appointment of Successor</w:t>
            </w:r>
          </w:p>
        </w:tc>
        <w:tc>
          <w:tcPr>
            <w:tcW w:w="1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7.11    Acceptance of Appointment By Successor</w:t>
            </w:r>
          </w:p>
        </w:tc>
        <w:tc>
          <w:tcPr>
            <w:tcW w:w="17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02"/>
        </w:trPr>
        <w:tc>
          <w:tcPr>
            <w:tcW w:w="9120" w:type="dxa"/>
            <w:vAlign w:val="bottom"/>
            <w:gridSpan w:val="2"/>
          </w:tcPr>
          <w:p>
            <w:pPr>
              <w:ind w:left="560"/>
              <w:spacing w:after="0"/>
              <w:rPr>
                <w:sz w:val="20"/>
                <w:szCs w:val="20"/>
                <w:color w:val="auto"/>
              </w:rPr>
            </w:pPr>
            <w:r>
              <w:rPr>
                <w:rFonts w:ascii="Arial" w:cs="Arial" w:eastAsia="Arial" w:hAnsi="Arial"/>
                <w:sz w:val="17"/>
                <w:szCs w:val="17"/>
                <w:color w:val="auto"/>
              </w:rPr>
              <w:t>Section 7.12    Merger, Conversion, Consolidation or Succession to Business</w:t>
            </w:r>
          </w:p>
        </w:tc>
        <w:tc>
          <w:tcPr>
            <w:tcW w:w="1740" w:type="dxa"/>
            <w:vAlign w:val="bottom"/>
          </w:tcPr>
          <w:p>
            <w:pPr>
              <w:jc w:val="right"/>
              <w:spacing w:after="0"/>
              <w:rPr>
                <w:sz w:val="20"/>
                <w:szCs w:val="20"/>
                <w:color w:val="auto"/>
              </w:rPr>
            </w:pPr>
            <w:r>
              <w:rPr>
                <w:rFonts w:ascii="Arial" w:cs="Arial" w:eastAsia="Arial" w:hAnsi="Arial"/>
                <w:sz w:val="17"/>
                <w:szCs w:val="17"/>
                <w:color w:val="auto"/>
              </w:rPr>
              <w:t>35</w:t>
            </w:r>
          </w:p>
        </w:tc>
      </w:tr>
    </w:tbl>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52" w:right="719" w:bottom="1440" w:gutter="0" w:footer="0" w:header="0"/>
        </w:sectPr>
      </w:pPr>
    </w:p>
    <w:bookmarkStart w:id="109" w:name="page110"/>
    <w:bookmarkEnd w:id="109"/>
    <w:p>
      <w:pPr>
        <w:jc w:val="center"/>
        <w:ind w:right="-379"/>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ABLE</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ONTENTS</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1"/>
          <w:szCs w:val="11"/>
          <w:b w:val="1"/>
          <w:bCs w:val="1"/>
          <w:color w:val="auto"/>
        </w:rPr>
        <w:t>CONTINUED</w:t>
      </w:r>
      <w:r>
        <w:rPr>
          <w:rFonts w:ascii="Arial" w:cs="Arial" w:eastAsia="Arial" w:hAnsi="Arial"/>
          <w:sz w:val="17"/>
          <w:szCs w:val="17"/>
          <w:b w:val="1"/>
          <w:bCs w:val="1"/>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AGE</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7.13</w:t>
            </w:r>
          </w:p>
        </w:tc>
        <w:tc>
          <w:tcPr>
            <w:tcW w:w="7440" w:type="dxa"/>
            <w:vAlign w:val="bottom"/>
          </w:tcPr>
          <w:p>
            <w:pPr>
              <w:ind w:left="100"/>
              <w:spacing w:after="0"/>
              <w:rPr>
                <w:sz w:val="20"/>
                <w:szCs w:val="20"/>
                <w:color w:val="auto"/>
              </w:rPr>
            </w:pPr>
            <w:r>
              <w:rPr>
                <w:rFonts w:ascii="Arial" w:cs="Arial" w:eastAsia="Arial" w:hAnsi="Arial"/>
                <w:sz w:val="17"/>
                <w:szCs w:val="17"/>
                <w:color w:val="auto"/>
              </w:rPr>
              <w:t>Preferential Collection of Claims Against the Company</w:t>
            </w:r>
          </w:p>
        </w:tc>
        <w:tc>
          <w:tcPr>
            <w:tcW w:w="18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7.14</w:t>
            </w:r>
          </w:p>
        </w:tc>
        <w:tc>
          <w:tcPr>
            <w:tcW w:w="7440" w:type="dxa"/>
            <w:vAlign w:val="bottom"/>
          </w:tcPr>
          <w:p>
            <w:pPr>
              <w:ind w:left="100"/>
              <w:spacing w:after="0"/>
              <w:rPr>
                <w:sz w:val="20"/>
                <w:szCs w:val="20"/>
                <w:color w:val="auto"/>
              </w:rPr>
            </w:pPr>
            <w:r>
              <w:rPr>
                <w:rFonts w:ascii="Arial" w:cs="Arial" w:eastAsia="Arial" w:hAnsi="Arial"/>
                <w:sz w:val="17"/>
                <w:szCs w:val="17"/>
                <w:color w:val="auto"/>
              </w:rPr>
              <w:t>Notice of Default</w:t>
            </w:r>
          </w:p>
        </w:tc>
        <w:tc>
          <w:tcPr>
            <w:tcW w:w="18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27"/>
        </w:trPr>
        <w:tc>
          <w:tcPr>
            <w:tcW w:w="1140" w:type="dxa"/>
            <w:vAlign w:val="bottom"/>
          </w:tcPr>
          <w:p>
            <w:pPr>
              <w:spacing w:after="0"/>
              <w:rPr>
                <w:sz w:val="20"/>
                <w:szCs w:val="20"/>
                <w:color w:val="auto"/>
              </w:rPr>
            </w:pPr>
            <w:r>
              <w:rPr>
                <w:rFonts w:ascii="Arial" w:cs="Arial" w:eastAsia="Arial" w:hAnsi="Arial"/>
                <w:sz w:val="17"/>
                <w:szCs w:val="17"/>
                <w:color w:val="auto"/>
              </w:rPr>
              <w:t>ARTICLE 8</w:t>
            </w:r>
          </w:p>
        </w:tc>
        <w:tc>
          <w:tcPr>
            <w:tcW w:w="7900" w:type="dxa"/>
            <w:vAlign w:val="bottom"/>
            <w:gridSpan w:val="2"/>
          </w:tcPr>
          <w:p>
            <w:pPr>
              <w:ind w:left="220"/>
              <w:spacing w:after="0"/>
              <w:rPr>
                <w:sz w:val="20"/>
                <w:szCs w:val="20"/>
                <w:color w:val="auto"/>
              </w:rPr>
            </w:pPr>
            <w:r>
              <w:rPr>
                <w:rFonts w:ascii="Arial" w:cs="Arial" w:eastAsia="Arial" w:hAnsi="Arial"/>
                <w:sz w:val="17"/>
                <w:szCs w:val="17"/>
                <w:color w:val="auto"/>
              </w:rPr>
              <w:t>CONCERNING THE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27"/>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8.01</w:t>
            </w:r>
          </w:p>
        </w:tc>
        <w:tc>
          <w:tcPr>
            <w:tcW w:w="7440" w:type="dxa"/>
            <w:vAlign w:val="bottom"/>
          </w:tcPr>
          <w:p>
            <w:pPr>
              <w:ind w:left="100"/>
              <w:spacing w:after="0"/>
              <w:rPr>
                <w:sz w:val="20"/>
                <w:szCs w:val="20"/>
                <w:color w:val="auto"/>
              </w:rPr>
            </w:pPr>
            <w:r>
              <w:rPr>
                <w:rFonts w:ascii="Arial" w:cs="Arial" w:eastAsia="Arial" w:hAnsi="Arial"/>
                <w:sz w:val="17"/>
                <w:szCs w:val="17"/>
                <w:color w:val="auto"/>
              </w:rPr>
              <w:t>Evidence of Action by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8.02</w:t>
            </w:r>
          </w:p>
        </w:tc>
        <w:tc>
          <w:tcPr>
            <w:tcW w:w="7440" w:type="dxa"/>
            <w:vAlign w:val="bottom"/>
          </w:tcPr>
          <w:p>
            <w:pPr>
              <w:ind w:left="100"/>
              <w:spacing w:after="0"/>
              <w:rPr>
                <w:sz w:val="20"/>
                <w:szCs w:val="20"/>
                <w:color w:val="auto"/>
              </w:rPr>
            </w:pPr>
            <w:r>
              <w:rPr>
                <w:rFonts w:ascii="Arial" w:cs="Arial" w:eastAsia="Arial" w:hAnsi="Arial"/>
                <w:sz w:val="17"/>
                <w:szCs w:val="17"/>
                <w:color w:val="auto"/>
              </w:rPr>
              <w:t>Proof of Execution by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8.03</w:t>
            </w:r>
          </w:p>
        </w:tc>
        <w:tc>
          <w:tcPr>
            <w:tcW w:w="7440" w:type="dxa"/>
            <w:vAlign w:val="bottom"/>
          </w:tcPr>
          <w:p>
            <w:pPr>
              <w:ind w:left="100"/>
              <w:spacing w:after="0"/>
              <w:rPr>
                <w:sz w:val="20"/>
                <w:szCs w:val="20"/>
                <w:color w:val="auto"/>
              </w:rPr>
            </w:pPr>
            <w:r>
              <w:rPr>
                <w:rFonts w:ascii="Arial" w:cs="Arial" w:eastAsia="Arial" w:hAnsi="Arial"/>
                <w:sz w:val="17"/>
                <w:szCs w:val="17"/>
                <w:color w:val="auto"/>
              </w:rPr>
              <w:t>Who May be Deemed Owners</w:t>
            </w:r>
          </w:p>
        </w:tc>
        <w:tc>
          <w:tcPr>
            <w:tcW w:w="18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8.04</w:t>
            </w:r>
          </w:p>
        </w:tc>
        <w:tc>
          <w:tcPr>
            <w:tcW w:w="7440" w:type="dxa"/>
            <w:vAlign w:val="bottom"/>
          </w:tcPr>
          <w:p>
            <w:pPr>
              <w:ind w:left="100"/>
              <w:spacing w:after="0"/>
              <w:rPr>
                <w:sz w:val="20"/>
                <w:szCs w:val="20"/>
                <w:color w:val="auto"/>
              </w:rPr>
            </w:pPr>
            <w:r>
              <w:rPr>
                <w:rFonts w:ascii="Arial" w:cs="Arial" w:eastAsia="Arial" w:hAnsi="Arial"/>
                <w:sz w:val="17"/>
                <w:szCs w:val="17"/>
                <w:color w:val="auto"/>
              </w:rPr>
              <w:t>Certain Securities Owned by Company Disregarded</w:t>
            </w:r>
          </w:p>
        </w:tc>
        <w:tc>
          <w:tcPr>
            <w:tcW w:w="18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8.05</w:t>
            </w:r>
          </w:p>
        </w:tc>
        <w:tc>
          <w:tcPr>
            <w:tcW w:w="7440" w:type="dxa"/>
            <w:vAlign w:val="bottom"/>
          </w:tcPr>
          <w:p>
            <w:pPr>
              <w:ind w:left="100"/>
              <w:spacing w:after="0"/>
              <w:rPr>
                <w:sz w:val="20"/>
                <w:szCs w:val="20"/>
                <w:color w:val="auto"/>
              </w:rPr>
            </w:pPr>
            <w:r>
              <w:rPr>
                <w:rFonts w:ascii="Arial" w:cs="Arial" w:eastAsia="Arial" w:hAnsi="Arial"/>
                <w:sz w:val="17"/>
                <w:szCs w:val="17"/>
                <w:color w:val="auto"/>
              </w:rPr>
              <w:t>Actions Binding on Future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27"/>
        </w:trPr>
        <w:tc>
          <w:tcPr>
            <w:tcW w:w="1140" w:type="dxa"/>
            <w:vAlign w:val="bottom"/>
          </w:tcPr>
          <w:p>
            <w:pPr>
              <w:spacing w:after="0"/>
              <w:rPr>
                <w:sz w:val="20"/>
                <w:szCs w:val="20"/>
                <w:color w:val="auto"/>
              </w:rPr>
            </w:pPr>
            <w:r>
              <w:rPr>
                <w:rFonts w:ascii="Arial" w:cs="Arial" w:eastAsia="Arial" w:hAnsi="Arial"/>
                <w:sz w:val="17"/>
                <w:szCs w:val="17"/>
                <w:color w:val="auto"/>
              </w:rPr>
              <w:t>ARTICLE 9</w:t>
            </w:r>
          </w:p>
        </w:tc>
        <w:tc>
          <w:tcPr>
            <w:tcW w:w="7900" w:type="dxa"/>
            <w:vAlign w:val="bottom"/>
            <w:gridSpan w:val="2"/>
          </w:tcPr>
          <w:p>
            <w:pPr>
              <w:ind w:left="220"/>
              <w:spacing w:after="0"/>
              <w:rPr>
                <w:sz w:val="20"/>
                <w:szCs w:val="20"/>
                <w:color w:val="auto"/>
              </w:rPr>
            </w:pPr>
            <w:r>
              <w:rPr>
                <w:rFonts w:ascii="Arial" w:cs="Arial" w:eastAsia="Arial" w:hAnsi="Arial"/>
                <w:sz w:val="17"/>
                <w:szCs w:val="17"/>
                <w:color w:val="auto"/>
              </w:rPr>
              <w:t>SUPPLEMENTAL INDENTURES</w:t>
            </w:r>
          </w:p>
        </w:tc>
        <w:tc>
          <w:tcPr>
            <w:tcW w:w="18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27"/>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9.01</w:t>
            </w:r>
          </w:p>
        </w:tc>
        <w:tc>
          <w:tcPr>
            <w:tcW w:w="7440" w:type="dxa"/>
            <w:vAlign w:val="bottom"/>
          </w:tcPr>
          <w:p>
            <w:pPr>
              <w:ind w:left="100"/>
              <w:spacing w:after="0"/>
              <w:rPr>
                <w:sz w:val="20"/>
                <w:szCs w:val="20"/>
                <w:color w:val="auto"/>
              </w:rPr>
            </w:pPr>
            <w:r>
              <w:rPr>
                <w:rFonts w:ascii="Arial" w:cs="Arial" w:eastAsia="Arial" w:hAnsi="Arial"/>
                <w:sz w:val="17"/>
                <w:szCs w:val="17"/>
                <w:color w:val="auto"/>
              </w:rPr>
              <w:t>Supplemental Indentures Without the Consent of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9.02</w:t>
            </w:r>
          </w:p>
        </w:tc>
        <w:tc>
          <w:tcPr>
            <w:tcW w:w="7440" w:type="dxa"/>
            <w:vAlign w:val="bottom"/>
          </w:tcPr>
          <w:p>
            <w:pPr>
              <w:ind w:left="100"/>
              <w:spacing w:after="0"/>
              <w:rPr>
                <w:sz w:val="20"/>
                <w:szCs w:val="20"/>
                <w:color w:val="auto"/>
              </w:rPr>
            </w:pPr>
            <w:r>
              <w:rPr>
                <w:rFonts w:ascii="Arial" w:cs="Arial" w:eastAsia="Arial" w:hAnsi="Arial"/>
                <w:sz w:val="17"/>
                <w:szCs w:val="17"/>
                <w:color w:val="auto"/>
              </w:rPr>
              <w:t>Supplemental Indentures With Consent of Securityholders</w:t>
            </w:r>
          </w:p>
        </w:tc>
        <w:tc>
          <w:tcPr>
            <w:tcW w:w="18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9.03</w:t>
            </w:r>
          </w:p>
        </w:tc>
        <w:tc>
          <w:tcPr>
            <w:tcW w:w="7440" w:type="dxa"/>
            <w:vAlign w:val="bottom"/>
          </w:tcPr>
          <w:p>
            <w:pPr>
              <w:ind w:left="100"/>
              <w:spacing w:after="0"/>
              <w:rPr>
                <w:sz w:val="20"/>
                <w:szCs w:val="20"/>
                <w:color w:val="auto"/>
              </w:rPr>
            </w:pPr>
            <w:r>
              <w:rPr>
                <w:rFonts w:ascii="Arial" w:cs="Arial" w:eastAsia="Arial" w:hAnsi="Arial"/>
                <w:sz w:val="17"/>
                <w:szCs w:val="17"/>
                <w:color w:val="auto"/>
              </w:rPr>
              <w:t>Effect of Supplemental Indentures</w:t>
            </w:r>
          </w:p>
        </w:tc>
        <w:tc>
          <w:tcPr>
            <w:tcW w:w="18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9.04</w:t>
            </w:r>
          </w:p>
        </w:tc>
        <w:tc>
          <w:tcPr>
            <w:tcW w:w="7440" w:type="dxa"/>
            <w:vAlign w:val="bottom"/>
          </w:tcPr>
          <w:p>
            <w:pPr>
              <w:ind w:left="100"/>
              <w:spacing w:after="0"/>
              <w:rPr>
                <w:sz w:val="20"/>
                <w:szCs w:val="20"/>
                <w:color w:val="auto"/>
              </w:rPr>
            </w:pPr>
            <w:r>
              <w:rPr>
                <w:rFonts w:ascii="Arial" w:cs="Arial" w:eastAsia="Arial" w:hAnsi="Arial"/>
                <w:sz w:val="17"/>
                <w:szCs w:val="17"/>
                <w:color w:val="auto"/>
              </w:rPr>
              <w:t>Securities Affected by Supplemental Indentures</w:t>
            </w:r>
          </w:p>
        </w:tc>
        <w:tc>
          <w:tcPr>
            <w:tcW w:w="18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Section 9.05</w:t>
            </w:r>
          </w:p>
        </w:tc>
        <w:tc>
          <w:tcPr>
            <w:tcW w:w="7440" w:type="dxa"/>
            <w:vAlign w:val="bottom"/>
          </w:tcPr>
          <w:p>
            <w:pPr>
              <w:ind w:left="100"/>
              <w:spacing w:after="0"/>
              <w:rPr>
                <w:sz w:val="20"/>
                <w:szCs w:val="20"/>
                <w:color w:val="auto"/>
              </w:rPr>
            </w:pPr>
            <w:r>
              <w:rPr>
                <w:rFonts w:ascii="Arial" w:cs="Arial" w:eastAsia="Arial" w:hAnsi="Arial"/>
                <w:sz w:val="17"/>
                <w:szCs w:val="17"/>
                <w:color w:val="auto"/>
              </w:rPr>
              <w:t>Execution of Supplemental Indentures</w:t>
            </w:r>
          </w:p>
        </w:tc>
        <w:tc>
          <w:tcPr>
            <w:tcW w:w="18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27"/>
        </w:trPr>
        <w:tc>
          <w:tcPr>
            <w:tcW w:w="1140" w:type="dxa"/>
            <w:vAlign w:val="bottom"/>
          </w:tcPr>
          <w:p>
            <w:pPr>
              <w:spacing w:after="0"/>
              <w:rPr>
                <w:sz w:val="20"/>
                <w:szCs w:val="20"/>
                <w:color w:val="auto"/>
              </w:rPr>
            </w:pPr>
            <w:r>
              <w:rPr>
                <w:rFonts w:ascii="Arial" w:cs="Arial" w:eastAsia="Arial" w:hAnsi="Arial"/>
                <w:sz w:val="17"/>
                <w:szCs w:val="17"/>
                <w:color w:val="auto"/>
              </w:rPr>
              <w:t>ARTICLE 10</w:t>
            </w:r>
          </w:p>
        </w:tc>
        <w:tc>
          <w:tcPr>
            <w:tcW w:w="7900" w:type="dxa"/>
            <w:vAlign w:val="bottom"/>
            <w:gridSpan w:val="2"/>
          </w:tcPr>
          <w:p>
            <w:pPr>
              <w:ind w:left="220"/>
              <w:spacing w:after="0"/>
              <w:rPr>
                <w:sz w:val="20"/>
                <w:szCs w:val="20"/>
                <w:color w:val="auto"/>
              </w:rPr>
            </w:pPr>
            <w:r>
              <w:rPr>
                <w:rFonts w:ascii="Arial" w:cs="Arial" w:eastAsia="Arial" w:hAnsi="Arial"/>
                <w:sz w:val="17"/>
                <w:szCs w:val="17"/>
                <w:color w:val="auto"/>
              </w:rPr>
              <w:t>SUCCESSOR ENTITY</w:t>
            </w:r>
          </w:p>
        </w:tc>
        <w:tc>
          <w:tcPr>
            <w:tcW w:w="18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27"/>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10.01</w:t>
            </w:r>
          </w:p>
        </w:tc>
        <w:tc>
          <w:tcPr>
            <w:tcW w:w="7440" w:type="dxa"/>
            <w:vAlign w:val="bottom"/>
          </w:tcPr>
          <w:p>
            <w:pPr>
              <w:ind w:left="100"/>
              <w:spacing w:after="0"/>
              <w:rPr>
                <w:sz w:val="20"/>
                <w:szCs w:val="20"/>
                <w:color w:val="auto"/>
              </w:rPr>
            </w:pPr>
            <w:r>
              <w:rPr>
                <w:rFonts w:ascii="Arial" w:cs="Arial" w:eastAsia="Arial" w:hAnsi="Arial"/>
                <w:sz w:val="17"/>
                <w:szCs w:val="17"/>
                <w:color w:val="auto"/>
              </w:rPr>
              <w:t>Company May Consolidate, Etc.</w:t>
            </w:r>
          </w:p>
        </w:tc>
        <w:tc>
          <w:tcPr>
            <w:tcW w:w="18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10.02</w:t>
            </w:r>
          </w:p>
        </w:tc>
        <w:tc>
          <w:tcPr>
            <w:tcW w:w="7440" w:type="dxa"/>
            <w:vAlign w:val="bottom"/>
          </w:tcPr>
          <w:p>
            <w:pPr>
              <w:ind w:left="100"/>
              <w:spacing w:after="0"/>
              <w:rPr>
                <w:sz w:val="20"/>
                <w:szCs w:val="20"/>
                <w:color w:val="auto"/>
              </w:rPr>
            </w:pPr>
            <w:r>
              <w:rPr>
                <w:rFonts w:ascii="Arial" w:cs="Arial" w:eastAsia="Arial" w:hAnsi="Arial"/>
                <w:sz w:val="17"/>
                <w:szCs w:val="17"/>
                <w:color w:val="auto"/>
              </w:rPr>
              <w:t>Successor Entity Substituted</w:t>
            </w:r>
          </w:p>
        </w:tc>
        <w:tc>
          <w:tcPr>
            <w:tcW w:w="18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27"/>
        </w:trPr>
        <w:tc>
          <w:tcPr>
            <w:tcW w:w="1140" w:type="dxa"/>
            <w:vAlign w:val="bottom"/>
          </w:tcPr>
          <w:p>
            <w:pPr>
              <w:spacing w:after="0"/>
              <w:rPr>
                <w:sz w:val="20"/>
                <w:szCs w:val="20"/>
                <w:color w:val="auto"/>
              </w:rPr>
            </w:pPr>
            <w:r>
              <w:rPr>
                <w:rFonts w:ascii="Arial" w:cs="Arial" w:eastAsia="Arial" w:hAnsi="Arial"/>
                <w:sz w:val="17"/>
                <w:szCs w:val="17"/>
                <w:color w:val="auto"/>
              </w:rPr>
              <w:t>ARTICLE 11</w:t>
            </w:r>
          </w:p>
        </w:tc>
        <w:tc>
          <w:tcPr>
            <w:tcW w:w="7900" w:type="dxa"/>
            <w:vAlign w:val="bottom"/>
            <w:gridSpan w:val="2"/>
          </w:tcPr>
          <w:p>
            <w:pPr>
              <w:ind w:left="220"/>
              <w:spacing w:after="0"/>
              <w:rPr>
                <w:sz w:val="20"/>
                <w:szCs w:val="20"/>
                <w:color w:val="auto"/>
              </w:rPr>
            </w:pPr>
            <w:r>
              <w:rPr>
                <w:rFonts w:ascii="Arial" w:cs="Arial" w:eastAsia="Arial" w:hAnsi="Arial"/>
                <w:sz w:val="17"/>
                <w:szCs w:val="17"/>
                <w:color w:val="auto"/>
              </w:rPr>
              <w:t>SATISFACTION AND DISCHARGE</w:t>
            </w:r>
          </w:p>
        </w:tc>
        <w:tc>
          <w:tcPr>
            <w:tcW w:w="18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27"/>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11.01</w:t>
            </w:r>
          </w:p>
        </w:tc>
        <w:tc>
          <w:tcPr>
            <w:tcW w:w="7440" w:type="dxa"/>
            <w:vAlign w:val="bottom"/>
          </w:tcPr>
          <w:p>
            <w:pPr>
              <w:ind w:left="100"/>
              <w:spacing w:after="0"/>
              <w:rPr>
                <w:sz w:val="20"/>
                <w:szCs w:val="20"/>
                <w:color w:val="auto"/>
              </w:rPr>
            </w:pPr>
            <w:r>
              <w:rPr>
                <w:rFonts w:ascii="Arial" w:cs="Arial" w:eastAsia="Arial" w:hAnsi="Arial"/>
                <w:sz w:val="17"/>
                <w:szCs w:val="17"/>
                <w:color w:val="auto"/>
              </w:rPr>
              <w:t>Satisfaction and Discharge of Indenture</w:t>
            </w:r>
          </w:p>
        </w:tc>
        <w:tc>
          <w:tcPr>
            <w:tcW w:w="18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11.02</w:t>
            </w:r>
          </w:p>
        </w:tc>
        <w:tc>
          <w:tcPr>
            <w:tcW w:w="7440" w:type="dxa"/>
            <w:vAlign w:val="bottom"/>
          </w:tcPr>
          <w:p>
            <w:pPr>
              <w:ind w:left="100"/>
              <w:spacing w:after="0"/>
              <w:rPr>
                <w:sz w:val="20"/>
                <w:szCs w:val="20"/>
                <w:color w:val="auto"/>
              </w:rPr>
            </w:pPr>
            <w:r>
              <w:rPr>
                <w:rFonts w:ascii="Arial" w:cs="Arial" w:eastAsia="Arial" w:hAnsi="Arial"/>
                <w:sz w:val="17"/>
                <w:szCs w:val="17"/>
                <w:color w:val="auto"/>
              </w:rPr>
              <w:t>Discharge of Obligations</w:t>
            </w:r>
          </w:p>
        </w:tc>
        <w:tc>
          <w:tcPr>
            <w:tcW w:w="18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11.03</w:t>
            </w:r>
          </w:p>
        </w:tc>
        <w:tc>
          <w:tcPr>
            <w:tcW w:w="7440" w:type="dxa"/>
            <w:vAlign w:val="bottom"/>
          </w:tcPr>
          <w:p>
            <w:pPr>
              <w:ind w:left="100"/>
              <w:spacing w:after="0"/>
              <w:rPr>
                <w:sz w:val="20"/>
                <w:szCs w:val="20"/>
                <w:color w:val="auto"/>
              </w:rPr>
            </w:pPr>
            <w:r>
              <w:rPr>
                <w:rFonts w:ascii="Arial" w:cs="Arial" w:eastAsia="Arial" w:hAnsi="Arial"/>
                <w:sz w:val="17"/>
                <w:szCs w:val="17"/>
                <w:color w:val="auto"/>
              </w:rPr>
              <w:t>Deposited Moneys to be Held in Trust</w:t>
            </w:r>
          </w:p>
        </w:tc>
        <w:tc>
          <w:tcPr>
            <w:tcW w:w="18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11.04</w:t>
            </w:r>
          </w:p>
        </w:tc>
        <w:tc>
          <w:tcPr>
            <w:tcW w:w="7440" w:type="dxa"/>
            <w:vAlign w:val="bottom"/>
          </w:tcPr>
          <w:p>
            <w:pPr>
              <w:ind w:left="100"/>
              <w:spacing w:after="0"/>
              <w:rPr>
                <w:sz w:val="20"/>
                <w:szCs w:val="20"/>
                <w:color w:val="auto"/>
              </w:rPr>
            </w:pPr>
            <w:r>
              <w:rPr>
                <w:rFonts w:ascii="Arial" w:cs="Arial" w:eastAsia="Arial" w:hAnsi="Arial"/>
                <w:sz w:val="17"/>
                <w:szCs w:val="17"/>
                <w:color w:val="auto"/>
              </w:rPr>
              <w:t>Payment of Moneys Held by Paying Agents</w:t>
            </w:r>
          </w:p>
        </w:tc>
        <w:tc>
          <w:tcPr>
            <w:tcW w:w="18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11.05</w:t>
            </w:r>
          </w:p>
        </w:tc>
        <w:tc>
          <w:tcPr>
            <w:tcW w:w="7440" w:type="dxa"/>
            <w:vAlign w:val="bottom"/>
          </w:tcPr>
          <w:p>
            <w:pPr>
              <w:ind w:left="100"/>
              <w:spacing w:after="0"/>
              <w:rPr>
                <w:sz w:val="20"/>
                <w:szCs w:val="20"/>
                <w:color w:val="auto"/>
              </w:rPr>
            </w:pPr>
            <w:r>
              <w:rPr>
                <w:rFonts w:ascii="Arial" w:cs="Arial" w:eastAsia="Arial" w:hAnsi="Arial"/>
                <w:sz w:val="17"/>
                <w:szCs w:val="17"/>
                <w:color w:val="auto"/>
              </w:rPr>
              <w:t>Repayment to Company</w:t>
            </w:r>
          </w:p>
        </w:tc>
        <w:tc>
          <w:tcPr>
            <w:tcW w:w="18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27"/>
        </w:trPr>
        <w:tc>
          <w:tcPr>
            <w:tcW w:w="1140" w:type="dxa"/>
            <w:vAlign w:val="bottom"/>
          </w:tcPr>
          <w:p>
            <w:pPr>
              <w:spacing w:after="0"/>
              <w:rPr>
                <w:sz w:val="20"/>
                <w:szCs w:val="20"/>
                <w:color w:val="auto"/>
              </w:rPr>
            </w:pPr>
            <w:r>
              <w:rPr>
                <w:rFonts w:ascii="Arial" w:cs="Arial" w:eastAsia="Arial" w:hAnsi="Arial"/>
                <w:sz w:val="17"/>
                <w:szCs w:val="17"/>
                <w:color w:val="auto"/>
              </w:rPr>
              <w:t>ARTICLE 12</w:t>
            </w:r>
          </w:p>
        </w:tc>
        <w:tc>
          <w:tcPr>
            <w:tcW w:w="7900" w:type="dxa"/>
            <w:vAlign w:val="bottom"/>
            <w:gridSpan w:val="2"/>
          </w:tcPr>
          <w:p>
            <w:pPr>
              <w:ind w:left="220"/>
              <w:spacing w:after="0"/>
              <w:rPr>
                <w:sz w:val="20"/>
                <w:szCs w:val="20"/>
                <w:color w:val="auto"/>
              </w:rPr>
            </w:pPr>
            <w:r>
              <w:rPr>
                <w:rFonts w:ascii="Arial" w:cs="Arial" w:eastAsia="Arial" w:hAnsi="Arial"/>
                <w:sz w:val="17"/>
                <w:szCs w:val="17"/>
                <w:color w:val="auto"/>
              </w:rPr>
              <w:t>IMMUNITY OF INCORPORATORS, STOCKHOLDERS, OFFICERS AND DIRECTORS</w:t>
            </w:r>
          </w:p>
        </w:tc>
        <w:tc>
          <w:tcPr>
            <w:tcW w:w="1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27"/>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12.01</w:t>
            </w:r>
          </w:p>
        </w:tc>
        <w:tc>
          <w:tcPr>
            <w:tcW w:w="7440" w:type="dxa"/>
            <w:vAlign w:val="bottom"/>
          </w:tcPr>
          <w:p>
            <w:pPr>
              <w:ind w:left="100"/>
              <w:spacing w:after="0"/>
              <w:rPr>
                <w:sz w:val="20"/>
                <w:szCs w:val="20"/>
                <w:color w:val="auto"/>
              </w:rPr>
            </w:pPr>
            <w:r>
              <w:rPr>
                <w:rFonts w:ascii="Arial" w:cs="Arial" w:eastAsia="Arial" w:hAnsi="Arial"/>
                <w:sz w:val="17"/>
                <w:szCs w:val="17"/>
                <w:color w:val="auto"/>
              </w:rPr>
              <w:t>No Recourse</w:t>
            </w:r>
          </w:p>
        </w:tc>
        <w:tc>
          <w:tcPr>
            <w:tcW w:w="1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rPr>
              <w:t>ARTICLE 13</w:t>
            </w:r>
          </w:p>
        </w:tc>
        <w:tc>
          <w:tcPr>
            <w:tcW w:w="7440" w:type="dxa"/>
            <w:vAlign w:val="bottom"/>
          </w:tcPr>
          <w:p>
            <w:pPr>
              <w:ind w:left="100"/>
              <w:spacing w:after="0"/>
              <w:rPr>
                <w:sz w:val="20"/>
                <w:szCs w:val="20"/>
                <w:color w:val="auto"/>
              </w:rPr>
            </w:pPr>
            <w:r>
              <w:rPr>
                <w:rFonts w:ascii="Arial" w:cs="Arial" w:eastAsia="Arial" w:hAnsi="Arial"/>
                <w:sz w:val="17"/>
                <w:szCs w:val="17"/>
                <w:color w:val="auto"/>
              </w:rPr>
              <w:t>MISCELLANEOUS PROVISIONS</w:t>
            </w:r>
          </w:p>
        </w:tc>
        <w:tc>
          <w:tcPr>
            <w:tcW w:w="1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13.01</w:t>
            </w:r>
          </w:p>
        </w:tc>
        <w:tc>
          <w:tcPr>
            <w:tcW w:w="7440" w:type="dxa"/>
            <w:vAlign w:val="bottom"/>
          </w:tcPr>
          <w:p>
            <w:pPr>
              <w:ind w:left="100"/>
              <w:spacing w:after="0"/>
              <w:rPr>
                <w:sz w:val="20"/>
                <w:szCs w:val="20"/>
                <w:color w:val="auto"/>
              </w:rPr>
            </w:pPr>
            <w:r>
              <w:rPr>
                <w:rFonts w:ascii="Arial" w:cs="Arial" w:eastAsia="Arial" w:hAnsi="Arial"/>
                <w:sz w:val="17"/>
                <w:szCs w:val="17"/>
                <w:color w:val="auto"/>
              </w:rPr>
              <w:t>Effect on Successors and Assigns</w:t>
            </w:r>
          </w:p>
        </w:tc>
        <w:tc>
          <w:tcPr>
            <w:tcW w:w="1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13.02</w:t>
            </w:r>
          </w:p>
        </w:tc>
        <w:tc>
          <w:tcPr>
            <w:tcW w:w="7440" w:type="dxa"/>
            <w:vAlign w:val="bottom"/>
          </w:tcPr>
          <w:p>
            <w:pPr>
              <w:ind w:left="100"/>
              <w:spacing w:after="0"/>
              <w:rPr>
                <w:sz w:val="20"/>
                <w:szCs w:val="20"/>
                <w:color w:val="auto"/>
              </w:rPr>
            </w:pPr>
            <w:r>
              <w:rPr>
                <w:rFonts w:ascii="Arial" w:cs="Arial" w:eastAsia="Arial" w:hAnsi="Arial"/>
                <w:sz w:val="17"/>
                <w:szCs w:val="17"/>
                <w:color w:val="auto"/>
              </w:rPr>
              <w:t>Actions by Successor</w:t>
            </w:r>
          </w:p>
        </w:tc>
        <w:tc>
          <w:tcPr>
            <w:tcW w:w="1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Arial" w:cs="Arial" w:eastAsia="Arial" w:hAnsi="Arial"/>
                <w:sz w:val="17"/>
                <w:szCs w:val="17"/>
                <w:color w:val="auto"/>
                <w:w w:val="98"/>
              </w:rPr>
              <w:t>Section 13.03</w:t>
            </w:r>
          </w:p>
        </w:tc>
        <w:tc>
          <w:tcPr>
            <w:tcW w:w="7440" w:type="dxa"/>
            <w:vAlign w:val="bottom"/>
          </w:tcPr>
          <w:p>
            <w:pPr>
              <w:ind w:left="100"/>
              <w:spacing w:after="0"/>
              <w:rPr>
                <w:sz w:val="20"/>
                <w:szCs w:val="20"/>
                <w:color w:val="auto"/>
              </w:rPr>
            </w:pPr>
            <w:r>
              <w:rPr>
                <w:rFonts w:ascii="Arial" w:cs="Arial" w:eastAsia="Arial" w:hAnsi="Arial"/>
                <w:sz w:val="17"/>
                <w:szCs w:val="17"/>
                <w:color w:val="auto"/>
              </w:rPr>
              <w:t>Surrender of Company Powers</w:t>
            </w:r>
          </w:p>
        </w:tc>
        <w:tc>
          <w:tcPr>
            <w:tcW w:w="182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52" w:right="719" w:bottom="1440" w:gutter="0" w:footer="0" w:header="0"/>
        </w:sectPr>
      </w:pPr>
    </w:p>
    <w:bookmarkStart w:id="110" w:name="page111"/>
    <w:bookmarkEnd w:id="110"/>
    <w:p>
      <w:pPr>
        <w:jc w:val="center"/>
        <w:ind w:right="38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ABLE</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ONTENTS</w:t>
      </w:r>
    </w:p>
    <w:p>
      <w:pPr>
        <w:spacing w:after="0" w:line="22"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1"/>
          <w:szCs w:val="11"/>
          <w:b w:val="1"/>
          <w:bCs w:val="1"/>
          <w:color w:val="auto"/>
        </w:rPr>
        <w:t>CONTINUED</w:t>
      </w:r>
      <w:r>
        <w:rPr>
          <w:rFonts w:ascii="Arial" w:cs="Arial" w:eastAsia="Arial" w:hAnsi="Arial"/>
          <w:sz w:val="17"/>
          <w:szCs w:val="17"/>
          <w:b w:val="1"/>
          <w:bCs w:val="1"/>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180" w:type="dxa"/>
            <w:vAlign w:val="bottom"/>
          </w:tcPr>
          <w:p>
            <w:pPr>
              <w:jc w:val="right"/>
              <w:ind w:right="116"/>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AGE</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13.04</w:t>
            </w:r>
          </w:p>
        </w:tc>
        <w:tc>
          <w:tcPr>
            <w:tcW w:w="6280" w:type="dxa"/>
            <w:vAlign w:val="bottom"/>
          </w:tcPr>
          <w:p>
            <w:pPr>
              <w:ind w:left="100"/>
              <w:spacing w:after="0"/>
              <w:rPr>
                <w:sz w:val="20"/>
                <w:szCs w:val="20"/>
                <w:color w:val="auto"/>
              </w:rPr>
            </w:pPr>
            <w:r>
              <w:rPr>
                <w:rFonts w:ascii="Arial" w:cs="Arial" w:eastAsia="Arial" w:hAnsi="Arial"/>
                <w:sz w:val="17"/>
                <w:szCs w:val="17"/>
                <w:color w:val="auto"/>
              </w:rPr>
              <w:t>Notices</w:t>
            </w:r>
          </w:p>
        </w:tc>
        <w:tc>
          <w:tcPr>
            <w:tcW w:w="3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13.05   Governing Law; Jury Trial Waiver</w:t>
            </w:r>
          </w:p>
        </w:tc>
        <w:tc>
          <w:tcPr>
            <w:tcW w:w="3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13.06   Treatment of Securities as Debt</w:t>
            </w:r>
          </w:p>
        </w:tc>
        <w:tc>
          <w:tcPr>
            <w:tcW w:w="3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13.07   Certificates and Opinions as to Conditions Precedent</w:t>
            </w:r>
          </w:p>
        </w:tc>
        <w:tc>
          <w:tcPr>
            <w:tcW w:w="3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13.08   Payments on Business Days</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13.09   Conflict with Trust Indenture Act</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13.10</w:t>
            </w:r>
          </w:p>
        </w:tc>
        <w:tc>
          <w:tcPr>
            <w:tcW w:w="6280" w:type="dxa"/>
            <w:vAlign w:val="bottom"/>
          </w:tcPr>
          <w:p>
            <w:pPr>
              <w:ind w:left="100"/>
              <w:spacing w:after="0"/>
              <w:rPr>
                <w:sz w:val="20"/>
                <w:szCs w:val="20"/>
                <w:color w:val="auto"/>
              </w:rPr>
            </w:pPr>
            <w:r>
              <w:rPr>
                <w:rFonts w:ascii="Arial" w:cs="Arial" w:eastAsia="Arial" w:hAnsi="Arial"/>
                <w:sz w:val="17"/>
                <w:szCs w:val="17"/>
                <w:color w:val="auto"/>
              </w:rPr>
              <w:t>Counterparts</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13.11</w:t>
            </w:r>
          </w:p>
        </w:tc>
        <w:tc>
          <w:tcPr>
            <w:tcW w:w="6280" w:type="dxa"/>
            <w:vAlign w:val="bottom"/>
          </w:tcPr>
          <w:p>
            <w:pPr>
              <w:ind w:left="100"/>
              <w:spacing w:after="0"/>
              <w:rPr>
                <w:sz w:val="20"/>
                <w:szCs w:val="20"/>
                <w:color w:val="auto"/>
              </w:rPr>
            </w:pPr>
            <w:r>
              <w:rPr>
                <w:rFonts w:ascii="Arial" w:cs="Arial" w:eastAsia="Arial" w:hAnsi="Arial"/>
                <w:sz w:val="17"/>
                <w:szCs w:val="17"/>
                <w:color w:val="auto"/>
              </w:rPr>
              <w:t>Separability</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13.12</w:t>
            </w:r>
          </w:p>
        </w:tc>
        <w:tc>
          <w:tcPr>
            <w:tcW w:w="6280" w:type="dxa"/>
            <w:vAlign w:val="bottom"/>
          </w:tcPr>
          <w:p>
            <w:pPr>
              <w:ind w:left="100"/>
              <w:spacing w:after="0"/>
              <w:rPr>
                <w:sz w:val="20"/>
                <w:szCs w:val="20"/>
                <w:color w:val="auto"/>
              </w:rPr>
            </w:pPr>
            <w:r>
              <w:rPr>
                <w:rFonts w:ascii="Arial" w:cs="Arial" w:eastAsia="Arial" w:hAnsi="Arial"/>
                <w:sz w:val="17"/>
                <w:szCs w:val="17"/>
                <w:color w:val="auto"/>
              </w:rPr>
              <w:t>Compliance Certificates</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13.13</w:t>
            </w:r>
          </w:p>
        </w:tc>
        <w:tc>
          <w:tcPr>
            <w:tcW w:w="6280" w:type="dxa"/>
            <w:vAlign w:val="bottom"/>
          </w:tcPr>
          <w:p>
            <w:pPr>
              <w:ind w:left="100"/>
              <w:spacing w:after="0"/>
              <w:rPr>
                <w:sz w:val="20"/>
                <w:szCs w:val="20"/>
                <w:color w:val="auto"/>
              </w:rPr>
            </w:pPr>
            <w:r>
              <w:rPr>
                <w:rFonts w:ascii="Arial" w:cs="Arial" w:eastAsia="Arial" w:hAnsi="Arial"/>
                <w:sz w:val="17"/>
                <w:szCs w:val="17"/>
                <w:color w:val="auto"/>
              </w:rPr>
              <w:t>Patriot Act</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1040" w:type="dxa"/>
            <w:vAlign w:val="bottom"/>
          </w:tcPr>
          <w:p>
            <w:pPr>
              <w:spacing w:after="0"/>
              <w:rPr>
                <w:sz w:val="20"/>
                <w:szCs w:val="20"/>
                <w:color w:val="auto"/>
              </w:rPr>
            </w:pPr>
            <w:r>
              <w:rPr>
                <w:rFonts w:ascii="Arial" w:cs="Arial" w:eastAsia="Arial" w:hAnsi="Arial"/>
                <w:sz w:val="17"/>
                <w:szCs w:val="17"/>
                <w:color w:val="auto"/>
                <w:w w:val="98"/>
              </w:rPr>
              <w:t>Section 13.14</w:t>
            </w:r>
          </w:p>
        </w:tc>
        <w:tc>
          <w:tcPr>
            <w:tcW w:w="6280" w:type="dxa"/>
            <w:vAlign w:val="bottom"/>
          </w:tcPr>
          <w:p>
            <w:pPr>
              <w:ind w:left="100"/>
              <w:spacing w:after="0"/>
              <w:rPr>
                <w:sz w:val="20"/>
                <w:szCs w:val="20"/>
                <w:color w:val="auto"/>
              </w:rPr>
            </w:pPr>
            <w:r>
              <w:rPr>
                <w:rFonts w:ascii="Arial" w:cs="Arial" w:eastAsia="Arial" w:hAnsi="Arial"/>
                <w:sz w:val="17"/>
                <w:szCs w:val="17"/>
                <w:color w:val="auto"/>
              </w:rPr>
              <w:t>Force Majeure</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02"/>
        </w:trPr>
        <w:tc>
          <w:tcPr>
            <w:tcW w:w="7320" w:type="dxa"/>
            <w:vAlign w:val="bottom"/>
            <w:gridSpan w:val="2"/>
          </w:tcPr>
          <w:p>
            <w:pPr>
              <w:spacing w:after="0"/>
              <w:rPr>
                <w:sz w:val="20"/>
                <w:szCs w:val="20"/>
                <w:color w:val="auto"/>
              </w:rPr>
            </w:pPr>
            <w:r>
              <w:rPr>
                <w:rFonts w:ascii="Arial" w:cs="Arial" w:eastAsia="Arial" w:hAnsi="Arial"/>
                <w:sz w:val="17"/>
                <w:szCs w:val="17"/>
                <w:color w:val="auto"/>
              </w:rPr>
              <w:t>Section 13.12   Table of Contents; Headings</w:t>
            </w:r>
          </w:p>
        </w:tc>
        <w:tc>
          <w:tcPr>
            <w:tcW w:w="318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11430</wp:posOffset>
            </wp:positionV>
            <wp:extent cx="7141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500"/>
          </w:cols>
          <w:pgMar w:left="880" w:top="852" w:right="5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INDENTURE</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0"/>
          <w:szCs w:val="10"/>
          <w:b w:val="1"/>
          <w:bCs w:val="1"/>
          <w:color w:val="auto"/>
        </w:rPr>
        <w:t>NDENTURE</w:t>
      </w:r>
      <w:r>
        <w:rPr>
          <w:rFonts w:ascii="Arial" w:cs="Arial" w:eastAsia="Arial" w:hAnsi="Arial"/>
          <w:sz w:val="16"/>
          <w:szCs w:val="16"/>
          <w:color w:val="auto"/>
        </w:rPr>
        <w:t>, dated as of [·], 20__, among</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ARKER</w:t>
      </w:r>
      <w:r>
        <w:rPr>
          <w:rFonts w:ascii="Arial" w:cs="Arial" w:eastAsia="Arial" w:hAnsi="Arial"/>
          <w:sz w:val="16"/>
          <w:szCs w:val="16"/>
          <w:b w:val="1"/>
          <w:bCs w:val="1"/>
          <w:color w:val="auto"/>
        </w:rPr>
        <w:t xml:space="preserve"> T</w:t>
      </w:r>
      <w:r>
        <w:rPr>
          <w:rFonts w:ascii="Arial" w:cs="Arial" w:eastAsia="Arial" w:hAnsi="Arial"/>
          <w:sz w:val="10"/>
          <w:szCs w:val="10"/>
          <w:b w:val="1"/>
          <w:bCs w:val="1"/>
          <w:color w:val="auto"/>
        </w:rPr>
        <w:t>HERAPEUTICS</w:t>
      </w:r>
      <w:r>
        <w:rPr>
          <w:rFonts w:ascii="Arial" w:cs="Arial" w:eastAsia="Arial" w:hAnsi="Arial"/>
          <w:sz w:val="16"/>
          <w:szCs w:val="16"/>
          <w:b w:val="1"/>
          <w:bCs w:val="1"/>
          <w:color w:val="auto"/>
        </w:rPr>
        <w:t>, I</w:t>
      </w:r>
      <w:r>
        <w:rPr>
          <w:rFonts w:ascii="Arial" w:cs="Arial" w:eastAsia="Arial" w:hAnsi="Arial"/>
          <w:sz w:val="10"/>
          <w:szCs w:val="10"/>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(the “Company”), and [</w:t>
      </w:r>
      <w:r>
        <w:rPr>
          <w:rFonts w:ascii="Arial" w:cs="Arial" w:eastAsia="Arial" w:hAnsi="Arial"/>
          <w:sz w:val="16"/>
          <w:szCs w:val="16"/>
          <w:b w:val="1"/>
          <w:bCs w:val="1"/>
          <w:color w:val="auto"/>
        </w:rPr>
        <w:t>T</w:t>
      </w:r>
      <w:r>
        <w:rPr>
          <w:rFonts w:ascii="Arial" w:cs="Arial" w:eastAsia="Arial" w:hAnsi="Arial"/>
          <w:sz w:val="10"/>
          <w:szCs w:val="10"/>
          <w:b w:val="1"/>
          <w:bCs w:val="1"/>
          <w:color w:val="auto"/>
        </w:rPr>
        <w:t>RUSTEE</w:t>
      </w:r>
      <w:r>
        <w:rPr>
          <w:rFonts w:ascii="Arial" w:cs="Arial" w:eastAsia="Arial" w:hAnsi="Arial"/>
          <w:sz w:val="16"/>
          <w:szCs w:val="16"/>
          <w:color w:val="auto"/>
        </w:rPr>
        <w:t>], as trustee (the “Trustee”):</w:t>
      </w:r>
    </w:p>
    <w:p>
      <w:pPr>
        <w:spacing w:after="0" w:line="218"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for its lawful corporate purposes, the Company has duly authorized the execution and delivery of this Indenture to provide for the issuance of debt</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9"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to provide the terms and conditions upon which the Securities are to be authenticated, issued and delivered, the Company has duly authorized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Indenture; and</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07"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premises and the purchase of the Securities by the holders thereof, it is mutually covenanted and agreed as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equal and ratable benefit of the holders of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1.01</w:t>
      </w:r>
      <w:r>
        <w:rPr>
          <w:sz w:val="20"/>
          <w:szCs w:val="20"/>
          <w:color w:val="auto"/>
        </w:rPr>
        <w:tab/>
      </w:r>
      <w:r>
        <w:rPr>
          <w:rFonts w:ascii="Arial" w:cs="Arial" w:eastAsia="Arial" w:hAnsi="Arial"/>
          <w:sz w:val="14"/>
          <w:szCs w:val="14"/>
          <w:b w:val="1"/>
          <w:bCs w:val="1"/>
          <w:color w:val="auto"/>
        </w:rPr>
        <w:t>Definitions of Terms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Authenticating Agent</w:t>
      </w:r>
      <w:r>
        <w:rPr>
          <w:rFonts w:ascii="Arial" w:cs="Arial" w:eastAsia="Arial" w:hAnsi="Arial"/>
          <w:sz w:val="17"/>
          <w:szCs w:val="17"/>
          <w:color w:val="auto"/>
        </w:rPr>
        <w:t>” means the Trustee or an authenticating agent with respect to all or any of the series of Securities appointed by the Trustee pursuant to Section 2.10.</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Bankruptcy Law</w:t>
      </w:r>
      <w:r>
        <w:rPr>
          <w:rFonts w:ascii="Arial" w:cs="Arial" w:eastAsia="Arial" w:hAnsi="Arial"/>
          <w:sz w:val="17"/>
          <w:szCs w:val="17"/>
          <w:color w:val="auto"/>
        </w:rPr>
        <w:t>” means Title 11, U.S. Code, or any similar federal or state law for the relief of debtors.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 of Directors</w:t>
      </w:r>
      <w:r>
        <w:rPr>
          <w:rFonts w:ascii="Arial" w:cs="Arial" w:eastAsia="Arial" w:hAnsi="Arial"/>
          <w:sz w:val="15"/>
          <w:szCs w:val="15"/>
          <w:color w:val="auto"/>
        </w:rPr>
        <w:t>” means the Board of Directors (or the functional equivalent thereof) of the Company or any duly authorized committee of such Board.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12" w:name="page113"/>
    <w:bookmarkEnd w:id="112"/>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67"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20"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Marker Therapeutics, Inc., a corporation duly organized and existing under the laws of the State of Delaware, and, subject to the provisions of Article Ten, shall also include its successors and assigns.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Corporate Trust Office</w:t>
      </w:r>
      <w:r>
        <w:rPr>
          <w:rFonts w:ascii="Arial" w:cs="Arial" w:eastAsia="Arial" w:hAnsi="Arial"/>
          <w:sz w:val="15"/>
          <w:szCs w:val="15"/>
          <w:color w:val="auto"/>
        </w:rPr>
        <w:t>” means the office of the Trustee at which, at any particular time, its corporate trust business shall be principally administered, which</w:t>
      </w:r>
    </w:p>
    <w:p>
      <w:pPr>
        <w:spacing w:after="0" w:line="41" w:lineRule="exact"/>
        <w:rPr>
          <w:sz w:val="20"/>
          <w:szCs w:val="20"/>
          <w:color w:val="auto"/>
        </w:rPr>
      </w:pPr>
    </w:p>
    <w:p>
      <w:pPr>
        <w:spacing w:after="0"/>
        <w:tabs>
          <w:tab w:leader="none" w:pos="7900" w:val="left"/>
        </w:tabs>
        <w:rPr>
          <w:sz w:val="20"/>
          <w:szCs w:val="20"/>
          <w:color w:val="auto"/>
        </w:rPr>
      </w:pPr>
      <w:r>
        <w:rPr>
          <w:rFonts w:ascii="Arial" w:cs="Arial" w:eastAsia="Arial" w:hAnsi="Arial"/>
          <w:sz w:val="17"/>
          <w:szCs w:val="17"/>
          <w:color w:val="auto"/>
        </w:rPr>
        <w:t>office at the date hereof is 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-19685</wp:posOffset>
            </wp:positionV>
            <wp:extent cx="3456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456305" cy="8255"/>
                    </a:xfrm>
                    <a:prstGeom prst="rect">
                      <a:avLst/>
                    </a:prstGeom>
                    <a:noFill/>
                  </pic:spPr>
                </pic:pic>
              </a:graphicData>
            </a:graphic>
          </wp:anchor>
        </w:drawing>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Custodian</w:t>
      </w:r>
      <w:r>
        <w:rPr>
          <w:rFonts w:ascii="Arial" w:cs="Arial" w:eastAsia="Arial" w:hAnsi="Arial"/>
          <w:sz w:val="17"/>
          <w:szCs w:val="17"/>
          <w:color w:val="auto"/>
        </w:rPr>
        <w:t>” means any receiver, trustee, assignee, liquidator or similar official under any Bankruptcy Law.</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Defaulted Interest</w:t>
      </w:r>
      <w:r>
        <w:rPr>
          <w:rFonts w:ascii="Arial" w:cs="Arial" w:eastAsia="Arial" w:hAnsi="Arial"/>
          <w:sz w:val="17"/>
          <w:szCs w:val="17"/>
          <w:color w:val="auto"/>
        </w:rPr>
        <w:t>” has the meaning set forth in Section 2.03.</w:t>
      </w:r>
    </w:p>
    <w:p>
      <w:pPr>
        <w:spacing w:after="0" w:line="20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Default</w:t>
      </w:r>
      <w:r>
        <w:rPr>
          <w:rFonts w:ascii="Arial" w:cs="Arial" w:eastAsia="Arial" w:hAnsi="Arial"/>
          <w:sz w:val="17"/>
          <w:szCs w:val="17"/>
          <w:color w:val="auto"/>
        </w:rPr>
        <w:t>” means, with respect to Securities of a particular series, any event specified in Section 6.01, continued for the period of time, if any, therein designated.</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United States Securities and Exchange Act of 1934, as amended, and the rules and regulations promulgated by the Commission thereunder.</w:t>
      </w:r>
    </w:p>
    <w:p>
      <w:pPr>
        <w:spacing w:after="0" w:line="167"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given</w:t>
      </w:r>
      <w:r>
        <w:rPr>
          <w:rFonts w:ascii="Arial" w:cs="Arial" w:eastAsia="Arial" w:hAnsi="Arial"/>
          <w:sz w:val="17"/>
          <w:szCs w:val="17"/>
          <w:color w:val="auto"/>
        </w:rPr>
        <w:t>”, “</w:t>
      </w:r>
      <w:r>
        <w:rPr>
          <w:rFonts w:ascii="Arial" w:cs="Arial" w:eastAsia="Arial" w:hAnsi="Arial"/>
          <w:sz w:val="17"/>
          <w:szCs w:val="17"/>
          <w:b w:val="1"/>
          <w:bCs w:val="1"/>
          <w:i w:val="1"/>
          <w:iCs w:val="1"/>
          <w:color w:val="auto"/>
        </w:rPr>
        <w:t>mailed</w:t>
      </w:r>
      <w:r>
        <w:rPr>
          <w:rFonts w:ascii="Arial" w:cs="Arial" w:eastAsia="Arial" w:hAnsi="Arial"/>
          <w:sz w:val="17"/>
          <w:szCs w:val="17"/>
          <w:color w:val="auto"/>
        </w:rPr>
        <w:t>”, “</w:t>
      </w:r>
      <w:r>
        <w:rPr>
          <w:rFonts w:ascii="Arial" w:cs="Arial" w:eastAsia="Arial" w:hAnsi="Arial"/>
          <w:sz w:val="17"/>
          <w:szCs w:val="17"/>
          <w:b w:val="1"/>
          <w:bCs w:val="1"/>
          <w:i w:val="1"/>
          <w:iCs w:val="1"/>
          <w:color w:val="auto"/>
        </w:rPr>
        <w:t>notify</w:t>
      </w:r>
      <w:r>
        <w:rPr>
          <w:rFonts w:ascii="Arial" w:cs="Arial" w:eastAsia="Arial" w:hAnsi="Arial"/>
          <w:sz w:val="17"/>
          <w:szCs w:val="17"/>
          <w:color w:val="auto"/>
        </w:rPr>
        <w:t>” or “</w:t>
      </w:r>
      <w:r>
        <w:rPr>
          <w:rFonts w:ascii="Arial" w:cs="Arial" w:eastAsia="Arial" w:hAnsi="Arial"/>
          <w:sz w:val="17"/>
          <w:szCs w:val="17"/>
          <w:b w:val="1"/>
          <w:bCs w:val="1"/>
          <w:i w:val="1"/>
          <w:iCs w:val="1"/>
          <w:color w:val="auto"/>
        </w:rPr>
        <w:t>sent</w:t>
      </w:r>
      <w:r>
        <w:rPr>
          <w:rFonts w:ascii="Arial" w:cs="Arial" w:eastAsia="Arial" w:hAnsi="Arial"/>
          <w:sz w:val="17"/>
          <w:szCs w:val="17"/>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3" w:name="page114"/>
    <w:bookmarkEnd w:id="113"/>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 Security</w:t>
      </w:r>
      <w:r>
        <w:rPr>
          <w:rFonts w:ascii="Arial" w:cs="Arial" w:eastAsia="Arial" w:hAnsi="Arial"/>
          <w:sz w:val="17"/>
          <w:szCs w:val="17"/>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6"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Governmental Obligations</w:t>
      </w:r>
      <w:r>
        <w:rPr>
          <w:rFonts w:ascii="Arial" w:cs="Arial" w:eastAsia="Arial" w:hAnsi="Arial"/>
          <w:sz w:val="15"/>
          <w:szCs w:val="15"/>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55"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herein</w:t>
      </w:r>
      <w:r>
        <w:rPr>
          <w:rFonts w:ascii="Arial" w:cs="Arial" w:eastAsia="Arial" w:hAnsi="Arial"/>
          <w:sz w:val="17"/>
          <w:szCs w:val="17"/>
          <w:color w:val="auto"/>
        </w:rPr>
        <w:t>”, “</w:t>
      </w:r>
      <w:r>
        <w:rPr>
          <w:rFonts w:ascii="Arial" w:cs="Arial" w:eastAsia="Arial" w:hAnsi="Arial"/>
          <w:sz w:val="17"/>
          <w:szCs w:val="17"/>
          <w:b w:val="1"/>
          <w:bCs w:val="1"/>
          <w:i w:val="1"/>
          <w:iCs w:val="1"/>
          <w:color w:val="auto"/>
        </w:rPr>
        <w:t>hereof</w:t>
      </w:r>
      <w:r>
        <w:rPr>
          <w:rFonts w:ascii="Arial" w:cs="Arial" w:eastAsia="Arial" w:hAnsi="Arial"/>
          <w:sz w:val="17"/>
          <w:szCs w:val="17"/>
          <w:b w:val="1"/>
          <w:b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hereunder</w:t>
      </w:r>
      <w:r>
        <w:rPr>
          <w:rFonts w:ascii="Arial" w:cs="Arial" w:eastAsia="Arial" w:hAnsi="Arial"/>
          <w:sz w:val="17"/>
          <w:szCs w:val="17"/>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Indenture</w:t>
      </w:r>
      <w:r>
        <w:rPr>
          <w:rFonts w:ascii="Arial" w:cs="Arial" w:eastAsia="Arial" w:hAnsi="Arial"/>
          <w:sz w:val="15"/>
          <w:szCs w:val="15"/>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20"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means a certificate signed by any Officer. Each such certificate shall include the statements provided for in Section 13.07, if and to the extent required by the provisions thereof.</w:t>
      </w:r>
    </w:p>
    <w:p>
      <w:pPr>
        <w:spacing w:after="0" w:line="16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Opinion of Counsel</w:t>
      </w:r>
      <w:r>
        <w:rPr>
          <w:rFonts w:ascii="Arial" w:cs="Arial" w:eastAsia="Arial" w:hAnsi="Arial"/>
          <w:sz w:val="17"/>
          <w:szCs w:val="17"/>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4" w:name="page115"/>
    <w:bookmarkEnd w:id="114"/>
    <w:p>
      <w:pPr>
        <w:jc w:val="both"/>
        <w:ind w:firstLine="603"/>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6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Predecessor Security</w:t>
      </w:r>
      <w:r>
        <w:rPr>
          <w:rFonts w:ascii="Arial" w:cs="Arial" w:eastAsia="Arial" w:hAnsi="Arial"/>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6" w:lineRule="exact"/>
        <w:rPr>
          <w:sz w:val="20"/>
          <w:szCs w:val="20"/>
          <w:color w:val="auto"/>
        </w:rPr>
      </w:pPr>
    </w:p>
    <w:p>
      <w:pPr>
        <w:jc w:val="both"/>
        <w:ind w:firstLine="60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62"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has the meaning stated in the first recital of this Indenture and more particularly means any Securities authenticated and delivered under this Indenture.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207" w:lineRule="exact"/>
        <w:rPr>
          <w:sz w:val="20"/>
          <w:szCs w:val="20"/>
          <w:color w:val="auto"/>
        </w:rPr>
      </w:pPr>
    </w:p>
    <w:p>
      <w:pPr>
        <w:ind w:right="520" w:firstLine="60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Securityholder</w:t>
      </w:r>
      <w:r>
        <w:rPr>
          <w:rFonts w:ascii="Arial" w:cs="Arial" w:eastAsia="Arial" w:hAnsi="Arial"/>
          <w:sz w:val="17"/>
          <w:szCs w:val="17"/>
          <w:color w:val="auto"/>
        </w:rPr>
        <w:t>”, “</w:t>
      </w:r>
      <w:r>
        <w:rPr>
          <w:rFonts w:ascii="Arial" w:cs="Arial" w:eastAsia="Arial" w:hAnsi="Arial"/>
          <w:sz w:val="17"/>
          <w:szCs w:val="17"/>
          <w:b w:val="1"/>
          <w:bCs w:val="1"/>
          <w:i w:val="1"/>
          <w:i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Register</w:t>
      </w:r>
      <w:r>
        <w:rPr>
          <w:rFonts w:ascii="Arial" w:cs="Arial" w:eastAsia="Arial" w:hAnsi="Arial"/>
          <w:sz w:val="17"/>
          <w:szCs w:val="17"/>
          <w:color w:val="auto"/>
        </w:rPr>
        <w:t>” and “</w:t>
      </w:r>
      <w:r>
        <w:rPr>
          <w:rFonts w:ascii="Arial" w:cs="Arial" w:eastAsia="Arial" w:hAnsi="Arial"/>
          <w:sz w:val="17"/>
          <w:szCs w:val="17"/>
          <w:b w:val="1"/>
          <w:bCs w:val="1"/>
          <w:i w:val="1"/>
          <w:iCs w:val="1"/>
          <w:color w:val="auto"/>
        </w:rPr>
        <w:t>Security Registrar</w:t>
      </w:r>
      <w:r>
        <w:rPr>
          <w:rFonts w:ascii="Arial" w:cs="Arial" w:eastAsia="Arial" w:hAnsi="Arial"/>
          <w:sz w:val="17"/>
          <w:szCs w:val="17"/>
          <w:color w:val="auto"/>
        </w:rPr>
        <w:t>” shall have the meanings as set forth in Section 2.05.</w:t>
      </w:r>
    </w:p>
    <w:p>
      <w:pPr>
        <w:spacing w:after="0" w:line="207" w:lineRule="exact"/>
        <w:rPr>
          <w:sz w:val="20"/>
          <w:szCs w:val="20"/>
          <w:color w:val="auto"/>
        </w:rPr>
      </w:pPr>
    </w:p>
    <w:p>
      <w:pPr>
        <w:jc w:val="both"/>
        <w:ind w:right="20" w:firstLine="603"/>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5" w:name="page116"/>
    <w:bookmarkEnd w:id="115"/>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Trustee</w:t>
      </w:r>
      <w:r>
        <w:rPr>
          <w:rFonts w:ascii="Arial" w:cs="Arial" w:eastAsia="Arial" w:hAnsi="Arial"/>
          <w:sz w:val="15"/>
          <w:szCs w:val="15"/>
          <w:color w:val="auto"/>
        </w:rPr>
        <w:t>” means _________________________, and, subject to the provisions of Article Seven, shall also include its successors and assigns, and, if at any</w:t>
      </w:r>
    </w:p>
    <w:p>
      <w:pPr>
        <w:spacing w:after="0" w:line="4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time there is more than one Person acting in such capacity hereunder, “Trustee” shall mean each such Person. The term “Trustee” as used with respect to a particular series of the Securities shall mean the trustee with respect to that series.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Trust Indenture Act</w:t>
      </w:r>
      <w:r>
        <w:rPr>
          <w:rFonts w:ascii="Arial" w:cs="Arial" w:eastAsia="Arial" w:hAnsi="Arial"/>
          <w:sz w:val="17"/>
          <w:szCs w:val="17"/>
          <w:color w:val="auto"/>
        </w:rPr>
        <w:t>” means the Trust Indenture Act of 1939, as amended.</w:t>
      </w:r>
    </w:p>
    <w:p>
      <w:pPr>
        <w:spacing w:after="0" w:line="207"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b w:val="1"/>
          <w:bCs w:val="1"/>
          <w:i w:val="1"/>
          <w:iCs w:val="1"/>
          <w:color w:val="auto"/>
        </w:rPr>
        <w:t xml:space="preserve">“U.S.A. Patriot Act” </w:t>
      </w:r>
      <w:r>
        <w:rPr>
          <w:rFonts w:ascii="Arial" w:cs="Arial" w:eastAsia="Arial" w:hAnsi="Arial"/>
          <w:sz w:val="17"/>
          <w:szCs w:val="17"/>
          <w:color w:val="auto"/>
        </w:rPr>
        <w:t>means the Uniting and Strengthening America by Providing Appropriate Tools Required to Intercept and Obstruct Terrorism Act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2001, Pub. L. 107-56, as amended and signed into law October 26, 2001.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ISSUE, DESCRIPTION, TERMS, EXECUTION, REGISTRATION AND EXCHANGE OF SECURITIES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2.01</w:t>
      </w:r>
      <w:r>
        <w:rPr>
          <w:sz w:val="20"/>
          <w:szCs w:val="20"/>
          <w:color w:val="auto"/>
        </w:rPr>
        <w:tab/>
      </w:r>
      <w:r>
        <w:rPr>
          <w:rFonts w:ascii="Arial" w:cs="Arial" w:eastAsia="Arial" w:hAnsi="Arial"/>
          <w:sz w:val="14"/>
          <w:szCs w:val="14"/>
          <w:b w:val="1"/>
          <w:bCs w:val="1"/>
          <w:color w:val="auto"/>
        </w:rPr>
        <w:t>Designation and Terms of Securities</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75" w:lineRule="auto"/>
        <w:tabs>
          <w:tab w:leader="none" w:pos="2117"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62" w:lineRule="exact"/>
        <w:rPr>
          <w:rFonts w:ascii="Arial" w:cs="Arial" w:eastAsia="Arial" w:hAnsi="Arial"/>
          <w:sz w:val="16"/>
          <w:szCs w:val="16"/>
          <w:b w:val="1"/>
          <w:bCs w:val="1"/>
          <w:color w:val="auto"/>
        </w:rPr>
      </w:pPr>
    </w:p>
    <w:p>
      <w:pPr>
        <w:ind w:left="2640" w:hanging="830"/>
        <w:spacing w:after="0"/>
        <w:tabs>
          <w:tab w:leader="none" w:pos="2640" w:val="left"/>
        </w:tabs>
        <w:numPr>
          <w:ilvl w:val="1"/>
          <w:numId w:val="109"/>
        </w:numPr>
        <w:rPr>
          <w:rFonts w:ascii="Arial" w:cs="Arial" w:eastAsia="Arial" w:hAnsi="Arial"/>
          <w:sz w:val="16"/>
          <w:szCs w:val="16"/>
          <w:b w:val="1"/>
          <w:bCs w:val="1"/>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218" w:lineRule="exact"/>
        <w:rPr>
          <w:rFonts w:ascii="Arial" w:cs="Arial" w:eastAsia="Arial" w:hAnsi="Arial"/>
          <w:sz w:val="16"/>
          <w:szCs w:val="16"/>
          <w:b w:val="1"/>
          <w:bCs w:val="1"/>
          <w:color w:val="auto"/>
        </w:rPr>
      </w:pPr>
    </w:p>
    <w:p>
      <w:pPr>
        <w:ind w:firstLine="1810"/>
        <w:spacing w:after="0" w:line="336" w:lineRule="auto"/>
        <w:tabs>
          <w:tab w:leader="none" w:pos="2658" w:val="left"/>
        </w:tabs>
        <w:numPr>
          <w:ilvl w:val="1"/>
          <w:numId w:val="109"/>
        </w:numPr>
        <w:rPr>
          <w:rFonts w:ascii="Arial" w:cs="Arial" w:eastAsia="Arial" w:hAnsi="Arial"/>
          <w:sz w:val="15"/>
          <w:szCs w:val="15"/>
          <w:b w:val="1"/>
          <w:bCs w:val="1"/>
          <w:color w:val="auto"/>
        </w:rPr>
      </w:pPr>
      <w:r>
        <w:rPr>
          <w:rFonts w:ascii="Arial" w:cs="Arial" w:eastAsia="Arial" w:hAnsi="Arial"/>
          <w:sz w:val="15"/>
          <w:szCs w:val="15"/>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20" w:lineRule="exact"/>
        <w:rPr>
          <w:rFonts w:ascii="Arial" w:cs="Arial" w:eastAsia="Arial" w:hAnsi="Arial"/>
          <w:sz w:val="15"/>
          <w:szCs w:val="15"/>
          <w:b w:val="1"/>
          <w:bCs w:val="1"/>
          <w:color w:val="auto"/>
        </w:rPr>
      </w:pPr>
    </w:p>
    <w:p>
      <w:pPr>
        <w:ind w:left="2640" w:hanging="830"/>
        <w:spacing w:after="0"/>
        <w:tabs>
          <w:tab w:leader="none" w:pos="2640"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the maturity date or dates on which the principal of the Securities of the series is payable;</w:t>
      </w:r>
    </w:p>
    <w:p>
      <w:pPr>
        <w:spacing w:after="0" w:line="206" w:lineRule="exact"/>
        <w:rPr>
          <w:rFonts w:ascii="Arial" w:cs="Arial" w:eastAsia="Arial" w:hAnsi="Arial"/>
          <w:sz w:val="17"/>
          <w:szCs w:val="17"/>
          <w:b w:val="1"/>
          <w:bCs w:val="1"/>
          <w:color w:val="auto"/>
        </w:rPr>
      </w:pPr>
    </w:p>
    <w:p>
      <w:pPr>
        <w:ind w:left="2640" w:hanging="830"/>
        <w:spacing w:after="0"/>
        <w:tabs>
          <w:tab w:leader="none" w:pos="2640"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the form of the Securities of the series including the form of the certificate of authentication for such series;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6" w:name="page117"/>
    <w:bookmarkEnd w:id="116"/>
    <w:p>
      <w:pPr>
        <w:ind w:left="2540" w:hanging="730"/>
        <w:spacing w:after="0"/>
        <w:tabs>
          <w:tab w:leader="none" w:pos="2540"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the applicability of any guarantees;</w:t>
      </w:r>
    </w:p>
    <w:p>
      <w:pPr>
        <w:spacing w:after="0" w:line="206" w:lineRule="exact"/>
        <w:rPr>
          <w:rFonts w:ascii="Arial" w:cs="Arial" w:eastAsia="Arial" w:hAnsi="Arial"/>
          <w:sz w:val="17"/>
          <w:szCs w:val="17"/>
          <w:b w:val="1"/>
          <w:bCs w:val="1"/>
          <w:color w:val="auto"/>
        </w:rPr>
      </w:pPr>
    </w:p>
    <w:p>
      <w:pPr>
        <w:ind w:left="2540" w:hanging="730"/>
        <w:spacing w:after="0"/>
        <w:tabs>
          <w:tab w:leader="none" w:pos="2540"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whether or not the Securities will be secured or unsecured, and the terms of any secured debt;</w:t>
      </w:r>
    </w:p>
    <w:p>
      <w:pPr>
        <w:spacing w:after="0" w:line="206" w:lineRule="exact"/>
        <w:rPr>
          <w:rFonts w:ascii="Arial" w:cs="Arial" w:eastAsia="Arial" w:hAnsi="Arial"/>
          <w:sz w:val="17"/>
          <w:szCs w:val="17"/>
          <w:b w:val="1"/>
          <w:bCs w:val="1"/>
          <w:color w:val="auto"/>
        </w:rPr>
      </w:pPr>
    </w:p>
    <w:p>
      <w:pPr>
        <w:ind w:left="2560" w:hanging="750"/>
        <w:spacing w:after="0"/>
        <w:tabs>
          <w:tab w:leader="none" w:pos="2560" w:val="left"/>
        </w:tabs>
        <w:numPr>
          <w:ilvl w:val="0"/>
          <w:numId w:val="110"/>
        </w:numPr>
        <w:rPr>
          <w:rFonts w:ascii="Arial" w:cs="Arial" w:eastAsia="Arial" w:hAnsi="Arial"/>
          <w:sz w:val="15"/>
          <w:szCs w:val="15"/>
          <w:b w:val="1"/>
          <w:bCs w:val="1"/>
          <w:color w:val="auto"/>
        </w:rPr>
      </w:pPr>
      <w:r>
        <w:rPr>
          <w:rFonts w:ascii="Arial" w:cs="Arial" w:eastAsia="Arial" w:hAnsi="Arial"/>
          <w:sz w:val="15"/>
          <w:szCs w:val="15"/>
          <w:color w:val="auto"/>
        </w:rPr>
        <w:t>whether the Securities rank as senior debt, senior subordinated debt, subordinated debt or any combination thereof, and the terms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of any subordination;</w:t>
      </w:r>
    </w:p>
    <w:p>
      <w:pPr>
        <w:spacing w:after="0" w:line="194" w:lineRule="exact"/>
        <w:rPr>
          <w:sz w:val="20"/>
          <w:szCs w:val="20"/>
          <w:color w:val="auto"/>
        </w:rPr>
      </w:pPr>
    </w:p>
    <w:p>
      <w:pPr>
        <w:jc w:val="both"/>
        <w:ind w:firstLine="1810"/>
        <w:spacing w:after="0" w:line="308" w:lineRule="auto"/>
        <w:tabs>
          <w:tab w:leader="none" w:pos="2549" w:val="left"/>
        </w:tabs>
        <w:numPr>
          <w:ilvl w:val="0"/>
          <w:numId w:val="111"/>
        </w:numPr>
        <w:rPr>
          <w:rFonts w:ascii="Arial" w:cs="Arial" w:eastAsia="Arial" w:hAnsi="Arial"/>
          <w:sz w:val="15"/>
          <w:szCs w:val="15"/>
          <w:b w:val="1"/>
          <w:bCs w:val="1"/>
          <w:color w:val="auto"/>
        </w:rPr>
      </w:pPr>
      <w:r>
        <w:rPr>
          <w:rFonts w:ascii="Arial" w:cs="Arial" w:eastAsia="Arial" w:hAnsi="Arial"/>
          <w:sz w:val="15"/>
          <w:szCs w:val="15"/>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40" w:lineRule="exact"/>
        <w:rPr>
          <w:rFonts w:ascii="Arial" w:cs="Arial" w:eastAsia="Arial" w:hAnsi="Arial"/>
          <w:sz w:val="15"/>
          <w:szCs w:val="15"/>
          <w:b w:val="1"/>
          <w:bCs w:val="1"/>
          <w:color w:val="auto"/>
        </w:rPr>
      </w:pPr>
    </w:p>
    <w:p>
      <w:pPr>
        <w:ind w:firstLine="1810"/>
        <w:spacing w:after="0" w:line="300" w:lineRule="auto"/>
        <w:tabs>
          <w:tab w:leader="none" w:pos="2562"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3" w:lineRule="exact"/>
        <w:rPr>
          <w:rFonts w:ascii="Arial" w:cs="Arial" w:eastAsia="Arial" w:hAnsi="Arial"/>
          <w:sz w:val="16"/>
          <w:szCs w:val="16"/>
          <w:b w:val="1"/>
          <w:bCs w:val="1"/>
          <w:color w:val="auto"/>
        </w:rPr>
      </w:pPr>
    </w:p>
    <w:p>
      <w:pPr>
        <w:ind w:left="2540" w:hanging="730"/>
        <w:spacing w:after="0"/>
        <w:tabs>
          <w:tab w:leader="none" w:pos="2540"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the Company’s right, if any, to defer the payment of interest and the maximum length of any such deferral period;</w:t>
      </w:r>
    </w:p>
    <w:p>
      <w:pPr>
        <w:spacing w:after="0" w:line="206" w:lineRule="exact"/>
        <w:rPr>
          <w:rFonts w:ascii="Arial" w:cs="Arial" w:eastAsia="Arial" w:hAnsi="Arial"/>
          <w:sz w:val="17"/>
          <w:szCs w:val="17"/>
          <w:b w:val="1"/>
          <w:bCs w:val="1"/>
          <w:color w:val="auto"/>
        </w:rPr>
      </w:pPr>
    </w:p>
    <w:p>
      <w:pPr>
        <w:ind w:firstLine="1810"/>
        <w:spacing w:after="0" w:line="336" w:lineRule="auto"/>
        <w:tabs>
          <w:tab w:leader="none" w:pos="2577" w:val="left"/>
        </w:tabs>
        <w:numPr>
          <w:ilvl w:val="0"/>
          <w:numId w:val="111"/>
        </w:numPr>
        <w:rPr>
          <w:rFonts w:ascii="Arial" w:cs="Arial" w:eastAsia="Arial" w:hAnsi="Arial"/>
          <w:sz w:val="15"/>
          <w:szCs w:val="15"/>
          <w:b w:val="1"/>
          <w:bCs w:val="1"/>
          <w:color w:val="auto"/>
        </w:rPr>
      </w:pPr>
      <w:r>
        <w:rPr>
          <w:rFonts w:ascii="Arial" w:cs="Arial" w:eastAsia="Arial" w:hAnsi="Arial"/>
          <w:sz w:val="15"/>
          <w:szCs w:val="15"/>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20" w:lineRule="exact"/>
        <w:rPr>
          <w:rFonts w:ascii="Arial" w:cs="Arial" w:eastAsia="Arial" w:hAnsi="Arial"/>
          <w:sz w:val="15"/>
          <w:szCs w:val="15"/>
          <w:b w:val="1"/>
          <w:bCs w:val="1"/>
          <w:color w:val="auto"/>
        </w:rPr>
      </w:pPr>
    </w:p>
    <w:p>
      <w:pPr>
        <w:jc w:val="both"/>
        <w:ind w:firstLine="1810"/>
        <w:spacing w:after="0" w:line="257" w:lineRule="auto"/>
        <w:tabs>
          <w:tab w:leader="none" w:pos="2574"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6" w:lineRule="exact"/>
        <w:rPr>
          <w:rFonts w:ascii="Arial" w:cs="Arial" w:eastAsia="Arial" w:hAnsi="Arial"/>
          <w:sz w:val="17"/>
          <w:szCs w:val="17"/>
          <w:b w:val="1"/>
          <w:bCs w:val="1"/>
          <w:color w:val="auto"/>
        </w:rPr>
      </w:pPr>
    </w:p>
    <w:p>
      <w:pPr>
        <w:ind w:firstLine="1810"/>
        <w:spacing w:after="0" w:line="268" w:lineRule="auto"/>
        <w:tabs>
          <w:tab w:leader="none" w:pos="2549"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the denominations in which the Securities of the series shall be issuable, if other than denominations of one thousand U.S. dollars ($1,000) or any integral multiple thereof;</w:t>
      </w:r>
    </w:p>
    <w:p>
      <w:pPr>
        <w:spacing w:after="0" w:line="166" w:lineRule="exact"/>
        <w:rPr>
          <w:rFonts w:ascii="Arial" w:cs="Arial" w:eastAsia="Arial" w:hAnsi="Arial"/>
          <w:sz w:val="17"/>
          <w:szCs w:val="17"/>
          <w:b w:val="1"/>
          <w:bCs w:val="1"/>
          <w:color w:val="auto"/>
        </w:rPr>
      </w:pPr>
    </w:p>
    <w:p>
      <w:pPr>
        <w:ind w:firstLine="1810"/>
        <w:spacing w:after="0" w:line="336" w:lineRule="auto"/>
        <w:tabs>
          <w:tab w:leader="none" w:pos="2662" w:val="left"/>
        </w:tabs>
        <w:numPr>
          <w:ilvl w:val="0"/>
          <w:numId w:val="111"/>
        </w:numPr>
        <w:rPr>
          <w:rFonts w:ascii="Arial" w:cs="Arial" w:eastAsia="Arial" w:hAnsi="Arial"/>
          <w:sz w:val="15"/>
          <w:szCs w:val="15"/>
          <w:b w:val="1"/>
          <w:bCs w:val="1"/>
          <w:color w:val="auto"/>
        </w:rPr>
      </w:pPr>
      <w:r>
        <w:rPr>
          <w:rFonts w:ascii="Arial" w:cs="Arial" w:eastAsia="Arial" w:hAnsi="Arial"/>
          <w:sz w:val="15"/>
          <w:szCs w:val="15"/>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20" w:lineRule="exact"/>
        <w:rPr>
          <w:rFonts w:ascii="Arial" w:cs="Arial" w:eastAsia="Arial" w:hAnsi="Arial"/>
          <w:sz w:val="15"/>
          <w:szCs w:val="15"/>
          <w:b w:val="1"/>
          <w:bCs w:val="1"/>
          <w:color w:val="auto"/>
        </w:rPr>
      </w:pPr>
    </w:p>
    <w:p>
      <w:pPr>
        <w:jc w:val="both"/>
        <w:ind w:firstLine="1810"/>
        <w:spacing w:after="0" w:line="257" w:lineRule="auto"/>
        <w:tabs>
          <w:tab w:leader="none" w:pos="2549"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7" w:name="page118"/>
    <w:bookmarkEnd w:id="117"/>
    <w:p>
      <w:pPr>
        <w:jc w:val="both"/>
        <w:ind w:firstLine="1810"/>
        <w:spacing w:after="0" w:line="298" w:lineRule="auto"/>
        <w:tabs>
          <w:tab w:leader="none" w:pos="2587" w:val="left"/>
        </w:tabs>
        <w:numPr>
          <w:ilvl w:val="0"/>
          <w:numId w:val="112"/>
        </w:numPr>
        <w:rPr>
          <w:rFonts w:ascii="Arial" w:cs="Arial" w:eastAsia="Arial" w:hAnsi="Arial"/>
          <w:sz w:val="15"/>
          <w:szCs w:val="15"/>
          <w:b w:val="1"/>
          <w:bCs w:val="1"/>
          <w:color w:val="auto"/>
        </w:rPr>
      </w:pPr>
      <w:r>
        <w:rPr>
          <w:rFonts w:ascii="Arial" w:cs="Arial" w:eastAsia="Arial" w:hAnsi="Arial"/>
          <w:sz w:val="15"/>
          <w:szCs w:val="15"/>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8" w:lineRule="exact"/>
        <w:rPr>
          <w:rFonts w:ascii="Arial" w:cs="Arial" w:eastAsia="Arial" w:hAnsi="Arial"/>
          <w:sz w:val="15"/>
          <w:szCs w:val="15"/>
          <w:b w:val="1"/>
          <w:bCs w:val="1"/>
          <w:color w:val="auto"/>
        </w:rPr>
      </w:pPr>
    </w:p>
    <w:p>
      <w:pPr>
        <w:ind w:firstLine="1810"/>
        <w:spacing w:after="0" w:line="268" w:lineRule="auto"/>
        <w:tabs>
          <w:tab w:leader="none" w:pos="2712"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6" w:lineRule="exact"/>
        <w:rPr>
          <w:rFonts w:ascii="Arial" w:cs="Arial" w:eastAsia="Arial" w:hAnsi="Arial"/>
          <w:sz w:val="17"/>
          <w:szCs w:val="17"/>
          <w:b w:val="1"/>
          <w:bCs w:val="1"/>
          <w:color w:val="auto"/>
        </w:rPr>
      </w:pPr>
    </w:p>
    <w:p>
      <w:pPr>
        <w:ind w:left="2800" w:hanging="990"/>
        <w:spacing w:after="0"/>
        <w:tabs>
          <w:tab w:leader="none" w:pos="2800" w:val="left"/>
        </w:tabs>
        <w:numPr>
          <w:ilvl w:val="0"/>
          <w:numId w:val="112"/>
        </w:numPr>
        <w:rPr>
          <w:rFonts w:ascii="Arial" w:cs="Arial" w:eastAsia="Arial" w:hAnsi="Arial"/>
          <w:sz w:val="15"/>
          <w:szCs w:val="15"/>
          <w:b w:val="1"/>
          <w:bCs w:val="1"/>
          <w:color w:val="auto"/>
        </w:rPr>
      </w:pPr>
      <w:r>
        <w:rPr>
          <w:rFonts w:ascii="Arial" w:cs="Arial" w:eastAsia="Arial" w:hAnsi="Arial"/>
          <w:sz w:val="15"/>
          <w:szCs w:val="15"/>
          <w:color w:val="auto"/>
        </w:rPr>
        <w:t>additions to or changes in the covenants applicable to the series of Securities being issued, including, among others, the</w:t>
      </w:r>
    </w:p>
    <w:p>
      <w:pPr>
        <w:spacing w:after="0" w:line="4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consolidation, merger or sale covenant;</w:t>
      </w:r>
    </w:p>
    <w:p>
      <w:pPr>
        <w:spacing w:after="0" w:line="194" w:lineRule="exact"/>
        <w:rPr>
          <w:rFonts w:ascii="Arial" w:cs="Arial" w:eastAsia="Arial" w:hAnsi="Arial"/>
          <w:sz w:val="15"/>
          <w:szCs w:val="15"/>
          <w:b w:val="1"/>
          <w:bCs w:val="1"/>
          <w:color w:val="auto"/>
        </w:rPr>
      </w:pPr>
    </w:p>
    <w:p>
      <w:pPr>
        <w:ind w:firstLine="1810"/>
        <w:spacing w:after="0" w:line="268" w:lineRule="auto"/>
        <w:tabs>
          <w:tab w:leader="none" w:pos="2624"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6" w:lineRule="exact"/>
        <w:rPr>
          <w:rFonts w:ascii="Arial" w:cs="Arial" w:eastAsia="Arial" w:hAnsi="Arial"/>
          <w:sz w:val="17"/>
          <w:szCs w:val="17"/>
          <w:b w:val="1"/>
          <w:bCs w:val="1"/>
          <w:color w:val="auto"/>
        </w:rPr>
      </w:pPr>
    </w:p>
    <w:p>
      <w:pPr>
        <w:ind w:left="2540" w:hanging="730"/>
        <w:spacing w:after="0"/>
        <w:tabs>
          <w:tab w:leader="none" w:pos="2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206" w:lineRule="exact"/>
        <w:rPr>
          <w:rFonts w:ascii="Arial" w:cs="Arial" w:eastAsia="Arial" w:hAnsi="Arial"/>
          <w:sz w:val="17"/>
          <w:szCs w:val="17"/>
          <w:b w:val="1"/>
          <w:bCs w:val="1"/>
          <w:color w:val="auto"/>
        </w:rPr>
      </w:pPr>
    </w:p>
    <w:p>
      <w:pPr>
        <w:ind w:left="2540" w:hanging="730"/>
        <w:spacing w:after="0"/>
        <w:tabs>
          <w:tab w:leader="none" w:pos="2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provisions relating to satisfaction and discharge of this Indenture;</w:t>
      </w:r>
    </w:p>
    <w:p>
      <w:pPr>
        <w:spacing w:after="0" w:line="206" w:lineRule="exact"/>
        <w:rPr>
          <w:rFonts w:ascii="Arial" w:cs="Arial" w:eastAsia="Arial" w:hAnsi="Arial"/>
          <w:sz w:val="17"/>
          <w:szCs w:val="17"/>
          <w:b w:val="1"/>
          <w:bCs w:val="1"/>
          <w:color w:val="auto"/>
        </w:rPr>
      </w:pPr>
    </w:p>
    <w:p>
      <w:pPr>
        <w:ind w:firstLine="1810"/>
        <w:spacing w:after="0" w:line="268" w:lineRule="auto"/>
        <w:tabs>
          <w:tab w:leader="none" w:pos="2712"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provisions relating to the modification of this Indenture both with and without the consent of Securityholders of Securities issued under this Indenture;</w:t>
      </w:r>
    </w:p>
    <w:p>
      <w:pPr>
        <w:spacing w:after="0" w:line="166" w:lineRule="exact"/>
        <w:rPr>
          <w:rFonts w:ascii="Arial" w:cs="Arial" w:eastAsia="Arial" w:hAnsi="Arial"/>
          <w:sz w:val="17"/>
          <w:szCs w:val="17"/>
          <w:b w:val="1"/>
          <w:bCs w:val="1"/>
          <w:color w:val="auto"/>
        </w:rPr>
      </w:pPr>
    </w:p>
    <w:p>
      <w:pPr>
        <w:ind w:left="2660" w:hanging="850"/>
        <w:spacing w:after="0"/>
        <w:tabs>
          <w:tab w:leader="none" w:pos="2660" w:val="left"/>
        </w:tabs>
        <w:numPr>
          <w:ilvl w:val="0"/>
          <w:numId w:val="112"/>
        </w:numPr>
        <w:rPr>
          <w:rFonts w:ascii="Arial" w:cs="Arial" w:eastAsia="Arial" w:hAnsi="Arial"/>
          <w:sz w:val="15"/>
          <w:szCs w:val="15"/>
          <w:b w:val="1"/>
          <w:bCs w:val="1"/>
          <w:color w:val="auto"/>
        </w:rPr>
      </w:pPr>
      <w:r>
        <w:rPr>
          <w:rFonts w:ascii="Arial" w:cs="Arial" w:eastAsia="Arial" w:hAnsi="Arial"/>
          <w:sz w:val="15"/>
          <w:szCs w:val="15"/>
          <w:color w:val="auto"/>
        </w:rPr>
        <w:t>the currency of payment of Securities if other than U.S. dollars and the manner of determining the equivalent amount in U.S.</w:t>
      </w:r>
    </w:p>
    <w:p>
      <w:pPr>
        <w:spacing w:after="0" w:line="4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dollars;</w:t>
      </w:r>
    </w:p>
    <w:p>
      <w:pPr>
        <w:spacing w:after="0" w:line="194" w:lineRule="exact"/>
        <w:rPr>
          <w:rFonts w:ascii="Arial" w:cs="Arial" w:eastAsia="Arial" w:hAnsi="Arial"/>
          <w:sz w:val="15"/>
          <w:szCs w:val="15"/>
          <w:b w:val="1"/>
          <w:bCs w:val="1"/>
          <w:color w:val="auto"/>
        </w:rPr>
      </w:pPr>
    </w:p>
    <w:p>
      <w:pPr>
        <w:ind w:firstLine="1810"/>
        <w:spacing w:after="0" w:line="268" w:lineRule="auto"/>
        <w:tabs>
          <w:tab w:leader="none" w:pos="2637"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whether interest will be payable in cash or additional Securities at the Company’s or the Securityholders’ option and the terms and conditions upon which the election may be made;</w:t>
      </w:r>
    </w:p>
    <w:p>
      <w:pPr>
        <w:spacing w:after="0" w:line="166" w:lineRule="exact"/>
        <w:rPr>
          <w:rFonts w:ascii="Arial" w:cs="Arial" w:eastAsia="Arial" w:hAnsi="Arial"/>
          <w:sz w:val="17"/>
          <w:szCs w:val="17"/>
          <w:b w:val="1"/>
          <w:bCs w:val="1"/>
          <w:color w:val="auto"/>
        </w:rPr>
      </w:pPr>
    </w:p>
    <w:p>
      <w:pPr>
        <w:ind w:firstLine="1810"/>
        <w:spacing w:after="0" w:line="300" w:lineRule="auto"/>
        <w:tabs>
          <w:tab w:leader="none" w:pos="2624"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3" w:lineRule="exact"/>
        <w:rPr>
          <w:rFonts w:ascii="Arial" w:cs="Arial" w:eastAsia="Arial" w:hAnsi="Arial"/>
          <w:sz w:val="16"/>
          <w:szCs w:val="16"/>
          <w:b w:val="1"/>
          <w:bCs w:val="1"/>
          <w:color w:val="auto"/>
        </w:rPr>
      </w:pPr>
    </w:p>
    <w:p>
      <w:pPr>
        <w:ind w:left="2540" w:hanging="730"/>
        <w:spacing w:after="0"/>
        <w:tabs>
          <w:tab w:leader="none" w:pos="2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any restrictions on transfer, sale or assignment of the Securities of the series;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8" w:name="page119"/>
    <w:bookmarkEnd w:id="118"/>
    <w:p>
      <w:pPr>
        <w:ind w:firstLine="1810"/>
        <w:spacing w:after="0" w:line="268" w:lineRule="auto"/>
        <w:tabs>
          <w:tab w:leader="none" w:pos="2599"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7"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All Securities of any one series shall be substantially identical except as may otherwise be provided in or pursuant to any such Board Resolution or in any indentures supplemental hereto.</w:t>
      </w:r>
    </w:p>
    <w:p>
      <w:pPr>
        <w:spacing w:after="0" w:line="16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2.02</w:t>
      </w:r>
      <w:r>
        <w:rPr>
          <w:sz w:val="20"/>
          <w:szCs w:val="20"/>
          <w:color w:val="auto"/>
        </w:rPr>
        <w:tab/>
      </w:r>
      <w:r>
        <w:rPr>
          <w:rFonts w:ascii="Arial" w:cs="Arial" w:eastAsia="Arial" w:hAnsi="Arial"/>
          <w:sz w:val="15"/>
          <w:szCs w:val="15"/>
          <w:b w:val="1"/>
          <w:bCs w:val="1"/>
          <w:color w:val="auto"/>
        </w:rPr>
        <w:t>Form of Securities and Trustee’s Certificate</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93" w:lineRule="auto"/>
        <w:rPr>
          <w:sz w:val="20"/>
          <w:szCs w:val="20"/>
          <w:color w:val="auto"/>
        </w:rPr>
      </w:pPr>
      <w:r>
        <w:rPr>
          <w:rFonts w:ascii="Arial" w:cs="Arial" w:eastAsia="Arial" w:hAnsi="Arial"/>
          <w:sz w:val="15"/>
          <w:szCs w:val="15"/>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5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2.03</w:t>
      </w:r>
      <w:r>
        <w:rPr>
          <w:sz w:val="20"/>
          <w:szCs w:val="20"/>
          <w:color w:val="auto"/>
        </w:rPr>
        <w:tab/>
      </w:r>
      <w:r>
        <w:rPr>
          <w:rFonts w:ascii="Arial" w:cs="Arial" w:eastAsia="Arial" w:hAnsi="Arial"/>
          <w:sz w:val="14"/>
          <w:szCs w:val="14"/>
          <w:b w:val="1"/>
          <w:bCs w:val="1"/>
          <w:color w:val="auto"/>
        </w:rPr>
        <w:t>Denominations: Provisions for Payment</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91" w:lineRule="auto"/>
        <w:rPr>
          <w:sz w:val="20"/>
          <w:szCs w:val="20"/>
          <w:color w:val="auto"/>
        </w:rPr>
      </w:pPr>
      <w:r>
        <w:rPr>
          <w:rFonts w:ascii="Arial" w:cs="Arial" w:eastAsia="Arial" w:hAnsi="Arial"/>
          <w:sz w:val="15"/>
          <w:szCs w:val="15"/>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53"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9" w:name="page120"/>
    <w:bookmarkEnd w:id="119"/>
    <w:p>
      <w:pPr>
        <w:jc w:val="both"/>
        <w:ind w:firstLine="603"/>
        <w:spacing w:after="0" w:line="28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58" w:lineRule="exact"/>
        <w:rPr>
          <w:sz w:val="20"/>
          <w:szCs w:val="20"/>
          <w:color w:val="auto"/>
        </w:rPr>
      </w:pPr>
    </w:p>
    <w:p>
      <w:pPr>
        <w:jc w:val="both"/>
        <w:ind w:firstLine="1810"/>
        <w:spacing w:after="0" w:line="284" w:lineRule="auto"/>
        <w:tabs>
          <w:tab w:leader="none" w:pos="2758" w:val="left"/>
        </w:tabs>
        <w:numPr>
          <w:ilvl w:val="0"/>
          <w:numId w:val="114"/>
        </w:numPr>
        <w:rPr>
          <w:rFonts w:ascii="Arial" w:cs="Arial" w:eastAsia="Arial" w:hAnsi="Arial"/>
          <w:sz w:val="15"/>
          <w:szCs w:val="15"/>
          <w:b w:val="1"/>
          <w:bCs w:val="1"/>
          <w:color w:val="auto"/>
        </w:rPr>
      </w:pPr>
      <w:r>
        <w:rPr>
          <w:rFonts w:ascii="Arial" w:cs="Arial" w:eastAsia="Arial" w:hAnsi="Arial"/>
          <w:sz w:val="15"/>
          <w:szCs w:val="15"/>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64" w:lineRule="exact"/>
        <w:rPr>
          <w:rFonts w:ascii="Arial" w:cs="Arial" w:eastAsia="Arial" w:hAnsi="Arial"/>
          <w:sz w:val="15"/>
          <w:szCs w:val="15"/>
          <w:b w:val="1"/>
          <w:bCs w:val="1"/>
          <w:color w:val="auto"/>
        </w:rPr>
      </w:pPr>
    </w:p>
    <w:p>
      <w:pPr>
        <w:jc w:val="both"/>
        <w:ind w:firstLine="1810"/>
        <w:spacing w:after="0" w:line="308" w:lineRule="auto"/>
        <w:tabs>
          <w:tab w:leader="none" w:pos="2670" w:val="left"/>
        </w:tabs>
        <w:numPr>
          <w:ilvl w:val="0"/>
          <w:numId w:val="114"/>
        </w:numPr>
        <w:rPr>
          <w:rFonts w:ascii="Arial" w:cs="Arial" w:eastAsia="Arial" w:hAnsi="Arial"/>
          <w:sz w:val="15"/>
          <w:szCs w:val="15"/>
          <w:b w:val="1"/>
          <w:bCs w:val="1"/>
          <w:color w:val="auto"/>
        </w:rPr>
      </w:pPr>
      <w:r>
        <w:rPr>
          <w:rFonts w:ascii="Arial" w:cs="Arial" w:eastAsia="Arial" w:hAnsi="Arial"/>
          <w:sz w:val="15"/>
          <w:szCs w:val="15"/>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0" w:lineRule="exact"/>
        <w:rPr>
          <w:sz w:val="20"/>
          <w:szCs w:val="20"/>
          <w:color w:val="auto"/>
        </w:rPr>
      </w:pPr>
    </w:p>
    <w:p>
      <w:pPr>
        <w:jc w:val="both"/>
        <w:ind w:firstLine="603"/>
        <w:spacing w:after="0" w:line="293" w:lineRule="auto"/>
        <w:rPr>
          <w:sz w:val="20"/>
          <w:szCs w:val="20"/>
          <w:color w:val="auto"/>
        </w:rPr>
      </w:pPr>
      <w:r>
        <w:rPr>
          <w:rFonts w:ascii="Arial" w:cs="Arial" w:eastAsia="Arial" w:hAnsi="Arial"/>
          <w:sz w:val="15"/>
          <w:szCs w:val="15"/>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0" w:name="page121"/>
    <w:bookmarkEnd w:id="120"/>
    <w:p>
      <w:pPr>
        <w:jc w:val="both"/>
        <w:ind w:firstLine="603"/>
        <w:spacing w:after="0" w:line="300"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9"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2.04</w:t>
      </w:r>
      <w:r>
        <w:rPr>
          <w:sz w:val="20"/>
          <w:szCs w:val="20"/>
          <w:color w:val="auto"/>
        </w:rPr>
        <w:tab/>
      </w:r>
      <w:r>
        <w:rPr>
          <w:rFonts w:ascii="Arial" w:cs="Arial" w:eastAsia="Arial" w:hAnsi="Arial"/>
          <w:sz w:val="14"/>
          <w:szCs w:val="14"/>
          <w:b w:val="1"/>
          <w:bCs w:val="1"/>
          <w:color w:val="auto"/>
        </w:rPr>
        <w:t>Execution and Authentications</w:t>
      </w:r>
      <w:r>
        <w:rPr>
          <w:rFonts w:ascii="Arial" w:cs="Arial" w:eastAsia="Arial" w:hAnsi="Arial"/>
          <w:sz w:val="14"/>
          <w:szCs w:val="14"/>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18" w:lineRule="exact"/>
        <w:rPr>
          <w:sz w:val="20"/>
          <w:szCs w:val="20"/>
          <w:color w:val="auto"/>
        </w:rPr>
      </w:pPr>
    </w:p>
    <w:p>
      <w:pPr>
        <w:jc w:val="both"/>
        <w:ind w:firstLine="603"/>
        <w:spacing w:after="0" w:line="308" w:lineRule="auto"/>
        <w:rPr>
          <w:sz w:val="20"/>
          <w:szCs w:val="20"/>
          <w:color w:val="auto"/>
        </w:rPr>
      </w:pPr>
      <w:r>
        <w:rPr>
          <w:rFonts w:ascii="Arial" w:cs="Arial" w:eastAsia="Arial" w:hAnsi="Arial"/>
          <w:sz w:val="15"/>
          <w:szCs w:val="15"/>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0"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8"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8"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9"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2.05</w:t>
      </w:r>
      <w:r>
        <w:rPr>
          <w:sz w:val="20"/>
          <w:szCs w:val="20"/>
          <w:color w:val="auto"/>
        </w:rPr>
        <w:tab/>
      </w:r>
      <w:r>
        <w:rPr>
          <w:rFonts w:ascii="Arial" w:cs="Arial" w:eastAsia="Arial" w:hAnsi="Arial"/>
          <w:sz w:val="15"/>
          <w:szCs w:val="15"/>
          <w:b w:val="1"/>
          <w:bCs w:val="1"/>
          <w:color w:val="auto"/>
        </w:rPr>
        <w:t>Registration of Transfer and Exchange</w:t>
      </w:r>
      <w:r>
        <w:rPr>
          <w:rFonts w:ascii="Arial" w:cs="Arial" w:eastAsia="Arial" w:hAnsi="Arial"/>
          <w:sz w:val="15"/>
          <w:szCs w:val="15"/>
          <w:color w:val="auto"/>
        </w:rPr>
        <w:t>.</w:t>
      </w:r>
    </w:p>
    <w:p>
      <w:pPr>
        <w:spacing w:after="0" w:line="211" w:lineRule="exact"/>
        <w:rPr>
          <w:sz w:val="20"/>
          <w:szCs w:val="20"/>
          <w:color w:val="auto"/>
        </w:rPr>
      </w:pPr>
    </w:p>
    <w:p>
      <w:pPr>
        <w:jc w:val="both"/>
        <w:ind w:firstLine="1207"/>
        <w:spacing w:after="0" w:line="271" w:lineRule="auto"/>
        <w:tabs>
          <w:tab w:leader="none" w:pos="2029"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1" w:name="page122"/>
    <w:bookmarkEnd w:id="121"/>
    <w:p>
      <w:pPr>
        <w:jc w:val="both"/>
        <w:ind w:firstLine="1207"/>
        <w:spacing w:after="0" w:line="298" w:lineRule="auto"/>
        <w:tabs>
          <w:tab w:leader="none" w:pos="2051" w:val="left"/>
        </w:tabs>
        <w:numPr>
          <w:ilvl w:val="0"/>
          <w:numId w:val="116"/>
        </w:numPr>
        <w:rPr>
          <w:rFonts w:ascii="Arial" w:cs="Arial" w:eastAsia="Arial" w:hAnsi="Arial"/>
          <w:sz w:val="15"/>
          <w:szCs w:val="15"/>
          <w:b w:val="1"/>
          <w:bCs w:val="1"/>
          <w:color w:val="auto"/>
        </w:rPr>
      </w:pPr>
      <w:r>
        <w:rPr>
          <w:rFonts w:ascii="Arial" w:cs="Arial" w:eastAsia="Arial" w:hAnsi="Arial"/>
          <w:sz w:val="15"/>
          <w:szCs w:val="15"/>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9"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initially appoints the Trustee as initial Security Registrar for each series of Securities.</w:t>
      </w:r>
    </w:p>
    <w:p>
      <w:pPr>
        <w:spacing w:after="0" w:line="20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1207"/>
        <w:spacing w:after="0" w:line="252" w:lineRule="auto"/>
        <w:tabs>
          <w:tab w:leader="none" w:pos="2020"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0" w:lineRule="exact"/>
        <w:rPr>
          <w:rFonts w:ascii="Arial" w:cs="Arial" w:eastAsia="Arial" w:hAnsi="Arial"/>
          <w:sz w:val="17"/>
          <w:szCs w:val="17"/>
          <w:b w:val="1"/>
          <w:bCs w:val="1"/>
          <w:color w:val="auto"/>
        </w:rPr>
      </w:pPr>
    </w:p>
    <w:p>
      <w:pPr>
        <w:jc w:val="both"/>
        <w:ind w:firstLine="1207"/>
        <w:spacing w:after="0" w:line="293" w:lineRule="auto"/>
        <w:tabs>
          <w:tab w:leader="none" w:pos="2152" w:val="left"/>
        </w:tabs>
        <w:numPr>
          <w:ilvl w:val="0"/>
          <w:numId w:val="117"/>
        </w:numPr>
        <w:rPr>
          <w:rFonts w:ascii="Arial" w:cs="Arial" w:eastAsia="Arial" w:hAnsi="Arial"/>
          <w:sz w:val="15"/>
          <w:szCs w:val="15"/>
          <w:b w:val="1"/>
          <w:bCs w:val="1"/>
          <w:color w:val="auto"/>
        </w:rPr>
      </w:pPr>
      <w:r>
        <w:rPr>
          <w:rFonts w:ascii="Arial" w:cs="Arial" w:eastAsia="Arial" w:hAnsi="Arial"/>
          <w:sz w:val="15"/>
          <w:szCs w:val="15"/>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54"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2" w:name="page123"/>
    <w:bookmarkEnd w:id="122"/>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2.06</w:t>
      </w:r>
      <w:r>
        <w:rPr>
          <w:sz w:val="20"/>
          <w:szCs w:val="20"/>
          <w:color w:val="auto"/>
        </w:rPr>
        <w:tab/>
      </w:r>
      <w:r>
        <w:rPr>
          <w:rFonts w:ascii="Arial" w:cs="Arial" w:eastAsia="Arial" w:hAnsi="Arial"/>
          <w:sz w:val="15"/>
          <w:szCs w:val="15"/>
          <w:b w:val="1"/>
          <w:bCs w:val="1"/>
          <w:color w:val="auto"/>
        </w:rPr>
        <w:t>Temporary Securities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6" w:lineRule="auto"/>
        <w:rPr>
          <w:sz w:val="20"/>
          <w:szCs w:val="20"/>
          <w:color w:val="auto"/>
        </w:rPr>
      </w:pPr>
      <w:r>
        <w:rPr>
          <w:rFonts w:ascii="Arial" w:cs="Arial" w:eastAsia="Arial" w:hAnsi="Arial"/>
          <w:sz w:val="15"/>
          <w:szCs w:val="15"/>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5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2.07</w:t>
      </w:r>
      <w:r>
        <w:rPr>
          <w:sz w:val="20"/>
          <w:szCs w:val="20"/>
          <w:color w:val="auto"/>
        </w:rPr>
        <w:tab/>
      </w:r>
      <w:r>
        <w:rPr>
          <w:rFonts w:ascii="Arial" w:cs="Arial" w:eastAsia="Arial" w:hAnsi="Arial"/>
          <w:sz w:val="15"/>
          <w:szCs w:val="15"/>
          <w:b w:val="1"/>
          <w:bCs w:val="1"/>
          <w:color w:val="auto"/>
        </w:rPr>
        <w:t>Mutilated, Destroyed, Lost or Stolen Securities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8" w:lineRule="exact"/>
        <w:rPr>
          <w:sz w:val="20"/>
          <w:szCs w:val="20"/>
          <w:color w:val="auto"/>
        </w:rPr>
      </w:pPr>
    </w:p>
    <w:p>
      <w:pPr>
        <w:jc w:val="both"/>
        <w:ind w:firstLine="603"/>
        <w:spacing w:after="0" w:line="275"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3" w:name="page124"/>
    <w:bookmarkEnd w:id="123"/>
    <w:p>
      <w:pPr>
        <w:jc w:val="both"/>
        <w:ind w:firstLine="603"/>
        <w:spacing w:after="0" w:line="269"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6"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2.08</w:t>
      </w:r>
      <w:r>
        <w:rPr>
          <w:sz w:val="20"/>
          <w:szCs w:val="20"/>
          <w:color w:val="auto"/>
        </w:rPr>
        <w:tab/>
      </w:r>
      <w:r>
        <w:rPr>
          <w:rFonts w:ascii="Arial" w:cs="Arial" w:eastAsia="Arial" w:hAnsi="Arial"/>
          <w:sz w:val="15"/>
          <w:szCs w:val="15"/>
          <w:b w:val="1"/>
          <w:bCs w:val="1"/>
          <w:color w:val="auto"/>
        </w:rPr>
        <w:t>Cancellation</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6"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7"/>
          <w:szCs w:val="17"/>
          <w:b w:val="1"/>
          <w:bCs w:val="1"/>
          <w:color w:val="auto"/>
        </w:rPr>
        <w:t>Section 2.09</w:t>
      </w:r>
      <w:r>
        <w:rPr>
          <w:sz w:val="20"/>
          <w:szCs w:val="20"/>
          <w:color w:val="auto"/>
        </w:rPr>
        <w:tab/>
      </w:r>
      <w:r>
        <w:rPr>
          <w:rFonts w:ascii="Arial" w:cs="Arial" w:eastAsia="Arial" w:hAnsi="Arial"/>
          <w:sz w:val="14"/>
          <w:szCs w:val="14"/>
          <w:b w:val="1"/>
          <w:bCs w:val="1"/>
          <w:color w:val="auto"/>
        </w:rPr>
        <w:t>Benefits of Indenture.</w:t>
      </w:r>
    </w:p>
    <w:p>
      <w:pPr>
        <w:spacing w:after="0" w:line="211"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5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2.10</w:t>
      </w:r>
      <w:r>
        <w:rPr>
          <w:sz w:val="20"/>
          <w:szCs w:val="20"/>
          <w:color w:val="auto"/>
        </w:rPr>
        <w:tab/>
      </w:r>
      <w:r>
        <w:rPr>
          <w:rFonts w:ascii="Arial" w:cs="Arial" w:eastAsia="Arial" w:hAnsi="Arial"/>
          <w:sz w:val="15"/>
          <w:szCs w:val="15"/>
          <w:b w:val="1"/>
          <w:bCs w:val="1"/>
          <w:color w:val="auto"/>
        </w:rPr>
        <w:t>Authenticating Agent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4" w:name="page125"/>
    <w:bookmarkEnd w:id="124"/>
    <w:p>
      <w:pPr>
        <w:jc w:val="both"/>
        <w:ind w:firstLine="603"/>
        <w:spacing w:after="0" w:line="271"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6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2.11</w:t>
      </w:r>
      <w:r>
        <w:rPr>
          <w:sz w:val="20"/>
          <w:szCs w:val="20"/>
          <w:color w:val="auto"/>
        </w:rPr>
        <w:tab/>
      </w:r>
      <w:r>
        <w:rPr>
          <w:rFonts w:ascii="Arial" w:cs="Arial" w:eastAsia="Arial" w:hAnsi="Arial"/>
          <w:sz w:val="14"/>
          <w:szCs w:val="14"/>
          <w:b w:val="1"/>
          <w:bCs w:val="1"/>
          <w:color w:val="auto"/>
        </w:rPr>
        <w:t>Global Securities</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50" w:lineRule="auto"/>
        <w:tabs>
          <w:tab w:leader="none" w:pos="2029"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3" w:lineRule="exact"/>
        <w:rPr>
          <w:rFonts w:ascii="Arial" w:cs="Arial" w:eastAsia="Arial" w:hAnsi="Arial"/>
          <w:sz w:val="17"/>
          <w:szCs w:val="17"/>
          <w:b w:val="1"/>
          <w:bCs w:val="1"/>
          <w:color w:val="auto"/>
        </w:rPr>
      </w:pPr>
    </w:p>
    <w:p>
      <w:pPr>
        <w:jc w:val="both"/>
        <w:ind w:firstLine="1207"/>
        <w:spacing w:after="0" w:line="257" w:lineRule="auto"/>
        <w:tabs>
          <w:tab w:leader="none" w:pos="2110"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6" w:lineRule="exact"/>
        <w:rPr>
          <w:rFonts w:ascii="Arial" w:cs="Arial" w:eastAsia="Arial" w:hAnsi="Arial"/>
          <w:sz w:val="17"/>
          <w:szCs w:val="17"/>
          <w:b w:val="1"/>
          <w:bCs w:val="1"/>
          <w:color w:val="auto"/>
        </w:rPr>
      </w:pPr>
    </w:p>
    <w:p>
      <w:pPr>
        <w:jc w:val="both"/>
        <w:ind w:firstLine="1207"/>
        <w:spacing w:after="0" w:line="283" w:lineRule="auto"/>
        <w:tabs>
          <w:tab w:leader="none" w:pos="2108" w:val="left"/>
        </w:tabs>
        <w:numPr>
          <w:ilvl w:val="0"/>
          <w:numId w:val="118"/>
        </w:numPr>
        <w:rPr>
          <w:rFonts w:ascii="Arial" w:cs="Arial" w:eastAsia="Arial" w:hAnsi="Arial"/>
          <w:sz w:val="15"/>
          <w:szCs w:val="15"/>
          <w:b w:val="1"/>
          <w:bCs w:val="1"/>
          <w:color w:val="auto"/>
        </w:rPr>
      </w:pPr>
      <w:r>
        <w:rPr>
          <w:rFonts w:ascii="Arial" w:cs="Arial" w:eastAsia="Arial" w:hAnsi="Arial"/>
          <w:sz w:val="15"/>
          <w:szCs w:val="15"/>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5" w:name="page126"/>
    <w:bookmarkEnd w:id="125"/>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2.12</w:t>
      </w:r>
      <w:r>
        <w:rPr>
          <w:sz w:val="20"/>
          <w:szCs w:val="20"/>
          <w:color w:val="auto"/>
        </w:rPr>
        <w:tab/>
      </w:r>
      <w:r>
        <w:rPr>
          <w:rFonts w:ascii="Arial" w:cs="Arial" w:eastAsia="Arial" w:hAnsi="Arial"/>
          <w:sz w:val="15"/>
          <w:szCs w:val="15"/>
          <w:b w:val="1"/>
          <w:bCs w:val="1"/>
          <w:color w:val="auto"/>
        </w:rPr>
        <w:t>CUSIP Numbers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Arial" w:cs="Arial" w:eastAsia="Arial" w:hAnsi="Arial"/>
          <w:sz w:val="17"/>
          <w:szCs w:val="17"/>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REDEMPTION OF SECURITIES AND SINKING FUND PROVISIONS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3.01</w:t>
      </w:r>
      <w:r>
        <w:rPr>
          <w:sz w:val="20"/>
          <w:szCs w:val="20"/>
          <w:color w:val="auto"/>
        </w:rPr>
        <w:tab/>
      </w:r>
      <w:r>
        <w:rPr>
          <w:rFonts w:ascii="Arial" w:cs="Arial" w:eastAsia="Arial" w:hAnsi="Arial"/>
          <w:sz w:val="14"/>
          <w:szCs w:val="14"/>
          <w:b w:val="1"/>
          <w:bCs w:val="1"/>
          <w:color w:val="auto"/>
        </w:rPr>
        <w:t>Redemption</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Company may redeem the Securities of any series issued hereunder on and after the dates and in accordance with the terms established for such series pursuant to Section 2.01 hereof.</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3.02</w:t>
      </w:r>
      <w:r>
        <w:rPr>
          <w:sz w:val="20"/>
          <w:szCs w:val="20"/>
          <w:color w:val="auto"/>
        </w:rPr>
        <w:tab/>
      </w:r>
      <w:r>
        <w:rPr>
          <w:rFonts w:ascii="Arial" w:cs="Arial" w:eastAsia="Arial" w:hAnsi="Arial"/>
          <w:sz w:val="14"/>
          <w:szCs w:val="14"/>
          <w:b w:val="1"/>
          <w:bCs w:val="1"/>
          <w:color w:val="auto"/>
        </w:rPr>
        <w:t>Notice of Redemption</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66" w:lineRule="auto"/>
        <w:tabs>
          <w:tab w:leader="none" w:pos="2105"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6" w:name="page127"/>
    <w:bookmarkEnd w:id="126"/>
    <w:p>
      <w:pPr>
        <w:jc w:val="both"/>
        <w:ind w:firstLine="603"/>
        <w:spacing w:after="0" w:line="251" w:lineRule="auto"/>
        <w:rPr>
          <w:sz w:val="20"/>
          <w:szCs w:val="20"/>
          <w:color w:val="auto"/>
        </w:rPr>
      </w:pPr>
      <w:r>
        <w:rPr>
          <w:rFonts w:ascii="Arial" w:cs="Arial" w:eastAsia="Arial" w:hAnsi="Arial"/>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1207"/>
        <w:spacing w:after="0" w:line="285" w:lineRule="auto"/>
        <w:tabs>
          <w:tab w:leader="none" w:pos="2077" w:val="left"/>
        </w:tabs>
        <w:numPr>
          <w:ilvl w:val="0"/>
          <w:numId w:val="120"/>
        </w:numPr>
        <w:rPr>
          <w:rFonts w:ascii="Arial" w:cs="Arial" w:eastAsia="Arial" w:hAnsi="Arial"/>
          <w:sz w:val="15"/>
          <w:szCs w:val="15"/>
          <w:b w:val="1"/>
          <w:bCs w:val="1"/>
          <w:color w:val="auto"/>
        </w:rPr>
      </w:pPr>
      <w:r>
        <w:rPr>
          <w:rFonts w:ascii="Arial" w:cs="Arial" w:eastAsia="Arial" w:hAnsi="Arial"/>
          <w:sz w:val="15"/>
          <w:szCs w:val="15"/>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7" w:name="page128"/>
    <w:bookmarkEnd w:id="127"/>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3.03</w:t>
      </w:r>
      <w:r>
        <w:rPr>
          <w:sz w:val="20"/>
          <w:szCs w:val="20"/>
          <w:color w:val="auto"/>
        </w:rPr>
        <w:tab/>
      </w:r>
      <w:r>
        <w:rPr>
          <w:rFonts w:ascii="Arial" w:cs="Arial" w:eastAsia="Arial" w:hAnsi="Arial"/>
          <w:sz w:val="15"/>
          <w:szCs w:val="15"/>
          <w:b w:val="1"/>
          <w:bCs w:val="1"/>
          <w:color w:val="auto"/>
        </w:rPr>
        <w:t>Payment Upon Redemption</w:t>
      </w:r>
      <w:r>
        <w:rPr>
          <w:rFonts w:ascii="Arial" w:cs="Arial" w:eastAsia="Arial" w:hAnsi="Arial"/>
          <w:sz w:val="15"/>
          <w:szCs w:val="15"/>
          <w:color w:val="auto"/>
        </w:rPr>
        <w:t>.</w:t>
      </w:r>
    </w:p>
    <w:p>
      <w:pPr>
        <w:spacing w:after="0" w:line="211" w:lineRule="exact"/>
        <w:rPr>
          <w:sz w:val="20"/>
          <w:szCs w:val="20"/>
          <w:color w:val="auto"/>
        </w:rPr>
      </w:pPr>
    </w:p>
    <w:p>
      <w:pPr>
        <w:jc w:val="both"/>
        <w:ind w:firstLine="1207"/>
        <w:spacing w:after="0" w:line="267" w:lineRule="auto"/>
        <w:tabs>
          <w:tab w:leader="none" w:pos="2029"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72" w:lineRule="exact"/>
        <w:rPr>
          <w:rFonts w:ascii="Arial" w:cs="Arial" w:eastAsia="Arial" w:hAnsi="Arial"/>
          <w:sz w:val="16"/>
          <w:szCs w:val="16"/>
          <w:b w:val="1"/>
          <w:bCs w:val="1"/>
          <w:color w:val="auto"/>
        </w:rPr>
      </w:pPr>
    </w:p>
    <w:p>
      <w:pPr>
        <w:jc w:val="both"/>
        <w:ind w:firstLine="1207"/>
        <w:spacing w:after="0" w:line="281" w:lineRule="auto"/>
        <w:tabs>
          <w:tab w:leader="none" w:pos="2164"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5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3.04</w:t>
      </w:r>
      <w:r>
        <w:rPr>
          <w:sz w:val="20"/>
          <w:szCs w:val="20"/>
          <w:color w:val="auto"/>
        </w:rPr>
        <w:tab/>
      </w:r>
      <w:r>
        <w:rPr>
          <w:rFonts w:ascii="Arial" w:cs="Arial" w:eastAsia="Arial" w:hAnsi="Arial"/>
          <w:sz w:val="15"/>
          <w:szCs w:val="15"/>
          <w:b w:val="1"/>
          <w:bCs w:val="1"/>
          <w:color w:val="auto"/>
        </w:rPr>
        <w:t>Sinking Fund.</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7" w:lineRule="exact"/>
        <w:rPr>
          <w:sz w:val="20"/>
          <w:szCs w:val="20"/>
          <w:color w:val="auto"/>
        </w:rPr>
      </w:pPr>
    </w:p>
    <w:p>
      <w:pPr>
        <w:jc w:val="both"/>
        <w:ind w:firstLine="603"/>
        <w:spacing w:after="0" w:line="298" w:lineRule="auto"/>
        <w:rPr>
          <w:sz w:val="20"/>
          <w:szCs w:val="20"/>
          <w:color w:val="auto"/>
        </w:rPr>
      </w:pPr>
      <w:r>
        <w:rPr>
          <w:rFonts w:ascii="Arial" w:cs="Arial" w:eastAsia="Arial" w:hAnsi="Arial"/>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5"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3.05</w:t>
      </w:r>
      <w:r>
        <w:rPr>
          <w:sz w:val="20"/>
          <w:szCs w:val="20"/>
          <w:color w:val="auto"/>
        </w:rPr>
        <w:tab/>
      </w:r>
      <w:r>
        <w:rPr>
          <w:rFonts w:ascii="Arial" w:cs="Arial" w:eastAsia="Arial" w:hAnsi="Arial"/>
          <w:sz w:val="14"/>
          <w:szCs w:val="14"/>
          <w:b w:val="1"/>
          <w:bCs w:val="1"/>
          <w:color w:val="auto"/>
        </w:rPr>
        <w:t>Satisfaction of Sinking Fund Payments with Securities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8" w:name="page129"/>
    <w:bookmarkEnd w:id="128"/>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3.06</w:t>
      </w:r>
      <w:r>
        <w:rPr>
          <w:sz w:val="20"/>
          <w:szCs w:val="20"/>
          <w:color w:val="auto"/>
        </w:rPr>
        <w:tab/>
      </w:r>
      <w:r>
        <w:rPr>
          <w:rFonts w:ascii="Arial" w:cs="Arial" w:eastAsia="Arial" w:hAnsi="Arial"/>
          <w:sz w:val="15"/>
          <w:szCs w:val="15"/>
          <w:b w:val="1"/>
          <w:bCs w:val="1"/>
          <w:color w:val="auto"/>
        </w:rPr>
        <w:t>Redemption of Securities for Sinking Fund</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4.01</w:t>
      </w:r>
      <w:r>
        <w:rPr>
          <w:sz w:val="20"/>
          <w:szCs w:val="20"/>
          <w:color w:val="auto"/>
        </w:rPr>
        <w:tab/>
      </w:r>
      <w:r>
        <w:rPr>
          <w:rFonts w:ascii="Arial" w:cs="Arial" w:eastAsia="Arial" w:hAnsi="Arial"/>
          <w:sz w:val="15"/>
          <w:szCs w:val="15"/>
          <w:b w:val="1"/>
          <w:bCs w:val="1"/>
          <w:color w:val="auto"/>
        </w:rPr>
        <w:t>Payment of Principal, Premium and Interest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68"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4.02</w:t>
      </w:r>
      <w:r>
        <w:rPr>
          <w:sz w:val="20"/>
          <w:szCs w:val="20"/>
          <w:color w:val="auto"/>
        </w:rPr>
        <w:tab/>
      </w:r>
      <w:r>
        <w:rPr>
          <w:rFonts w:ascii="Arial" w:cs="Arial" w:eastAsia="Arial" w:hAnsi="Arial"/>
          <w:sz w:val="15"/>
          <w:szCs w:val="15"/>
          <w:b w:val="1"/>
          <w:bCs w:val="1"/>
          <w:color w:val="auto"/>
        </w:rPr>
        <w:t>Maintenance of Office or Agency</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9" w:name="page130"/>
    <w:bookmarkEnd w:id="129"/>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4.03</w:t>
      </w:r>
      <w:r>
        <w:rPr>
          <w:sz w:val="20"/>
          <w:szCs w:val="20"/>
          <w:color w:val="auto"/>
        </w:rPr>
        <w:tab/>
      </w:r>
      <w:r>
        <w:rPr>
          <w:rFonts w:ascii="Arial" w:cs="Arial" w:eastAsia="Arial" w:hAnsi="Arial"/>
          <w:sz w:val="14"/>
          <w:szCs w:val="14"/>
          <w:b w:val="1"/>
          <w:bCs w:val="1"/>
          <w:color w:val="auto"/>
        </w:rPr>
        <w:t>Paying Agents</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57" w:lineRule="auto"/>
        <w:tabs>
          <w:tab w:leader="none" w:pos="2109"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6" w:lineRule="exact"/>
        <w:rPr>
          <w:rFonts w:ascii="Arial" w:cs="Arial" w:eastAsia="Arial" w:hAnsi="Arial"/>
          <w:sz w:val="17"/>
          <w:szCs w:val="17"/>
          <w:b w:val="1"/>
          <w:bCs w:val="1"/>
          <w:color w:val="auto"/>
        </w:rPr>
      </w:pPr>
    </w:p>
    <w:p>
      <w:pPr>
        <w:jc w:val="both"/>
        <w:ind w:firstLine="1810"/>
        <w:spacing w:after="0" w:line="257" w:lineRule="auto"/>
        <w:tabs>
          <w:tab w:leader="none" w:pos="2758"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6" w:lineRule="exact"/>
        <w:rPr>
          <w:rFonts w:ascii="Arial" w:cs="Arial" w:eastAsia="Arial" w:hAnsi="Arial"/>
          <w:sz w:val="17"/>
          <w:szCs w:val="17"/>
          <w:b w:val="1"/>
          <w:bCs w:val="1"/>
          <w:color w:val="auto"/>
        </w:rPr>
      </w:pPr>
    </w:p>
    <w:p>
      <w:pPr>
        <w:ind w:firstLine="1810"/>
        <w:spacing w:after="0" w:line="268" w:lineRule="auto"/>
        <w:tabs>
          <w:tab w:leader="none" w:pos="2809"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6" w:lineRule="exact"/>
        <w:rPr>
          <w:rFonts w:ascii="Arial" w:cs="Arial" w:eastAsia="Arial" w:hAnsi="Arial"/>
          <w:sz w:val="17"/>
          <w:szCs w:val="17"/>
          <w:b w:val="1"/>
          <w:bCs w:val="1"/>
          <w:color w:val="auto"/>
        </w:rPr>
      </w:pPr>
    </w:p>
    <w:p>
      <w:pPr>
        <w:ind w:firstLine="1810"/>
        <w:spacing w:after="0" w:line="268" w:lineRule="auto"/>
        <w:tabs>
          <w:tab w:leader="none" w:pos="2821"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6" w:lineRule="exact"/>
        <w:rPr>
          <w:rFonts w:ascii="Arial" w:cs="Arial" w:eastAsia="Arial" w:hAnsi="Arial"/>
          <w:sz w:val="17"/>
          <w:szCs w:val="17"/>
          <w:b w:val="1"/>
          <w:bCs w:val="1"/>
          <w:color w:val="auto"/>
        </w:rPr>
      </w:pPr>
    </w:p>
    <w:p>
      <w:pPr>
        <w:ind w:left="2640" w:hanging="830"/>
        <w:spacing w:after="0"/>
        <w:tabs>
          <w:tab w:leader="none" w:pos="2640"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that it will perform all other duties of paying agent as set forth in this Indenture.</w:t>
      </w:r>
    </w:p>
    <w:p>
      <w:pPr>
        <w:spacing w:after="0" w:line="206" w:lineRule="exact"/>
        <w:rPr>
          <w:rFonts w:ascii="Arial" w:cs="Arial" w:eastAsia="Arial" w:hAnsi="Arial"/>
          <w:sz w:val="17"/>
          <w:szCs w:val="17"/>
          <w:b w:val="1"/>
          <w:bCs w:val="1"/>
          <w:color w:val="auto"/>
        </w:rPr>
      </w:pPr>
    </w:p>
    <w:p>
      <w:pPr>
        <w:jc w:val="both"/>
        <w:ind w:firstLine="1207"/>
        <w:spacing w:after="0" w:line="267" w:lineRule="auto"/>
        <w:tabs>
          <w:tab w:leader="none" w:pos="2164"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0" w:name="page131"/>
    <w:bookmarkEnd w:id="130"/>
    <w:p>
      <w:pPr>
        <w:jc w:val="both"/>
        <w:ind w:firstLine="1207"/>
        <w:spacing w:after="0" w:line="293" w:lineRule="auto"/>
        <w:tabs>
          <w:tab w:leader="none" w:pos="2083" w:val="left"/>
        </w:tabs>
        <w:numPr>
          <w:ilvl w:val="0"/>
          <w:numId w:val="123"/>
        </w:numPr>
        <w:rPr>
          <w:rFonts w:ascii="Arial" w:cs="Arial" w:eastAsia="Arial" w:hAnsi="Arial"/>
          <w:sz w:val="15"/>
          <w:szCs w:val="15"/>
          <w:b w:val="1"/>
          <w:bCs w:val="1"/>
          <w:color w:val="auto"/>
        </w:rPr>
      </w:pPr>
      <w:r>
        <w:rPr>
          <w:rFonts w:ascii="Arial" w:cs="Arial" w:eastAsia="Arial" w:hAnsi="Arial"/>
          <w:sz w:val="15"/>
          <w:szCs w:val="15"/>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5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4.04</w:t>
      </w:r>
      <w:r>
        <w:rPr>
          <w:sz w:val="20"/>
          <w:szCs w:val="20"/>
          <w:color w:val="auto"/>
        </w:rPr>
        <w:tab/>
      </w:r>
      <w:r>
        <w:rPr>
          <w:rFonts w:ascii="Arial" w:cs="Arial" w:eastAsia="Arial" w:hAnsi="Arial"/>
          <w:sz w:val="15"/>
          <w:szCs w:val="15"/>
          <w:b w:val="1"/>
          <w:bCs w:val="1"/>
          <w:color w:val="auto"/>
        </w:rPr>
        <w:t>Appointment to Fill Vacancy in Office of Trustee</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Company, whenever necessary to avoid or fill a vacancy in the office of Trustee, will appoint, in the manner provided in Section 7.10, a Trustee, so that there shall at all times be a Trustee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07"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SECURITYHOLDERS’ LISTS AND REPORTS BY THE COMPANY AND THE TRUSTEE</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5.01</w:t>
      </w:r>
      <w:r>
        <w:rPr>
          <w:sz w:val="20"/>
          <w:szCs w:val="20"/>
          <w:color w:val="auto"/>
        </w:rPr>
        <w:tab/>
      </w:r>
      <w:r>
        <w:rPr>
          <w:rFonts w:ascii="Arial" w:cs="Arial" w:eastAsia="Arial" w:hAnsi="Arial"/>
          <w:sz w:val="14"/>
          <w:szCs w:val="14"/>
          <w:b w:val="1"/>
          <w:bCs w:val="1"/>
          <w:color w:val="auto"/>
        </w:rPr>
        <w:t>Company to Furnish Trustee Names and Addresses of Securityholders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6"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5.02</w:t>
      </w:r>
      <w:r>
        <w:rPr>
          <w:sz w:val="20"/>
          <w:szCs w:val="20"/>
          <w:color w:val="auto"/>
        </w:rPr>
        <w:tab/>
      </w:r>
      <w:r>
        <w:rPr>
          <w:rFonts w:ascii="Arial" w:cs="Arial" w:eastAsia="Arial" w:hAnsi="Arial"/>
          <w:sz w:val="15"/>
          <w:szCs w:val="15"/>
          <w:b w:val="1"/>
          <w:bCs w:val="1"/>
          <w:color w:val="auto"/>
        </w:rPr>
        <w:t>Preservation Of Information; Communications With Securityholders</w:t>
      </w:r>
      <w:r>
        <w:rPr>
          <w:rFonts w:ascii="Arial" w:cs="Arial" w:eastAsia="Arial" w:hAnsi="Arial"/>
          <w:sz w:val="15"/>
          <w:szCs w:val="15"/>
          <w:color w:val="auto"/>
        </w:rPr>
        <w:t>.</w:t>
      </w:r>
    </w:p>
    <w:p>
      <w:pPr>
        <w:spacing w:after="0" w:line="211" w:lineRule="exact"/>
        <w:rPr>
          <w:sz w:val="20"/>
          <w:szCs w:val="20"/>
          <w:color w:val="auto"/>
        </w:rPr>
      </w:pPr>
    </w:p>
    <w:p>
      <w:pPr>
        <w:jc w:val="both"/>
        <w:ind w:firstLine="1207"/>
        <w:spacing w:after="0" w:line="257" w:lineRule="auto"/>
        <w:tabs>
          <w:tab w:leader="none" w:pos="2055" w:val="left"/>
        </w:tabs>
        <w:numPr>
          <w:ilvl w:val="0"/>
          <w:numId w:val="124"/>
        </w:numPr>
        <w:rPr>
          <w:rFonts w:ascii="Arial" w:cs="Arial" w:eastAsia="Arial" w:hAnsi="Arial"/>
          <w:sz w:val="17"/>
          <w:szCs w:val="17"/>
          <w:b w:val="1"/>
          <w:bCs w:val="1"/>
          <w:color w:val="auto"/>
        </w:rPr>
      </w:pPr>
      <w:r>
        <w:rPr>
          <w:rFonts w:ascii="Arial" w:cs="Arial" w:eastAsia="Arial" w:hAnsi="Arial"/>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1" w:name="page132"/>
    <w:bookmarkEnd w:id="131"/>
    <w:p>
      <w:pPr>
        <w:ind w:left="2040" w:hanging="833"/>
        <w:spacing w:after="0"/>
        <w:tabs>
          <w:tab w:leader="none" w:pos="2040"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The Trustee may destroy any list furnished to it as provided in Section 5.01 upon receipt of a new list so furnished.</w:t>
      </w:r>
    </w:p>
    <w:p>
      <w:pPr>
        <w:spacing w:after="0" w:line="206" w:lineRule="exact"/>
        <w:rPr>
          <w:rFonts w:ascii="Arial" w:cs="Arial" w:eastAsia="Arial" w:hAnsi="Arial"/>
          <w:sz w:val="17"/>
          <w:szCs w:val="17"/>
          <w:b w:val="1"/>
          <w:bCs w:val="1"/>
          <w:color w:val="auto"/>
        </w:rPr>
      </w:pPr>
    </w:p>
    <w:p>
      <w:pPr>
        <w:jc w:val="both"/>
        <w:ind w:firstLine="1207"/>
        <w:spacing w:after="0" w:line="257" w:lineRule="auto"/>
        <w:tabs>
          <w:tab w:leader="none" w:pos="2121"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5.03</w:t>
      </w:r>
      <w:r>
        <w:rPr>
          <w:sz w:val="20"/>
          <w:szCs w:val="20"/>
          <w:color w:val="auto"/>
        </w:rPr>
        <w:tab/>
      </w:r>
      <w:r>
        <w:rPr>
          <w:rFonts w:ascii="Arial" w:cs="Arial" w:eastAsia="Arial" w:hAnsi="Arial"/>
          <w:sz w:val="15"/>
          <w:szCs w:val="15"/>
          <w:b w:val="1"/>
          <w:bCs w:val="1"/>
          <w:color w:val="auto"/>
        </w:rPr>
        <w:t>Reports by the Company</w:t>
      </w:r>
      <w:r>
        <w:rPr>
          <w:rFonts w:ascii="Arial" w:cs="Arial" w:eastAsia="Arial" w:hAnsi="Arial"/>
          <w:sz w:val="15"/>
          <w:szCs w:val="15"/>
          <w:color w:val="auto"/>
        </w:rPr>
        <w:t>.</w:t>
      </w:r>
    </w:p>
    <w:p>
      <w:pPr>
        <w:spacing w:after="0" w:line="211" w:lineRule="exact"/>
        <w:rPr>
          <w:sz w:val="20"/>
          <w:szCs w:val="20"/>
          <w:color w:val="auto"/>
        </w:rPr>
      </w:pPr>
    </w:p>
    <w:p>
      <w:pPr>
        <w:jc w:val="both"/>
        <w:ind w:firstLine="1207"/>
        <w:spacing w:after="0" w:line="286" w:lineRule="auto"/>
        <w:tabs>
          <w:tab w:leader="none" w:pos="2130" w:val="left"/>
        </w:tabs>
        <w:numPr>
          <w:ilvl w:val="0"/>
          <w:numId w:val="126"/>
        </w:numPr>
        <w:rPr>
          <w:rFonts w:ascii="Arial" w:cs="Arial" w:eastAsia="Arial" w:hAnsi="Arial"/>
          <w:sz w:val="15"/>
          <w:szCs w:val="15"/>
          <w:b w:val="1"/>
          <w:bCs w:val="1"/>
          <w:color w:val="auto"/>
        </w:rPr>
      </w:pPr>
      <w:r>
        <w:rPr>
          <w:rFonts w:ascii="Arial" w:cs="Arial" w:eastAsia="Arial" w:hAnsi="Arial"/>
          <w:sz w:val="15"/>
          <w:szCs w:val="15"/>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60" w:lineRule="exact"/>
        <w:rPr>
          <w:rFonts w:ascii="Arial" w:cs="Arial" w:eastAsia="Arial" w:hAnsi="Arial"/>
          <w:sz w:val="15"/>
          <w:szCs w:val="15"/>
          <w:b w:val="1"/>
          <w:bCs w:val="1"/>
          <w:color w:val="auto"/>
        </w:rPr>
      </w:pPr>
    </w:p>
    <w:p>
      <w:pPr>
        <w:jc w:val="both"/>
        <w:ind w:firstLine="1207"/>
        <w:spacing w:after="0" w:line="250" w:lineRule="auto"/>
        <w:tabs>
          <w:tab w:leader="none" w:pos="2064"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79"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5.04</w:t>
      </w:r>
      <w:r>
        <w:rPr>
          <w:sz w:val="20"/>
          <w:szCs w:val="20"/>
          <w:color w:val="auto"/>
        </w:rPr>
        <w:tab/>
      </w:r>
      <w:r>
        <w:rPr>
          <w:rFonts w:ascii="Arial" w:cs="Arial" w:eastAsia="Arial" w:hAnsi="Arial"/>
          <w:sz w:val="14"/>
          <w:szCs w:val="14"/>
          <w:b w:val="1"/>
          <w:bCs w:val="1"/>
          <w:color w:val="auto"/>
        </w:rPr>
        <w:t>Reports by the Trustee</w:t>
      </w:r>
      <w:r>
        <w:rPr>
          <w:rFonts w:ascii="Arial" w:cs="Arial" w:eastAsia="Arial" w:hAnsi="Arial"/>
          <w:sz w:val="14"/>
          <w:szCs w:val="14"/>
          <w:color w:val="auto"/>
        </w:rPr>
        <w:t>.</w:t>
      </w:r>
    </w:p>
    <w:p>
      <w:pPr>
        <w:spacing w:after="0" w:line="211" w:lineRule="exact"/>
        <w:rPr>
          <w:sz w:val="20"/>
          <w:szCs w:val="20"/>
          <w:color w:val="auto"/>
        </w:rPr>
      </w:pPr>
    </w:p>
    <w:p>
      <w:pPr>
        <w:ind w:firstLine="1207"/>
        <w:spacing w:after="0" w:line="268" w:lineRule="auto"/>
        <w:tabs>
          <w:tab w:leader="none" w:pos="2331"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2" w:name="page133"/>
    <w:bookmarkEnd w:id="132"/>
    <w:p>
      <w:pPr>
        <w:ind w:left="2040" w:hanging="833"/>
        <w:spacing w:after="0"/>
        <w:tabs>
          <w:tab w:leader="none" w:pos="204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The Trustee shall comply with Section 313(b) and 313(c) of the Trust Indenture Act.</w:t>
      </w:r>
    </w:p>
    <w:p>
      <w:pPr>
        <w:spacing w:after="0" w:line="206" w:lineRule="exact"/>
        <w:rPr>
          <w:rFonts w:ascii="Arial" w:cs="Arial" w:eastAsia="Arial" w:hAnsi="Arial"/>
          <w:sz w:val="17"/>
          <w:szCs w:val="17"/>
          <w:b w:val="1"/>
          <w:bCs w:val="1"/>
          <w:color w:val="auto"/>
        </w:rPr>
      </w:pPr>
    </w:p>
    <w:p>
      <w:pPr>
        <w:jc w:val="both"/>
        <w:ind w:firstLine="1207"/>
        <w:spacing w:after="0" w:line="257" w:lineRule="auto"/>
        <w:tabs>
          <w:tab w:leader="none" w:pos="202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07"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REMEDIES OF THE TRUSTEE AND SECURITYHOLDERS ON EVENT OF DEFAULT</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6.01</w:t>
      </w:r>
      <w:r>
        <w:rPr>
          <w:sz w:val="20"/>
          <w:szCs w:val="20"/>
          <w:color w:val="auto"/>
        </w:rPr>
        <w:tab/>
      </w:r>
      <w:r>
        <w:rPr>
          <w:rFonts w:ascii="Arial" w:cs="Arial" w:eastAsia="Arial" w:hAnsi="Arial"/>
          <w:sz w:val="15"/>
          <w:szCs w:val="15"/>
          <w:b w:val="1"/>
          <w:bCs w:val="1"/>
          <w:color w:val="auto"/>
        </w:rPr>
        <w:t>Events of Default</w:t>
      </w:r>
      <w:r>
        <w:rPr>
          <w:rFonts w:ascii="Arial" w:cs="Arial" w:eastAsia="Arial" w:hAnsi="Arial"/>
          <w:sz w:val="15"/>
          <w:szCs w:val="15"/>
          <w:color w:val="auto"/>
        </w:rPr>
        <w:t>.</w:t>
      </w:r>
    </w:p>
    <w:p>
      <w:pPr>
        <w:spacing w:after="0" w:line="211" w:lineRule="exact"/>
        <w:rPr>
          <w:sz w:val="20"/>
          <w:szCs w:val="20"/>
          <w:color w:val="auto"/>
        </w:rPr>
      </w:pPr>
    </w:p>
    <w:p>
      <w:pPr>
        <w:ind w:firstLine="1207"/>
        <w:spacing w:after="0" w:line="268" w:lineRule="auto"/>
        <w:tabs>
          <w:tab w:leader="none" w:pos="2042"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Whenever used herein with respect to Securities of a particular series, “Event of Default” means any one or more of the following events that has occurred and is continuing:</w:t>
      </w:r>
    </w:p>
    <w:p>
      <w:pPr>
        <w:spacing w:after="0" w:line="166" w:lineRule="exact"/>
        <w:rPr>
          <w:rFonts w:ascii="Arial" w:cs="Arial" w:eastAsia="Arial" w:hAnsi="Arial"/>
          <w:sz w:val="17"/>
          <w:szCs w:val="17"/>
          <w:b w:val="1"/>
          <w:bCs w:val="1"/>
          <w:color w:val="auto"/>
        </w:rPr>
      </w:pPr>
    </w:p>
    <w:p>
      <w:pPr>
        <w:jc w:val="both"/>
        <w:ind w:firstLine="1810"/>
        <w:spacing w:after="0" w:line="308" w:lineRule="auto"/>
        <w:tabs>
          <w:tab w:leader="none" w:pos="2746" w:val="left"/>
        </w:tabs>
        <w:numPr>
          <w:ilvl w:val="1"/>
          <w:numId w:val="129"/>
        </w:numPr>
        <w:rPr>
          <w:rFonts w:ascii="Arial" w:cs="Arial" w:eastAsia="Arial" w:hAnsi="Arial"/>
          <w:sz w:val="15"/>
          <w:szCs w:val="15"/>
          <w:b w:val="1"/>
          <w:bCs w:val="1"/>
          <w:color w:val="auto"/>
        </w:rPr>
      </w:pPr>
      <w:r>
        <w:rPr>
          <w:rFonts w:ascii="Arial" w:cs="Arial" w:eastAsia="Arial" w:hAnsi="Arial"/>
          <w:sz w:val="15"/>
          <w:szCs w:val="15"/>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0" w:lineRule="exact"/>
        <w:rPr>
          <w:rFonts w:ascii="Arial" w:cs="Arial" w:eastAsia="Arial" w:hAnsi="Arial"/>
          <w:sz w:val="15"/>
          <w:szCs w:val="15"/>
          <w:b w:val="1"/>
          <w:bCs w:val="1"/>
          <w:color w:val="auto"/>
        </w:rPr>
      </w:pPr>
    </w:p>
    <w:p>
      <w:pPr>
        <w:jc w:val="both"/>
        <w:ind w:firstLine="1810"/>
        <w:spacing w:after="0" w:line="254" w:lineRule="auto"/>
        <w:tabs>
          <w:tab w:leader="none" w:pos="2633" w:val="left"/>
        </w:tabs>
        <w:numPr>
          <w:ilvl w:val="1"/>
          <w:numId w:val="129"/>
        </w:numPr>
        <w:rPr>
          <w:rFonts w:ascii="Arial" w:cs="Arial" w:eastAsia="Arial" w:hAnsi="Arial"/>
          <w:sz w:val="17"/>
          <w:szCs w:val="17"/>
          <w:b w:val="1"/>
          <w:bCs w:val="1"/>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7" w:lineRule="exact"/>
        <w:rPr>
          <w:rFonts w:ascii="Arial" w:cs="Arial" w:eastAsia="Arial" w:hAnsi="Arial"/>
          <w:sz w:val="17"/>
          <w:szCs w:val="17"/>
          <w:b w:val="1"/>
          <w:bCs w:val="1"/>
          <w:color w:val="auto"/>
        </w:rPr>
      </w:pPr>
    </w:p>
    <w:p>
      <w:pPr>
        <w:jc w:val="both"/>
        <w:ind w:firstLine="1810"/>
        <w:spacing w:after="0" w:line="251" w:lineRule="auto"/>
        <w:tabs>
          <w:tab w:leader="none" w:pos="2733" w:val="left"/>
        </w:tabs>
        <w:numPr>
          <w:ilvl w:val="1"/>
          <w:numId w:val="129"/>
        </w:numPr>
        <w:rPr>
          <w:rFonts w:ascii="Arial" w:cs="Arial" w:eastAsia="Arial" w:hAnsi="Arial"/>
          <w:sz w:val="17"/>
          <w:szCs w:val="17"/>
          <w:b w:val="1"/>
          <w:bCs w:val="1"/>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0" w:lineRule="exact"/>
        <w:rPr>
          <w:rFonts w:ascii="Arial" w:cs="Arial" w:eastAsia="Arial" w:hAnsi="Arial"/>
          <w:sz w:val="17"/>
          <w:szCs w:val="17"/>
          <w:b w:val="1"/>
          <w:bCs w:val="1"/>
          <w:color w:val="auto"/>
        </w:rPr>
      </w:pPr>
    </w:p>
    <w:p>
      <w:pPr>
        <w:jc w:val="both"/>
        <w:ind w:firstLine="1810"/>
        <w:spacing w:after="0" w:line="257" w:lineRule="auto"/>
        <w:tabs>
          <w:tab w:leader="none" w:pos="2758" w:val="left"/>
        </w:tabs>
        <w:numPr>
          <w:ilvl w:val="1"/>
          <w:numId w:val="129"/>
        </w:numPr>
        <w:rPr>
          <w:rFonts w:ascii="Arial" w:cs="Arial" w:eastAsia="Arial" w:hAnsi="Arial"/>
          <w:sz w:val="17"/>
          <w:szCs w:val="17"/>
          <w:b w:val="1"/>
          <w:bCs w:val="1"/>
          <w:color w:val="auto"/>
        </w:rPr>
      </w:pPr>
      <w:r>
        <w:rPr>
          <w:rFonts w:ascii="Arial" w:cs="Arial" w:eastAsia="Arial" w:hAnsi="Arial"/>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3" w:name="page134"/>
    <w:bookmarkEnd w:id="133"/>
    <w:p>
      <w:pPr>
        <w:jc w:val="both"/>
        <w:ind w:firstLine="1810"/>
        <w:spacing w:after="0" w:line="257" w:lineRule="auto"/>
        <w:tabs>
          <w:tab w:leader="none" w:pos="2796" w:val="left"/>
        </w:tabs>
        <w:numPr>
          <w:ilvl w:val="1"/>
          <w:numId w:val="130"/>
        </w:numPr>
        <w:rPr>
          <w:rFonts w:ascii="Arial" w:cs="Arial" w:eastAsia="Arial" w:hAnsi="Arial"/>
          <w:sz w:val="17"/>
          <w:szCs w:val="17"/>
          <w:b w:val="1"/>
          <w:bCs w:val="1"/>
          <w:color w:val="auto"/>
        </w:rPr>
      </w:pPr>
      <w:r>
        <w:rPr>
          <w:rFonts w:ascii="Arial" w:cs="Arial" w:eastAsia="Arial" w:hAnsi="Arial"/>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6" w:lineRule="exact"/>
        <w:rPr>
          <w:rFonts w:ascii="Arial" w:cs="Arial" w:eastAsia="Arial" w:hAnsi="Arial"/>
          <w:sz w:val="17"/>
          <w:szCs w:val="17"/>
          <w:b w:val="1"/>
          <w:bCs w:val="1"/>
          <w:color w:val="auto"/>
        </w:rPr>
      </w:pPr>
    </w:p>
    <w:p>
      <w:pPr>
        <w:jc w:val="both"/>
        <w:ind w:firstLine="1207"/>
        <w:spacing w:after="0" w:line="250" w:lineRule="auto"/>
        <w:tabs>
          <w:tab w:leader="none" w:pos="2139"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3" w:lineRule="exact"/>
        <w:rPr>
          <w:rFonts w:ascii="Arial" w:cs="Arial" w:eastAsia="Arial" w:hAnsi="Arial"/>
          <w:sz w:val="17"/>
          <w:szCs w:val="17"/>
          <w:b w:val="1"/>
          <w:bCs w:val="1"/>
          <w:color w:val="auto"/>
        </w:rPr>
      </w:pPr>
    </w:p>
    <w:p>
      <w:pPr>
        <w:jc w:val="both"/>
        <w:ind w:firstLine="1207"/>
        <w:spacing w:after="0" w:line="266" w:lineRule="auto"/>
        <w:tabs>
          <w:tab w:leader="none" w:pos="2146"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such rescission and annulment shall extend to or shall affect any subsequent default or impair any right consequent thereon.</w:t>
      </w:r>
    </w:p>
    <w:p>
      <w:pPr>
        <w:spacing w:after="0" w:line="207" w:lineRule="exact"/>
        <w:rPr>
          <w:sz w:val="20"/>
          <w:szCs w:val="20"/>
          <w:color w:val="auto"/>
        </w:rPr>
      </w:pPr>
    </w:p>
    <w:p>
      <w:pPr>
        <w:jc w:val="both"/>
        <w:ind w:firstLine="1207"/>
        <w:spacing w:after="0" w:line="298" w:lineRule="auto"/>
        <w:tabs>
          <w:tab w:leader="none" w:pos="2240" w:val="left"/>
        </w:tabs>
        <w:numPr>
          <w:ilvl w:val="0"/>
          <w:numId w:val="132"/>
        </w:numPr>
        <w:rPr>
          <w:rFonts w:ascii="Arial" w:cs="Arial" w:eastAsia="Arial" w:hAnsi="Arial"/>
          <w:sz w:val="15"/>
          <w:szCs w:val="15"/>
          <w:b w:val="1"/>
          <w:bCs w:val="1"/>
          <w:color w:val="auto"/>
        </w:rPr>
      </w:pPr>
      <w:r>
        <w:rPr>
          <w:rFonts w:ascii="Arial" w:cs="Arial" w:eastAsia="Arial" w:hAnsi="Arial"/>
          <w:sz w:val="15"/>
          <w:szCs w:val="15"/>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4" w:name="page135"/>
    <w:bookmarkEnd w:id="134"/>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6.02</w:t>
      </w:r>
      <w:r>
        <w:rPr>
          <w:sz w:val="20"/>
          <w:szCs w:val="20"/>
          <w:color w:val="auto"/>
        </w:rPr>
        <w:tab/>
      </w:r>
      <w:r>
        <w:rPr>
          <w:rFonts w:ascii="Arial" w:cs="Arial" w:eastAsia="Arial" w:hAnsi="Arial"/>
          <w:sz w:val="14"/>
          <w:szCs w:val="14"/>
          <w:b w:val="1"/>
          <w:bCs w:val="1"/>
          <w:color w:val="auto"/>
        </w:rPr>
        <w:t>Collection of Indebtedness and Suits for Enforcement by Trustee</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67" w:lineRule="auto"/>
        <w:tabs>
          <w:tab w:leader="none" w:pos="1791"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8" w:lineRule="exact"/>
        <w:rPr>
          <w:rFonts w:ascii="Arial" w:cs="Arial" w:eastAsia="Arial" w:hAnsi="Arial"/>
          <w:sz w:val="16"/>
          <w:szCs w:val="16"/>
          <w:b w:val="1"/>
          <w:bCs w:val="1"/>
          <w:color w:val="auto"/>
        </w:rPr>
      </w:pPr>
    </w:p>
    <w:p>
      <w:pPr>
        <w:jc w:val="both"/>
        <w:ind w:firstLine="1207"/>
        <w:spacing w:after="0" w:line="252" w:lineRule="auto"/>
        <w:tabs>
          <w:tab w:leader="none" w:pos="1825"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0" w:lineRule="exact"/>
        <w:rPr>
          <w:rFonts w:ascii="Arial" w:cs="Arial" w:eastAsia="Arial" w:hAnsi="Arial"/>
          <w:sz w:val="17"/>
          <w:szCs w:val="17"/>
          <w:b w:val="1"/>
          <w:bCs w:val="1"/>
          <w:color w:val="auto"/>
        </w:rPr>
      </w:pPr>
    </w:p>
    <w:p>
      <w:pPr>
        <w:jc w:val="both"/>
        <w:ind w:firstLine="1207"/>
        <w:spacing w:after="0" w:line="267" w:lineRule="auto"/>
        <w:tabs>
          <w:tab w:leader="none" w:pos="2045"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68" w:lineRule="exact"/>
        <w:rPr>
          <w:rFonts w:ascii="Arial" w:cs="Arial" w:eastAsia="Arial" w:hAnsi="Arial"/>
          <w:sz w:val="16"/>
          <w:szCs w:val="16"/>
          <w:b w:val="1"/>
          <w:bCs w:val="1"/>
          <w:color w:val="auto"/>
        </w:rPr>
      </w:pPr>
    </w:p>
    <w:p>
      <w:pPr>
        <w:jc w:val="both"/>
        <w:ind w:firstLine="1207"/>
        <w:spacing w:after="0" w:line="298" w:lineRule="auto"/>
        <w:tabs>
          <w:tab w:leader="none" w:pos="1767" w:val="left"/>
        </w:tabs>
        <w:numPr>
          <w:ilvl w:val="0"/>
          <w:numId w:val="133"/>
        </w:numPr>
        <w:rPr>
          <w:rFonts w:ascii="Arial" w:cs="Arial" w:eastAsia="Arial" w:hAnsi="Arial"/>
          <w:sz w:val="15"/>
          <w:szCs w:val="15"/>
          <w:b w:val="1"/>
          <w:bCs w:val="1"/>
          <w:color w:val="auto"/>
        </w:rPr>
      </w:pPr>
      <w:r>
        <w:rPr>
          <w:rFonts w:ascii="Arial" w:cs="Arial" w:eastAsia="Arial" w:hAnsi="Arial"/>
          <w:sz w:val="15"/>
          <w:szCs w:val="15"/>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5" w:name="page136"/>
    <w:bookmarkEnd w:id="135"/>
    <w:p>
      <w:pPr>
        <w:jc w:val="both"/>
        <w:ind w:firstLine="603"/>
        <w:spacing w:after="0" w:line="254"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78"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6.03</w:t>
      </w:r>
      <w:r>
        <w:rPr>
          <w:sz w:val="20"/>
          <w:szCs w:val="20"/>
          <w:color w:val="auto"/>
        </w:rPr>
        <w:tab/>
      </w:r>
      <w:r>
        <w:rPr>
          <w:rFonts w:ascii="Arial" w:cs="Arial" w:eastAsia="Arial" w:hAnsi="Arial"/>
          <w:sz w:val="15"/>
          <w:szCs w:val="15"/>
          <w:b w:val="1"/>
          <w:bCs w:val="1"/>
          <w:color w:val="auto"/>
        </w:rPr>
        <w:t>Application of Moneys Collected</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FIRST: To the payment of costs and expenses of collection and of all amounts payable to the Trustee under Section 7.06;</w:t>
      </w:r>
    </w:p>
    <w:p>
      <w:pPr>
        <w:spacing w:after="0" w:line="20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THIRD: To the payment of the remainder, if any, to the Company or any other Person lawfully entitled thereto.</w:t>
      </w:r>
    </w:p>
    <w:p>
      <w:pPr>
        <w:spacing w:after="0" w:line="20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6.04</w:t>
      </w:r>
      <w:r>
        <w:rPr>
          <w:sz w:val="20"/>
          <w:szCs w:val="20"/>
          <w:color w:val="auto"/>
        </w:rPr>
        <w:tab/>
      </w:r>
      <w:r>
        <w:rPr>
          <w:rFonts w:ascii="Arial" w:cs="Arial" w:eastAsia="Arial" w:hAnsi="Arial"/>
          <w:sz w:val="15"/>
          <w:szCs w:val="15"/>
          <w:b w:val="1"/>
          <w:bCs w:val="1"/>
          <w:color w:val="auto"/>
        </w:rPr>
        <w:t>Limitation on Suits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8" w:lineRule="auto"/>
        <w:rPr>
          <w:sz w:val="20"/>
          <w:szCs w:val="20"/>
          <w:color w:val="auto"/>
        </w:rPr>
      </w:pPr>
      <w:r>
        <w:rPr>
          <w:rFonts w:ascii="Arial" w:cs="Arial" w:eastAsia="Arial" w:hAnsi="Arial"/>
          <w:sz w:val="15"/>
          <w:szCs w:val="15"/>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w:t>
      </w:r>
    </w:p>
    <w:p>
      <w:pPr>
        <w:jc w:val="both"/>
        <w:ind w:firstLine="1"/>
        <w:spacing w:after="0" w:line="248" w:lineRule="auto"/>
        <w:tabs>
          <w:tab w:leader="none" w:pos="20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6" w:name="page137"/>
    <w:bookmarkEnd w:id="136"/>
    <w:p>
      <w:pPr>
        <w:jc w:val="both"/>
        <w:ind w:firstLine="603"/>
        <w:spacing w:after="0" w:line="286" w:lineRule="auto"/>
        <w:rPr>
          <w:sz w:val="20"/>
          <w:szCs w:val="20"/>
          <w:color w:val="auto"/>
        </w:rPr>
      </w:pPr>
      <w:r>
        <w:rPr>
          <w:rFonts w:ascii="Arial" w:cs="Arial" w:eastAsia="Arial" w:hAnsi="Arial"/>
          <w:sz w:val="15"/>
          <w:szCs w:val="15"/>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6.05</w:t>
      </w:r>
      <w:r>
        <w:rPr>
          <w:sz w:val="20"/>
          <w:szCs w:val="20"/>
          <w:color w:val="auto"/>
        </w:rPr>
        <w:tab/>
      </w:r>
      <w:r>
        <w:rPr>
          <w:rFonts w:ascii="Arial" w:cs="Arial" w:eastAsia="Arial" w:hAnsi="Arial"/>
          <w:sz w:val="15"/>
          <w:szCs w:val="15"/>
          <w:b w:val="1"/>
          <w:bCs w:val="1"/>
          <w:color w:val="auto"/>
        </w:rPr>
        <w:t>Rights and Remedies Cumulative; Delay or Omission Not Waiver</w:t>
      </w:r>
      <w:r>
        <w:rPr>
          <w:rFonts w:ascii="Arial" w:cs="Arial" w:eastAsia="Arial" w:hAnsi="Arial"/>
          <w:sz w:val="15"/>
          <w:szCs w:val="15"/>
          <w:color w:val="auto"/>
        </w:rPr>
        <w:t>.</w:t>
      </w:r>
    </w:p>
    <w:p>
      <w:pPr>
        <w:spacing w:after="0" w:line="211" w:lineRule="exact"/>
        <w:rPr>
          <w:sz w:val="20"/>
          <w:szCs w:val="20"/>
          <w:color w:val="auto"/>
        </w:rPr>
      </w:pPr>
    </w:p>
    <w:p>
      <w:pPr>
        <w:jc w:val="both"/>
        <w:ind w:firstLine="1207"/>
        <w:spacing w:after="0" w:line="254" w:lineRule="auto"/>
        <w:tabs>
          <w:tab w:leader="none" w:pos="1803"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7" w:lineRule="exact"/>
        <w:rPr>
          <w:rFonts w:ascii="Arial" w:cs="Arial" w:eastAsia="Arial" w:hAnsi="Arial"/>
          <w:sz w:val="17"/>
          <w:szCs w:val="17"/>
          <w:b w:val="1"/>
          <w:bCs w:val="1"/>
          <w:color w:val="auto"/>
        </w:rPr>
      </w:pPr>
    </w:p>
    <w:p>
      <w:pPr>
        <w:jc w:val="both"/>
        <w:ind w:firstLine="1207"/>
        <w:spacing w:after="0" w:line="275" w:lineRule="auto"/>
        <w:tabs>
          <w:tab w:leader="none" w:pos="1888"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7" w:name="page138"/>
    <w:bookmarkEnd w:id="137"/>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6.06</w:t>
      </w:r>
      <w:r>
        <w:rPr>
          <w:sz w:val="20"/>
          <w:szCs w:val="20"/>
          <w:color w:val="auto"/>
        </w:rPr>
        <w:tab/>
      </w:r>
      <w:r>
        <w:rPr>
          <w:rFonts w:ascii="Arial" w:cs="Arial" w:eastAsia="Arial" w:hAnsi="Arial"/>
          <w:sz w:val="15"/>
          <w:szCs w:val="15"/>
          <w:b w:val="1"/>
          <w:bCs w:val="1"/>
          <w:color w:val="auto"/>
        </w:rPr>
        <w:t>Control by Securityholders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68"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6.07</w:t>
      </w:r>
      <w:r>
        <w:rPr>
          <w:sz w:val="20"/>
          <w:szCs w:val="20"/>
          <w:color w:val="auto"/>
        </w:rPr>
        <w:tab/>
      </w:r>
      <w:r>
        <w:rPr>
          <w:rFonts w:ascii="Arial" w:cs="Arial" w:eastAsia="Arial" w:hAnsi="Arial"/>
          <w:sz w:val="15"/>
          <w:szCs w:val="15"/>
          <w:b w:val="1"/>
          <w:bCs w:val="1"/>
          <w:color w:val="auto"/>
        </w:rPr>
        <w:t>Undertaking to Pay Costs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07"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CONCERNING THE TRUSTEE</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7.01</w:t>
      </w:r>
      <w:r>
        <w:rPr>
          <w:sz w:val="20"/>
          <w:szCs w:val="20"/>
          <w:color w:val="auto"/>
        </w:rPr>
        <w:tab/>
      </w:r>
      <w:r>
        <w:rPr>
          <w:rFonts w:ascii="Arial" w:cs="Arial" w:eastAsia="Arial" w:hAnsi="Arial"/>
          <w:sz w:val="14"/>
          <w:szCs w:val="14"/>
          <w:b w:val="1"/>
          <w:bCs w:val="1"/>
          <w:color w:val="auto"/>
        </w:rPr>
        <w:t>Certain Duties and Responsibilities of Trustee</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51" w:lineRule="auto"/>
        <w:tabs>
          <w:tab w:leader="none" w:pos="1879"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8" w:name="page139"/>
    <w:bookmarkEnd w:id="138"/>
    <w:p>
      <w:pPr>
        <w:ind w:firstLine="1207"/>
        <w:spacing w:after="0" w:line="268" w:lineRule="auto"/>
        <w:tabs>
          <w:tab w:leader="none" w:pos="1788"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No provision of this Indenture shall be construed to relieve the Trustee from liability for its own negligent action, its own negligent failure to act, or its own willful misconduct, except that:</w:t>
      </w:r>
    </w:p>
    <w:p>
      <w:pPr>
        <w:spacing w:after="0" w:line="167" w:lineRule="exact"/>
        <w:rPr>
          <w:sz w:val="20"/>
          <w:szCs w:val="20"/>
          <w:color w:val="auto"/>
        </w:rPr>
      </w:pPr>
    </w:p>
    <w:p>
      <w:pPr>
        <w:ind w:firstLine="1207"/>
        <w:spacing w:after="0" w:line="268" w:lineRule="auto"/>
        <w:tabs>
          <w:tab w:leader="none" w:pos="1791"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prior to the occurrence of an Event of Default with respect to the Securities of a series and after the curing or waiving of all such Events of Default with respect to that series that may have occurred:</w:t>
      </w:r>
    </w:p>
    <w:p>
      <w:pPr>
        <w:spacing w:after="0" w:line="166" w:lineRule="exact"/>
        <w:rPr>
          <w:rFonts w:ascii="Arial" w:cs="Arial" w:eastAsia="Arial" w:hAnsi="Arial"/>
          <w:sz w:val="17"/>
          <w:szCs w:val="17"/>
          <w:b w:val="1"/>
          <w:bCs w:val="1"/>
          <w:color w:val="auto"/>
        </w:rPr>
      </w:pPr>
    </w:p>
    <w:p>
      <w:pPr>
        <w:jc w:val="both"/>
        <w:ind w:firstLine="1810"/>
        <w:spacing w:after="0" w:line="281" w:lineRule="auto"/>
        <w:tabs>
          <w:tab w:leader="none" w:pos="2461" w:val="left"/>
        </w:tabs>
        <w:numPr>
          <w:ilvl w:val="1"/>
          <w:numId w:val="138"/>
        </w:numPr>
        <w:rPr>
          <w:rFonts w:ascii="Arial" w:cs="Arial" w:eastAsia="Arial" w:hAnsi="Arial"/>
          <w:sz w:val="16"/>
          <w:szCs w:val="16"/>
          <w:b w:val="1"/>
          <w:bCs w:val="1"/>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58" w:lineRule="exact"/>
        <w:rPr>
          <w:rFonts w:ascii="Arial" w:cs="Arial" w:eastAsia="Arial" w:hAnsi="Arial"/>
          <w:sz w:val="16"/>
          <w:szCs w:val="16"/>
          <w:b w:val="1"/>
          <w:bCs w:val="1"/>
          <w:color w:val="auto"/>
        </w:rPr>
      </w:pPr>
    </w:p>
    <w:p>
      <w:pPr>
        <w:jc w:val="both"/>
        <w:ind w:firstLine="1810"/>
        <w:spacing w:after="0" w:line="298" w:lineRule="auto"/>
        <w:tabs>
          <w:tab w:leader="none" w:pos="2351" w:val="left"/>
        </w:tabs>
        <w:numPr>
          <w:ilvl w:val="1"/>
          <w:numId w:val="138"/>
        </w:numPr>
        <w:rPr>
          <w:rFonts w:ascii="Arial" w:cs="Arial" w:eastAsia="Arial" w:hAnsi="Arial"/>
          <w:sz w:val="15"/>
          <w:szCs w:val="15"/>
          <w:b w:val="1"/>
          <w:bCs w:val="1"/>
          <w:color w:val="auto"/>
        </w:rPr>
      </w:pPr>
      <w:r>
        <w:rPr>
          <w:rFonts w:ascii="Arial" w:cs="Arial" w:eastAsia="Arial" w:hAnsi="Arial"/>
          <w:sz w:val="15"/>
          <w:szCs w:val="15"/>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48" w:lineRule="exact"/>
        <w:rPr>
          <w:rFonts w:ascii="Arial" w:cs="Arial" w:eastAsia="Arial" w:hAnsi="Arial"/>
          <w:sz w:val="15"/>
          <w:szCs w:val="15"/>
          <w:b w:val="1"/>
          <w:bCs w:val="1"/>
          <w:color w:val="auto"/>
        </w:rPr>
      </w:pPr>
    </w:p>
    <w:p>
      <w:pPr>
        <w:ind w:firstLine="1207"/>
        <w:spacing w:after="0" w:line="268" w:lineRule="auto"/>
        <w:tabs>
          <w:tab w:leader="none" w:pos="1809"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66" w:lineRule="exact"/>
        <w:rPr>
          <w:rFonts w:ascii="Arial" w:cs="Arial" w:eastAsia="Arial" w:hAnsi="Arial"/>
          <w:sz w:val="17"/>
          <w:szCs w:val="17"/>
          <w:b w:val="1"/>
          <w:bCs w:val="1"/>
          <w:color w:val="auto"/>
        </w:rPr>
      </w:pPr>
    </w:p>
    <w:p>
      <w:pPr>
        <w:jc w:val="both"/>
        <w:ind w:firstLine="1207"/>
        <w:spacing w:after="0" w:line="254" w:lineRule="auto"/>
        <w:tabs>
          <w:tab w:leader="none" w:pos="1788"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7" w:lineRule="exact"/>
        <w:rPr>
          <w:rFonts w:ascii="Arial" w:cs="Arial" w:eastAsia="Arial" w:hAnsi="Arial"/>
          <w:sz w:val="17"/>
          <w:szCs w:val="17"/>
          <w:b w:val="1"/>
          <w:bCs w:val="1"/>
          <w:color w:val="auto"/>
        </w:rPr>
      </w:pPr>
    </w:p>
    <w:p>
      <w:pPr>
        <w:jc w:val="both"/>
        <w:ind w:firstLine="1207"/>
        <w:spacing w:after="0" w:line="308" w:lineRule="auto"/>
        <w:tabs>
          <w:tab w:leader="none" w:pos="1909" w:val="left"/>
        </w:tabs>
        <w:numPr>
          <w:ilvl w:val="0"/>
          <w:numId w:val="138"/>
        </w:numPr>
        <w:rPr>
          <w:rFonts w:ascii="Arial" w:cs="Arial" w:eastAsia="Arial" w:hAnsi="Arial"/>
          <w:sz w:val="15"/>
          <w:szCs w:val="15"/>
          <w:b w:val="1"/>
          <w:bCs w:val="1"/>
          <w:color w:val="auto"/>
        </w:rPr>
      </w:pPr>
      <w:r>
        <w:rPr>
          <w:rFonts w:ascii="Arial" w:cs="Arial" w:eastAsia="Arial" w:hAnsi="Arial"/>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9" w:name="page140"/>
    <w:bookmarkEnd w:id="139"/>
    <w:p>
      <w:pPr>
        <w:ind w:left="1780" w:hanging="573"/>
        <w:spacing w:after="0"/>
        <w:tabs>
          <w:tab w:leader="none" w:pos="1780"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The Trustee shall not be required to give any bond or surety in respect of the performance of its powers or duties hereunder;</w:t>
      </w:r>
    </w:p>
    <w:p>
      <w:pPr>
        <w:spacing w:after="0" w:line="206" w:lineRule="exact"/>
        <w:rPr>
          <w:rFonts w:ascii="Arial" w:cs="Arial" w:eastAsia="Arial" w:hAnsi="Arial"/>
          <w:sz w:val="17"/>
          <w:szCs w:val="17"/>
          <w:b w:val="1"/>
          <w:bCs w:val="1"/>
          <w:color w:val="auto"/>
        </w:rPr>
      </w:pPr>
    </w:p>
    <w:p>
      <w:pPr>
        <w:ind w:left="1780" w:hanging="573"/>
        <w:spacing w:after="0"/>
        <w:tabs>
          <w:tab w:leader="none" w:pos="1780"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18" w:lineRule="exact"/>
        <w:rPr>
          <w:rFonts w:ascii="Arial" w:cs="Arial" w:eastAsia="Arial" w:hAnsi="Arial"/>
          <w:sz w:val="16"/>
          <w:szCs w:val="16"/>
          <w:b w:val="1"/>
          <w:bCs w:val="1"/>
          <w:color w:val="auto"/>
        </w:rPr>
      </w:pPr>
    </w:p>
    <w:p>
      <w:pPr>
        <w:ind w:left="1780" w:hanging="573"/>
        <w:spacing w:after="0"/>
        <w:tabs>
          <w:tab w:leader="none" w:pos="1780" w:val="left"/>
        </w:tabs>
        <w:numPr>
          <w:ilvl w:val="0"/>
          <w:numId w:val="139"/>
        </w:numPr>
        <w:rPr>
          <w:rFonts w:ascii="Arial" w:cs="Arial" w:eastAsia="Arial" w:hAnsi="Arial"/>
          <w:sz w:val="15"/>
          <w:szCs w:val="15"/>
          <w:b w:val="1"/>
          <w:bCs w:val="1"/>
          <w:color w:val="auto"/>
        </w:rPr>
      </w:pPr>
      <w:r>
        <w:rPr>
          <w:rFonts w:ascii="Arial" w:cs="Arial" w:eastAsia="Arial" w:hAnsi="Arial"/>
          <w:sz w:val="15"/>
          <w:szCs w:val="15"/>
          <w:color w:val="auto"/>
        </w:rPr>
        <w:t>No Trustee shall have any duty or responsibility for any act or omission of any other Trustee appointed with respect to a series of Securities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hereunder.</w:t>
      </w:r>
    </w:p>
    <w:p>
      <w:pPr>
        <w:spacing w:after="0" w:line="19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7.02</w:t>
      </w:r>
      <w:r>
        <w:rPr>
          <w:sz w:val="20"/>
          <w:szCs w:val="20"/>
          <w:color w:val="auto"/>
        </w:rPr>
        <w:tab/>
      </w:r>
      <w:r>
        <w:rPr>
          <w:rFonts w:ascii="Arial" w:cs="Arial" w:eastAsia="Arial" w:hAnsi="Arial"/>
          <w:sz w:val="15"/>
          <w:szCs w:val="15"/>
          <w:b w:val="1"/>
          <w:bCs w:val="1"/>
          <w:color w:val="auto"/>
        </w:rPr>
        <w:t>Certain Rights of Trustee</w:t>
      </w:r>
      <w:r>
        <w:rPr>
          <w:rFonts w:ascii="Arial" w:cs="Arial" w:eastAsia="Arial" w:hAnsi="Arial"/>
          <w:sz w:val="15"/>
          <w:szCs w:val="15"/>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Except as otherwise provided in Section 7.01:</w:t>
      </w:r>
    </w:p>
    <w:p>
      <w:pPr>
        <w:spacing w:after="0" w:line="207" w:lineRule="exact"/>
        <w:rPr>
          <w:sz w:val="20"/>
          <w:szCs w:val="20"/>
          <w:color w:val="auto"/>
        </w:rPr>
      </w:pPr>
    </w:p>
    <w:p>
      <w:pPr>
        <w:jc w:val="both"/>
        <w:ind w:firstLine="1207"/>
        <w:spacing w:after="0" w:line="257" w:lineRule="auto"/>
        <w:tabs>
          <w:tab w:leader="none" w:pos="1904"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6" w:lineRule="exact"/>
        <w:rPr>
          <w:rFonts w:ascii="Arial" w:cs="Arial" w:eastAsia="Arial" w:hAnsi="Arial"/>
          <w:sz w:val="17"/>
          <w:szCs w:val="17"/>
          <w:b w:val="1"/>
          <w:bCs w:val="1"/>
          <w:color w:val="auto"/>
        </w:rPr>
      </w:pPr>
    </w:p>
    <w:p>
      <w:pPr>
        <w:ind w:firstLine="1207"/>
        <w:spacing w:after="0" w:line="336" w:lineRule="auto"/>
        <w:tabs>
          <w:tab w:leader="none" w:pos="1913" w:val="left"/>
        </w:tabs>
        <w:numPr>
          <w:ilvl w:val="0"/>
          <w:numId w:val="140"/>
        </w:numPr>
        <w:rPr>
          <w:rFonts w:ascii="Arial" w:cs="Arial" w:eastAsia="Arial" w:hAnsi="Arial"/>
          <w:sz w:val="15"/>
          <w:szCs w:val="15"/>
          <w:b w:val="1"/>
          <w:bCs w:val="1"/>
          <w:color w:val="auto"/>
        </w:rPr>
      </w:pPr>
      <w:r>
        <w:rPr>
          <w:rFonts w:ascii="Arial" w:cs="Arial" w:eastAsia="Arial" w:hAnsi="Arial"/>
          <w:sz w:val="15"/>
          <w:szCs w:val="15"/>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20" w:lineRule="exact"/>
        <w:rPr>
          <w:rFonts w:ascii="Arial" w:cs="Arial" w:eastAsia="Arial" w:hAnsi="Arial"/>
          <w:sz w:val="15"/>
          <w:szCs w:val="15"/>
          <w:b w:val="1"/>
          <w:bCs w:val="1"/>
          <w:color w:val="auto"/>
        </w:rPr>
      </w:pPr>
    </w:p>
    <w:p>
      <w:pPr>
        <w:ind w:firstLine="1207"/>
        <w:spacing w:after="0" w:line="300" w:lineRule="auto"/>
        <w:tabs>
          <w:tab w:leader="none" w:pos="1769"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43" w:lineRule="exact"/>
        <w:rPr>
          <w:rFonts w:ascii="Arial" w:cs="Arial" w:eastAsia="Arial" w:hAnsi="Arial"/>
          <w:sz w:val="16"/>
          <w:szCs w:val="16"/>
          <w:b w:val="1"/>
          <w:bCs w:val="1"/>
          <w:color w:val="auto"/>
        </w:rPr>
      </w:pPr>
    </w:p>
    <w:p>
      <w:pPr>
        <w:jc w:val="both"/>
        <w:ind w:firstLine="1207"/>
        <w:spacing w:after="0" w:line="269" w:lineRule="auto"/>
        <w:tabs>
          <w:tab w:leader="none" w:pos="1788"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70" w:lineRule="exact"/>
        <w:rPr>
          <w:rFonts w:ascii="Arial" w:cs="Arial" w:eastAsia="Arial" w:hAnsi="Arial"/>
          <w:sz w:val="16"/>
          <w:szCs w:val="16"/>
          <w:b w:val="1"/>
          <w:bCs w:val="1"/>
          <w:color w:val="auto"/>
        </w:rPr>
      </w:pPr>
    </w:p>
    <w:p>
      <w:pPr>
        <w:ind w:firstLine="1207"/>
        <w:spacing w:after="0" w:line="268" w:lineRule="auto"/>
        <w:tabs>
          <w:tab w:leader="none" w:pos="1781"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The Trustee shall not be liable for any action taken or omitted to be taken by it in good faith and believed by it to be authorized or within the discretion or rights or powers conferred upon it by this Indenture;</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0" w:name="page141"/>
    <w:bookmarkEnd w:id="140"/>
    <w:p>
      <w:pPr>
        <w:jc w:val="both"/>
        <w:ind w:firstLine="1207"/>
        <w:spacing w:after="0" w:line="267" w:lineRule="auto"/>
        <w:tabs>
          <w:tab w:leader="none" w:pos="1776"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72" w:lineRule="exact"/>
        <w:rPr>
          <w:rFonts w:ascii="Arial" w:cs="Arial" w:eastAsia="Arial" w:hAnsi="Arial"/>
          <w:sz w:val="16"/>
          <w:szCs w:val="16"/>
          <w:b w:val="1"/>
          <w:bCs w:val="1"/>
          <w:color w:val="auto"/>
        </w:rPr>
      </w:pPr>
    </w:p>
    <w:p>
      <w:pPr>
        <w:ind w:firstLine="1207"/>
        <w:spacing w:after="0" w:line="336" w:lineRule="auto"/>
        <w:tabs>
          <w:tab w:leader="none" w:pos="1812" w:val="left"/>
        </w:tabs>
        <w:numPr>
          <w:ilvl w:val="0"/>
          <w:numId w:val="141"/>
        </w:numPr>
        <w:rPr>
          <w:rFonts w:ascii="Arial" w:cs="Arial" w:eastAsia="Arial" w:hAnsi="Arial"/>
          <w:sz w:val="15"/>
          <w:szCs w:val="15"/>
          <w:b w:val="1"/>
          <w:bCs w:val="1"/>
          <w:color w:val="auto"/>
        </w:rPr>
      </w:pPr>
      <w:r>
        <w:rPr>
          <w:rFonts w:ascii="Arial" w:cs="Arial" w:eastAsia="Arial" w:hAnsi="Arial"/>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20" w:lineRule="exact"/>
        <w:rPr>
          <w:rFonts w:ascii="Arial" w:cs="Arial" w:eastAsia="Arial" w:hAnsi="Arial"/>
          <w:sz w:val="15"/>
          <w:szCs w:val="15"/>
          <w:b w:val="1"/>
          <w:bCs w:val="1"/>
          <w:color w:val="auto"/>
        </w:rPr>
      </w:pPr>
    </w:p>
    <w:p>
      <w:pPr>
        <w:jc w:val="both"/>
        <w:ind w:firstLine="1207"/>
        <w:spacing w:after="0" w:line="252" w:lineRule="auto"/>
        <w:tabs>
          <w:tab w:leader="none" w:pos="1800" w:val="left"/>
        </w:tabs>
        <w:numPr>
          <w:ilvl w:val="0"/>
          <w:numId w:val="141"/>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0" w:lineRule="exact"/>
        <w:rPr>
          <w:rFonts w:ascii="Arial" w:cs="Arial" w:eastAsia="Arial" w:hAnsi="Arial"/>
          <w:sz w:val="17"/>
          <w:szCs w:val="17"/>
          <w:b w:val="1"/>
          <w:bCs w:val="1"/>
          <w:color w:val="auto"/>
        </w:rPr>
      </w:pPr>
    </w:p>
    <w:p>
      <w:pPr>
        <w:jc w:val="both"/>
        <w:ind w:firstLine="1207"/>
        <w:spacing w:after="0" w:line="257" w:lineRule="auto"/>
        <w:tabs>
          <w:tab w:leader="none" w:pos="1804" w:val="left"/>
        </w:tabs>
        <w:numPr>
          <w:ilvl w:val="0"/>
          <w:numId w:val="141"/>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6" w:lineRule="exact"/>
        <w:rPr>
          <w:rFonts w:ascii="Arial" w:cs="Arial" w:eastAsia="Arial" w:hAnsi="Arial"/>
          <w:sz w:val="17"/>
          <w:szCs w:val="17"/>
          <w:b w:val="1"/>
          <w:bCs w:val="1"/>
          <w:color w:val="auto"/>
        </w:rPr>
      </w:pPr>
    </w:p>
    <w:p>
      <w:pPr>
        <w:jc w:val="both"/>
        <w:ind w:firstLine="1207"/>
        <w:spacing w:after="0" w:line="266" w:lineRule="auto"/>
        <w:tabs>
          <w:tab w:leader="none" w:pos="2002"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1" w:name="page142"/>
    <w:bookmarkEnd w:id="141"/>
    <w:p>
      <w:pPr>
        <w:jc w:val="both"/>
        <w:ind w:firstLine="1207"/>
        <w:spacing w:after="0" w:line="257" w:lineRule="auto"/>
        <w:tabs>
          <w:tab w:leader="none" w:pos="1758"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76" w:lineRule="exact"/>
        <w:rPr>
          <w:rFonts w:ascii="Arial" w:cs="Arial" w:eastAsia="Arial" w:hAnsi="Arial"/>
          <w:sz w:val="17"/>
          <w:szCs w:val="17"/>
          <w:b w:val="1"/>
          <w:bCs w:val="1"/>
          <w:color w:val="auto"/>
        </w:rPr>
      </w:pPr>
    </w:p>
    <w:p>
      <w:pPr>
        <w:jc w:val="both"/>
        <w:ind w:firstLine="1207"/>
        <w:spacing w:after="0" w:line="281" w:lineRule="auto"/>
        <w:tabs>
          <w:tab w:leader="none" w:pos="1909"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5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7.03</w:t>
      </w:r>
      <w:r>
        <w:rPr>
          <w:sz w:val="20"/>
          <w:szCs w:val="20"/>
          <w:color w:val="auto"/>
        </w:rPr>
        <w:tab/>
      </w:r>
      <w:r>
        <w:rPr>
          <w:rFonts w:ascii="Arial" w:cs="Arial" w:eastAsia="Arial" w:hAnsi="Arial"/>
          <w:sz w:val="14"/>
          <w:szCs w:val="14"/>
          <w:b w:val="1"/>
          <w:bCs w:val="1"/>
          <w:color w:val="auto"/>
        </w:rPr>
        <w:t>Trustee Not Responsible for Recitals or Issuance or Securities</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308" w:lineRule="auto"/>
        <w:tabs>
          <w:tab w:leader="none" w:pos="1778" w:val="left"/>
        </w:tabs>
        <w:numPr>
          <w:ilvl w:val="0"/>
          <w:numId w:val="143"/>
        </w:numPr>
        <w:rPr>
          <w:rFonts w:ascii="Arial" w:cs="Arial" w:eastAsia="Arial" w:hAnsi="Arial"/>
          <w:sz w:val="15"/>
          <w:szCs w:val="15"/>
          <w:b w:val="1"/>
          <w:bCs w:val="1"/>
          <w:color w:val="auto"/>
        </w:rPr>
      </w:pPr>
      <w:r>
        <w:rPr>
          <w:rFonts w:ascii="Arial" w:cs="Arial" w:eastAsia="Arial" w:hAnsi="Arial"/>
          <w:sz w:val="15"/>
          <w:szCs w:val="15"/>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40" w:lineRule="exact"/>
        <w:rPr>
          <w:rFonts w:ascii="Arial" w:cs="Arial" w:eastAsia="Arial" w:hAnsi="Arial"/>
          <w:sz w:val="15"/>
          <w:szCs w:val="15"/>
          <w:b w:val="1"/>
          <w:bCs w:val="1"/>
          <w:color w:val="auto"/>
        </w:rPr>
      </w:pPr>
    </w:p>
    <w:p>
      <w:pPr>
        <w:ind w:left="1780" w:hanging="573"/>
        <w:spacing w:after="0"/>
        <w:tabs>
          <w:tab w:leader="none" w:pos="1780"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The Trustee makes no representations as to the validity or sufficiency of this Indenture or of the Securities.</w:t>
      </w:r>
    </w:p>
    <w:p>
      <w:pPr>
        <w:spacing w:after="0" w:line="206" w:lineRule="exact"/>
        <w:rPr>
          <w:rFonts w:ascii="Arial" w:cs="Arial" w:eastAsia="Arial" w:hAnsi="Arial"/>
          <w:sz w:val="17"/>
          <w:szCs w:val="17"/>
          <w:b w:val="1"/>
          <w:bCs w:val="1"/>
          <w:color w:val="auto"/>
        </w:rPr>
      </w:pPr>
    </w:p>
    <w:p>
      <w:pPr>
        <w:jc w:val="both"/>
        <w:ind w:firstLine="1207"/>
        <w:spacing w:after="0" w:line="257" w:lineRule="auto"/>
        <w:tabs>
          <w:tab w:leader="none" w:pos="1769"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7.04</w:t>
      </w:r>
      <w:r>
        <w:rPr>
          <w:sz w:val="20"/>
          <w:szCs w:val="20"/>
          <w:color w:val="auto"/>
        </w:rPr>
        <w:tab/>
      </w:r>
      <w:r>
        <w:rPr>
          <w:rFonts w:ascii="Arial" w:cs="Arial" w:eastAsia="Arial" w:hAnsi="Arial"/>
          <w:sz w:val="15"/>
          <w:szCs w:val="15"/>
          <w:b w:val="1"/>
          <w:bCs w:val="1"/>
          <w:color w:val="auto"/>
        </w:rPr>
        <w:t>May Hold Securities.</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7.05</w:t>
      </w:r>
      <w:r>
        <w:rPr>
          <w:sz w:val="20"/>
          <w:szCs w:val="20"/>
          <w:color w:val="auto"/>
        </w:rPr>
        <w:tab/>
      </w:r>
      <w:r>
        <w:rPr>
          <w:rFonts w:ascii="Arial" w:cs="Arial" w:eastAsia="Arial" w:hAnsi="Arial"/>
          <w:sz w:val="15"/>
          <w:szCs w:val="15"/>
          <w:b w:val="1"/>
          <w:bCs w:val="1"/>
          <w:color w:val="auto"/>
        </w:rPr>
        <w:t>Moneys Held in Trust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7.06</w:t>
      </w:r>
      <w:r>
        <w:rPr>
          <w:sz w:val="20"/>
          <w:szCs w:val="20"/>
          <w:color w:val="auto"/>
        </w:rPr>
        <w:tab/>
      </w:r>
      <w:r>
        <w:rPr>
          <w:rFonts w:ascii="Arial" w:cs="Arial" w:eastAsia="Arial" w:hAnsi="Arial"/>
          <w:sz w:val="14"/>
          <w:szCs w:val="14"/>
          <w:b w:val="1"/>
          <w:bCs w:val="1"/>
          <w:color w:val="auto"/>
        </w:rPr>
        <w:t>Compensation and Reimbursement</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54" w:lineRule="auto"/>
        <w:tabs>
          <w:tab w:leader="none" w:pos="1829"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2" w:name="page143"/>
    <w:bookmarkEnd w:id="142"/>
    <w:p>
      <w:pPr>
        <w:jc w:val="both"/>
        <w:ind w:firstLine="1207"/>
        <w:spacing w:after="0" w:line="291" w:lineRule="auto"/>
        <w:tabs>
          <w:tab w:leader="none" w:pos="1788" w:val="left"/>
        </w:tabs>
        <w:numPr>
          <w:ilvl w:val="0"/>
          <w:numId w:val="145"/>
        </w:numPr>
        <w:rPr>
          <w:rFonts w:ascii="Arial" w:cs="Arial" w:eastAsia="Arial" w:hAnsi="Arial"/>
          <w:sz w:val="15"/>
          <w:szCs w:val="15"/>
          <w:b w:val="1"/>
          <w:bCs w:val="1"/>
          <w:color w:val="auto"/>
        </w:rPr>
      </w:pPr>
      <w:r>
        <w:rPr>
          <w:rFonts w:ascii="Arial" w:cs="Arial" w:eastAsia="Arial" w:hAnsi="Arial"/>
          <w:sz w:val="15"/>
          <w:szCs w:val="15"/>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52" w:lineRule="exact"/>
        <w:rPr>
          <w:rFonts w:ascii="Arial" w:cs="Arial" w:eastAsia="Arial" w:hAnsi="Arial"/>
          <w:sz w:val="15"/>
          <w:szCs w:val="15"/>
          <w:b w:val="1"/>
          <w:bCs w:val="1"/>
          <w:color w:val="auto"/>
        </w:rPr>
      </w:pPr>
    </w:p>
    <w:p>
      <w:pPr>
        <w:ind w:firstLine="1207"/>
        <w:spacing w:after="0" w:line="268" w:lineRule="auto"/>
        <w:tabs>
          <w:tab w:leader="none" w:pos="1819"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The Company need not reimburse any expense or indemnify against any loss or liability incurred by the Trustee or by any officer, director, employee, shareholder or agent of the Trustee through negligence or bad faith.</w:t>
      </w:r>
    </w:p>
    <w:p>
      <w:pPr>
        <w:spacing w:after="0" w:line="166" w:lineRule="exact"/>
        <w:rPr>
          <w:rFonts w:ascii="Arial" w:cs="Arial" w:eastAsia="Arial" w:hAnsi="Arial"/>
          <w:sz w:val="17"/>
          <w:szCs w:val="17"/>
          <w:b w:val="1"/>
          <w:bCs w:val="1"/>
          <w:color w:val="auto"/>
        </w:rPr>
      </w:pPr>
    </w:p>
    <w:p>
      <w:pPr>
        <w:jc w:val="both"/>
        <w:ind w:firstLine="1207"/>
        <w:spacing w:after="0" w:line="252" w:lineRule="auto"/>
        <w:tabs>
          <w:tab w:leader="none" w:pos="1863"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6"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7.07</w:t>
      </w:r>
      <w:r>
        <w:rPr>
          <w:sz w:val="20"/>
          <w:szCs w:val="20"/>
          <w:color w:val="auto"/>
        </w:rPr>
        <w:tab/>
      </w:r>
      <w:r>
        <w:rPr>
          <w:rFonts w:ascii="Arial" w:cs="Arial" w:eastAsia="Arial" w:hAnsi="Arial"/>
          <w:sz w:val="15"/>
          <w:szCs w:val="15"/>
          <w:b w:val="1"/>
          <w:bCs w:val="1"/>
          <w:color w:val="auto"/>
        </w:rPr>
        <w:t>Reliance on Officer’s Certificate</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93" w:lineRule="auto"/>
        <w:rPr>
          <w:sz w:val="20"/>
          <w:szCs w:val="20"/>
          <w:color w:val="auto"/>
        </w:rPr>
      </w:pPr>
      <w:r>
        <w:rPr>
          <w:rFonts w:ascii="Arial" w:cs="Arial" w:eastAsia="Arial" w:hAnsi="Arial"/>
          <w:sz w:val="15"/>
          <w:szCs w:val="15"/>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5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7.08</w:t>
      </w:r>
      <w:r>
        <w:rPr>
          <w:sz w:val="20"/>
          <w:szCs w:val="20"/>
          <w:color w:val="auto"/>
        </w:rPr>
        <w:tab/>
      </w:r>
      <w:r>
        <w:rPr>
          <w:rFonts w:ascii="Arial" w:cs="Arial" w:eastAsia="Arial" w:hAnsi="Arial"/>
          <w:sz w:val="15"/>
          <w:szCs w:val="15"/>
          <w:b w:val="1"/>
          <w:bCs w:val="1"/>
          <w:color w:val="auto"/>
        </w:rPr>
        <w:t>Disqualification; Conflicting Interests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3" w:name="page144"/>
    <w:bookmarkEnd w:id="143"/>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7.09</w:t>
      </w:r>
      <w:r>
        <w:rPr>
          <w:sz w:val="20"/>
          <w:szCs w:val="20"/>
          <w:color w:val="auto"/>
        </w:rPr>
        <w:tab/>
      </w:r>
      <w:r>
        <w:rPr>
          <w:rFonts w:ascii="Arial" w:cs="Arial" w:eastAsia="Arial" w:hAnsi="Arial"/>
          <w:sz w:val="15"/>
          <w:szCs w:val="15"/>
          <w:b w:val="1"/>
          <w:bCs w:val="1"/>
          <w:color w:val="auto"/>
        </w:rPr>
        <w:t>Corporate Trustee Required; Eligibility</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75"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2"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6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7.10</w:t>
      </w:r>
      <w:r>
        <w:rPr>
          <w:sz w:val="20"/>
          <w:szCs w:val="20"/>
          <w:color w:val="auto"/>
        </w:rPr>
        <w:tab/>
      </w:r>
      <w:r>
        <w:rPr>
          <w:rFonts w:ascii="Arial" w:cs="Arial" w:eastAsia="Arial" w:hAnsi="Arial"/>
          <w:sz w:val="15"/>
          <w:szCs w:val="15"/>
          <w:color w:val="auto"/>
        </w:rPr>
        <w:t>Resignation and Removal; Appointment of Successor.</w:t>
      </w:r>
    </w:p>
    <w:p>
      <w:pPr>
        <w:spacing w:after="0" w:line="211" w:lineRule="exact"/>
        <w:rPr>
          <w:sz w:val="20"/>
          <w:szCs w:val="20"/>
          <w:color w:val="auto"/>
        </w:rPr>
      </w:pPr>
    </w:p>
    <w:p>
      <w:pPr>
        <w:jc w:val="both"/>
        <w:ind w:firstLine="1207"/>
        <w:spacing w:after="0" w:line="267" w:lineRule="auto"/>
        <w:tabs>
          <w:tab w:leader="none" w:pos="1917" w:val="left"/>
        </w:tabs>
        <w:numPr>
          <w:ilvl w:val="0"/>
          <w:numId w:val="146"/>
        </w:numPr>
        <w:rPr>
          <w:rFonts w:ascii="Arial" w:cs="Arial" w:eastAsia="Arial" w:hAnsi="Arial"/>
          <w:sz w:val="16"/>
          <w:szCs w:val="16"/>
          <w:b w:val="1"/>
          <w:bCs w:val="1"/>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2" w:lineRule="exact"/>
        <w:rPr>
          <w:rFonts w:ascii="Arial" w:cs="Arial" w:eastAsia="Arial" w:hAnsi="Arial"/>
          <w:sz w:val="16"/>
          <w:szCs w:val="16"/>
          <w:b w:val="1"/>
          <w:bCs w:val="1"/>
          <w:color w:val="auto"/>
        </w:rPr>
      </w:pPr>
    </w:p>
    <w:p>
      <w:pPr>
        <w:ind w:left="1780" w:hanging="573"/>
        <w:spacing w:after="0"/>
        <w:tabs>
          <w:tab w:leader="none" w:pos="1780"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In case at any time any one of the following shall occur:</w:t>
      </w:r>
    </w:p>
    <w:p>
      <w:pPr>
        <w:spacing w:after="0" w:line="206" w:lineRule="exact"/>
        <w:rPr>
          <w:rFonts w:ascii="Arial" w:cs="Arial" w:eastAsia="Arial" w:hAnsi="Arial"/>
          <w:sz w:val="17"/>
          <w:szCs w:val="17"/>
          <w:b w:val="1"/>
          <w:bCs w:val="1"/>
          <w:color w:val="auto"/>
        </w:rPr>
      </w:pPr>
    </w:p>
    <w:p>
      <w:pPr>
        <w:ind w:firstLine="1810"/>
        <w:spacing w:after="0" w:line="268" w:lineRule="auto"/>
        <w:tabs>
          <w:tab w:leader="none" w:pos="2491"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6" w:lineRule="exact"/>
        <w:rPr>
          <w:rFonts w:ascii="Arial" w:cs="Arial" w:eastAsia="Arial" w:hAnsi="Arial"/>
          <w:sz w:val="17"/>
          <w:szCs w:val="17"/>
          <w:b w:val="1"/>
          <w:bCs w:val="1"/>
          <w:color w:val="auto"/>
        </w:rPr>
      </w:pPr>
    </w:p>
    <w:p>
      <w:pPr>
        <w:ind w:firstLine="1810"/>
        <w:spacing w:after="0" w:line="268" w:lineRule="auto"/>
        <w:tabs>
          <w:tab w:leader="none" w:pos="2357"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the Trustee shall cease to be eligible in accordance with the provisions of Section 7.09 and shall fail to resign after written request therefor by the Company or by any such Securityholder; or</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4" w:name="page145"/>
    <w:bookmarkEnd w:id="144"/>
    <w:p>
      <w:pPr>
        <w:jc w:val="both"/>
        <w:ind w:firstLine="1810"/>
        <w:spacing w:after="0" w:line="257" w:lineRule="auto"/>
        <w:tabs>
          <w:tab w:leader="none" w:pos="2387"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8" w:lineRule="exact"/>
        <w:rPr>
          <w:sz w:val="20"/>
          <w:szCs w:val="20"/>
          <w:color w:val="auto"/>
        </w:rPr>
      </w:pPr>
    </w:p>
    <w:p>
      <w:pPr>
        <w:ind w:firstLine="1207"/>
        <w:spacing w:after="0" w:line="336" w:lineRule="auto"/>
        <w:tabs>
          <w:tab w:leader="none" w:pos="1777" w:val="left"/>
        </w:tabs>
        <w:numPr>
          <w:ilvl w:val="0"/>
          <w:numId w:val="148"/>
        </w:numPr>
        <w:rPr>
          <w:rFonts w:ascii="Arial" w:cs="Arial" w:eastAsia="Arial" w:hAnsi="Arial"/>
          <w:sz w:val="15"/>
          <w:szCs w:val="15"/>
          <w:b w:val="1"/>
          <w:bCs w:val="1"/>
          <w:color w:val="auto"/>
        </w:rPr>
      </w:pPr>
      <w:r>
        <w:rPr>
          <w:rFonts w:ascii="Arial" w:cs="Arial" w:eastAsia="Arial" w:hAnsi="Arial"/>
          <w:sz w:val="15"/>
          <w:szCs w:val="15"/>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20" w:lineRule="exact"/>
        <w:rPr>
          <w:rFonts w:ascii="Arial" w:cs="Arial" w:eastAsia="Arial" w:hAnsi="Arial"/>
          <w:sz w:val="15"/>
          <w:szCs w:val="15"/>
          <w:b w:val="1"/>
          <w:bCs w:val="1"/>
          <w:color w:val="auto"/>
        </w:rPr>
      </w:pPr>
    </w:p>
    <w:p>
      <w:pPr>
        <w:ind w:firstLine="1207"/>
        <w:spacing w:after="0" w:line="300" w:lineRule="auto"/>
        <w:tabs>
          <w:tab w:leader="none" w:pos="1800"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43" w:lineRule="exact"/>
        <w:rPr>
          <w:rFonts w:ascii="Arial" w:cs="Arial" w:eastAsia="Arial" w:hAnsi="Arial"/>
          <w:sz w:val="16"/>
          <w:szCs w:val="16"/>
          <w:b w:val="1"/>
          <w:bCs w:val="1"/>
          <w:color w:val="auto"/>
        </w:rPr>
      </w:pPr>
    </w:p>
    <w:p>
      <w:pPr>
        <w:ind w:firstLine="1207"/>
        <w:spacing w:after="0" w:line="268" w:lineRule="auto"/>
        <w:tabs>
          <w:tab w:leader="none" w:pos="1773"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3"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7.11</w:t>
      </w:r>
      <w:r>
        <w:rPr>
          <w:sz w:val="20"/>
          <w:szCs w:val="20"/>
          <w:color w:val="auto"/>
        </w:rPr>
        <w:tab/>
      </w:r>
      <w:r>
        <w:rPr>
          <w:rFonts w:ascii="Arial" w:cs="Arial" w:eastAsia="Arial" w:hAnsi="Arial"/>
          <w:sz w:val="14"/>
          <w:szCs w:val="14"/>
          <w:b w:val="1"/>
          <w:bCs w:val="1"/>
          <w:color w:val="auto"/>
        </w:rPr>
        <w:t>Acceptance of Appointment By Successor</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91" w:lineRule="auto"/>
        <w:tabs>
          <w:tab w:leader="none" w:pos="1879" w:val="left"/>
        </w:tabs>
        <w:numPr>
          <w:ilvl w:val="0"/>
          <w:numId w:val="149"/>
        </w:numPr>
        <w:rPr>
          <w:rFonts w:ascii="Arial" w:cs="Arial" w:eastAsia="Arial" w:hAnsi="Arial"/>
          <w:sz w:val="15"/>
          <w:szCs w:val="15"/>
          <w:b w:val="1"/>
          <w:bCs w:val="1"/>
          <w:color w:val="auto"/>
        </w:rPr>
      </w:pPr>
      <w:r>
        <w:rPr>
          <w:rFonts w:ascii="Arial" w:cs="Arial" w:eastAsia="Arial" w:hAnsi="Arial"/>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5" w:name="page146"/>
    <w:bookmarkEnd w:id="145"/>
    <w:p>
      <w:pPr>
        <w:jc w:val="both"/>
        <w:ind w:firstLine="1207"/>
        <w:spacing w:after="0" w:line="283" w:lineRule="auto"/>
        <w:tabs>
          <w:tab w:leader="none" w:pos="1838" w:val="left"/>
        </w:tabs>
        <w:numPr>
          <w:ilvl w:val="0"/>
          <w:numId w:val="150"/>
        </w:numPr>
        <w:rPr>
          <w:rFonts w:ascii="Arial" w:cs="Arial" w:eastAsia="Arial" w:hAnsi="Arial"/>
          <w:sz w:val="15"/>
          <w:szCs w:val="15"/>
          <w:b w:val="1"/>
          <w:bCs w:val="1"/>
          <w:color w:val="auto"/>
        </w:rPr>
      </w:pPr>
      <w:r>
        <w:rPr>
          <w:rFonts w:ascii="Arial" w:cs="Arial" w:eastAsia="Arial" w:hAnsi="Arial"/>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61" w:lineRule="exact"/>
        <w:rPr>
          <w:rFonts w:ascii="Arial" w:cs="Arial" w:eastAsia="Arial" w:hAnsi="Arial"/>
          <w:sz w:val="15"/>
          <w:szCs w:val="15"/>
          <w:b w:val="1"/>
          <w:bCs w:val="1"/>
          <w:color w:val="auto"/>
        </w:rPr>
      </w:pPr>
    </w:p>
    <w:p>
      <w:pPr>
        <w:ind w:firstLine="1207"/>
        <w:spacing w:after="0" w:line="300" w:lineRule="auto"/>
        <w:tabs>
          <w:tab w:leader="none" w:pos="1832"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3" w:lineRule="exact"/>
        <w:rPr>
          <w:rFonts w:ascii="Arial" w:cs="Arial" w:eastAsia="Arial" w:hAnsi="Arial"/>
          <w:sz w:val="16"/>
          <w:szCs w:val="16"/>
          <w:b w:val="1"/>
          <w:bCs w:val="1"/>
          <w:color w:val="auto"/>
        </w:rPr>
      </w:pPr>
    </w:p>
    <w:p>
      <w:pPr>
        <w:ind w:left="1820" w:hanging="613"/>
        <w:spacing w:after="0"/>
        <w:tabs>
          <w:tab w:leader="none" w:pos="1820" w:val="left"/>
        </w:tabs>
        <w:numPr>
          <w:ilvl w:val="0"/>
          <w:numId w:val="150"/>
        </w:numPr>
        <w:rPr>
          <w:rFonts w:ascii="Arial" w:cs="Arial" w:eastAsia="Arial" w:hAnsi="Arial"/>
          <w:sz w:val="15"/>
          <w:szCs w:val="15"/>
          <w:b w:val="1"/>
          <w:bCs w:val="1"/>
          <w:color w:val="auto"/>
        </w:rPr>
      </w:pPr>
      <w:r>
        <w:rPr>
          <w:rFonts w:ascii="Arial" w:cs="Arial" w:eastAsia="Arial" w:hAnsi="Arial"/>
          <w:sz w:val="15"/>
          <w:szCs w:val="15"/>
          <w:color w:val="auto"/>
        </w:rPr>
        <w:t>No successor trustee shall accept its appointment unless at the time of such acceptance such successor trustee shall be qualified and eligible</w:t>
      </w:r>
    </w:p>
    <w:p>
      <w:pPr>
        <w:spacing w:after="0" w:line="4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under this Article.</w:t>
      </w:r>
    </w:p>
    <w:p>
      <w:pPr>
        <w:spacing w:after="0" w:line="194" w:lineRule="exact"/>
        <w:rPr>
          <w:rFonts w:ascii="Arial" w:cs="Arial" w:eastAsia="Arial" w:hAnsi="Arial"/>
          <w:sz w:val="15"/>
          <w:szCs w:val="15"/>
          <w:b w:val="1"/>
          <w:bCs w:val="1"/>
          <w:color w:val="auto"/>
        </w:rPr>
      </w:pPr>
    </w:p>
    <w:p>
      <w:pPr>
        <w:jc w:val="both"/>
        <w:ind w:firstLine="1207"/>
        <w:spacing w:after="0" w:line="257" w:lineRule="auto"/>
        <w:tabs>
          <w:tab w:leader="none" w:pos="1794" w:val="left"/>
        </w:tabs>
        <w:numPr>
          <w:ilvl w:val="0"/>
          <w:numId w:val="150"/>
        </w:numPr>
        <w:rPr>
          <w:rFonts w:ascii="Arial" w:cs="Arial" w:eastAsia="Arial" w:hAnsi="Arial"/>
          <w:sz w:val="17"/>
          <w:szCs w:val="17"/>
          <w:b w:val="1"/>
          <w:bCs w:val="1"/>
          <w:color w:val="auto"/>
        </w:rPr>
      </w:pPr>
      <w:r>
        <w:rPr>
          <w:rFonts w:ascii="Arial" w:cs="Arial" w:eastAsia="Arial" w:hAnsi="Arial"/>
          <w:sz w:val="17"/>
          <w:szCs w:val="17"/>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7.12</w:t>
      </w:r>
      <w:r>
        <w:rPr>
          <w:sz w:val="20"/>
          <w:szCs w:val="20"/>
          <w:color w:val="auto"/>
        </w:rPr>
        <w:tab/>
      </w:r>
      <w:r>
        <w:rPr>
          <w:rFonts w:ascii="Arial" w:cs="Arial" w:eastAsia="Arial" w:hAnsi="Arial"/>
          <w:sz w:val="14"/>
          <w:szCs w:val="14"/>
          <w:b w:val="1"/>
          <w:bCs w:val="1"/>
          <w:color w:val="auto"/>
        </w:rPr>
        <w:t>Merger, Conversion, Consolidation or Succession to Business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6" w:name="page147"/>
    <w:bookmarkEnd w:id="146"/>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7.13</w:t>
      </w:r>
      <w:r>
        <w:rPr>
          <w:sz w:val="20"/>
          <w:szCs w:val="20"/>
          <w:color w:val="auto"/>
        </w:rPr>
        <w:tab/>
      </w:r>
      <w:r>
        <w:rPr>
          <w:rFonts w:ascii="Arial" w:cs="Arial" w:eastAsia="Arial" w:hAnsi="Arial"/>
          <w:sz w:val="15"/>
          <w:szCs w:val="15"/>
          <w:b w:val="1"/>
          <w:bCs w:val="1"/>
          <w:color w:val="auto"/>
        </w:rPr>
        <w:t>Preferential Collection of Claims Against the Company</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9"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7.14</w:t>
      </w:r>
      <w:r>
        <w:rPr>
          <w:sz w:val="20"/>
          <w:szCs w:val="20"/>
          <w:color w:val="auto"/>
        </w:rPr>
        <w:tab/>
      </w:r>
      <w:r>
        <w:rPr>
          <w:rFonts w:ascii="Arial" w:cs="Arial" w:eastAsia="Arial" w:hAnsi="Arial"/>
          <w:sz w:val="15"/>
          <w:szCs w:val="15"/>
          <w:b w:val="1"/>
          <w:bCs w:val="1"/>
          <w:color w:val="auto"/>
        </w:rPr>
        <w:t>Notice of Default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CONCERNING THE SECURITYHOLDERS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8.01</w:t>
      </w:r>
      <w:r>
        <w:rPr>
          <w:sz w:val="20"/>
          <w:szCs w:val="20"/>
          <w:color w:val="auto"/>
        </w:rPr>
        <w:tab/>
      </w:r>
      <w:r>
        <w:rPr>
          <w:rFonts w:ascii="Arial" w:cs="Arial" w:eastAsia="Arial" w:hAnsi="Arial"/>
          <w:sz w:val="14"/>
          <w:szCs w:val="14"/>
          <w:b w:val="1"/>
          <w:bCs w:val="1"/>
          <w:color w:val="auto"/>
        </w:rPr>
        <w:t>Evidence of Action by Securityholders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98" w:lineRule="auto"/>
        <w:rPr>
          <w:sz w:val="20"/>
          <w:szCs w:val="20"/>
          <w:color w:val="auto"/>
        </w:rPr>
      </w:pPr>
      <w:r>
        <w:rPr>
          <w:rFonts w:ascii="Arial" w:cs="Arial" w:eastAsia="Arial" w:hAnsi="Arial"/>
          <w:sz w:val="15"/>
          <w:szCs w:val="15"/>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9"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7" w:name="page148"/>
    <w:bookmarkEnd w:id="147"/>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8.02</w:t>
      </w:r>
      <w:r>
        <w:rPr>
          <w:sz w:val="20"/>
          <w:szCs w:val="20"/>
          <w:color w:val="auto"/>
        </w:rPr>
        <w:tab/>
      </w:r>
      <w:r>
        <w:rPr>
          <w:rFonts w:ascii="Arial" w:cs="Arial" w:eastAsia="Arial" w:hAnsi="Arial"/>
          <w:sz w:val="14"/>
          <w:szCs w:val="14"/>
          <w:b w:val="1"/>
          <w:bCs w:val="1"/>
          <w:color w:val="auto"/>
        </w:rPr>
        <w:t>Proof of Execution by Securityholders.</w:t>
      </w:r>
    </w:p>
    <w:p>
      <w:pPr>
        <w:spacing w:after="0" w:line="211" w:lineRule="exact"/>
        <w:rPr>
          <w:sz w:val="20"/>
          <w:szCs w:val="20"/>
          <w:color w:val="auto"/>
        </w:rPr>
      </w:pPr>
    </w:p>
    <w:p>
      <w:pPr>
        <w:ind w:firstLine="603"/>
        <w:spacing w:after="0" w:line="300"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43" w:lineRule="exact"/>
        <w:rPr>
          <w:sz w:val="20"/>
          <w:szCs w:val="20"/>
          <w:color w:val="auto"/>
        </w:rPr>
      </w:pPr>
    </w:p>
    <w:p>
      <w:pPr>
        <w:ind w:left="1780" w:hanging="573"/>
        <w:spacing w:after="0"/>
        <w:tabs>
          <w:tab w:leader="none" w:pos="1780" w:val="left"/>
        </w:tabs>
        <w:numPr>
          <w:ilvl w:val="0"/>
          <w:numId w:val="151"/>
        </w:numPr>
        <w:rPr>
          <w:rFonts w:ascii="Arial" w:cs="Arial" w:eastAsia="Arial" w:hAnsi="Arial"/>
          <w:sz w:val="15"/>
          <w:szCs w:val="15"/>
          <w:b w:val="1"/>
          <w:bCs w:val="1"/>
          <w:color w:val="auto"/>
        </w:rPr>
      </w:pPr>
      <w:r>
        <w:rPr>
          <w:rFonts w:ascii="Arial" w:cs="Arial" w:eastAsia="Arial" w:hAnsi="Arial"/>
          <w:sz w:val="15"/>
          <w:szCs w:val="15"/>
          <w:color w:val="auto"/>
        </w:rPr>
        <w:t>The fact and date of the execution by any such Person of any instrument may be proved in any reasonable manner acceptable to the Trustee.</w:t>
      </w:r>
    </w:p>
    <w:p>
      <w:pPr>
        <w:spacing w:after="0" w:line="229" w:lineRule="exact"/>
        <w:rPr>
          <w:rFonts w:ascii="Arial" w:cs="Arial" w:eastAsia="Arial" w:hAnsi="Arial"/>
          <w:sz w:val="15"/>
          <w:szCs w:val="15"/>
          <w:b w:val="1"/>
          <w:bCs w:val="1"/>
          <w:color w:val="auto"/>
        </w:rPr>
      </w:pPr>
    </w:p>
    <w:p>
      <w:pPr>
        <w:ind w:right="160" w:firstLine="1207"/>
        <w:spacing w:after="0" w:line="491" w:lineRule="auto"/>
        <w:tabs>
          <w:tab w:leader="none" w:pos="1788"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8.03</w:t>
      </w:r>
      <w:r>
        <w:rPr>
          <w:sz w:val="20"/>
          <w:szCs w:val="20"/>
          <w:color w:val="auto"/>
        </w:rPr>
        <w:tab/>
      </w:r>
      <w:r>
        <w:rPr>
          <w:rFonts w:ascii="Arial" w:cs="Arial" w:eastAsia="Arial" w:hAnsi="Arial"/>
          <w:sz w:val="15"/>
          <w:szCs w:val="15"/>
          <w:b w:val="1"/>
          <w:bCs w:val="1"/>
          <w:color w:val="auto"/>
        </w:rPr>
        <w:t>Who May be Deemed Owners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93" w:lineRule="auto"/>
        <w:rPr>
          <w:sz w:val="20"/>
          <w:szCs w:val="20"/>
          <w:color w:val="auto"/>
        </w:rPr>
      </w:pPr>
      <w:r>
        <w:rPr>
          <w:rFonts w:ascii="Arial" w:cs="Arial" w:eastAsia="Arial" w:hAnsi="Arial"/>
          <w:sz w:val="15"/>
          <w:szCs w:val="15"/>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8.04</w:t>
      </w:r>
      <w:r>
        <w:rPr>
          <w:sz w:val="20"/>
          <w:szCs w:val="20"/>
          <w:color w:val="auto"/>
        </w:rPr>
        <w:tab/>
      </w:r>
      <w:r>
        <w:rPr>
          <w:rFonts w:ascii="Arial" w:cs="Arial" w:eastAsia="Arial" w:hAnsi="Arial"/>
          <w:sz w:val="15"/>
          <w:szCs w:val="15"/>
          <w:b w:val="1"/>
          <w:bCs w:val="1"/>
          <w:color w:val="auto"/>
        </w:rPr>
        <w:t>Certain Securities Owned by Company Disregarded</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8" w:name="page149"/>
    <w:bookmarkEnd w:id="148"/>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8.05</w:t>
      </w:r>
      <w:r>
        <w:rPr>
          <w:sz w:val="20"/>
          <w:szCs w:val="20"/>
          <w:color w:val="auto"/>
        </w:rPr>
        <w:tab/>
      </w:r>
      <w:r>
        <w:rPr>
          <w:rFonts w:ascii="Arial" w:cs="Arial" w:eastAsia="Arial" w:hAnsi="Arial"/>
          <w:sz w:val="14"/>
          <w:szCs w:val="14"/>
          <w:b w:val="1"/>
          <w:bCs w:val="1"/>
          <w:color w:val="auto"/>
        </w:rPr>
        <w:t>Actions Binding on Future Securityholders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5"/>
          <w:szCs w:val="15"/>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SUPPLEMENTAL INDENTURES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9.01</w:t>
      </w:r>
      <w:r>
        <w:rPr>
          <w:sz w:val="20"/>
          <w:szCs w:val="20"/>
          <w:color w:val="auto"/>
        </w:rPr>
        <w:tab/>
      </w:r>
      <w:r>
        <w:rPr>
          <w:rFonts w:ascii="Arial" w:cs="Arial" w:eastAsia="Arial" w:hAnsi="Arial"/>
          <w:sz w:val="15"/>
          <w:szCs w:val="15"/>
          <w:b w:val="1"/>
          <w:bCs w:val="1"/>
          <w:color w:val="auto"/>
        </w:rPr>
        <w:t>Supplemental Indentures Without the Consent of Securityholders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1780" w:hanging="573"/>
        <w:spacing w:after="0"/>
        <w:tabs>
          <w:tab w:leader="none" w:pos="1780"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to cure any ambiguity, defect, or inconsistency herein or in the Securities of any series;</w:t>
      </w:r>
    </w:p>
    <w:p>
      <w:pPr>
        <w:spacing w:after="0" w:line="206" w:lineRule="exact"/>
        <w:rPr>
          <w:rFonts w:ascii="Arial" w:cs="Arial" w:eastAsia="Arial" w:hAnsi="Arial"/>
          <w:sz w:val="17"/>
          <w:szCs w:val="17"/>
          <w:b w:val="1"/>
          <w:bCs w:val="1"/>
          <w:color w:val="auto"/>
        </w:rPr>
      </w:pPr>
    </w:p>
    <w:p>
      <w:pPr>
        <w:ind w:left="1780" w:hanging="573"/>
        <w:spacing w:after="0"/>
        <w:tabs>
          <w:tab w:leader="none" w:pos="1780"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to comply with Article Ten;</w:t>
      </w:r>
    </w:p>
    <w:p>
      <w:pPr>
        <w:spacing w:after="0" w:line="206" w:lineRule="exact"/>
        <w:rPr>
          <w:rFonts w:ascii="Arial" w:cs="Arial" w:eastAsia="Arial" w:hAnsi="Arial"/>
          <w:sz w:val="17"/>
          <w:szCs w:val="17"/>
          <w:b w:val="1"/>
          <w:bCs w:val="1"/>
          <w:color w:val="auto"/>
        </w:rPr>
      </w:pPr>
    </w:p>
    <w:p>
      <w:pPr>
        <w:ind w:left="1760" w:hanging="553"/>
        <w:spacing w:after="0"/>
        <w:tabs>
          <w:tab w:leader="none" w:pos="1760"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to provide for uncertificated Securities in addition to or in place of certificated Securities;</w:t>
      </w:r>
    </w:p>
    <w:p>
      <w:pPr>
        <w:spacing w:after="0" w:line="206" w:lineRule="exact"/>
        <w:rPr>
          <w:rFonts w:ascii="Arial" w:cs="Arial" w:eastAsia="Arial" w:hAnsi="Arial"/>
          <w:sz w:val="17"/>
          <w:szCs w:val="17"/>
          <w:b w:val="1"/>
          <w:bCs w:val="1"/>
          <w:color w:val="auto"/>
        </w:rPr>
      </w:pPr>
    </w:p>
    <w:p>
      <w:pPr>
        <w:jc w:val="both"/>
        <w:ind w:firstLine="1207"/>
        <w:spacing w:after="0" w:line="252" w:lineRule="auto"/>
        <w:tabs>
          <w:tab w:leader="none" w:pos="1821"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9" w:name="page150"/>
    <w:bookmarkEnd w:id="149"/>
    <w:p>
      <w:pPr>
        <w:ind w:firstLine="1207"/>
        <w:spacing w:after="0" w:line="268" w:lineRule="auto"/>
        <w:tabs>
          <w:tab w:leader="none" w:pos="1966"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Securities, as herein set forth;</w:t>
      </w:r>
    </w:p>
    <w:p>
      <w:pPr>
        <w:spacing w:after="0" w:line="166" w:lineRule="exact"/>
        <w:rPr>
          <w:rFonts w:ascii="Arial" w:cs="Arial" w:eastAsia="Arial" w:hAnsi="Arial"/>
          <w:sz w:val="17"/>
          <w:szCs w:val="17"/>
          <w:b w:val="1"/>
          <w:bCs w:val="1"/>
          <w:color w:val="auto"/>
        </w:rPr>
      </w:pPr>
    </w:p>
    <w:p>
      <w:pPr>
        <w:ind w:left="1760" w:hanging="553"/>
        <w:spacing w:after="0"/>
        <w:tabs>
          <w:tab w:leader="none" w:pos="176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to make any change that does not adversely affect the rights of any Securityholder in any material respect;</w:t>
      </w:r>
    </w:p>
    <w:p>
      <w:pPr>
        <w:spacing w:after="0" w:line="206" w:lineRule="exact"/>
        <w:rPr>
          <w:rFonts w:ascii="Arial" w:cs="Arial" w:eastAsia="Arial" w:hAnsi="Arial"/>
          <w:sz w:val="17"/>
          <w:szCs w:val="17"/>
          <w:b w:val="1"/>
          <w:bCs w:val="1"/>
          <w:color w:val="auto"/>
        </w:rPr>
      </w:pPr>
    </w:p>
    <w:p>
      <w:pPr>
        <w:jc w:val="both"/>
        <w:ind w:firstLine="1207"/>
        <w:spacing w:after="0" w:line="257" w:lineRule="auto"/>
        <w:tabs>
          <w:tab w:leader="none" w:pos="1774"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6" w:lineRule="exact"/>
        <w:rPr>
          <w:rFonts w:ascii="Arial" w:cs="Arial" w:eastAsia="Arial" w:hAnsi="Arial"/>
          <w:sz w:val="17"/>
          <w:szCs w:val="17"/>
          <w:b w:val="1"/>
          <w:bCs w:val="1"/>
          <w:color w:val="auto"/>
        </w:rPr>
      </w:pPr>
    </w:p>
    <w:p>
      <w:pPr>
        <w:ind w:left="1740" w:hanging="533"/>
        <w:spacing w:after="0"/>
        <w:tabs>
          <w:tab w:leader="none" w:pos="174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to evidence and provide for the acceptance of appointment hereunder by a successor trustee; or</w:t>
      </w:r>
    </w:p>
    <w:p>
      <w:pPr>
        <w:spacing w:after="0" w:line="206" w:lineRule="exact"/>
        <w:rPr>
          <w:rFonts w:ascii="Arial" w:cs="Arial" w:eastAsia="Arial" w:hAnsi="Arial"/>
          <w:sz w:val="17"/>
          <w:szCs w:val="17"/>
          <w:b w:val="1"/>
          <w:bCs w:val="1"/>
          <w:color w:val="auto"/>
        </w:rPr>
      </w:pPr>
    </w:p>
    <w:p>
      <w:pPr>
        <w:ind w:left="1800" w:hanging="593"/>
        <w:spacing w:after="0"/>
        <w:tabs>
          <w:tab w:leader="none" w:pos="1800" w:val="left"/>
        </w:tabs>
        <w:numPr>
          <w:ilvl w:val="0"/>
          <w:numId w:val="153"/>
        </w:numPr>
        <w:rPr>
          <w:rFonts w:ascii="Arial" w:cs="Arial" w:eastAsia="Arial" w:hAnsi="Arial"/>
          <w:sz w:val="15"/>
          <w:szCs w:val="15"/>
          <w:b w:val="1"/>
          <w:bCs w:val="1"/>
          <w:color w:val="auto"/>
        </w:rPr>
      </w:pPr>
      <w:r>
        <w:rPr>
          <w:rFonts w:ascii="Arial" w:cs="Arial" w:eastAsia="Arial" w:hAnsi="Arial"/>
          <w:sz w:val="15"/>
          <w:szCs w:val="15"/>
          <w:color w:val="auto"/>
        </w:rPr>
        <w:t>to comply with any requirements of the Commission or any successor in connection with the qualification of this Indenture under the Trust</w:t>
      </w:r>
    </w:p>
    <w:p>
      <w:pPr>
        <w:spacing w:after="0" w:line="4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Indenture Act.</w:t>
      </w:r>
    </w:p>
    <w:p>
      <w:pPr>
        <w:spacing w:after="0" w:line="194"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9.02</w:t>
      </w:r>
      <w:r>
        <w:rPr>
          <w:sz w:val="20"/>
          <w:szCs w:val="20"/>
          <w:color w:val="auto"/>
        </w:rPr>
        <w:tab/>
      </w:r>
      <w:r>
        <w:rPr>
          <w:rFonts w:ascii="Arial" w:cs="Arial" w:eastAsia="Arial" w:hAnsi="Arial"/>
          <w:sz w:val="15"/>
          <w:szCs w:val="15"/>
          <w:b w:val="1"/>
          <w:bCs w:val="1"/>
          <w:color w:val="auto"/>
        </w:rPr>
        <w:t>Supplemental Indentures With Consent of Securityholders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7" w:lineRule="auto"/>
        <w:rPr>
          <w:sz w:val="20"/>
          <w:szCs w:val="20"/>
          <w:color w:val="auto"/>
        </w:rPr>
      </w:pPr>
      <w:r>
        <w:rPr>
          <w:rFonts w:ascii="Arial" w:cs="Arial" w:eastAsia="Arial" w:hAnsi="Arial"/>
          <w:sz w:val="15"/>
          <w:szCs w:val="15"/>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0" w:name="page151"/>
    <w:bookmarkEnd w:id="150"/>
    <w:p>
      <w:pPr>
        <w:jc w:val="both"/>
        <w:ind w:firstLine="603"/>
        <w:spacing w:after="0" w:line="268" w:lineRule="auto"/>
        <w:rPr>
          <w:sz w:val="20"/>
          <w:szCs w:val="20"/>
          <w:color w:val="auto"/>
        </w:rPr>
      </w:pPr>
      <w:r>
        <w:rPr>
          <w:rFonts w:ascii="Arial" w:cs="Arial" w:eastAsia="Arial" w:hAnsi="Arial"/>
          <w:sz w:val="17"/>
          <w:szCs w:val="17"/>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9.03</w:t>
      </w:r>
      <w:r>
        <w:rPr>
          <w:sz w:val="20"/>
          <w:szCs w:val="20"/>
          <w:color w:val="auto"/>
        </w:rPr>
        <w:tab/>
      </w:r>
      <w:r>
        <w:rPr>
          <w:rFonts w:ascii="Arial" w:cs="Arial" w:eastAsia="Arial" w:hAnsi="Arial"/>
          <w:sz w:val="15"/>
          <w:szCs w:val="15"/>
          <w:b w:val="1"/>
          <w:bCs w:val="1"/>
          <w:color w:val="auto"/>
        </w:rPr>
        <w:t>Effect of Supplemental Indentures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9.04</w:t>
      </w:r>
      <w:r>
        <w:rPr>
          <w:sz w:val="20"/>
          <w:szCs w:val="20"/>
          <w:color w:val="auto"/>
        </w:rPr>
        <w:tab/>
      </w:r>
      <w:r>
        <w:rPr>
          <w:rFonts w:ascii="Arial" w:cs="Arial" w:eastAsia="Arial" w:hAnsi="Arial"/>
          <w:sz w:val="14"/>
          <w:szCs w:val="14"/>
          <w:b w:val="1"/>
          <w:bCs w:val="1"/>
          <w:color w:val="auto"/>
        </w:rPr>
        <w:t>Securities Affected by Supplemental Indentures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93" w:lineRule="auto"/>
        <w:rPr>
          <w:sz w:val="20"/>
          <w:szCs w:val="20"/>
          <w:color w:val="auto"/>
        </w:rPr>
      </w:pPr>
      <w:r>
        <w:rPr>
          <w:rFonts w:ascii="Arial" w:cs="Arial" w:eastAsia="Arial" w:hAnsi="Arial"/>
          <w:sz w:val="15"/>
          <w:szCs w:val="15"/>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50"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9.05</w:t>
      </w:r>
      <w:r>
        <w:rPr>
          <w:sz w:val="20"/>
          <w:szCs w:val="20"/>
          <w:color w:val="auto"/>
        </w:rPr>
        <w:tab/>
      </w:r>
      <w:r>
        <w:rPr>
          <w:rFonts w:ascii="Arial" w:cs="Arial" w:eastAsia="Arial" w:hAnsi="Arial"/>
          <w:sz w:val="15"/>
          <w:szCs w:val="15"/>
          <w:b w:val="1"/>
          <w:bCs w:val="1"/>
          <w:color w:val="auto"/>
        </w:rPr>
        <w:t>Execution of Supplemental Indentures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1" w:name="page152"/>
    <w:bookmarkEnd w:id="151"/>
    <w:p>
      <w:pPr>
        <w:jc w:val="both"/>
        <w:ind w:firstLine="603"/>
        <w:spacing w:after="0" w:line="275"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SUCCESSOR ENTITY</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10.01</w:t>
      </w:r>
      <w:r>
        <w:rPr>
          <w:sz w:val="20"/>
          <w:szCs w:val="20"/>
          <w:color w:val="auto"/>
        </w:rPr>
        <w:tab/>
      </w:r>
      <w:r>
        <w:rPr>
          <w:rFonts w:ascii="Arial" w:cs="Arial" w:eastAsia="Arial" w:hAnsi="Arial"/>
          <w:sz w:val="15"/>
          <w:szCs w:val="15"/>
          <w:b w:val="1"/>
          <w:bCs w:val="1"/>
          <w:color w:val="auto"/>
        </w:rPr>
        <w:t>Company May Consolidate, Etc.</w:t>
      </w:r>
    </w:p>
    <w:p>
      <w:pPr>
        <w:spacing w:after="0" w:line="211" w:lineRule="exact"/>
        <w:rPr>
          <w:sz w:val="20"/>
          <w:szCs w:val="20"/>
          <w:color w:val="auto"/>
        </w:rPr>
      </w:pPr>
    </w:p>
    <w:p>
      <w:pPr>
        <w:jc w:val="both"/>
        <w:ind w:firstLine="603"/>
        <w:spacing w:after="0" w:line="266" w:lineRule="auto"/>
        <w:rPr>
          <w:sz w:val="20"/>
          <w:szCs w:val="20"/>
          <w:color w:val="auto"/>
        </w:rPr>
      </w:pPr>
      <w:r>
        <w:rPr>
          <w:rFonts w:ascii="Arial" w:cs="Arial" w:eastAsia="Arial" w:hAnsi="Arial"/>
          <w:sz w:val="16"/>
          <w:szCs w:val="16"/>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66"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7"/>
          <w:szCs w:val="17"/>
          <w:b w:val="1"/>
          <w:bCs w:val="1"/>
          <w:color w:val="auto"/>
        </w:rPr>
        <w:t>Section 10.02</w:t>
      </w:r>
      <w:r>
        <w:rPr>
          <w:sz w:val="20"/>
          <w:szCs w:val="20"/>
          <w:color w:val="auto"/>
        </w:rPr>
        <w:tab/>
      </w:r>
      <w:r>
        <w:rPr>
          <w:rFonts w:ascii="Arial" w:cs="Arial" w:eastAsia="Arial" w:hAnsi="Arial"/>
          <w:sz w:val="14"/>
          <w:szCs w:val="14"/>
          <w:b w:val="1"/>
          <w:bCs w:val="1"/>
          <w:color w:val="auto"/>
        </w:rPr>
        <w:t>Successor Entity Substituted</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98" w:lineRule="auto"/>
        <w:tabs>
          <w:tab w:leader="none" w:pos="1791" w:val="left"/>
        </w:tabs>
        <w:numPr>
          <w:ilvl w:val="0"/>
          <w:numId w:val="154"/>
        </w:numPr>
        <w:rPr>
          <w:rFonts w:ascii="Arial" w:cs="Arial" w:eastAsia="Arial" w:hAnsi="Arial"/>
          <w:sz w:val="15"/>
          <w:szCs w:val="15"/>
          <w:b w:val="1"/>
          <w:bCs w:val="1"/>
          <w:color w:val="auto"/>
        </w:rPr>
      </w:pPr>
      <w:r>
        <w:rPr>
          <w:rFonts w:ascii="Arial" w:cs="Arial" w:eastAsia="Arial" w:hAnsi="Arial"/>
          <w:sz w:val="15"/>
          <w:szCs w:val="15"/>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8" w:lineRule="exact"/>
        <w:rPr>
          <w:rFonts w:ascii="Arial" w:cs="Arial" w:eastAsia="Arial" w:hAnsi="Arial"/>
          <w:sz w:val="15"/>
          <w:szCs w:val="15"/>
          <w:b w:val="1"/>
          <w:bCs w:val="1"/>
          <w:color w:val="auto"/>
        </w:rPr>
      </w:pPr>
    </w:p>
    <w:p>
      <w:pPr>
        <w:ind w:firstLine="1207"/>
        <w:spacing w:after="0" w:line="268" w:lineRule="auto"/>
        <w:tabs>
          <w:tab w:leader="none" w:pos="1825"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2" w:name="page153"/>
    <w:bookmarkEnd w:id="152"/>
    <w:p>
      <w:pPr>
        <w:jc w:val="both"/>
        <w:ind w:firstLine="1207"/>
        <w:spacing w:after="0" w:line="257" w:lineRule="auto"/>
        <w:tabs>
          <w:tab w:leader="none" w:pos="1844"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11</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SATISFACTION AND DISCHARGE</w:t>
      </w:r>
    </w:p>
    <w:p>
      <w:pPr>
        <w:spacing w:after="0" w:line="20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11.01</w:t>
      </w:r>
      <w:r>
        <w:rPr>
          <w:sz w:val="20"/>
          <w:szCs w:val="20"/>
          <w:color w:val="auto"/>
        </w:rPr>
        <w:tab/>
      </w:r>
      <w:r>
        <w:rPr>
          <w:rFonts w:ascii="Arial" w:cs="Arial" w:eastAsia="Arial" w:hAnsi="Arial"/>
          <w:sz w:val="15"/>
          <w:szCs w:val="15"/>
          <w:b w:val="1"/>
          <w:bCs w:val="1"/>
          <w:color w:val="auto"/>
        </w:rPr>
        <w:t>Satisfaction and Discharge of Indenture</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5"/>
          <w:szCs w:val="15"/>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5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11.02</w:t>
      </w:r>
      <w:r>
        <w:rPr>
          <w:sz w:val="20"/>
          <w:szCs w:val="20"/>
          <w:color w:val="auto"/>
        </w:rPr>
        <w:tab/>
      </w:r>
      <w:r>
        <w:rPr>
          <w:rFonts w:ascii="Arial" w:cs="Arial" w:eastAsia="Arial" w:hAnsi="Arial"/>
          <w:sz w:val="15"/>
          <w:szCs w:val="15"/>
          <w:b w:val="1"/>
          <w:bCs w:val="1"/>
          <w:color w:val="auto"/>
        </w:rPr>
        <w:t>Discharge of Obligations.</w:t>
      </w:r>
    </w:p>
    <w:p>
      <w:pPr>
        <w:spacing w:after="0" w:line="211" w:lineRule="exact"/>
        <w:rPr>
          <w:sz w:val="20"/>
          <w:szCs w:val="20"/>
          <w:color w:val="auto"/>
        </w:rPr>
      </w:pPr>
    </w:p>
    <w:p>
      <w:pPr>
        <w:jc w:val="both"/>
        <w:ind w:firstLine="603"/>
        <w:spacing w:after="0" w:line="249"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3" w:name="page154"/>
    <w:bookmarkEnd w:id="153"/>
    <w:p>
      <w:pPr>
        <w:ind w:left="600"/>
        <w:spacing w:after="0"/>
        <w:rPr>
          <w:sz w:val="20"/>
          <w:szCs w:val="20"/>
          <w:color w:val="auto"/>
        </w:rPr>
      </w:pPr>
      <w:r>
        <w:rPr>
          <w:rFonts w:ascii="Arial" w:cs="Arial" w:eastAsia="Arial" w:hAnsi="Arial"/>
          <w:sz w:val="17"/>
          <w:szCs w:val="17"/>
          <w:color w:val="auto"/>
        </w:rPr>
        <w:t>Thereafter, Sections 7.06 and 11.05 shall survive.</w:t>
      </w:r>
    </w:p>
    <w:p>
      <w:pPr>
        <w:spacing w:after="0" w:line="203"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11.03</w:t>
      </w:r>
      <w:r>
        <w:rPr>
          <w:sz w:val="20"/>
          <w:szCs w:val="20"/>
          <w:color w:val="auto"/>
        </w:rPr>
        <w:tab/>
      </w:r>
      <w:r>
        <w:rPr>
          <w:rFonts w:ascii="Arial" w:cs="Arial" w:eastAsia="Arial" w:hAnsi="Arial"/>
          <w:sz w:val="15"/>
          <w:szCs w:val="15"/>
          <w:b w:val="1"/>
          <w:bCs w:val="1"/>
          <w:color w:val="auto"/>
        </w:rPr>
        <w:t>Deposited Moneys to be Held in Trust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11.04</w:t>
      </w:r>
      <w:r>
        <w:rPr>
          <w:sz w:val="20"/>
          <w:szCs w:val="20"/>
          <w:color w:val="auto"/>
        </w:rPr>
        <w:tab/>
      </w:r>
      <w:r>
        <w:rPr>
          <w:rFonts w:ascii="Arial" w:cs="Arial" w:eastAsia="Arial" w:hAnsi="Arial"/>
          <w:sz w:val="15"/>
          <w:szCs w:val="15"/>
          <w:b w:val="1"/>
          <w:bCs w:val="1"/>
          <w:color w:val="auto"/>
        </w:rPr>
        <w:t>Payment of Moneys Held by Paying Agents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11.05</w:t>
      </w:r>
      <w:r>
        <w:rPr>
          <w:sz w:val="20"/>
          <w:szCs w:val="20"/>
          <w:color w:val="auto"/>
        </w:rPr>
        <w:tab/>
      </w:r>
      <w:r>
        <w:rPr>
          <w:rFonts w:ascii="Arial" w:cs="Arial" w:eastAsia="Arial" w:hAnsi="Arial"/>
          <w:sz w:val="15"/>
          <w:szCs w:val="15"/>
          <w:b w:val="1"/>
          <w:bCs w:val="1"/>
          <w:color w:val="auto"/>
        </w:rPr>
        <w:t>Repayment to Company</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w:t>
      </w:r>
    </w:p>
    <w:p>
      <w:pPr>
        <w:spacing w:after="0" w:line="207"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IMMUNITY OF INCORPORATORS, STOCKHOLDERS, OFFICERS AND DIRECTORS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12.01</w:t>
      </w:r>
      <w:r>
        <w:rPr>
          <w:sz w:val="20"/>
          <w:szCs w:val="20"/>
          <w:color w:val="auto"/>
        </w:rPr>
        <w:tab/>
      </w:r>
      <w:r>
        <w:rPr>
          <w:rFonts w:ascii="Arial" w:cs="Arial" w:eastAsia="Arial" w:hAnsi="Arial"/>
          <w:sz w:val="14"/>
          <w:szCs w:val="14"/>
          <w:b w:val="1"/>
          <w:bCs w:val="1"/>
          <w:color w:val="auto"/>
        </w:rPr>
        <w:t>No Recourse</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85" w:lineRule="auto"/>
        <w:rPr>
          <w:sz w:val="20"/>
          <w:szCs w:val="20"/>
          <w:color w:val="auto"/>
        </w:rPr>
      </w:pPr>
      <w:r>
        <w:rPr>
          <w:rFonts w:ascii="Arial" w:cs="Arial" w:eastAsia="Arial" w:hAnsi="Arial"/>
          <w:sz w:val="15"/>
          <w:szCs w:val="15"/>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ARTICLE 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 PROVISIONS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13.01</w:t>
      </w:r>
      <w:r>
        <w:rPr>
          <w:sz w:val="20"/>
          <w:szCs w:val="20"/>
          <w:color w:val="auto"/>
        </w:rPr>
        <w:tab/>
      </w:r>
      <w:r>
        <w:rPr>
          <w:rFonts w:ascii="Arial" w:cs="Arial" w:eastAsia="Arial" w:hAnsi="Arial"/>
          <w:sz w:val="14"/>
          <w:szCs w:val="14"/>
          <w:b w:val="1"/>
          <w:bCs w:val="1"/>
          <w:color w:val="auto"/>
        </w:rPr>
        <w:t>Effect on Successors and Assigns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All the covenants, stipulations, promises and agreements in this Indenture made by or on behalf of the Company shall bind its successors and assigns, whether so expressed or not.</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13.02</w:t>
      </w:r>
      <w:r>
        <w:rPr>
          <w:sz w:val="20"/>
          <w:szCs w:val="20"/>
          <w:color w:val="auto"/>
        </w:rPr>
        <w:tab/>
      </w:r>
      <w:r>
        <w:rPr>
          <w:rFonts w:ascii="Arial" w:cs="Arial" w:eastAsia="Arial" w:hAnsi="Arial"/>
          <w:sz w:val="14"/>
          <w:szCs w:val="14"/>
          <w:b w:val="1"/>
          <w:bCs w:val="1"/>
          <w:color w:val="auto"/>
        </w:rPr>
        <w:t>Actions by Successor.</w:t>
      </w:r>
    </w:p>
    <w:p>
      <w:pPr>
        <w:spacing w:after="0" w:line="211"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Section 13.03  Surrender of Company Powers</w:t>
      </w:r>
      <w:r>
        <w:rPr>
          <w:rFonts w:ascii="Arial" w:cs="Arial" w:eastAsia="Arial" w:hAnsi="Arial"/>
          <w:sz w:val="17"/>
          <w:szCs w:val="17"/>
          <w:color w:val="auto"/>
        </w:rPr>
        <w:t>.</w:t>
      </w:r>
    </w:p>
    <w:p>
      <w:pPr>
        <w:spacing w:after="0" w:line="211"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Section 13.04  Notices</w:t>
      </w:r>
      <w:r>
        <w:rPr>
          <w:rFonts w:ascii="Arial" w:cs="Arial" w:eastAsia="Arial" w:hAnsi="Arial"/>
          <w:sz w:val="17"/>
          <w:szCs w:val="17"/>
          <w:color w:val="auto"/>
        </w:rPr>
        <w:t>.</w:t>
      </w:r>
    </w:p>
    <w:p>
      <w:pPr>
        <w:spacing w:after="0" w:line="211" w:lineRule="exact"/>
        <w:rPr>
          <w:sz w:val="20"/>
          <w:szCs w:val="20"/>
          <w:color w:val="auto"/>
        </w:rPr>
      </w:pPr>
    </w:p>
    <w:p>
      <w:pPr>
        <w:jc w:val="both"/>
        <w:ind w:firstLine="603"/>
        <w:spacing w:after="0" w:line="285" w:lineRule="auto"/>
        <w:rPr>
          <w:sz w:val="20"/>
          <w:szCs w:val="20"/>
          <w:color w:val="auto"/>
        </w:rPr>
      </w:pPr>
      <w:r>
        <w:rPr>
          <w:rFonts w:ascii="Arial" w:cs="Arial" w:eastAsia="Arial" w:hAnsi="Arial"/>
          <w:sz w:val="15"/>
          <w:szCs w:val="15"/>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-283210</wp:posOffset>
            </wp:positionV>
            <wp:extent cx="31134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5" w:name="page156"/>
    <w:bookmarkEnd w:id="155"/>
    <w:p>
      <w:pPr>
        <w:ind w:left="600"/>
        <w:spacing w:after="0"/>
        <w:tabs>
          <w:tab w:leader="none" w:pos="1700" w:val="left"/>
        </w:tabs>
        <w:rPr>
          <w:sz w:val="20"/>
          <w:szCs w:val="20"/>
          <w:color w:val="auto"/>
        </w:rPr>
      </w:pPr>
      <w:r>
        <w:rPr>
          <w:rFonts w:ascii="Arial" w:cs="Arial" w:eastAsia="Arial" w:hAnsi="Arial"/>
          <w:sz w:val="17"/>
          <w:szCs w:val="17"/>
          <w:b w:val="1"/>
          <w:bCs w:val="1"/>
          <w:color w:val="auto"/>
        </w:rPr>
        <w:t>Section 13.05</w:t>
      </w:r>
      <w:r>
        <w:rPr>
          <w:sz w:val="20"/>
          <w:szCs w:val="20"/>
          <w:color w:val="auto"/>
        </w:rPr>
        <w:tab/>
      </w:r>
      <w:r>
        <w:rPr>
          <w:rFonts w:ascii="Arial" w:cs="Arial" w:eastAsia="Arial" w:hAnsi="Arial"/>
          <w:sz w:val="15"/>
          <w:szCs w:val="15"/>
          <w:b w:val="1"/>
          <w:bCs w:val="1"/>
          <w:color w:val="auto"/>
        </w:rPr>
        <w:t>Governing Law; Jury Trial Waiver</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This Indenture and each Security shall be governed by, and construed in accordance with, the internal laws of the State of New York, except to the extent that the Trust Indenture Act is applicable.</w:t>
      </w:r>
    </w:p>
    <w:p>
      <w:pPr>
        <w:spacing w:after="0" w:line="16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13.06</w:t>
      </w:r>
      <w:r>
        <w:rPr>
          <w:sz w:val="20"/>
          <w:szCs w:val="20"/>
          <w:color w:val="auto"/>
        </w:rPr>
        <w:tab/>
      </w:r>
      <w:r>
        <w:rPr>
          <w:rFonts w:ascii="Arial" w:cs="Arial" w:eastAsia="Arial" w:hAnsi="Arial"/>
          <w:sz w:val="14"/>
          <w:szCs w:val="14"/>
          <w:b w:val="1"/>
          <w:bCs w:val="1"/>
          <w:color w:val="auto"/>
        </w:rPr>
        <w:t>Treatment of Securities as Debt.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It is intended that the Securities will be treated as indebtedness and not as equity for federal income tax purposes. The provisions of this Indenture shall be interpreted to further this intention.</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13.07</w:t>
      </w:r>
      <w:r>
        <w:rPr>
          <w:sz w:val="20"/>
          <w:szCs w:val="20"/>
          <w:color w:val="auto"/>
        </w:rPr>
        <w:tab/>
      </w:r>
      <w:r>
        <w:rPr>
          <w:rFonts w:ascii="Arial" w:cs="Arial" w:eastAsia="Arial" w:hAnsi="Arial"/>
          <w:sz w:val="14"/>
          <w:szCs w:val="14"/>
          <w:b w:val="1"/>
          <w:bCs w:val="1"/>
          <w:color w:val="auto"/>
        </w:rPr>
        <w:t>Certificates and Opinions as to Conditions Precedent</w:t>
      </w:r>
      <w:r>
        <w:rPr>
          <w:rFonts w:ascii="Arial" w:cs="Arial" w:eastAsia="Arial" w:hAnsi="Arial"/>
          <w:sz w:val="14"/>
          <w:szCs w:val="14"/>
          <w:color w:val="auto"/>
        </w:rPr>
        <w:t>.</w:t>
      </w:r>
    </w:p>
    <w:p>
      <w:pPr>
        <w:spacing w:after="0" w:line="211" w:lineRule="exact"/>
        <w:rPr>
          <w:sz w:val="20"/>
          <w:szCs w:val="20"/>
          <w:color w:val="auto"/>
        </w:rPr>
      </w:pPr>
    </w:p>
    <w:p>
      <w:pPr>
        <w:jc w:val="both"/>
        <w:ind w:firstLine="1207"/>
        <w:spacing w:after="0" w:line="251" w:lineRule="auto"/>
        <w:tabs>
          <w:tab w:leader="none" w:pos="1954" w:val="left"/>
        </w:tabs>
        <w:numPr>
          <w:ilvl w:val="0"/>
          <w:numId w:val="156"/>
        </w:numPr>
        <w:rPr>
          <w:rFonts w:ascii="Arial" w:cs="Arial" w:eastAsia="Arial" w:hAnsi="Arial"/>
          <w:sz w:val="17"/>
          <w:szCs w:val="17"/>
          <w:b w:val="1"/>
          <w:bCs w:val="1"/>
          <w:color w:val="auto"/>
        </w:rPr>
      </w:pPr>
      <w:r>
        <w:rPr>
          <w:rFonts w:ascii="Arial" w:cs="Arial" w:eastAsia="Arial" w:hAnsi="Arial"/>
          <w:sz w:val="17"/>
          <w:szCs w:val="17"/>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0" w:lineRule="exact"/>
        <w:rPr>
          <w:rFonts w:ascii="Arial" w:cs="Arial" w:eastAsia="Arial" w:hAnsi="Arial"/>
          <w:sz w:val="17"/>
          <w:szCs w:val="17"/>
          <w:b w:val="1"/>
          <w:bCs w:val="1"/>
          <w:color w:val="auto"/>
        </w:rPr>
      </w:pPr>
    </w:p>
    <w:p>
      <w:pPr>
        <w:jc w:val="both"/>
        <w:ind w:firstLine="1207"/>
        <w:spacing w:after="0" w:line="291" w:lineRule="auto"/>
        <w:tabs>
          <w:tab w:leader="none" w:pos="1964" w:val="left"/>
        </w:tabs>
        <w:numPr>
          <w:ilvl w:val="0"/>
          <w:numId w:val="156"/>
        </w:numPr>
        <w:rPr>
          <w:rFonts w:ascii="Arial" w:cs="Arial" w:eastAsia="Arial" w:hAnsi="Arial"/>
          <w:sz w:val="15"/>
          <w:szCs w:val="15"/>
          <w:b w:val="1"/>
          <w:bCs w:val="1"/>
          <w:color w:val="auto"/>
        </w:rPr>
      </w:pPr>
      <w:r>
        <w:rPr>
          <w:rFonts w:ascii="Arial" w:cs="Arial" w:eastAsia="Arial" w:hAnsi="Arial"/>
          <w:sz w:val="15"/>
          <w:szCs w:val="15"/>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6" w:name="page157"/>
    <w:bookmarkEnd w:id="156"/>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13.08</w:t>
      </w:r>
      <w:r>
        <w:rPr>
          <w:sz w:val="20"/>
          <w:szCs w:val="20"/>
          <w:color w:val="auto"/>
        </w:rPr>
        <w:tab/>
      </w:r>
      <w:r>
        <w:rPr>
          <w:rFonts w:ascii="Arial" w:cs="Arial" w:eastAsia="Arial" w:hAnsi="Arial"/>
          <w:sz w:val="14"/>
          <w:szCs w:val="14"/>
          <w:b w:val="1"/>
          <w:bCs w:val="1"/>
          <w:color w:val="auto"/>
        </w:rPr>
        <w:t>Payments on Business Days</w:t>
      </w:r>
      <w:r>
        <w:rPr>
          <w:rFonts w:ascii="Arial" w:cs="Arial" w:eastAsia="Arial" w:hAnsi="Arial"/>
          <w:sz w:val="14"/>
          <w:szCs w:val="14"/>
          <w:color w:val="auto"/>
        </w:rPr>
        <w:t>.</w:t>
      </w:r>
    </w:p>
    <w:p>
      <w:pPr>
        <w:spacing w:after="0" w:line="211" w:lineRule="exact"/>
        <w:rPr>
          <w:sz w:val="20"/>
          <w:szCs w:val="20"/>
          <w:color w:val="auto"/>
        </w:rPr>
      </w:pPr>
    </w:p>
    <w:p>
      <w:pPr>
        <w:jc w:val="both"/>
        <w:ind w:firstLine="603"/>
        <w:spacing w:after="0" w:line="275" w:lineRule="auto"/>
        <w:rPr>
          <w:sz w:val="20"/>
          <w:szCs w:val="20"/>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8"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13.09</w:t>
      </w:r>
      <w:r>
        <w:rPr>
          <w:sz w:val="20"/>
          <w:szCs w:val="20"/>
          <w:color w:val="auto"/>
        </w:rPr>
        <w:tab/>
      </w:r>
      <w:r>
        <w:rPr>
          <w:rFonts w:ascii="Arial" w:cs="Arial" w:eastAsia="Arial" w:hAnsi="Arial"/>
          <w:sz w:val="15"/>
          <w:szCs w:val="15"/>
          <w:b w:val="1"/>
          <w:bCs w:val="1"/>
          <w:color w:val="auto"/>
        </w:rPr>
        <w:t>Conflict with Trust Indenture Act.</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If and to the extent that any provision of this Indenture limits, qualifies or conflicts with the duties imposed by Section 318(c) of the Trust Indenture Act, such imposed duties shall control.</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13.10</w:t>
      </w:r>
      <w:r>
        <w:rPr>
          <w:sz w:val="20"/>
          <w:szCs w:val="20"/>
          <w:color w:val="auto"/>
        </w:rPr>
        <w:tab/>
      </w:r>
      <w:r>
        <w:rPr>
          <w:rFonts w:ascii="Arial" w:cs="Arial" w:eastAsia="Arial" w:hAnsi="Arial"/>
          <w:sz w:val="15"/>
          <w:szCs w:val="15"/>
          <w:b w:val="1"/>
          <w:bCs w:val="1"/>
          <w:color w:val="auto"/>
        </w:rPr>
        <w:t>Counterparts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7"/>
          <w:szCs w:val="17"/>
          <w:b w:val="1"/>
          <w:bCs w:val="1"/>
          <w:color w:val="auto"/>
        </w:rPr>
        <w:t>Section 13.11</w:t>
      </w:r>
      <w:r>
        <w:rPr>
          <w:sz w:val="20"/>
          <w:szCs w:val="20"/>
          <w:color w:val="auto"/>
        </w:rPr>
        <w:tab/>
      </w:r>
      <w:r>
        <w:rPr>
          <w:rFonts w:ascii="Arial" w:cs="Arial" w:eastAsia="Arial" w:hAnsi="Arial"/>
          <w:sz w:val="15"/>
          <w:szCs w:val="15"/>
          <w:b w:val="1"/>
          <w:bCs w:val="1"/>
          <w:color w:val="auto"/>
        </w:rPr>
        <w:t>Separability</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81"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5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13.12</w:t>
      </w:r>
      <w:r>
        <w:rPr>
          <w:sz w:val="20"/>
          <w:szCs w:val="20"/>
          <w:color w:val="auto"/>
        </w:rPr>
        <w:tab/>
      </w:r>
      <w:r>
        <w:rPr>
          <w:rFonts w:ascii="Arial" w:cs="Arial" w:eastAsia="Arial" w:hAnsi="Arial"/>
          <w:sz w:val="15"/>
          <w:szCs w:val="15"/>
          <w:b w:val="1"/>
          <w:bCs w:val="1"/>
          <w:color w:val="auto"/>
        </w:rPr>
        <w:t>Compliance Certificates</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91" w:lineRule="auto"/>
        <w:rPr>
          <w:sz w:val="20"/>
          <w:szCs w:val="20"/>
          <w:color w:val="auto"/>
        </w:rPr>
      </w:pPr>
      <w:r>
        <w:rPr>
          <w:rFonts w:ascii="Arial" w:cs="Arial" w:eastAsia="Arial" w:hAnsi="Arial"/>
          <w:sz w:val="15"/>
          <w:szCs w:val="15"/>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7" w:name="page158"/>
    <w:bookmarkEnd w:id="157"/>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13.13</w:t>
      </w:r>
      <w:r>
        <w:rPr>
          <w:sz w:val="20"/>
          <w:szCs w:val="20"/>
          <w:color w:val="auto"/>
        </w:rPr>
        <w:tab/>
      </w:r>
      <w:r>
        <w:rPr>
          <w:rFonts w:ascii="Arial" w:cs="Arial" w:eastAsia="Arial" w:hAnsi="Arial"/>
          <w:sz w:val="15"/>
          <w:szCs w:val="15"/>
          <w:b w:val="1"/>
          <w:bCs w:val="1"/>
          <w:color w:val="auto"/>
        </w:rPr>
        <w:t>U.S.A Patriot Act</w:t>
      </w:r>
      <w:r>
        <w:rPr>
          <w:rFonts w:ascii="Arial" w:cs="Arial" w:eastAsia="Arial" w:hAnsi="Arial"/>
          <w:sz w:val="15"/>
          <w:szCs w:val="15"/>
          <w:color w:val="auto"/>
        </w:rPr>
        <w:t>.</w:t>
      </w:r>
    </w:p>
    <w:p>
      <w:pPr>
        <w:spacing w:after="0" w:line="211" w:lineRule="exact"/>
        <w:rPr>
          <w:sz w:val="20"/>
          <w:szCs w:val="20"/>
          <w:color w:val="auto"/>
        </w:rPr>
      </w:pPr>
    </w:p>
    <w:p>
      <w:pPr>
        <w:jc w:val="both"/>
        <w:ind w:firstLine="603"/>
        <w:spacing w:after="0" w:line="254"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13.14</w:t>
      </w:r>
      <w:r>
        <w:rPr>
          <w:sz w:val="20"/>
          <w:szCs w:val="20"/>
          <w:color w:val="auto"/>
        </w:rPr>
        <w:tab/>
      </w:r>
      <w:r>
        <w:rPr>
          <w:rFonts w:ascii="Arial" w:cs="Arial" w:eastAsia="Arial" w:hAnsi="Arial"/>
          <w:sz w:val="15"/>
          <w:szCs w:val="15"/>
          <w:b w:val="1"/>
          <w:bCs w:val="1"/>
          <w:color w:val="auto"/>
        </w:rPr>
        <w:t>Force Majeure.</w:t>
      </w:r>
    </w:p>
    <w:p>
      <w:pPr>
        <w:spacing w:after="0" w:line="211" w:lineRule="exact"/>
        <w:rPr>
          <w:sz w:val="20"/>
          <w:szCs w:val="20"/>
          <w:color w:val="auto"/>
        </w:rPr>
      </w:pPr>
    </w:p>
    <w:p>
      <w:pPr>
        <w:jc w:val="both"/>
        <w:ind w:firstLine="603"/>
        <w:spacing w:after="0" w:line="251" w:lineRule="auto"/>
        <w:rPr>
          <w:sz w:val="20"/>
          <w:szCs w:val="20"/>
          <w:color w:val="auto"/>
        </w:rPr>
      </w:pPr>
      <w:r>
        <w:rPr>
          <w:rFonts w:ascii="Arial" w:cs="Arial" w:eastAsia="Arial" w:hAnsi="Arial"/>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77"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b w:val="1"/>
          <w:bCs w:val="1"/>
          <w:color w:val="auto"/>
        </w:rPr>
        <w:t>Section 13.15</w:t>
      </w:r>
      <w:r>
        <w:rPr>
          <w:sz w:val="20"/>
          <w:szCs w:val="20"/>
          <w:color w:val="auto"/>
        </w:rPr>
        <w:tab/>
      </w:r>
      <w:r>
        <w:rPr>
          <w:rFonts w:ascii="Arial" w:cs="Arial" w:eastAsia="Arial" w:hAnsi="Arial"/>
          <w:sz w:val="14"/>
          <w:szCs w:val="14"/>
          <w:b w:val="1"/>
          <w:bCs w:val="1"/>
          <w:color w:val="auto"/>
        </w:rPr>
        <w:t>Table of Contents; Headings.</w:t>
      </w:r>
    </w:p>
    <w:p>
      <w:pPr>
        <w:spacing w:after="0" w:line="211"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color w:val="auto"/>
        </w:rPr>
        <w:t>, the parties hereto have caused this Indenture to be duly executed all as of the day and year first above written.</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MARKER THERAPEUTICS, INC.</w:t>
      </w: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 xml:space="preserve">[TRUSTEE], </w:t>
      </w:r>
      <w:r>
        <w:rPr>
          <w:rFonts w:ascii="Arial" w:cs="Arial" w:eastAsia="Arial" w:hAnsi="Arial"/>
          <w:sz w:val="17"/>
          <w:szCs w:val="17"/>
          <w:color w:val="auto"/>
        </w:rPr>
        <w:t>as Trustee</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11430</wp:posOffset>
            </wp:positionV>
            <wp:extent cx="71418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52"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7"/>
        </w:trPr>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CROSS-REFERENCE TABLE (1)</w:t>
            </w:r>
          </w:p>
        </w:tc>
        <w:tc>
          <w:tcPr>
            <w:tcW w:w="1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402"/>
        </w:trPr>
        <w:tc>
          <w:tcPr>
            <w:tcW w:w="80" w:type="dxa"/>
            <w:vAlign w:val="bottom"/>
          </w:tcPr>
          <w:p>
            <w:pPr>
              <w:spacing w:after="0"/>
              <w:rPr>
                <w:sz w:val="24"/>
                <w:szCs w:val="24"/>
                <w:color w:val="auto"/>
              </w:rPr>
            </w:pPr>
          </w:p>
        </w:tc>
        <w:tc>
          <w:tcPr>
            <w:tcW w:w="7940" w:type="dxa"/>
            <w:vAlign w:val="bottom"/>
            <w:tcBorders>
              <w:bottom w:val="single" w:sz="8" w:color="auto"/>
            </w:tcBorders>
          </w:tcPr>
          <w:p>
            <w:pPr>
              <w:ind w:left="2120"/>
              <w:spacing w:after="0"/>
              <w:rPr>
                <w:sz w:val="20"/>
                <w:szCs w:val="20"/>
                <w:color w:val="auto"/>
              </w:rPr>
            </w:pPr>
            <w:r>
              <w:rPr>
                <w:rFonts w:ascii="Arial" w:cs="Arial" w:eastAsia="Arial" w:hAnsi="Arial"/>
                <w:sz w:val="17"/>
                <w:szCs w:val="17"/>
                <w:b w:val="1"/>
                <w:bCs w:val="1"/>
                <w:color w:val="auto"/>
              </w:rPr>
              <w:t>Section of Trust Indenture Act of 1939, as Amended</w:t>
            </w:r>
          </w:p>
        </w:tc>
        <w:tc>
          <w:tcPr>
            <w:tcW w:w="180" w:type="dxa"/>
            <w:vAlign w:val="bottom"/>
          </w:tcPr>
          <w:p>
            <w:pPr>
              <w:spacing w:after="0"/>
              <w:rPr>
                <w:sz w:val="24"/>
                <w:szCs w:val="24"/>
                <w:color w:val="auto"/>
              </w:rPr>
            </w:pPr>
          </w:p>
        </w:tc>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auto"/>
              </w:rPr>
              <w:t>Section of Indenture</w:t>
            </w:r>
          </w:p>
        </w:tc>
      </w:tr>
      <w:tr>
        <w:trPr>
          <w:trHeight w:val="181"/>
        </w:trPr>
        <w:tc>
          <w:tcPr>
            <w:tcW w:w="80" w:type="dxa"/>
            <w:vAlign w:val="bottom"/>
          </w:tcPr>
          <w:p>
            <w:pPr>
              <w:spacing w:after="0"/>
              <w:rPr>
                <w:sz w:val="15"/>
                <w:szCs w:val="15"/>
                <w:color w:val="auto"/>
              </w:rPr>
            </w:pPr>
          </w:p>
        </w:tc>
        <w:tc>
          <w:tcPr>
            <w:tcW w:w="7940" w:type="dxa"/>
            <w:vAlign w:val="bottom"/>
          </w:tcPr>
          <w:p>
            <w:pPr>
              <w:ind w:left="20"/>
              <w:spacing w:after="0" w:line="181" w:lineRule="exact"/>
              <w:rPr>
                <w:sz w:val="20"/>
                <w:szCs w:val="20"/>
                <w:color w:val="auto"/>
              </w:rPr>
            </w:pPr>
            <w:r>
              <w:rPr>
                <w:rFonts w:ascii="Arial" w:cs="Arial" w:eastAsia="Arial" w:hAnsi="Arial"/>
                <w:sz w:val="17"/>
                <w:szCs w:val="17"/>
                <w:color w:val="auto"/>
              </w:rPr>
              <w:t>310(a)</w:t>
            </w:r>
          </w:p>
        </w:tc>
        <w:tc>
          <w:tcPr>
            <w:tcW w:w="180" w:type="dxa"/>
            <w:vAlign w:val="bottom"/>
          </w:tcPr>
          <w:p>
            <w:pPr>
              <w:spacing w:after="0"/>
              <w:rPr>
                <w:sz w:val="15"/>
                <w:szCs w:val="15"/>
                <w:color w:val="auto"/>
              </w:rPr>
            </w:pPr>
          </w:p>
        </w:tc>
        <w:tc>
          <w:tcPr>
            <w:tcW w:w="2960" w:type="dxa"/>
            <w:vAlign w:val="bottom"/>
          </w:tcPr>
          <w:p>
            <w:pPr>
              <w:spacing w:after="0" w:line="181" w:lineRule="exact"/>
              <w:rPr>
                <w:sz w:val="20"/>
                <w:szCs w:val="20"/>
                <w:color w:val="auto"/>
              </w:rPr>
            </w:pPr>
            <w:r>
              <w:rPr>
                <w:rFonts w:ascii="Arial" w:cs="Arial" w:eastAsia="Arial" w:hAnsi="Arial"/>
                <w:sz w:val="17"/>
                <w:szCs w:val="17"/>
                <w:color w:val="auto"/>
              </w:rPr>
              <w:t>7.09</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310(b)</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7.08</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7.10</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310(c)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311(a)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7.13</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311(b)</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7.13</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311(c)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312(a)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5.01</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5.02(a)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312(b)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5.02(c)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312(c)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5.02(c)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313(a)</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5.04(a)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313(b)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5.04(b)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313(c)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5.04(a)</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5.04(b)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313(d)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5.04(c)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5.03</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13.12</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13.07(a)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314(e)</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13.07(b)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314(f)</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315(a)</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7.01(a)</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7.01(b)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315(b)</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7.14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315(c)</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7.01</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315(d)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7.01(b)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315(e)</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6.07</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316(a)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6.06</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8.04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316(b)</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6.04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316(c)</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8.01</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317(a)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6.02</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317(b)</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4.03</w:t>
            </w:r>
          </w:p>
        </w:tc>
      </w:tr>
      <w:tr>
        <w:trPr>
          <w:trHeight w:val="213"/>
        </w:trPr>
        <w:tc>
          <w:tcPr>
            <w:tcW w:w="8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Arial" w:cs="Arial" w:eastAsia="Arial" w:hAnsi="Arial"/>
                <w:sz w:val="17"/>
                <w:szCs w:val="17"/>
                <w:color w:val="auto"/>
              </w:rPr>
              <w:t>318(a)</w:t>
            </w:r>
          </w:p>
        </w:tc>
        <w:tc>
          <w:tcPr>
            <w:tcW w:w="3140" w:type="dxa"/>
            <w:vAlign w:val="bottom"/>
            <w:gridSpan w:val="2"/>
          </w:tcPr>
          <w:p>
            <w:pPr>
              <w:ind w:left="180"/>
              <w:spacing w:after="0"/>
              <w:rPr>
                <w:sz w:val="20"/>
                <w:szCs w:val="20"/>
                <w:color w:val="auto"/>
              </w:rPr>
            </w:pPr>
            <w:r>
              <w:rPr>
                <w:rFonts w:ascii="Arial" w:cs="Arial" w:eastAsia="Arial" w:hAnsi="Arial"/>
                <w:sz w:val="17"/>
                <w:szCs w:val="17"/>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1787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95" w:lineRule="exact"/>
        <w:rPr>
          <w:sz w:val="20"/>
          <w:szCs w:val="20"/>
          <w:color w:val="auto"/>
        </w:rPr>
      </w:pPr>
    </w:p>
    <w:p>
      <w:pPr>
        <w:jc w:val="center"/>
        <w:ind w:left="5520" w:right="580" w:hanging="5519"/>
        <w:spacing w:after="0" w:line="762" w:lineRule="auto"/>
        <w:tabs>
          <w:tab w:leader="none" w:pos="30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This Cross-Reference Table does not constitute part of the Indenture and shall not have any bearing on the interpretation of any of its terms or provisions.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-260985</wp:posOffset>
            </wp:positionV>
            <wp:extent cx="71418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60"/>
          </w:cols>
          <w:pgMar w:left="320" w:top="852" w:right="4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4.5</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MARKER THERAPEUTICS, INC.</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AND</w:t>
      </w:r>
    </w:p>
    <w:p>
      <w:pPr>
        <w:spacing w:after="0" w:line="207"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_____________, AS WARRANT AGENT</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FORM OF COMMON STOCK</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WARRANT AGREEMENT</w:t>
      </w:r>
    </w:p>
    <w:p>
      <w:pPr>
        <w:spacing w:after="0" w:line="190"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DATED AS OF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540385</wp:posOffset>
            </wp:positionV>
            <wp:extent cx="71418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49"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MARKER THERAPEUTICS, INC. FORM OF COMMON STOCK WARRANT AGREEMENT</w:t>
      </w:r>
    </w:p>
    <w:p>
      <w:pPr>
        <w:spacing w:after="0" w:line="207"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THIS COMMON STOCK WARRANT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 between</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 a [corporation] [national banking association] organized and existing under the laws of [●] and having a corporate trust office in [●],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proposes to sell [If Warrants are sold with other securities —[title of such other securities being offered] (the “</w:t>
      </w:r>
      <w:r>
        <w:rPr>
          <w:rFonts w:ascii="Arial" w:cs="Arial" w:eastAsia="Arial" w:hAnsi="Arial"/>
          <w:sz w:val="17"/>
          <w:szCs w:val="17"/>
          <w:b w:val="1"/>
          <w:bCs w:val="1"/>
          <w:i w:val="1"/>
          <w:iCs w:val="1"/>
          <w:color w:val="auto"/>
        </w:rPr>
        <w:t>Other 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 Common Stock of the Company,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75"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desires the Warrant Agent to act on behalf of the Company, and the Warrant Agent is willing so to act,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ISSUANCE OF WARRANTS AND EXECUTION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DELIVERY OF WARRANT CERTIFICATES</w:t>
      </w:r>
    </w:p>
    <w:p>
      <w:pPr>
        <w:spacing w:after="0" w:line="190"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 Securities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and Warrants </w:t>
      </w:r>
      <w:r>
        <w:rPr>
          <w:rFonts w:ascii="Arial" w:cs="Arial" w:eastAsia="Arial" w:hAnsi="Arial"/>
          <w:sz w:val="16"/>
          <w:szCs w:val="16"/>
          <w:color w:val="auto"/>
        </w:rPr>
        <w:t>—Warrant Certificates will be issued in connection with the issuance of the Other Securities but shall be separately transferable and each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60"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 the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2" w:name="page163"/>
    <w:bookmarkEnd w:id="162"/>
    <w:p>
      <w:pPr>
        <w:jc w:val="both"/>
        <w:ind w:firstLine="603"/>
        <w:spacing w:after="0" w:line="257"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8"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holder of a Warrant Certificate</w:t>
      </w:r>
      <w:r>
        <w:rPr>
          <w:rFonts w:ascii="Arial" w:cs="Arial" w:eastAsia="Arial" w:hAnsi="Arial"/>
          <w:sz w:val="17"/>
          <w:szCs w:val="17"/>
          <w:color w:val="auto"/>
        </w:rPr>
        <w:t>” as used herein shall mean any person in whose name at the time any Warrant Certificate shall be registered upon the books to be maintained by the Warrant Agent for that purpose.</w:t>
      </w:r>
    </w:p>
    <w:p>
      <w:pPr>
        <w:spacing w:after="0" w:line="163"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 xml:space="preserve">1.3 Issuance of Warrant Certificates. </w:t>
      </w:r>
      <w:r>
        <w:rPr>
          <w:rFonts w:ascii="Arial" w:cs="Arial" w:eastAsia="Arial" w:hAnsi="Arial"/>
          <w:sz w:val="15"/>
          <w:szCs w:val="15"/>
          <w:color w:val="auto"/>
        </w:rPr>
        <w:t>Warrant Certificates evidencing the right to purchase Warrant Securities may be executed by the Company and</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PRICE, DURATION AND EXERCISE OF WARRANTS</w:t>
      </w:r>
    </w:p>
    <w:p>
      <w:pPr>
        <w:spacing w:after="0" w:line="207"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2.1 Warrant Price. </w:t>
      </w:r>
      <w:r>
        <w:rPr>
          <w:rFonts w:ascii="Arial" w:cs="Arial" w:eastAsia="Arial" w:hAnsi="Arial"/>
          <w:sz w:val="17"/>
          <w:szCs w:val="17"/>
          <w:color w:val="auto"/>
        </w:rPr>
        <w:t>During the period specified in Section 2.2, each Warrant shall, subject to the terms of this Agreement and the applicable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w:t>
      </w:r>
    </w:p>
    <w:p>
      <w:pPr>
        <w:spacing w:after="0" w:line="175"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5"/>
          <w:szCs w:val="15"/>
          <w:b w:val="1"/>
          <w:bCs w:val="1"/>
          <w:color w:val="auto"/>
        </w:rPr>
        <w:t xml:space="preserve">2.2 Duration of Warrants. </w:t>
      </w:r>
      <w:r>
        <w:rPr>
          <w:rFonts w:ascii="Arial" w:cs="Arial" w:eastAsia="Arial" w:hAnsi="Arial"/>
          <w:sz w:val="15"/>
          <w:szCs w:val="15"/>
          <w:color w:val="auto"/>
        </w:rPr>
        <w:t>Each Warrant may be exercised in whole or in part at any time, as specified herein, on or after [the date thereof] [●] and at</w:t>
      </w:r>
      <w:r>
        <w:rPr>
          <w:rFonts w:ascii="Arial" w:cs="Arial" w:eastAsia="Arial" w:hAnsi="Arial"/>
          <w:sz w:val="15"/>
          <w:szCs w:val="15"/>
          <w:b w:val="1"/>
          <w:bCs w:val="1"/>
          <w:color w:val="auto"/>
        </w:rPr>
        <w:t xml:space="preserve"> </w:t>
      </w:r>
      <w:r>
        <w:rPr>
          <w:rFonts w:ascii="Arial" w:cs="Arial" w:eastAsia="Arial" w:hAnsi="Arial"/>
          <w:sz w:val="15"/>
          <w:szCs w:val="15"/>
          <w:color w:val="auto"/>
        </w:rPr>
        <w:t>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5"/>
          <w:szCs w:val="15"/>
          <w:b w:val="1"/>
          <w:bCs w:val="1"/>
          <w:i w:val="1"/>
          <w:iCs w:val="1"/>
          <w:color w:val="auto"/>
        </w:rPr>
        <w:t>Expiration Date</w:t>
      </w:r>
      <w:r>
        <w:rPr>
          <w:rFonts w:ascii="Arial" w:cs="Arial" w:eastAsia="Arial" w:hAnsi="Arial"/>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143" w:lineRule="exact"/>
        <w:rPr>
          <w:sz w:val="20"/>
          <w:szCs w:val="20"/>
          <w:color w:val="auto"/>
        </w:rPr>
      </w:pPr>
    </w:p>
    <w:p>
      <w:pPr>
        <w:ind w:left="600"/>
        <w:spacing w:after="0"/>
        <w:tabs>
          <w:tab w:leader="none" w:pos="126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1" w:lineRule="exact"/>
        <w:rPr>
          <w:sz w:val="20"/>
          <w:szCs w:val="20"/>
          <w:color w:val="auto"/>
        </w:rPr>
      </w:pPr>
    </w:p>
    <w:p>
      <w:pPr>
        <w:jc w:val="both"/>
        <w:ind w:firstLine="1207"/>
        <w:spacing w:after="0" w:line="283" w:lineRule="auto"/>
        <w:tabs>
          <w:tab w:leader="none" w:pos="1912" w:val="left"/>
        </w:tabs>
        <w:numPr>
          <w:ilvl w:val="0"/>
          <w:numId w:val="158"/>
        </w:numPr>
        <w:rPr>
          <w:rFonts w:ascii="Arial" w:cs="Arial" w:eastAsia="Arial" w:hAnsi="Arial"/>
          <w:sz w:val="15"/>
          <w:szCs w:val="15"/>
          <w:b w:val="1"/>
          <w:bCs w:val="1"/>
          <w:color w:val="auto"/>
        </w:rPr>
      </w:pPr>
      <w:r>
        <w:rPr>
          <w:rFonts w:ascii="Arial" w:cs="Arial" w:eastAsia="Arial" w:hAnsi="Arial"/>
          <w:sz w:val="15"/>
          <w:szCs w:val="15"/>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3" w:name="page164"/>
    <w:bookmarkEnd w:id="163"/>
    <w:p>
      <w:pPr>
        <w:jc w:val="both"/>
        <w:ind w:firstLine="1207"/>
        <w:spacing w:after="0" w:line="275" w:lineRule="auto"/>
        <w:tabs>
          <w:tab w:leader="none" w:pos="1934"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62" w:lineRule="exact"/>
        <w:rPr>
          <w:rFonts w:ascii="Arial" w:cs="Arial" w:eastAsia="Arial" w:hAnsi="Arial"/>
          <w:sz w:val="16"/>
          <w:szCs w:val="16"/>
          <w:b w:val="1"/>
          <w:bCs w:val="1"/>
          <w:color w:val="auto"/>
        </w:rPr>
      </w:pPr>
    </w:p>
    <w:p>
      <w:pPr>
        <w:jc w:val="both"/>
        <w:ind w:firstLine="1207"/>
        <w:spacing w:after="0" w:line="298" w:lineRule="auto"/>
        <w:tabs>
          <w:tab w:leader="none" w:pos="2054" w:val="left"/>
        </w:tabs>
        <w:numPr>
          <w:ilvl w:val="0"/>
          <w:numId w:val="159"/>
        </w:numPr>
        <w:rPr>
          <w:rFonts w:ascii="Arial" w:cs="Arial" w:eastAsia="Arial" w:hAnsi="Arial"/>
          <w:sz w:val="15"/>
          <w:szCs w:val="15"/>
          <w:b w:val="1"/>
          <w:bCs w:val="1"/>
          <w:color w:val="auto"/>
        </w:rPr>
      </w:pPr>
      <w:r>
        <w:rPr>
          <w:rFonts w:ascii="Arial" w:cs="Arial" w:eastAsia="Arial" w:hAnsi="Arial"/>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8" w:lineRule="exact"/>
        <w:rPr>
          <w:rFonts w:ascii="Arial" w:cs="Arial" w:eastAsia="Arial" w:hAnsi="Arial"/>
          <w:sz w:val="15"/>
          <w:szCs w:val="15"/>
          <w:b w:val="1"/>
          <w:bCs w:val="1"/>
          <w:color w:val="auto"/>
        </w:rPr>
      </w:pPr>
    </w:p>
    <w:p>
      <w:pPr>
        <w:jc w:val="both"/>
        <w:ind w:firstLine="1207"/>
        <w:spacing w:after="0" w:line="308" w:lineRule="auto"/>
        <w:tabs>
          <w:tab w:leader="none" w:pos="1909" w:val="left"/>
        </w:tabs>
        <w:numPr>
          <w:ilvl w:val="0"/>
          <w:numId w:val="159"/>
        </w:numPr>
        <w:rPr>
          <w:rFonts w:ascii="Arial" w:cs="Arial" w:eastAsia="Arial" w:hAnsi="Arial"/>
          <w:sz w:val="15"/>
          <w:szCs w:val="15"/>
          <w:b w:val="1"/>
          <w:bCs w:val="1"/>
          <w:color w:val="auto"/>
        </w:rPr>
      </w:pPr>
      <w:r>
        <w:rPr>
          <w:rFonts w:ascii="Arial" w:cs="Arial" w:eastAsia="Arial" w:hAnsi="Arial"/>
          <w:sz w:val="15"/>
          <w:szCs w:val="15"/>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0" w:lineRule="exact"/>
        <w:rPr>
          <w:rFonts w:ascii="Arial" w:cs="Arial" w:eastAsia="Arial" w:hAnsi="Arial"/>
          <w:sz w:val="15"/>
          <w:szCs w:val="15"/>
          <w:b w:val="1"/>
          <w:bCs w:val="1"/>
          <w:color w:val="auto"/>
        </w:rPr>
      </w:pPr>
    </w:p>
    <w:p>
      <w:pPr>
        <w:ind w:firstLine="1207"/>
        <w:spacing w:after="0" w:line="300" w:lineRule="auto"/>
        <w:tabs>
          <w:tab w:leader="none" w:pos="1903"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PROVISIONS RELATING TO RIGHTS OF 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CERTIFICATES</w:t>
      </w:r>
    </w:p>
    <w:p>
      <w:pPr>
        <w:spacing w:after="0" w:line="190"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3.1 No Rights as Warrant Securityholder Conferred by Warrants or Warrant Certificates. </w:t>
      </w:r>
      <w:r>
        <w:rPr>
          <w:rFonts w:ascii="Arial" w:cs="Arial" w:eastAsia="Arial" w:hAnsi="Arial"/>
          <w:sz w:val="17"/>
          <w:szCs w:val="17"/>
          <w:color w:val="auto"/>
        </w:rPr>
        <w:t>No Warrant Certificate or Warrant evidenced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4" w:name="page165"/>
    <w:bookmarkEnd w:id="164"/>
    <w:p>
      <w:pPr>
        <w:jc w:val="both"/>
        <w:ind w:firstLine="603"/>
        <w:spacing w:after="0" w:line="285" w:lineRule="auto"/>
        <w:rPr>
          <w:sz w:val="20"/>
          <w:szCs w:val="20"/>
          <w:color w:val="auto"/>
        </w:rPr>
      </w:pPr>
      <w:r>
        <w:rPr>
          <w:rFonts w:ascii="Arial" w:cs="Arial" w:eastAsia="Arial" w:hAnsi="Arial"/>
          <w:sz w:val="15"/>
          <w:szCs w:val="15"/>
          <w:b w:val="1"/>
          <w:bCs w:val="1"/>
          <w:color w:val="auto"/>
        </w:rPr>
        <w:t xml:space="preserve">3.2 Lost, Stolen, Mutilated or Destroyed Warrant Certificates. </w:t>
      </w:r>
      <w:r>
        <w:rPr>
          <w:rFonts w:ascii="Arial" w:cs="Arial" w:eastAsia="Arial" w:hAnsi="Arial"/>
          <w:sz w:val="15"/>
          <w:szCs w:val="15"/>
          <w:color w:val="auto"/>
        </w:rPr>
        <w:t>Upon receipt by the Warrant Agent of evidence reasonably satisfactory to it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6"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3.3 Holder of Warrant Certificate May Enforce Rights. </w:t>
      </w:r>
      <w:r>
        <w:rPr>
          <w:rFonts w:ascii="Arial" w:cs="Arial" w:eastAsia="Arial" w:hAnsi="Arial"/>
          <w:sz w:val="17"/>
          <w:szCs w:val="17"/>
          <w:color w:val="auto"/>
        </w:rPr>
        <w:t>Notwithstanding any of the provisions of this Agreement, any holder of a Warrant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6"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4"/>
          <w:szCs w:val="14"/>
          <w:b w:val="1"/>
          <w:bCs w:val="1"/>
          <w:color w:val="auto"/>
        </w:rPr>
        <w:t>Adjustments.</w:t>
      </w:r>
    </w:p>
    <w:p>
      <w:pPr>
        <w:spacing w:after="0" w:line="211" w:lineRule="exact"/>
        <w:rPr>
          <w:sz w:val="20"/>
          <w:szCs w:val="20"/>
          <w:color w:val="auto"/>
        </w:rPr>
      </w:pPr>
    </w:p>
    <w:p>
      <w:pPr>
        <w:jc w:val="both"/>
        <w:ind w:firstLine="1207"/>
        <w:spacing w:after="0" w:line="252" w:lineRule="auto"/>
        <w:tabs>
          <w:tab w:leader="none" w:pos="1862"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80" w:lineRule="exact"/>
        <w:rPr>
          <w:rFonts w:ascii="Arial" w:cs="Arial" w:eastAsia="Arial" w:hAnsi="Arial"/>
          <w:sz w:val="17"/>
          <w:szCs w:val="17"/>
          <w:b w:val="1"/>
          <w:bCs w:val="1"/>
          <w:color w:val="auto"/>
        </w:rPr>
      </w:pPr>
    </w:p>
    <w:p>
      <w:pPr>
        <w:ind w:firstLine="1207"/>
        <w:spacing w:after="0" w:line="268" w:lineRule="auto"/>
        <w:tabs>
          <w:tab w:leader="none" w:pos="1896" w:val="left"/>
        </w:tabs>
        <w:numPr>
          <w:ilvl w:val="0"/>
          <w:numId w:val="160"/>
        </w:numPr>
        <w:rPr>
          <w:rFonts w:ascii="Arial" w:cs="Arial" w:eastAsia="Arial" w:hAnsi="Arial"/>
          <w:sz w:val="17"/>
          <w:szCs w:val="17"/>
          <w:b w:val="1"/>
          <w:bCs w:val="1"/>
          <w:color w:val="auto"/>
        </w:rPr>
      </w:pPr>
      <w:r>
        <w:rPr>
          <w:rFonts w:ascii="Arial" w:cs="Arial" w:eastAsia="Arial" w:hAnsi="Arial"/>
          <w:sz w:val="17"/>
          <w:szCs w:val="17"/>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66" w:lineRule="exact"/>
        <w:rPr>
          <w:rFonts w:ascii="Arial" w:cs="Arial" w:eastAsia="Arial" w:hAnsi="Arial"/>
          <w:sz w:val="17"/>
          <w:szCs w:val="17"/>
          <w:b w:val="1"/>
          <w:bCs w:val="1"/>
          <w:color w:val="auto"/>
        </w:rPr>
      </w:pPr>
    </w:p>
    <w:p>
      <w:pPr>
        <w:jc w:val="both"/>
        <w:ind w:firstLine="1810"/>
        <w:spacing w:after="0" w:line="336" w:lineRule="auto"/>
        <w:tabs>
          <w:tab w:leader="none" w:pos="2772" w:val="left"/>
        </w:tabs>
        <w:numPr>
          <w:ilvl w:val="1"/>
          <w:numId w:val="160"/>
        </w:numPr>
        <w:rPr>
          <w:rFonts w:ascii="Arial" w:cs="Arial" w:eastAsia="Arial" w:hAnsi="Arial"/>
          <w:sz w:val="15"/>
          <w:szCs w:val="15"/>
          <w:b w:val="1"/>
          <w:bCs w:val="1"/>
          <w:color w:val="auto"/>
        </w:rPr>
      </w:pPr>
      <w:r>
        <w:rPr>
          <w:rFonts w:ascii="Arial" w:cs="Arial" w:eastAsia="Arial" w:hAnsi="Arial"/>
          <w:sz w:val="15"/>
          <w:szCs w:val="15"/>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5" w:name="page166"/>
    <w:bookmarkEnd w:id="165"/>
    <w:p>
      <w:pPr>
        <w:ind w:left="2480" w:hanging="670"/>
        <w:spacing w:after="0"/>
        <w:tabs>
          <w:tab w:leader="none" w:pos="2480" w:val="left"/>
        </w:tabs>
        <w:numPr>
          <w:ilvl w:val="1"/>
          <w:numId w:val="161"/>
        </w:numPr>
        <w:rPr>
          <w:rFonts w:ascii="Arial" w:cs="Arial" w:eastAsia="Arial" w:hAnsi="Arial"/>
          <w:sz w:val="15"/>
          <w:szCs w:val="15"/>
          <w:b w:val="1"/>
          <w:bCs w:val="1"/>
          <w:color w:val="auto"/>
        </w:rPr>
      </w:pPr>
      <w:r>
        <w:rPr>
          <w:rFonts w:ascii="Arial" w:cs="Arial" w:eastAsia="Arial" w:hAnsi="Arial"/>
          <w:sz w:val="15"/>
          <w:szCs w:val="15"/>
          <w:color w:val="auto"/>
        </w:rPr>
        <w:t>any cash paid or payable otherwise than as a cash dividend paid or payable out of the Company’s current or retained earnings;</w:t>
      </w:r>
    </w:p>
    <w:p>
      <w:pPr>
        <w:spacing w:after="0" w:line="229" w:lineRule="exact"/>
        <w:rPr>
          <w:rFonts w:ascii="Arial" w:cs="Arial" w:eastAsia="Arial" w:hAnsi="Arial"/>
          <w:sz w:val="15"/>
          <w:szCs w:val="15"/>
          <w:b w:val="1"/>
          <w:bCs w:val="1"/>
          <w:color w:val="auto"/>
        </w:rPr>
      </w:pPr>
    </w:p>
    <w:p>
      <w:pPr>
        <w:ind w:left="2440" w:hanging="630"/>
        <w:spacing w:after="0"/>
        <w:tabs>
          <w:tab w:leader="none" w:pos="2440"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06" w:lineRule="exact"/>
        <w:rPr>
          <w:rFonts w:ascii="Arial" w:cs="Arial" w:eastAsia="Arial" w:hAnsi="Arial"/>
          <w:sz w:val="17"/>
          <w:szCs w:val="17"/>
          <w:b w:val="1"/>
          <w:bCs w:val="1"/>
          <w:color w:val="auto"/>
        </w:rPr>
      </w:pPr>
    </w:p>
    <w:p>
      <w:pPr>
        <w:jc w:val="both"/>
        <w:ind w:firstLine="1810"/>
        <w:spacing w:after="0" w:line="268" w:lineRule="auto"/>
        <w:tabs>
          <w:tab w:leader="none" w:pos="2583"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70" w:lineRule="exact"/>
        <w:rPr>
          <w:rFonts w:ascii="Arial" w:cs="Arial" w:eastAsia="Arial" w:hAnsi="Arial"/>
          <w:sz w:val="16"/>
          <w:szCs w:val="16"/>
          <w:b w:val="1"/>
          <w:bCs w:val="1"/>
          <w:color w:val="auto"/>
        </w:rPr>
      </w:pPr>
    </w:p>
    <w:p>
      <w:pPr>
        <w:jc w:val="both"/>
        <w:ind w:firstLine="1207"/>
        <w:spacing w:after="0" w:line="282" w:lineRule="auto"/>
        <w:tabs>
          <w:tab w:leader="none" w:pos="2016" w:val="left"/>
        </w:tabs>
        <w:numPr>
          <w:ilvl w:val="0"/>
          <w:numId w:val="162"/>
        </w:numPr>
        <w:rPr>
          <w:rFonts w:ascii="Arial" w:cs="Arial" w:eastAsia="Arial" w:hAnsi="Arial"/>
          <w:sz w:val="15"/>
          <w:szCs w:val="15"/>
          <w:b w:val="1"/>
          <w:bCs w:val="1"/>
          <w:color w:val="auto"/>
        </w:rPr>
      </w:pPr>
      <w:r>
        <w:rPr>
          <w:rFonts w:ascii="Arial" w:cs="Arial" w:eastAsia="Arial" w:hAnsi="Arial"/>
          <w:sz w:val="15"/>
          <w:szCs w:val="15"/>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Arial" w:cs="Arial" w:eastAsia="Arial" w:hAnsi="Arial"/>
          <w:sz w:val="15"/>
          <w:szCs w:val="15"/>
          <w:b w:val="1"/>
          <w:bCs w:val="1"/>
          <w:i w:val="1"/>
          <w:iCs w:val="1"/>
          <w:color w:val="auto"/>
        </w:rPr>
        <w:t>Reorganization Event</w:t>
      </w:r>
      <w:r>
        <w:rPr>
          <w:rFonts w:ascii="Arial" w:cs="Arial" w:eastAsia="Arial" w:hAnsi="Arial"/>
          <w:sz w:val="15"/>
          <w:szCs w:val="15"/>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8" w:lineRule="exact"/>
        <w:rPr>
          <w:rFonts w:ascii="Arial" w:cs="Arial" w:eastAsia="Arial" w:hAnsi="Arial"/>
          <w:sz w:val="15"/>
          <w:szCs w:val="15"/>
          <w:b w:val="1"/>
          <w:bCs w:val="1"/>
          <w:color w:val="auto"/>
        </w:rPr>
      </w:pPr>
    </w:p>
    <w:p>
      <w:pPr>
        <w:jc w:val="both"/>
        <w:ind w:firstLine="1207"/>
        <w:spacing w:after="0" w:line="257" w:lineRule="auto"/>
        <w:tabs>
          <w:tab w:leader="none" w:pos="2047"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6" w:name="page167"/>
    <w:bookmarkEnd w:id="166"/>
    <w:p>
      <w:pPr>
        <w:jc w:val="both"/>
        <w:ind w:firstLine="1207"/>
        <w:spacing w:after="0" w:line="257" w:lineRule="auto"/>
        <w:tabs>
          <w:tab w:leader="none" w:pos="1966"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76" w:lineRule="exact"/>
        <w:rPr>
          <w:rFonts w:ascii="Arial" w:cs="Arial" w:eastAsia="Arial" w:hAnsi="Arial"/>
          <w:sz w:val="17"/>
          <w:szCs w:val="17"/>
          <w:b w:val="1"/>
          <w:bCs w:val="1"/>
          <w:color w:val="auto"/>
        </w:rPr>
      </w:pPr>
    </w:p>
    <w:p>
      <w:pPr>
        <w:jc w:val="both"/>
        <w:ind w:firstLine="1207"/>
        <w:spacing w:after="0" w:line="284" w:lineRule="auto"/>
        <w:tabs>
          <w:tab w:leader="none" w:pos="1926" w:val="left"/>
        </w:tabs>
        <w:numPr>
          <w:ilvl w:val="0"/>
          <w:numId w:val="163"/>
        </w:numPr>
        <w:rPr>
          <w:rFonts w:ascii="Arial" w:cs="Arial" w:eastAsia="Arial" w:hAnsi="Arial"/>
          <w:sz w:val="15"/>
          <w:szCs w:val="15"/>
          <w:b w:val="1"/>
          <w:bCs w:val="1"/>
          <w:color w:val="auto"/>
        </w:rPr>
      </w:pPr>
      <w:r>
        <w:rPr>
          <w:rFonts w:ascii="Arial" w:cs="Arial" w:eastAsia="Arial" w:hAnsi="Arial"/>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5"/>
          <w:szCs w:val="15"/>
          <w:b w:val="1"/>
          <w:bCs w:val="1"/>
          <w:i w:val="1"/>
          <w:iCs w:val="1"/>
          <w:color w:val="auto"/>
        </w:rPr>
        <w:t>OTC Bulletin Board</w:t>
      </w:r>
      <w:r>
        <w:rPr>
          <w:rFonts w:ascii="Arial" w:cs="Arial" w:eastAsia="Arial" w:hAnsi="Arial"/>
          <w:sz w:val="15"/>
          <w:szCs w:val="15"/>
          <w:color w:val="auto"/>
        </w:rPr>
        <w:t>”) operated by the Financial Industry Regulatory Authority, Inc. (“</w:t>
      </w:r>
      <w:r>
        <w:rPr>
          <w:rFonts w:ascii="Arial" w:cs="Arial" w:eastAsia="Arial" w:hAnsi="Arial"/>
          <w:sz w:val="15"/>
          <w:szCs w:val="15"/>
          <w:b w:val="1"/>
          <w:bCs w:val="1"/>
          <w:i w:val="1"/>
          <w:iCs w:val="1"/>
          <w:color w:val="auto"/>
        </w:rPr>
        <w:t>FINRA</w:t>
      </w:r>
      <w:r>
        <w:rPr>
          <w:rFonts w:ascii="Arial" w:cs="Arial" w:eastAsia="Arial" w:hAnsi="Arial"/>
          <w:sz w:val="15"/>
          <w:szCs w:val="15"/>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64" w:lineRule="exact"/>
        <w:rPr>
          <w:rFonts w:ascii="Arial" w:cs="Arial" w:eastAsia="Arial" w:hAnsi="Arial"/>
          <w:sz w:val="15"/>
          <w:szCs w:val="15"/>
          <w:b w:val="1"/>
          <w:bCs w:val="1"/>
          <w:color w:val="auto"/>
        </w:rPr>
      </w:pPr>
    </w:p>
    <w:p>
      <w:pPr>
        <w:jc w:val="both"/>
        <w:ind w:firstLine="1207"/>
        <w:spacing w:after="0" w:line="257" w:lineRule="auto"/>
        <w:tabs>
          <w:tab w:leader="none" w:pos="1908"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76" w:lineRule="exact"/>
        <w:rPr>
          <w:rFonts w:ascii="Arial" w:cs="Arial" w:eastAsia="Arial" w:hAnsi="Arial"/>
          <w:sz w:val="17"/>
          <w:szCs w:val="17"/>
          <w:b w:val="1"/>
          <w:bCs w:val="1"/>
          <w:color w:val="auto"/>
        </w:rPr>
      </w:pPr>
    </w:p>
    <w:p>
      <w:pPr>
        <w:ind w:firstLine="1207"/>
        <w:spacing w:after="0" w:line="268" w:lineRule="auto"/>
        <w:tabs>
          <w:tab w:leader="none" w:pos="183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herein, in no event shall the Warrant Price, as adjusted in accordance with the terms hereof, be less than the par value per share of Common Stock.</w:t>
      </w:r>
    </w:p>
    <w:p>
      <w:pPr>
        <w:spacing w:after="0" w:line="163"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b w:val="1"/>
          <w:bCs w:val="1"/>
          <w:color w:val="auto"/>
        </w:rPr>
        <w:t xml:space="preserve">3.5 Notice to Warrantholders. </w:t>
      </w:r>
      <w:r>
        <w:rPr>
          <w:rFonts w:ascii="Arial" w:cs="Arial" w:eastAsia="Arial" w:hAnsi="Arial"/>
          <w:sz w:val="16"/>
          <w:szCs w:val="16"/>
          <w:color w:val="auto"/>
        </w:rPr>
        <w:t>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7" w:name="page168"/>
    <w:bookmarkEnd w:id="167"/>
    <w:p>
      <w:pPr>
        <w:ind w:left="600"/>
        <w:spacing w:after="0"/>
        <w:tabs>
          <w:tab w:leader="none" w:pos="122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5"/>
          <w:szCs w:val="15"/>
          <w:color w:val="auto"/>
        </w:rPr>
        <w:t>[If the Warrants are Subject to Acceleration by the Company, Insert — Acceleration of Warrants by the Company.</w:t>
      </w:r>
    </w:p>
    <w:p>
      <w:pPr>
        <w:spacing w:after="0" w:line="211" w:lineRule="exact"/>
        <w:rPr>
          <w:sz w:val="20"/>
          <w:szCs w:val="20"/>
          <w:color w:val="auto"/>
        </w:rPr>
      </w:pPr>
    </w:p>
    <w:p>
      <w:pPr>
        <w:jc w:val="both"/>
        <w:ind w:firstLine="1207"/>
        <w:spacing w:after="0" w:line="298" w:lineRule="auto"/>
        <w:tabs>
          <w:tab w:leader="none" w:pos="1887" w:val="left"/>
        </w:tabs>
        <w:numPr>
          <w:ilvl w:val="0"/>
          <w:numId w:val="164"/>
        </w:numPr>
        <w:rPr>
          <w:rFonts w:ascii="Arial" w:cs="Arial" w:eastAsia="Arial" w:hAnsi="Arial"/>
          <w:sz w:val="15"/>
          <w:szCs w:val="15"/>
          <w:b w:val="1"/>
          <w:bCs w:val="1"/>
          <w:color w:val="auto"/>
        </w:rPr>
      </w:pPr>
      <w:r>
        <w:rPr>
          <w:rFonts w:ascii="Arial" w:cs="Arial" w:eastAsia="Arial" w:hAnsi="Arial"/>
          <w:sz w:val="15"/>
          <w:szCs w:val="15"/>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5"/>
          <w:szCs w:val="15"/>
          <w:b w:val="1"/>
          <w:bCs w:val="1"/>
          <w:i w:val="1"/>
          <w:iCs w:val="1"/>
          <w:color w:val="auto"/>
        </w:rPr>
        <w:t>Acceleration Date</w:t>
      </w:r>
      <w:r>
        <w:rPr>
          <w:rFonts w:ascii="Arial" w:cs="Arial" w:eastAsia="Arial" w:hAnsi="Arial"/>
          <w:sz w:val="15"/>
          <w:szCs w:val="15"/>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44" w:lineRule="exact"/>
        <w:rPr>
          <w:rFonts w:ascii="Arial" w:cs="Arial" w:eastAsia="Arial" w:hAnsi="Arial"/>
          <w:sz w:val="15"/>
          <w:szCs w:val="15"/>
          <w:b w:val="1"/>
          <w:bCs w:val="1"/>
          <w:color w:val="auto"/>
        </w:rPr>
      </w:pPr>
    </w:p>
    <w:p>
      <w:pPr>
        <w:jc w:val="both"/>
        <w:ind w:firstLine="1207"/>
        <w:spacing w:after="0" w:line="285" w:lineRule="auto"/>
        <w:tabs>
          <w:tab w:leader="none" w:pos="1871" w:val="left"/>
        </w:tabs>
        <w:numPr>
          <w:ilvl w:val="0"/>
          <w:numId w:val="1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 </w:t>
      </w:r>
      <w:r>
        <w:rPr>
          <w:rFonts w:ascii="Arial" w:cs="Arial" w:eastAsia="Arial" w:hAnsi="Arial"/>
          <w:sz w:val="15"/>
          <w:szCs w:val="15"/>
          <w:color w:val="auto"/>
        </w:rPr>
        <w:t>“</w:t>
      </w:r>
      <w:r>
        <w:rPr>
          <w:rFonts w:ascii="Arial" w:cs="Arial" w:eastAsia="Arial" w:hAnsi="Arial"/>
          <w:sz w:val="15"/>
          <w:szCs w:val="15"/>
          <w:b w:val="1"/>
          <w:bCs w:val="1"/>
          <w:i w:val="1"/>
          <w:iCs w:val="1"/>
          <w:color w:val="auto"/>
        </w:rPr>
        <w:t>Market Price</w:t>
      </w:r>
      <w:r>
        <w:rPr>
          <w:rFonts w:ascii="Arial" w:cs="Arial" w:eastAsia="Arial" w:hAnsi="Arial"/>
          <w:sz w:val="15"/>
          <w:szCs w:val="15"/>
          <w:color w:val="auto"/>
        </w:rPr>
        <w:t>” for each Trading Day shall be, if the Common Stock is listed or admitted to trading on any registered national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63" w:lineRule="exact"/>
        <w:rPr>
          <w:rFonts w:ascii="Arial" w:cs="Arial" w:eastAsia="Arial" w:hAnsi="Arial"/>
          <w:sz w:val="15"/>
          <w:szCs w:val="15"/>
          <w:b w:val="1"/>
          <w:bCs w:val="1"/>
          <w:color w:val="auto"/>
        </w:rPr>
      </w:pPr>
    </w:p>
    <w:p>
      <w:pPr>
        <w:jc w:val="both"/>
        <w:ind w:firstLine="1207"/>
        <w:spacing w:after="0" w:line="298" w:lineRule="auto"/>
        <w:tabs>
          <w:tab w:leader="none" w:pos="1915" w:val="left"/>
        </w:tabs>
        <w:numPr>
          <w:ilvl w:val="0"/>
          <w:numId w:val="164"/>
        </w:numPr>
        <w:rPr>
          <w:rFonts w:ascii="Arial" w:cs="Arial" w:eastAsia="Arial" w:hAnsi="Arial"/>
          <w:sz w:val="15"/>
          <w:szCs w:val="15"/>
          <w:b w:val="1"/>
          <w:bCs w:val="1"/>
          <w:color w:val="auto"/>
        </w:rPr>
      </w:pPr>
      <w:r>
        <w:rPr>
          <w:rFonts w:ascii="Arial" w:cs="Arial" w:eastAsia="Arial" w:hAnsi="Arial"/>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8" w:lineRule="exact"/>
        <w:rPr>
          <w:rFonts w:ascii="Arial" w:cs="Arial" w:eastAsia="Arial" w:hAnsi="Arial"/>
          <w:sz w:val="15"/>
          <w:szCs w:val="15"/>
          <w:b w:val="1"/>
          <w:bCs w:val="1"/>
          <w:color w:val="auto"/>
        </w:rPr>
      </w:pPr>
    </w:p>
    <w:p>
      <w:pPr>
        <w:ind w:firstLine="1207"/>
        <w:spacing w:after="0" w:line="268" w:lineRule="auto"/>
        <w:tabs>
          <w:tab w:leader="none" w:pos="2022"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Any Warrant accelerated may be exercised until [●] p.m., [City] time, on the business day next preceding the Acceleration Date. The Warrant Price shall be payable as provided in Section 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AND TRANSFER OF WARRANT CERTIFICATES</w:t>
      </w:r>
    </w:p>
    <w:p>
      <w:pPr>
        <w:spacing w:after="0" w:line="207"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color w:val="auto"/>
        </w:rPr>
        <w:t>Exchange and Transfer of Warrant Certificates. Upon surrender at the corporate trust office of the Warrant Agent, Warrant Certificates evidencing</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8"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4.2 Treatment of Holders of Warrant Certificates. </w:t>
      </w:r>
      <w:r>
        <w:rPr>
          <w:rFonts w:ascii="Arial" w:cs="Arial" w:eastAsia="Arial" w:hAnsi="Arial"/>
          <w:sz w:val="17"/>
          <w:szCs w:val="17"/>
          <w:color w:val="auto"/>
        </w:rPr>
        <w:t>The Company, the Warrant Agent and all other persons may treat the registered holder of a</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 as the absolute owner thereof for any purpose and as the person entitled to exercise the rights represented by the Warrants evidenced thereby, any notice to the contrary notwithstanding.</w:t>
      </w:r>
    </w:p>
    <w:p>
      <w:pPr>
        <w:spacing w:after="0" w:line="169"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CONCERNING THE WARRANT AGENT</w:t>
      </w:r>
    </w:p>
    <w:p>
      <w:pPr>
        <w:spacing w:after="0" w:line="207"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 Certificates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6"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5.2 Conditions of Warrant Agent’s Obligations. </w:t>
      </w:r>
      <w:r>
        <w:rPr>
          <w:rFonts w:ascii="Arial" w:cs="Arial" w:eastAsia="Arial" w:hAnsi="Arial"/>
          <w:sz w:val="17"/>
          <w:szCs w:val="17"/>
          <w:color w:val="auto"/>
        </w:rPr>
        <w:t>The Warrant Agent accepts its obligations herein set forth upon the terms and conditions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following to all of which the Company agrees and to all of which the rights hereunder of the holders from time to time of the Warrant Certificates shall be subject: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9" w:name="page170"/>
    <w:bookmarkEnd w:id="169"/>
    <w:p>
      <w:pPr>
        <w:jc w:val="both"/>
        <w:ind w:firstLine="1207"/>
        <w:spacing w:after="0" w:line="252" w:lineRule="auto"/>
        <w:tabs>
          <w:tab w:leader="none" w:pos="1912"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 upon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5" w:lineRule="exact"/>
        <w:rPr>
          <w:rFonts w:ascii="Arial" w:cs="Arial" w:eastAsia="Arial" w:hAnsi="Arial"/>
          <w:sz w:val="17"/>
          <w:szCs w:val="17"/>
          <w:b w:val="1"/>
          <w:bCs w:val="1"/>
          <w:color w:val="auto"/>
        </w:rPr>
      </w:pPr>
    </w:p>
    <w:p>
      <w:pPr>
        <w:jc w:val="both"/>
        <w:ind w:firstLine="1207"/>
        <w:spacing w:after="0" w:line="260" w:lineRule="auto"/>
        <w:tabs>
          <w:tab w:leader="none" w:pos="201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Agent for the Company. </w:t>
      </w:r>
      <w:r>
        <w:rPr>
          <w:rFonts w:ascii="Arial" w:cs="Arial" w:eastAsia="Arial" w:hAnsi="Arial"/>
          <w:sz w:val="17"/>
          <w:szCs w:val="17"/>
          <w:color w:val="auto"/>
        </w:rPr>
        <w:t>In acting under this Agreement and in connection with the Warrant Certificates, the Warrant Agent is acting</w:t>
      </w:r>
      <w:r>
        <w:rPr>
          <w:rFonts w:ascii="Arial" w:cs="Arial" w:eastAsia="Arial" w:hAnsi="Arial"/>
          <w:sz w:val="17"/>
          <w:szCs w:val="17"/>
          <w:b w:val="1"/>
          <w:bCs w:val="1"/>
          <w:color w:val="auto"/>
        </w:rPr>
        <w:t xml:space="preserve"> </w:t>
      </w:r>
      <w:r>
        <w:rPr>
          <w:rFonts w:ascii="Arial" w:cs="Arial" w:eastAsia="Arial" w:hAnsi="Arial"/>
          <w:sz w:val="17"/>
          <w:szCs w:val="17"/>
          <w:color w:val="auto"/>
        </w:rPr>
        <w:t>solely as agent of the Company and does not assume any obligations or relationship of agency or trust for or with any of the holders of Warrant Certificates or beneficial owners of Warrants.</w:t>
      </w:r>
    </w:p>
    <w:p>
      <w:pPr>
        <w:spacing w:after="0" w:line="168" w:lineRule="exact"/>
        <w:rPr>
          <w:rFonts w:ascii="Arial" w:cs="Arial" w:eastAsia="Arial" w:hAnsi="Arial"/>
          <w:sz w:val="17"/>
          <w:szCs w:val="17"/>
          <w:b w:val="1"/>
          <w:bCs w:val="1"/>
          <w:color w:val="auto"/>
        </w:rPr>
      </w:pPr>
    </w:p>
    <w:p>
      <w:pPr>
        <w:jc w:val="both"/>
        <w:ind w:firstLine="1207"/>
        <w:spacing w:after="0" w:line="260" w:lineRule="auto"/>
        <w:tabs>
          <w:tab w:leader="none" w:pos="1991"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Counsel. </w:t>
      </w:r>
      <w:r>
        <w:rPr>
          <w:rFonts w:ascii="Arial" w:cs="Arial" w:eastAsia="Arial" w:hAnsi="Arial"/>
          <w:sz w:val="17"/>
          <w:szCs w:val="17"/>
          <w:color w:val="auto"/>
        </w:rPr>
        <w:t>The Warrant Agent may consult with counsel satisfactory to it, which may include counsel for the Company, and the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8" w:lineRule="exact"/>
        <w:rPr>
          <w:rFonts w:ascii="Arial" w:cs="Arial" w:eastAsia="Arial" w:hAnsi="Arial"/>
          <w:sz w:val="17"/>
          <w:szCs w:val="17"/>
          <w:b w:val="1"/>
          <w:bCs w:val="1"/>
          <w:color w:val="auto"/>
        </w:rPr>
      </w:pPr>
    </w:p>
    <w:p>
      <w:pPr>
        <w:jc w:val="both"/>
        <w:ind w:firstLine="1207"/>
        <w:spacing w:after="0" w:line="260" w:lineRule="auto"/>
        <w:tabs>
          <w:tab w:leader="none" w:pos="2022"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Documents. </w:t>
      </w:r>
      <w:r>
        <w:rPr>
          <w:rFonts w:ascii="Arial" w:cs="Arial" w:eastAsia="Arial" w:hAnsi="Arial"/>
          <w:sz w:val="17"/>
          <w:szCs w:val="17"/>
          <w:color w:val="auto"/>
        </w:rPr>
        <w:t>The Warrant Agent shall be protected and shall incur no liability for or in respect of any action taken or omitted by it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8" w:lineRule="exact"/>
        <w:rPr>
          <w:rFonts w:ascii="Arial" w:cs="Arial" w:eastAsia="Arial" w:hAnsi="Arial"/>
          <w:sz w:val="17"/>
          <w:szCs w:val="17"/>
          <w:b w:val="1"/>
          <w:bCs w:val="1"/>
          <w:color w:val="auto"/>
        </w:rPr>
      </w:pPr>
    </w:p>
    <w:p>
      <w:pPr>
        <w:jc w:val="both"/>
        <w:ind w:firstLine="1207"/>
        <w:spacing w:after="0" w:line="273" w:lineRule="auto"/>
        <w:tabs>
          <w:tab w:leader="none" w:pos="189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59" w:lineRule="exact"/>
        <w:rPr>
          <w:rFonts w:ascii="Arial" w:cs="Arial" w:eastAsia="Arial" w:hAnsi="Arial"/>
          <w:sz w:val="16"/>
          <w:szCs w:val="16"/>
          <w:b w:val="1"/>
          <w:bCs w:val="1"/>
          <w:color w:val="auto"/>
        </w:rPr>
      </w:pPr>
    </w:p>
    <w:p>
      <w:pPr>
        <w:ind w:firstLine="1207"/>
        <w:spacing w:after="0" w:line="273" w:lineRule="auto"/>
        <w:tabs>
          <w:tab w:leader="none" w:pos="1872"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Interest. </w:t>
      </w:r>
      <w:r>
        <w:rPr>
          <w:rFonts w:ascii="Arial" w:cs="Arial" w:eastAsia="Arial" w:hAnsi="Arial"/>
          <w:sz w:val="17"/>
          <w:szCs w:val="17"/>
          <w:color w:val="auto"/>
        </w:rPr>
        <w:t>Unless otherwise agreed with the Company, the Warrant Agent shall have no liability for interest on any monies</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received by it pursuant to any of the provisions of this Agreement or of the Warrant Certificates.</w:t>
      </w:r>
    </w:p>
    <w:p>
      <w:pPr>
        <w:spacing w:after="0" w:line="158" w:lineRule="exact"/>
        <w:rPr>
          <w:rFonts w:ascii="Arial" w:cs="Arial" w:eastAsia="Arial" w:hAnsi="Arial"/>
          <w:sz w:val="17"/>
          <w:szCs w:val="17"/>
          <w:b w:val="1"/>
          <w:bCs w:val="1"/>
          <w:color w:val="auto"/>
        </w:rPr>
      </w:pPr>
    </w:p>
    <w:p>
      <w:pPr>
        <w:ind w:firstLine="1207"/>
        <w:spacing w:after="0" w:line="273" w:lineRule="auto"/>
        <w:tabs>
          <w:tab w:leader="none" w:pos="2038"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Invalidity. </w:t>
      </w:r>
      <w:r>
        <w:rPr>
          <w:rFonts w:ascii="Arial" w:cs="Arial" w:eastAsia="Arial" w:hAnsi="Arial"/>
          <w:sz w:val="17"/>
          <w:szCs w:val="17"/>
          <w:color w:val="auto"/>
        </w:rPr>
        <w:t>The Warrant Agent shall have no liability with respect to any invalidity of this Agreement or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w:t>
      </w:r>
    </w:p>
    <w:p>
      <w:pPr>
        <w:spacing w:after="0" w:line="158" w:lineRule="exact"/>
        <w:rPr>
          <w:rFonts w:ascii="Arial" w:cs="Arial" w:eastAsia="Arial" w:hAnsi="Arial"/>
          <w:sz w:val="17"/>
          <w:szCs w:val="17"/>
          <w:b w:val="1"/>
          <w:bCs w:val="1"/>
          <w:color w:val="auto"/>
        </w:rPr>
      </w:pPr>
    </w:p>
    <w:p>
      <w:pPr>
        <w:ind w:firstLine="1207"/>
        <w:spacing w:after="0" w:line="305" w:lineRule="auto"/>
        <w:tabs>
          <w:tab w:leader="none" w:pos="1922"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 herein 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Warrant Certificates (except as to the Warrant Agent’s countersignature thereon), all of which are made solely by the Company.</w:t>
      </w:r>
    </w:p>
    <w:p>
      <w:pPr>
        <w:spacing w:after="0" w:line="135" w:lineRule="exact"/>
        <w:rPr>
          <w:rFonts w:ascii="Arial" w:cs="Arial" w:eastAsia="Arial" w:hAnsi="Arial"/>
          <w:sz w:val="16"/>
          <w:szCs w:val="16"/>
          <w:b w:val="1"/>
          <w:bCs w:val="1"/>
          <w:color w:val="auto"/>
        </w:rPr>
      </w:pPr>
    </w:p>
    <w:p>
      <w:pPr>
        <w:jc w:val="both"/>
        <w:ind w:firstLine="1207"/>
        <w:spacing w:after="0" w:line="267" w:lineRule="auto"/>
        <w:tabs>
          <w:tab w:leader="none" w:pos="1955"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Implied Obligations. </w:t>
      </w:r>
      <w:r>
        <w:rPr>
          <w:rFonts w:ascii="Arial" w:cs="Arial" w:eastAsia="Arial" w:hAnsi="Arial"/>
          <w:sz w:val="16"/>
          <w:szCs w:val="16"/>
          <w:color w:val="auto"/>
        </w:rPr>
        <w:t>The Warrant Agent shall be obligated to perform only such duties as are herein and in the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0" w:name="page171"/>
    <w:bookmarkEnd w:id="170"/>
    <w:p>
      <w:pPr>
        <w:ind w:left="600"/>
        <w:spacing w:after="0"/>
        <w:tabs>
          <w:tab w:leader="none" w:pos="12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1" w:lineRule="exact"/>
        <w:rPr>
          <w:sz w:val="20"/>
          <w:szCs w:val="20"/>
          <w:color w:val="auto"/>
        </w:rPr>
      </w:pPr>
    </w:p>
    <w:p>
      <w:pPr>
        <w:ind w:firstLine="1207"/>
        <w:spacing w:after="0" w:line="268" w:lineRule="auto"/>
        <w:tabs>
          <w:tab w:leader="none" w:pos="1912"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66" w:lineRule="exact"/>
        <w:rPr>
          <w:rFonts w:ascii="Arial" w:cs="Arial" w:eastAsia="Arial" w:hAnsi="Arial"/>
          <w:sz w:val="17"/>
          <w:szCs w:val="17"/>
          <w:b w:val="1"/>
          <w:bCs w:val="1"/>
          <w:color w:val="auto"/>
        </w:rPr>
      </w:pPr>
    </w:p>
    <w:p>
      <w:pPr>
        <w:jc w:val="both"/>
        <w:ind w:firstLine="1207"/>
        <w:spacing w:after="0" w:line="289" w:lineRule="auto"/>
        <w:tabs>
          <w:tab w:leader="none" w:pos="1947" w:val="left"/>
        </w:tabs>
        <w:numPr>
          <w:ilvl w:val="0"/>
          <w:numId w:val="166"/>
        </w:numPr>
        <w:rPr>
          <w:rFonts w:ascii="Arial" w:cs="Arial" w:eastAsia="Arial" w:hAnsi="Arial"/>
          <w:sz w:val="15"/>
          <w:szCs w:val="15"/>
          <w:b w:val="1"/>
          <w:bCs w:val="1"/>
          <w:color w:val="auto"/>
        </w:rPr>
      </w:pPr>
      <w:r>
        <w:rPr>
          <w:rFonts w:ascii="Arial" w:cs="Arial" w:eastAsia="Arial" w:hAnsi="Arial"/>
          <w:sz w:val="15"/>
          <w:szCs w:val="15"/>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54" w:lineRule="exact"/>
        <w:rPr>
          <w:rFonts w:ascii="Arial" w:cs="Arial" w:eastAsia="Arial" w:hAnsi="Arial"/>
          <w:sz w:val="15"/>
          <w:szCs w:val="15"/>
          <w:b w:val="1"/>
          <w:bCs w:val="1"/>
          <w:color w:val="auto"/>
        </w:rPr>
      </w:pPr>
    </w:p>
    <w:p>
      <w:pPr>
        <w:jc w:val="both"/>
        <w:ind w:firstLine="1207"/>
        <w:spacing w:after="0" w:line="265" w:lineRule="auto"/>
        <w:tabs>
          <w:tab w:leader="none" w:pos="2041"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76" w:lineRule="exact"/>
        <w:rPr>
          <w:rFonts w:ascii="Arial" w:cs="Arial" w:eastAsia="Arial" w:hAnsi="Arial"/>
          <w:sz w:val="16"/>
          <w:szCs w:val="16"/>
          <w:b w:val="1"/>
          <w:bCs w:val="1"/>
          <w:color w:val="auto"/>
        </w:rPr>
      </w:pPr>
    </w:p>
    <w:p>
      <w:pPr>
        <w:jc w:val="both"/>
        <w:ind w:firstLine="1207"/>
        <w:spacing w:after="0" w:line="293" w:lineRule="auto"/>
        <w:tabs>
          <w:tab w:leader="none" w:pos="2047" w:val="left"/>
        </w:tabs>
        <w:numPr>
          <w:ilvl w:val="0"/>
          <w:numId w:val="166"/>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1" w:name="page172"/>
    <w:bookmarkEnd w:id="171"/>
    <w:p>
      <w:pPr>
        <w:jc w:val="both"/>
        <w:ind w:firstLine="1207"/>
        <w:spacing w:after="0" w:line="252" w:lineRule="auto"/>
        <w:tabs>
          <w:tab w:leader="none" w:pos="1940"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5"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6.2 Notices and Demands to the Company and Warrant Agent. </w:t>
      </w:r>
      <w:r>
        <w:rPr>
          <w:rFonts w:ascii="Arial" w:cs="Arial" w:eastAsia="Arial" w:hAnsi="Arial"/>
          <w:sz w:val="17"/>
          <w:szCs w:val="17"/>
          <w:color w:val="auto"/>
        </w:rPr>
        <w:t>If the Warrant Agent shall receive any notice or demand addressed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by the holder of a Warrant Certificate pursuant to the provisions of the Warrant Certificates, the Warrant Agent shall promptly forward such notice or demand to the Company.</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6.3 Addresses. </w:t>
      </w:r>
      <w:r>
        <w:rPr>
          <w:rFonts w:ascii="Arial" w:cs="Arial" w:eastAsia="Arial" w:hAnsi="Arial"/>
          <w:sz w:val="17"/>
          <w:szCs w:val="17"/>
          <w:color w:val="auto"/>
        </w:rPr>
        <w:t>Any communication from the Company to the Warrant Agent with respect to this Agreement shall be addressed to [●], Attention: [●]</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75"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6.4 Governing Law. </w:t>
      </w:r>
      <w:r>
        <w:rPr>
          <w:rFonts w:ascii="Arial" w:cs="Arial" w:eastAsia="Arial" w:hAnsi="Arial"/>
          <w:sz w:val="17"/>
          <w:szCs w:val="17"/>
          <w:color w:val="auto"/>
        </w:rPr>
        <w:t>This Agreement and each Warrant Certificate issued hereunder shall be governed by and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New York.</w:t>
      </w:r>
    </w:p>
    <w:p>
      <w:pPr>
        <w:spacing w:after="0" w:line="158"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76"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2" w:name="page173"/>
    <w:bookmarkEnd w:id="172"/>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6.7 Persons Having Rights Under the Agreement. </w:t>
      </w:r>
      <w:r>
        <w:rPr>
          <w:rFonts w:ascii="Arial" w:cs="Arial" w:eastAsia="Arial" w:hAnsi="Arial"/>
          <w:sz w:val="17"/>
          <w:szCs w:val="17"/>
          <w:color w:val="auto"/>
        </w:rPr>
        <w:t>Nothing in this Agreement shall give to any person other than the Company, the Warrant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Warrant Certificates any right, remedy or claim under or by reason of this Agreement.</w:t>
      </w:r>
    </w:p>
    <w:p>
      <w:pPr>
        <w:spacing w:after="0" w:line="158"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6.8 Headings. </w:t>
      </w:r>
      <w:r>
        <w:rPr>
          <w:rFonts w:ascii="Arial" w:cs="Arial" w:eastAsia="Arial" w:hAnsi="Arial"/>
          <w:sz w:val="17"/>
          <w:szCs w:val="17"/>
          <w:color w:val="auto"/>
        </w:rPr>
        <w:t>The descriptive headings of the several Articles and Sections of this Agreement are inserted for convenience only and shall not control or</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meaning or construction of any of the provisions hereof.</w:t>
      </w:r>
    </w:p>
    <w:p>
      <w:pPr>
        <w:spacing w:after="0" w:line="158"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6.9 Counterparts. </w:t>
      </w:r>
      <w:r>
        <w:rPr>
          <w:rFonts w:ascii="Arial" w:cs="Arial" w:eastAsia="Arial" w:hAnsi="Arial"/>
          <w:sz w:val="17"/>
          <w:szCs w:val="17"/>
          <w:color w:val="auto"/>
        </w:rPr>
        <w:t>This Agreement may be executed in any number of counterparts, each of which as so executed shall be deemed to be an original, but</w:t>
      </w:r>
      <w:r>
        <w:rPr>
          <w:rFonts w:ascii="Arial" w:cs="Arial" w:eastAsia="Arial" w:hAnsi="Arial"/>
          <w:sz w:val="17"/>
          <w:szCs w:val="17"/>
          <w:b w:val="1"/>
          <w:bCs w:val="1"/>
          <w:color w:val="auto"/>
        </w:rPr>
        <w:t xml:space="preserve"> </w:t>
      </w:r>
      <w:r>
        <w:rPr>
          <w:rFonts w:ascii="Arial" w:cs="Arial" w:eastAsia="Arial" w:hAnsi="Arial"/>
          <w:sz w:val="17"/>
          <w:szCs w:val="17"/>
          <w:color w:val="auto"/>
        </w:rPr>
        <w:t>such counterparts shall together constitute but one and the same instrument.</w:t>
      </w:r>
    </w:p>
    <w:p>
      <w:pPr>
        <w:spacing w:after="0" w:line="158"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6.10 Inspection of Agreement. </w:t>
      </w:r>
      <w:r>
        <w:rPr>
          <w:rFonts w:ascii="Arial" w:cs="Arial" w:eastAsia="Arial" w:hAnsi="Arial"/>
          <w:sz w:val="17"/>
          <w:szCs w:val="17"/>
          <w:color w:val="auto"/>
        </w:rPr>
        <w:t>A copy of this Agreement shall be available at all reasonable times at the principal corporate trust office of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Agent for inspection by the holder of any Warrant Certificate. The Warrant Agent may require such holder to submit such holder’s Warrant Certificate for inspection by it.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3" w:name="page174"/>
    <w:bookmarkEnd w:id="173"/>
    <w:p>
      <w:pPr>
        <w:ind w:left="4860" w:right="759" w:hanging="4850"/>
        <w:spacing w:after="0" w:line="562" w:lineRule="auto"/>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hereto have caused this Agreement to be duly executed as of the day and year first above written.</w:t>
      </w:r>
      <w:r>
        <w:rPr>
          <w:rFonts w:ascii="Arial" w:cs="Arial" w:eastAsia="Arial" w:hAnsi="Arial"/>
          <w:sz w:val="15"/>
          <w:szCs w:val="15"/>
          <w:b w:val="1"/>
          <w:bCs w:val="1"/>
          <w:color w:val="auto"/>
        </w:rPr>
        <w:t xml:space="preserve"> MARKER THERAPEUTICS, INC.</w:t>
      </w:r>
      <w:r>
        <w:rPr>
          <w:rFonts w:ascii="Arial" w:cs="Arial" w:eastAsia="Arial" w:hAnsi="Arial"/>
          <w:sz w:val="15"/>
          <w:szCs w:val="15"/>
          <w:color w:val="auto"/>
        </w:rPr>
        <w:t>, as Company</w:t>
      </w:r>
    </w:p>
    <w:p>
      <w:pPr>
        <w:ind w:left="486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19685</wp:posOffset>
            </wp:positionV>
            <wp:extent cx="32797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-115570</wp:posOffset>
            </wp:positionV>
            <wp:extent cx="32797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95"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149860</wp:posOffset>
            </wp:positionV>
            <wp:extent cx="32797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13970</wp:posOffset>
            </wp:positionV>
            <wp:extent cx="32797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COUNTERSIGNED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19685</wp:posOffset>
            </wp:positionV>
            <wp:extent cx="32797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-115570</wp:posOffset>
            </wp:positionV>
            <wp:extent cx="32797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95"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149860</wp:posOffset>
            </wp:positionV>
            <wp:extent cx="32797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13970</wp:posOffset>
            </wp:positionV>
            <wp:extent cx="32797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739"/>
        <w:spacing w:after="0"/>
        <w:rPr>
          <w:sz w:val="20"/>
          <w:szCs w:val="20"/>
          <w:color w:val="auto"/>
        </w:rPr>
      </w:pPr>
      <w:r>
        <w:rPr>
          <w:rFonts w:ascii="Arial" w:cs="Arial" w:eastAsia="Arial" w:hAnsi="Arial"/>
          <w:sz w:val="17"/>
          <w:szCs w:val="17"/>
          <w:color w:val="auto"/>
        </w:rPr>
        <w:t>[SIGNATURE PAGE TO MARKER THERAPEUTICS, INC. COMMON STOCK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537845</wp:posOffset>
            </wp:positionV>
            <wp:extent cx="71418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52" w:right="1440" w:bottom="1440" w:gutter="0" w:footer="0" w:header="0"/>
        </w:sectPr>
      </w:pPr>
    </w:p>
    <w:bookmarkStart w:id="174" w:name="page175"/>
    <w:bookmarkEnd w:id="174"/>
    <w:p>
      <w:pPr>
        <w:jc w:val="center"/>
        <w:ind w:right="-319"/>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FORM OF WARRANT CERTIFICATE</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[FACE OF WARRANT CERTIFICATE]</w:t>
      </w:r>
    </w:p>
    <w:p>
      <w:pPr>
        <w:sectPr>
          <w:pgSz w:w="11900" w:h="16838" w:orient="portrait"/>
          <w:cols w:equalWidth="0" w:num="1">
            <w:col w:w="10920"/>
          </w:cols>
          <w:pgMar w:left="320" w:top="125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Form of Legend if Warrants are not immediately exercisable.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[Prior to [●], Warrants evidenced by this Warrant Certificate cannot be exercised.]</w:t>
      </w:r>
    </w:p>
    <w:p>
      <w:pPr>
        <w:spacing w:after="0" w:line="200" w:lineRule="exact"/>
        <w:rPr>
          <w:sz w:val="20"/>
          <w:szCs w:val="20"/>
          <w:color w:val="auto"/>
        </w:rPr>
      </w:pPr>
    </w:p>
    <w:p>
      <w:pPr>
        <w:sectPr>
          <w:pgSz w:w="11900" w:h="16838" w:orient="portrait"/>
          <w:cols w:equalWidth="0" w:num="2">
            <w:col w:w="5460" w:space="720"/>
            <w:col w:w="4740"/>
          </w:cols>
          <w:pgMar w:left="320" w:top="1254" w:right="659" w:bottom="1440" w:gutter="0" w:footer="0" w:header="0"/>
          <w:type w:val="continuous"/>
        </w:sectPr>
      </w:pP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EXERCISABLE ONLY IF COUNTERSIGNED BY THE WARRANT AGENT AS PROVIDED HEREIN</w:t>
      </w: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920"/>
          </w:cols>
          <w:pgMar w:left="320" w:top="1254" w:right="659" w:bottom="1440"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17"/>
          <w:szCs w:val="17"/>
          <w:b w:val="1"/>
          <w:bCs w:val="1"/>
          <w:color w:val="auto"/>
        </w:rPr>
        <w:t>MARKER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194"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color w:val="auto"/>
        </w:rPr>
        <w:t>No. [●]</w:t>
      </w:r>
      <w:r>
        <w:rPr>
          <w:sz w:val="20"/>
          <w:szCs w:val="20"/>
          <w:color w:val="auto"/>
        </w:rPr>
        <w:tab/>
      </w:r>
      <w:r>
        <w:rPr>
          <w:rFonts w:ascii="Arial" w:cs="Arial" w:eastAsia="Arial" w:hAnsi="Arial"/>
          <w:sz w:val="15"/>
          <w:szCs w:val="15"/>
          <w:color w:val="auto"/>
        </w:rPr>
        <w:t>[●] Warrants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of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on the following basis: during the period from [●], through and including [●], the exercise price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Security will be $[●], subject to adjustment as provided in the Warrant Agreement (as hereinafter defined)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6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418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6" w:name="page177"/>
    <w:bookmarkEnd w:id="176"/>
    <w:p>
      <w:pPr>
        <w:spacing w:after="0" w:line="268" w:lineRule="auto"/>
        <w:rPr>
          <w:sz w:val="20"/>
          <w:szCs w:val="20"/>
          <w:color w:val="auto"/>
        </w:rPr>
      </w:pPr>
      <w:r>
        <w:rPr>
          <w:rFonts w:ascii="Arial" w:cs="Arial" w:eastAsia="Arial" w:hAnsi="Arial"/>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color w:val="auto"/>
        </w:rPr>
        <w:t>, the Company has caused this Warrant to be executed in its name and on its behalf by the facsimile signatures of its duly authorized officers.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11430</wp:posOffset>
            </wp:positionV>
            <wp:extent cx="6464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4643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as Company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-123190</wp:posOffset>
            </wp:positionV>
            <wp:extent cx="62642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19685</wp:posOffset>
            </wp:positionV>
            <wp:extent cx="6264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-115570</wp:posOffset>
            </wp:positionV>
            <wp:extent cx="62642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149860</wp:posOffset>
            </wp:positionV>
            <wp:extent cx="62642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13970</wp:posOffset>
            </wp:positionV>
            <wp:extent cx="62642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-123190</wp:posOffset>
            </wp:positionV>
            <wp:extent cx="62642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19685</wp:posOffset>
            </wp:positionV>
            <wp:extent cx="62642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-115570</wp:posOffset>
            </wp:positionV>
            <wp:extent cx="62642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149860</wp:posOffset>
            </wp:positionV>
            <wp:extent cx="62642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13970</wp:posOffset>
            </wp:positionV>
            <wp:extent cx="62642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556895</wp:posOffset>
            </wp:positionV>
            <wp:extent cx="71418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hereby irrevocably elects to exercise ______ Warrants, evidenced by this Warrant Certificate, to purchase _______ shares of the Common</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Stock, par value $0.001 per share (the “</w:t>
      </w:r>
      <w:r>
        <w:rPr>
          <w:rFonts w:ascii="Arial" w:cs="Arial" w:eastAsia="Arial" w:hAnsi="Arial"/>
          <w:sz w:val="15"/>
          <w:szCs w:val="15"/>
          <w:b w:val="1"/>
          <w:bCs w:val="1"/>
          <w:i w:val="1"/>
          <w:iCs w:val="1"/>
          <w:color w:val="auto"/>
        </w:rPr>
        <w:t>Warrant Securities</w:t>
      </w:r>
      <w:r>
        <w:rPr>
          <w:rFonts w:ascii="Arial" w:cs="Arial" w:eastAsia="Arial" w:hAnsi="Arial"/>
          <w:sz w:val="15"/>
          <w:szCs w:val="15"/>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79"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45" w:lineRule="exact"/>
        <w:rPr>
          <w:sz w:val="20"/>
          <w:szCs w:val="20"/>
          <w:color w:val="auto"/>
        </w:rPr>
      </w:pPr>
    </w:p>
    <w:p>
      <w:pPr>
        <w:spacing w:after="0"/>
        <w:tabs>
          <w:tab w:leader="none" w:pos="50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11430</wp:posOffset>
            </wp:positionV>
            <wp:extent cx="6647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6647180" cy="8255"/>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7"/>
          <w:szCs w:val="17"/>
          <w:color w:val="auto"/>
        </w:rPr>
        <w:t>Please Print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24974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(Insert Social Security or Other Identifying Number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of Holder)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11430</wp:posOffset>
            </wp:positionV>
            <wp:extent cx="14281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7"/>
          <w:szCs w:val="17"/>
          <w:color w:val="auto"/>
        </w:rPr>
        <w:t>Signature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(Signature must conform in all respects to name of holder as specified on the face of this Warrant Certificate and must bear a signature guarantee by a FINRA member firm).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By mail at: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8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V</w:t>
      </w:r>
      <w:r>
        <w:rPr>
          <w:rFonts w:ascii="Arial" w:cs="Arial" w:eastAsia="Arial" w:hAnsi="Arial"/>
          <w:sz w:val="11"/>
          <w:szCs w:val="11"/>
          <w:b w:val="1"/>
          <w:bCs w:val="1"/>
          <w:color w:val="auto"/>
        </w:rPr>
        <w:t>ALUE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ECEIVED</w:t>
      </w:r>
      <w:r>
        <w:rPr>
          <w:rFonts w:ascii="Arial" w:cs="Arial" w:eastAsia="Arial" w:hAnsi="Arial"/>
          <w:sz w:val="17"/>
          <w:szCs w:val="17"/>
          <w:b w:val="1"/>
          <w:bCs w:val="1"/>
          <w:color w:val="auto"/>
        </w:rPr>
        <w:t xml:space="preserve">, </w:t>
      </w:r>
      <w:r>
        <w:rPr>
          <w:rFonts w:ascii="Arial" w:cs="Arial" w:eastAsia="Arial" w:hAnsi="Arial"/>
          <w:sz w:val="17"/>
          <w:szCs w:val="17"/>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1418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(Please print name and address including zip code)</w:t>
      </w:r>
      <w:r>
        <w:rPr>
          <w:sz w:val="20"/>
          <w:szCs w:val="20"/>
          <w:color w:val="auto"/>
        </w:rPr>
        <w:tab/>
      </w:r>
      <w:r>
        <w:rPr>
          <w:rFonts w:ascii="Arial" w:cs="Arial" w:eastAsia="Arial" w:hAnsi="Arial"/>
          <w:sz w:val="15"/>
          <w:szCs w:val="15"/>
          <w:color w:val="auto"/>
        </w:rPr>
        <w:t>Please print Social Security or other identifying number</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right represented by the within Warrant to purchase _______________ shares of [Title of Warrant Securities] of Marker Therapeutics, Inc. to which the within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Warrant relates and appoints ____________________ attorney to transfer such right on the books of the Warrant Agent with full power of substitution in the premises.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20"/>
                <w:szCs w:val="20"/>
                <w:color w:val="auto"/>
              </w:rPr>
            </w:pPr>
            <w:r>
              <w:rPr>
                <w:rFonts w:ascii="Arial" w:cs="Arial" w:eastAsia="Arial" w:hAnsi="Arial"/>
                <w:sz w:val="17"/>
                <w:szCs w:val="17"/>
                <w:color w:val="auto"/>
                <w:w w:val="99"/>
              </w:rPr>
              <w:t>Dated:</w:t>
            </w: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80" w:type="dxa"/>
            <w:vAlign w:val="bottom"/>
            <w:gridSpan w:val="2"/>
          </w:tcPr>
          <w:p>
            <w:pPr>
              <w:ind w:left="1680"/>
              <w:spacing w:after="0"/>
              <w:rPr>
                <w:sz w:val="20"/>
                <w:szCs w:val="20"/>
                <w:color w:val="auto"/>
              </w:rPr>
            </w:pPr>
            <w:r>
              <w:rPr>
                <w:rFonts w:ascii="Arial" w:cs="Arial" w:eastAsia="Arial" w:hAnsi="Arial"/>
                <w:sz w:val="17"/>
                <w:szCs w:val="17"/>
                <w:color w:val="auto"/>
              </w:rPr>
              <w:t>Name:</w:t>
            </w:r>
          </w:p>
        </w:tc>
      </w:tr>
      <w:tr>
        <w:trPr>
          <w:trHeight w:val="20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5640" w:type="dxa"/>
            <w:vAlign w:val="bottom"/>
            <w:tcBorders>
              <w:top w:val="single" w:sz="8" w:color="auto"/>
            </w:tcBorders>
          </w:tcPr>
          <w:p>
            <w:pPr>
              <w:ind w:left="2260"/>
              <w:spacing w:after="0"/>
              <w:rPr>
                <w:sz w:val="20"/>
                <w:szCs w:val="20"/>
                <w:color w:val="auto"/>
              </w:rPr>
            </w:pPr>
            <w:r>
              <w:rPr>
                <w:rFonts w:ascii="Arial" w:cs="Arial" w:eastAsia="Arial" w:hAnsi="Arial"/>
                <w:sz w:val="17"/>
                <w:szCs w:val="17"/>
                <w:color w:val="auto"/>
              </w:rPr>
              <w:t>Signature</w:t>
            </w:r>
          </w:p>
        </w:tc>
      </w:tr>
      <w:tr>
        <w:trPr>
          <w:trHeight w:val="390"/>
        </w:trPr>
        <w:tc>
          <w:tcPr>
            <w:tcW w:w="520" w:type="dxa"/>
            <w:vAlign w:val="bottom"/>
          </w:tcPr>
          <w:p>
            <w:pPr>
              <w:spacing w:after="0"/>
              <w:rPr>
                <w:sz w:val="24"/>
                <w:szCs w:val="24"/>
                <w:color w:val="auto"/>
              </w:rPr>
            </w:pPr>
          </w:p>
        </w:tc>
        <w:tc>
          <w:tcPr>
            <w:tcW w:w="10720" w:type="dxa"/>
            <w:vAlign w:val="bottom"/>
            <w:gridSpan w:val="4"/>
          </w:tcPr>
          <w:p>
            <w:pPr>
              <w:ind w:left="80"/>
              <w:spacing w:after="0"/>
              <w:rPr>
                <w:sz w:val="20"/>
                <w:szCs w:val="20"/>
                <w:color w:val="auto"/>
              </w:rPr>
            </w:pPr>
            <w:r>
              <w:rPr>
                <w:rFonts w:ascii="Arial" w:cs="Arial" w:eastAsia="Arial" w:hAnsi="Arial"/>
                <w:sz w:val="17"/>
                <w:szCs w:val="17"/>
                <w:color w:val="auto"/>
              </w:rPr>
              <w:t>(Signature must conform in all respects to name of holder as specified on the face of the Warrant)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21386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2138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721360</wp:posOffset>
            </wp:positionV>
            <wp:extent cx="71418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b w:val="1"/>
          <w:bCs w:val="1"/>
          <w:color w:val="auto"/>
        </w:rPr>
        <w:t>Exhibit 4.6</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1"/>
          <w:szCs w:val="11"/>
          <w:b w:val="1"/>
          <w:bCs w:val="1"/>
          <w:color w:val="auto"/>
        </w:rPr>
        <w:t>AND</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_____________, A</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GENT</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ORM OF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REFERRED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190"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ATED</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412750</wp:posOffset>
            </wp:positionV>
            <wp:extent cx="71418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 F</w:t>
      </w:r>
      <w:r>
        <w:rPr>
          <w:rFonts w:ascii="Arial" w:cs="Arial" w:eastAsia="Arial" w:hAnsi="Arial"/>
          <w:sz w:val="11"/>
          <w:szCs w:val="11"/>
          <w:b w:val="1"/>
          <w:bCs w:val="1"/>
          <w:color w:val="auto"/>
        </w:rPr>
        <w:t>ORM OF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REFERRED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207"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REFERRED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 ● ], between</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 a [corporation] [national banking association] organized and existing under the laws of [●] and having a corporate trust office in [●],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proposes to sell [</w:t>
      </w:r>
      <w:r>
        <w:rPr>
          <w:rFonts w:ascii="Arial" w:cs="Arial" w:eastAsia="Arial" w:hAnsi="Arial"/>
          <w:sz w:val="17"/>
          <w:szCs w:val="17"/>
          <w:b w:val="1"/>
          <w:bCs w:val="1"/>
          <w:i w:val="1"/>
          <w:iCs w:val="1"/>
          <w:color w:val="auto"/>
        </w:rPr>
        <w:t>If Warrants are sold with other securities —</w:t>
      </w:r>
      <w:r>
        <w:rPr>
          <w:rFonts w:ascii="Arial" w:cs="Arial" w:eastAsia="Arial" w:hAnsi="Arial"/>
          <w:sz w:val="17"/>
          <w:szCs w:val="17"/>
          <w:b w:val="1"/>
          <w:bCs w:val="1"/>
          <w:color w:val="auto"/>
        </w:rPr>
        <w:t xml:space="preserve"> </w:t>
      </w:r>
      <w:r>
        <w:rPr>
          <w:rFonts w:ascii="Arial" w:cs="Arial" w:eastAsia="Arial" w:hAnsi="Arial"/>
          <w:sz w:val="17"/>
          <w:szCs w:val="17"/>
          <w:color w:val="auto"/>
        </w:rPr>
        <w:t>[title of such other securities being offered] (the “</w:t>
      </w:r>
      <w:r>
        <w:rPr>
          <w:rFonts w:ascii="Arial" w:cs="Arial" w:eastAsia="Arial" w:hAnsi="Arial"/>
          <w:sz w:val="17"/>
          <w:szCs w:val="17"/>
          <w:b w:val="1"/>
          <w:bCs w:val="1"/>
          <w:i w:val="1"/>
          <w:iCs w:val="1"/>
          <w:color w:val="auto"/>
        </w:rPr>
        <w:t>Other 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 [title of Preferred Stock purchasable through exercise of Warrants] of the Company,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75"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HEREAS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desires the Warrant Agent to act on behalf of the Company, and the Warrant Agent is willing so to act,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ISSUANCE OF WARRANTS AND EXECUTION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DELIVERY OF WARRANT CERTIFICATES</w:t>
      </w:r>
    </w:p>
    <w:p>
      <w:pPr>
        <w:spacing w:after="0" w:line="190"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 Securities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and Warrants </w:t>
      </w:r>
      <w:r>
        <w:rPr>
          <w:rFonts w:ascii="Arial" w:cs="Arial" w:eastAsia="Arial" w:hAnsi="Arial"/>
          <w:sz w:val="16"/>
          <w:szCs w:val="16"/>
          <w:color w:val="auto"/>
        </w:rPr>
        <w:t>—Warrant Certificates will be issued in connection with the issuance of the Other Securities but shall be separately transferable and each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60"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2" w:name="page183"/>
    <w:bookmarkEnd w:id="182"/>
    <w:p>
      <w:pPr>
        <w:jc w:val="both"/>
        <w:ind w:firstLine="603"/>
        <w:spacing w:after="0" w:line="257"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8"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holder of a Warrant Certificate</w:t>
      </w:r>
      <w:r>
        <w:rPr>
          <w:rFonts w:ascii="Arial" w:cs="Arial" w:eastAsia="Arial" w:hAnsi="Arial"/>
          <w:sz w:val="17"/>
          <w:szCs w:val="17"/>
          <w:color w:val="auto"/>
        </w:rPr>
        <w:t>” as used herein shall mean any person in whose name at the time any Warrant Certificate shall be registered upon the books to be maintained by the Warrant Agent for that purpose.</w:t>
      </w:r>
    </w:p>
    <w:p>
      <w:pPr>
        <w:spacing w:after="0" w:line="163"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 xml:space="preserve">1.3 Issuance of Warrant Certificates. </w:t>
      </w:r>
      <w:r>
        <w:rPr>
          <w:rFonts w:ascii="Arial" w:cs="Arial" w:eastAsia="Arial" w:hAnsi="Arial"/>
          <w:sz w:val="15"/>
          <w:szCs w:val="15"/>
          <w:color w:val="auto"/>
        </w:rPr>
        <w:t>Warrant Certificates evidencing the right to purchase Warrant Securities may be executed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6"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100" w:type="dxa"/>
            <w:vAlign w:val="bottom"/>
          </w:tcPr>
          <w:p>
            <w:pPr>
              <w:jc w:val="center"/>
              <w:ind w:right="1056"/>
              <w:spacing w:after="0"/>
              <w:rPr>
                <w:sz w:val="20"/>
                <w:szCs w:val="20"/>
                <w:color w:val="auto"/>
              </w:rPr>
            </w:pPr>
            <w:r>
              <w:rPr>
                <w:rFonts w:ascii="Arial" w:cs="Arial" w:eastAsia="Arial" w:hAnsi="Arial"/>
                <w:sz w:val="17"/>
                <w:szCs w:val="17"/>
                <w:b w:val="1"/>
                <w:bCs w:val="1"/>
                <w:color w:val="auto"/>
              </w:rPr>
              <w:t>ARTICLE 2</w:t>
            </w:r>
          </w:p>
        </w:tc>
      </w:tr>
      <w:tr>
        <w:trPr>
          <w:trHeight w:val="402"/>
        </w:trPr>
        <w:tc>
          <w:tcPr>
            <w:tcW w:w="540" w:type="dxa"/>
            <w:vAlign w:val="bottom"/>
          </w:tcPr>
          <w:p>
            <w:pPr>
              <w:spacing w:after="0"/>
              <w:rPr>
                <w:sz w:val="24"/>
                <w:szCs w:val="24"/>
                <w:color w:val="auto"/>
              </w:rPr>
            </w:pPr>
          </w:p>
        </w:tc>
        <w:tc>
          <w:tcPr>
            <w:tcW w:w="10100" w:type="dxa"/>
            <w:vAlign w:val="bottom"/>
          </w:tcPr>
          <w:p>
            <w:pPr>
              <w:jc w:val="center"/>
              <w:ind w:right="1056"/>
              <w:spacing w:after="0"/>
              <w:rPr>
                <w:sz w:val="20"/>
                <w:szCs w:val="20"/>
                <w:color w:val="auto"/>
              </w:rPr>
            </w:pPr>
            <w:r>
              <w:rPr>
                <w:rFonts w:ascii="Arial" w:cs="Arial" w:eastAsia="Arial" w:hAnsi="Arial"/>
                <w:sz w:val="17"/>
                <w:szCs w:val="17"/>
                <w:b w:val="1"/>
                <w:bCs w:val="1"/>
                <w:color w:val="auto"/>
                <w:w w:val="98"/>
              </w:rPr>
              <w:t>WARRANT PRICE, DURATION AND EXERCISE OF WARRANTS</w:t>
            </w:r>
          </w:p>
        </w:tc>
      </w:tr>
      <w:tr>
        <w:trPr>
          <w:trHeight w:val="402"/>
        </w:trPr>
        <w:tc>
          <w:tcPr>
            <w:tcW w:w="540" w:type="dxa"/>
            <w:vAlign w:val="bottom"/>
          </w:tcPr>
          <w:p>
            <w:pPr>
              <w:jc w:val="right"/>
              <w:ind w:right="236"/>
              <w:spacing w:after="0"/>
              <w:rPr>
                <w:sz w:val="20"/>
                <w:szCs w:val="20"/>
                <w:color w:val="auto"/>
              </w:rPr>
            </w:pPr>
            <w:r>
              <w:rPr>
                <w:rFonts w:ascii="Arial" w:cs="Arial" w:eastAsia="Arial" w:hAnsi="Arial"/>
                <w:sz w:val="17"/>
                <w:szCs w:val="17"/>
                <w:b w:val="1"/>
                <w:bCs w:val="1"/>
                <w:color w:val="auto"/>
                <w:w w:val="84"/>
              </w:rPr>
              <w:t>2.1</w:t>
            </w:r>
          </w:p>
        </w:tc>
        <w:tc>
          <w:tcPr>
            <w:tcW w:w="10100" w:type="dxa"/>
            <w:vAlign w:val="bottom"/>
          </w:tcPr>
          <w:p>
            <w:pPr>
              <w:ind w:left="340"/>
              <w:spacing w:after="0"/>
              <w:rPr>
                <w:sz w:val="20"/>
                <w:szCs w:val="20"/>
                <w:color w:val="auto"/>
              </w:rPr>
            </w:pPr>
            <w:r>
              <w:rPr>
                <w:rFonts w:ascii="Arial" w:cs="Arial" w:eastAsia="Arial" w:hAnsi="Arial"/>
                <w:sz w:val="17"/>
                <w:szCs w:val="17"/>
                <w:b w:val="1"/>
                <w:bCs w:val="1"/>
                <w:color w:val="auto"/>
                <w:w w:val="89"/>
              </w:rPr>
              <w:t xml:space="preserve">Warrant Price. </w:t>
            </w:r>
            <w:r>
              <w:rPr>
                <w:rFonts w:ascii="Arial" w:cs="Arial" w:eastAsia="Arial" w:hAnsi="Arial"/>
                <w:sz w:val="17"/>
                <w:szCs w:val="17"/>
                <w:color w:val="auto"/>
                <w:w w:val="89"/>
              </w:rPr>
              <w:t>During the period specified in Section 2.2, each Warrant shall, subject to the terms of this Agreement and the applicable Warrant</w:t>
            </w:r>
          </w:p>
        </w:tc>
      </w:tr>
    </w:tbl>
    <w:p>
      <w:pPr>
        <w:jc w:val="both"/>
        <w:spacing w:after="0" w:line="250" w:lineRule="auto"/>
        <w:rPr>
          <w:sz w:val="20"/>
          <w:szCs w:val="20"/>
          <w:color w:val="auto"/>
        </w:rPr>
      </w:pPr>
      <w:r>
        <w:rPr>
          <w:rFonts w:ascii="Arial" w:cs="Arial" w:eastAsia="Arial" w:hAnsi="Arial"/>
          <w:sz w:val="17"/>
          <w:szCs w:val="17"/>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w:t>
      </w:r>
    </w:p>
    <w:p>
      <w:pPr>
        <w:spacing w:after="0" w:line="177"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5"/>
          <w:szCs w:val="15"/>
          <w:b w:val="1"/>
          <w:bCs w:val="1"/>
          <w:color w:val="auto"/>
        </w:rPr>
        <w:t xml:space="preserve">2.2 Duration of Warrants. </w:t>
      </w:r>
      <w:r>
        <w:rPr>
          <w:rFonts w:ascii="Arial" w:cs="Arial" w:eastAsia="Arial" w:hAnsi="Arial"/>
          <w:sz w:val="15"/>
          <w:szCs w:val="15"/>
          <w:color w:val="auto"/>
        </w:rPr>
        <w:t>Each Warrant may be exercised in whole or in part at any time, as specified herein, on or after [the date thereof] [●] and</w:t>
      </w:r>
      <w:r>
        <w:rPr>
          <w:rFonts w:ascii="Arial" w:cs="Arial" w:eastAsia="Arial" w:hAnsi="Arial"/>
          <w:sz w:val="15"/>
          <w:szCs w:val="15"/>
          <w:b w:val="1"/>
          <w:bCs w:val="1"/>
          <w:color w:val="auto"/>
        </w:rPr>
        <w:t xml:space="preserve"> </w:t>
      </w:r>
      <w:r>
        <w:rPr>
          <w:rFonts w:ascii="Arial" w:cs="Arial" w:eastAsia="Arial" w:hAnsi="Arial"/>
          <w:sz w:val="15"/>
          <w:szCs w:val="15"/>
          <w:color w:val="auto"/>
        </w:rPr>
        <w:t>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5"/>
          <w:szCs w:val="15"/>
          <w:b w:val="1"/>
          <w:bCs w:val="1"/>
          <w:i w:val="1"/>
          <w:iCs w:val="1"/>
          <w:color w:val="auto"/>
        </w:rPr>
        <w:t>Expiration Date</w:t>
      </w:r>
      <w:r>
        <w:rPr>
          <w:rFonts w:ascii="Arial" w:cs="Arial" w:eastAsia="Arial" w:hAnsi="Arial"/>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3" w:name="page184"/>
    <w:bookmarkEnd w:id="183"/>
    <w:p>
      <w:pPr>
        <w:ind w:left="600"/>
        <w:spacing w:after="0"/>
        <w:tabs>
          <w:tab w:leader="none" w:pos="14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1" w:lineRule="exact"/>
        <w:rPr>
          <w:sz w:val="20"/>
          <w:szCs w:val="20"/>
          <w:color w:val="auto"/>
        </w:rPr>
      </w:pPr>
    </w:p>
    <w:p>
      <w:pPr>
        <w:jc w:val="both"/>
        <w:ind w:firstLine="1207"/>
        <w:spacing w:after="0" w:line="283" w:lineRule="auto"/>
        <w:tabs>
          <w:tab w:leader="none" w:pos="2360" w:val="left"/>
        </w:tabs>
        <w:numPr>
          <w:ilvl w:val="0"/>
          <w:numId w:val="168"/>
        </w:numPr>
        <w:rPr>
          <w:rFonts w:ascii="Arial" w:cs="Arial" w:eastAsia="Arial" w:hAnsi="Arial"/>
          <w:sz w:val="15"/>
          <w:szCs w:val="15"/>
          <w:b w:val="1"/>
          <w:bCs w:val="1"/>
          <w:color w:val="auto"/>
        </w:rPr>
      </w:pPr>
      <w:r>
        <w:rPr>
          <w:rFonts w:ascii="Arial" w:cs="Arial" w:eastAsia="Arial" w:hAnsi="Arial"/>
          <w:sz w:val="15"/>
          <w:szCs w:val="15"/>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3" w:lineRule="exact"/>
        <w:rPr>
          <w:rFonts w:ascii="Arial" w:cs="Arial" w:eastAsia="Arial" w:hAnsi="Arial"/>
          <w:sz w:val="15"/>
          <w:szCs w:val="15"/>
          <w:b w:val="1"/>
          <w:bCs w:val="1"/>
          <w:color w:val="auto"/>
        </w:rPr>
      </w:pPr>
    </w:p>
    <w:p>
      <w:pPr>
        <w:jc w:val="both"/>
        <w:ind w:firstLine="1207"/>
        <w:spacing w:after="0" w:line="275" w:lineRule="auto"/>
        <w:tabs>
          <w:tab w:leader="none" w:pos="2039"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62" w:lineRule="exact"/>
        <w:rPr>
          <w:rFonts w:ascii="Arial" w:cs="Arial" w:eastAsia="Arial" w:hAnsi="Arial"/>
          <w:sz w:val="16"/>
          <w:szCs w:val="16"/>
          <w:b w:val="1"/>
          <w:bCs w:val="1"/>
          <w:color w:val="auto"/>
        </w:rPr>
      </w:pPr>
    </w:p>
    <w:p>
      <w:pPr>
        <w:jc w:val="both"/>
        <w:ind w:firstLine="1207"/>
        <w:spacing w:after="0" w:line="298" w:lineRule="auto"/>
        <w:tabs>
          <w:tab w:leader="none" w:pos="2238" w:val="left"/>
        </w:tabs>
        <w:numPr>
          <w:ilvl w:val="0"/>
          <w:numId w:val="168"/>
        </w:numPr>
        <w:rPr>
          <w:rFonts w:ascii="Arial" w:cs="Arial" w:eastAsia="Arial" w:hAnsi="Arial"/>
          <w:sz w:val="15"/>
          <w:szCs w:val="15"/>
          <w:b w:val="1"/>
          <w:bCs w:val="1"/>
          <w:color w:val="auto"/>
        </w:rPr>
      </w:pPr>
      <w:r>
        <w:rPr>
          <w:rFonts w:ascii="Arial" w:cs="Arial" w:eastAsia="Arial" w:hAnsi="Arial"/>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8" w:lineRule="exact"/>
        <w:rPr>
          <w:rFonts w:ascii="Arial" w:cs="Arial" w:eastAsia="Arial" w:hAnsi="Arial"/>
          <w:sz w:val="15"/>
          <w:szCs w:val="15"/>
          <w:b w:val="1"/>
          <w:bCs w:val="1"/>
          <w:color w:val="auto"/>
        </w:rPr>
      </w:pPr>
    </w:p>
    <w:p>
      <w:pPr>
        <w:jc w:val="both"/>
        <w:ind w:firstLine="1207"/>
        <w:spacing w:after="0" w:line="308" w:lineRule="auto"/>
        <w:tabs>
          <w:tab w:leader="none" w:pos="2127" w:val="left"/>
        </w:tabs>
        <w:numPr>
          <w:ilvl w:val="0"/>
          <w:numId w:val="168"/>
        </w:numPr>
        <w:rPr>
          <w:rFonts w:ascii="Arial" w:cs="Arial" w:eastAsia="Arial" w:hAnsi="Arial"/>
          <w:sz w:val="15"/>
          <w:szCs w:val="15"/>
          <w:b w:val="1"/>
          <w:bCs w:val="1"/>
          <w:color w:val="auto"/>
        </w:rPr>
      </w:pPr>
      <w:r>
        <w:rPr>
          <w:rFonts w:ascii="Arial" w:cs="Arial" w:eastAsia="Arial" w:hAnsi="Arial"/>
          <w:sz w:val="15"/>
          <w:szCs w:val="15"/>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0" w:lineRule="exact"/>
        <w:rPr>
          <w:rFonts w:ascii="Arial" w:cs="Arial" w:eastAsia="Arial" w:hAnsi="Arial"/>
          <w:sz w:val="15"/>
          <w:szCs w:val="15"/>
          <w:b w:val="1"/>
          <w:bCs w:val="1"/>
          <w:color w:val="auto"/>
        </w:rPr>
      </w:pPr>
    </w:p>
    <w:p>
      <w:pPr>
        <w:ind w:firstLine="1207"/>
        <w:spacing w:after="0" w:line="300" w:lineRule="auto"/>
        <w:tabs>
          <w:tab w:leader="none" w:pos="2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PROVISIONS RELATING TO RIGHTS OF 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CERTIFICATES</w:t>
      </w:r>
    </w:p>
    <w:p>
      <w:pPr>
        <w:spacing w:after="0" w:line="190" w:lineRule="exact"/>
        <w:rPr>
          <w:sz w:val="20"/>
          <w:szCs w:val="20"/>
          <w:color w:val="auto"/>
        </w:rPr>
      </w:pPr>
    </w:p>
    <w:p>
      <w:pPr>
        <w:ind w:left="600"/>
        <w:spacing w:after="0"/>
        <w:tabs>
          <w:tab w:leader="none" w:pos="144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 xml:space="preserve">No Rights as Warrant Securityholder Conferred by Warrants or Warrant Certificates. </w:t>
      </w:r>
      <w:r>
        <w:rPr>
          <w:rFonts w:ascii="Arial" w:cs="Arial" w:eastAsia="Arial" w:hAnsi="Arial"/>
          <w:sz w:val="15"/>
          <w:szCs w:val="15"/>
          <w:color w:val="auto"/>
        </w:rPr>
        <w:t>No Warrant Certificate or Warrant evidenced thereby</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4" w:name="page185"/>
    <w:bookmarkEnd w:id="184"/>
    <w:p>
      <w:pPr>
        <w:jc w:val="both"/>
        <w:ind w:firstLine="603"/>
        <w:spacing w:after="0" w:line="285" w:lineRule="auto"/>
        <w:rPr>
          <w:sz w:val="20"/>
          <w:szCs w:val="20"/>
          <w:color w:val="auto"/>
        </w:rPr>
      </w:pPr>
      <w:r>
        <w:rPr>
          <w:rFonts w:ascii="Arial" w:cs="Arial" w:eastAsia="Arial" w:hAnsi="Arial"/>
          <w:sz w:val="15"/>
          <w:szCs w:val="15"/>
          <w:b w:val="1"/>
          <w:bCs w:val="1"/>
          <w:color w:val="auto"/>
        </w:rPr>
        <w:t xml:space="preserve">3.2 Lost, Stolen, Mutilated or Destroyed Warrant Certificates. </w:t>
      </w:r>
      <w:r>
        <w:rPr>
          <w:rFonts w:ascii="Arial" w:cs="Arial" w:eastAsia="Arial" w:hAnsi="Arial"/>
          <w:sz w:val="15"/>
          <w:szCs w:val="15"/>
          <w:color w:val="auto"/>
        </w:rPr>
        <w:t>Upon receipt by the Warrant Agent of evidence reasonably satisfactory to it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6"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3.3 Holder of Warrant Certificate May Enforce Rights. </w:t>
      </w:r>
      <w:r>
        <w:rPr>
          <w:rFonts w:ascii="Arial" w:cs="Arial" w:eastAsia="Arial" w:hAnsi="Arial"/>
          <w:sz w:val="17"/>
          <w:szCs w:val="17"/>
          <w:color w:val="auto"/>
        </w:rPr>
        <w:t>Notwithstanding any of the provisions of this Agreement, any holder of a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6"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4"/>
          <w:szCs w:val="14"/>
          <w:b w:val="1"/>
          <w:bCs w:val="1"/>
          <w:color w:val="auto"/>
        </w:rPr>
        <w:t>Adjustments.</w:t>
      </w:r>
    </w:p>
    <w:p>
      <w:pPr>
        <w:spacing w:after="0" w:line="211" w:lineRule="exact"/>
        <w:rPr>
          <w:sz w:val="20"/>
          <w:szCs w:val="20"/>
          <w:color w:val="auto"/>
        </w:rPr>
      </w:pPr>
    </w:p>
    <w:p>
      <w:pPr>
        <w:jc w:val="both"/>
        <w:ind w:firstLine="1207"/>
        <w:spacing w:after="0" w:line="293" w:lineRule="auto"/>
        <w:tabs>
          <w:tab w:leader="none" w:pos="2272" w:val="left"/>
        </w:tabs>
        <w:numPr>
          <w:ilvl w:val="0"/>
          <w:numId w:val="169"/>
        </w:numPr>
        <w:rPr>
          <w:rFonts w:ascii="Arial" w:cs="Arial" w:eastAsia="Arial" w:hAnsi="Arial"/>
          <w:sz w:val="15"/>
          <w:szCs w:val="15"/>
          <w:b w:val="1"/>
          <w:bCs w:val="1"/>
          <w:color w:val="auto"/>
        </w:rPr>
      </w:pPr>
      <w:r>
        <w:rPr>
          <w:rFonts w:ascii="Arial" w:cs="Arial" w:eastAsia="Arial" w:hAnsi="Arial"/>
          <w:sz w:val="15"/>
          <w:szCs w:val="15"/>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53" w:lineRule="exact"/>
        <w:rPr>
          <w:rFonts w:ascii="Arial" w:cs="Arial" w:eastAsia="Arial" w:hAnsi="Arial"/>
          <w:sz w:val="15"/>
          <w:szCs w:val="15"/>
          <w:b w:val="1"/>
          <w:bCs w:val="1"/>
          <w:color w:val="auto"/>
        </w:rPr>
      </w:pPr>
    </w:p>
    <w:p>
      <w:pPr>
        <w:ind w:firstLine="1207"/>
        <w:spacing w:after="0" w:line="336" w:lineRule="auto"/>
        <w:tabs>
          <w:tab w:leader="none" w:pos="2140" w:val="left"/>
        </w:tabs>
        <w:numPr>
          <w:ilvl w:val="0"/>
          <w:numId w:val="169"/>
        </w:numPr>
        <w:rPr>
          <w:rFonts w:ascii="Arial" w:cs="Arial" w:eastAsia="Arial" w:hAnsi="Arial"/>
          <w:sz w:val="15"/>
          <w:szCs w:val="15"/>
          <w:b w:val="1"/>
          <w:bCs w:val="1"/>
          <w:color w:val="auto"/>
        </w:rPr>
      </w:pPr>
      <w:r>
        <w:rPr>
          <w:rFonts w:ascii="Arial" w:cs="Arial" w:eastAsia="Arial" w:hAnsi="Arial"/>
          <w:sz w:val="15"/>
          <w:szCs w:val="15"/>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20" w:lineRule="exact"/>
        <w:rPr>
          <w:rFonts w:ascii="Arial" w:cs="Arial" w:eastAsia="Arial" w:hAnsi="Arial"/>
          <w:sz w:val="15"/>
          <w:szCs w:val="15"/>
          <w:b w:val="1"/>
          <w:bCs w:val="1"/>
          <w:color w:val="auto"/>
        </w:rPr>
      </w:pPr>
    </w:p>
    <w:p>
      <w:pPr>
        <w:jc w:val="both"/>
        <w:ind w:firstLine="1810"/>
        <w:spacing w:after="0" w:line="257" w:lineRule="auto"/>
        <w:tabs>
          <w:tab w:leader="none" w:pos="2780" w:val="left"/>
        </w:tabs>
        <w:numPr>
          <w:ilvl w:val="1"/>
          <w:numId w:val="169"/>
        </w:numPr>
        <w:rPr>
          <w:rFonts w:ascii="Arial" w:cs="Arial" w:eastAsia="Arial" w:hAnsi="Arial"/>
          <w:sz w:val="17"/>
          <w:szCs w:val="17"/>
          <w:b w:val="1"/>
          <w:bCs w:val="1"/>
          <w:color w:val="auto"/>
        </w:rPr>
      </w:pPr>
      <w:r>
        <w:rPr>
          <w:rFonts w:ascii="Arial" w:cs="Arial" w:eastAsia="Arial" w:hAnsi="Arial"/>
          <w:sz w:val="17"/>
          <w:szCs w:val="17"/>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5" w:name="page186"/>
    <w:bookmarkEnd w:id="185"/>
    <w:p>
      <w:pPr>
        <w:ind w:firstLine="1810"/>
        <w:spacing w:after="0" w:line="268" w:lineRule="auto"/>
        <w:tabs>
          <w:tab w:leader="none" w:pos="2705" w:val="left"/>
        </w:tabs>
        <w:numPr>
          <w:ilvl w:val="1"/>
          <w:numId w:val="170"/>
        </w:numPr>
        <w:rPr>
          <w:rFonts w:ascii="Arial" w:cs="Arial" w:eastAsia="Arial" w:hAnsi="Arial"/>
          <w:sz w:val="17"/>
          <w:szCs w:val="17"/>
          <w:b w:val="1"/>
          <w:bCs w:val="1"/>
          <w:color w:val="auto"/>
        </w:rPr>
      </w:pPr>
      <w:r>
        <w:rPr>
          <w:rFonts w:ascii="Arial" w:cs="Arial" w:eastAsia="Arial" w:hAnsi="Arial"/>
          <w:sz w:val="17"/>
          <w:szCs w:val="17"/>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66" w:lineRule="exact"/>
        <w:rPr>
          <w:rFonts w:ascii="Arial" w:cs="Arial" w:eastAsia="Arial" w:hAnsi="Arial"/>
          <w:sz w:val="17"/>
          <w:szCs w:val="17"/>
          <w:b w:val="1"/>
          <w:bCs w:val="1"/>
          <w:color w:val="auto"/>
        </w:rPr>
      </w:pPr>
    </w:p>
    <w:p>
      <w:pPr>
        <w:ind w:left="2600" w:hanging="790"/>
        <w:spacing w:after="0"/>
        <w:tabs>
          <w:tab w:leader="none" w:pos="2600" w:val="left"/>
        </w:tabs>
        <w:numPr>
          <w:ilvl w:val="1"/>
          <w:numId w:val="170"/>
        </w:numPr>
        <w:rPr>
          <w:rFonts w:ascii="Arial" w:cs="Arial" w:eastAsia="Arial" w:hAnsi="Arial"/>
          <w:sz w:val="16"/>
          <w:szCs w:val="16"/>
          <w:b w:val="1"/>
          <w:bCs w:val="1"/>
          <w:color w:val="auto"/>
        </w:rPr>
      </w:pPr>
      <w:r>
        <w:rPr>
          <w:rFonts w:ascii="Arial" w:cs="Arial" w:eastAsia="Arial" w:hAnsi="Arial"/>
          <w:sz w:val="16"/>
          <w:szCs w:val="16"/>
          <w:color w:val="auto"/>
        </w:rPr>
        <w:t>any evidence of the Company’s indebtedness or rights to subscribe for or purchase the Company’s indebtedness; or</w:t>
      </w:r>
    </w:p>
    <w:p>
      <w:pPr>
        <w:spacing w:after="0" w:line="218" w:lineRule="exact"/>
        <w:rPr>
          <w:rFonts w:ascii="Arial" w:cs="Arial" w:eastAsia="Arial" w:hAnsi="Arial"/>
          <w:sz w:val="16"/>
          <w:szCs w:val="16"/>
          <w:b w:val="1"/>
          <w:bCs w:val="1"/>
          <w:color w:val="auto"/>
        </w:rPr>
      </w:pPr>
    </w:p>
    <w:p>
      <w:pPr>
        <w:jc w:val="both"/>
        <w:ind w:firstLine="1810"/>
        <w:spacing w:after="0" w:line="267" w:lineRule="auto"/>
        <w:tabs>
          <w:tab w:leader="none" w:pos="2675" w:val="left"/>
        </w:tabs>
        <w:numPr>
          <w:ilvl w:val="1"/>
          <w:numId w:val="170"/>
        </w:numPr>
        <w:rPr>
          <w:rFonts w:ascii="Arial" w:cs="Arial" w:eastAsia="Arial" w:hAnsi="Arial"/>
          <w:sz w:val="16"/>
          <w:szCs w:val="16"/>
          <w:b w:val="1"/>
          <w:bCs w:val="1"/>
          <w:color w:val="auto"/>
        </w:rPr>
      </w:pPr>
      <w:r>
        <w:rPr>
          <w:rFonts w:ascii="Arial" w:cs="Arial" w:eastAsia="Arial" w:hAnsi="Arial"/>
          <w:sz w:val="16"/>
          <w:szCs w:val="16"/>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72" w:lineRule="exact"/>
        <w:rPr>
          <w:rFonts w:ascii="Arial" w:cs="Arial" w:eastAsia="Arial" w:hAnsi="Arial"/>
          <w:sz w:val="16"/>
          <w:szCs w:val="16"/>
          <w:b w:val="1"/>
          <w:bCs w:val="1"/>
          <w:color w:val="auto"/>
        </w:rPr>
      </w:pPr>
    </w:p>
    <w:p>
      <w:pPr>
        <w:jc w:val="both"/>
        <w:ind w:firstLine="1207"/>
        <w:spacing w:after="0" w:line="282" w:lineRule="auto"/>
        <w:tabs>
          <w:tab w:leader="none" w:pos="2288" w:val="left"/>
        </w:tabs>
        <w:numPr>
          <w:ilvl w:val="0"/>
          <w:numId w:val="171"/>
        </w:numPr>
        <w:rPr>
          <w:rFonts w:ascii="Arial" w:cs="Arial" w:eastAsia="Arial" w:hAnsi="Arial"/>
          <w:sz w:val="15"/>
          <w:szCs w:val="15"/>
          <w:b w:val="1"/>
          <w:bCs w:val="1"/>
          <w:color w:val="auto"/>
        </w:rPr>
      </w:pPr>
      <w:r>
        <w:rPr>
          <w:rFonts w:ascii="Arial" w:cs="Arial" w:eastAsia="Arial" w:hAnsi="Arial"/>
          <w:sz w:val="15"/>
          <w:szCs w:val="15"/>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Arial" w:cs="Arial" w:eastAsia="Arial" w:hAnsi="Arial"/>
          <w:sz w:val="15"/>
          <w:szCs w:val="15"/>
          <w:b w:val="1"/>
          <w:bCs w:val="1"/>
          <w:i w:val="1"/>
          <w:iCs w:val="1"/>
          <w:color w:val="auto"/>
        </w:rPr>
        <w:t>Reorganization Event</w:t>
      </w:r>
      <w:r>
        <w:rPr>
          <w:rFonts w:ascii="Arial" w:cs="Arial" w:eastAsia="Arial" w:hAnsi="Arial"/>
          <w:sz w:val="15"/>
          <w:szCs w:val="15"/>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6" w:name="page187"/>
    <w:bookmarkEnd w:id="186"/>
    <w:p>
      <w:pPr>
        <w:jc w:val="both"/>
        <w:ind w:firstLine="1207"/>
        <w:spacing w:after="0" w:line="257" w:lineRule="auto"/>
        <w:tabs>
          <w:tab w:leader="none" w:pos="2190"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76" w:lineRule="exact"/>
        <w:rPr>
          <w:rFonts w:ascii="Arial" w:cs="Arial" w:eastAsia="Arial" w:hAnsi="Arial"/>
          <w:sz w:val="17"/>
          <w:szCs w:val="17"/>
          <w:b w:val="1"/>
          <w:bCs w:val="1"/>
          <w:color w:val="auto"/>
        </w:rPr>
      </w:pPr>
    </w:p>
    <w:p>
      <w:pPr>
        <w:ind w:firstLine="1207"/>
        <w:spacing w:after="0" w:line="268" w:lineRule="auto"/>
        <w:tabs>
          <w:tab w:leader="none" w:pos="2276"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Except as herein otherwise expressly provided, no adjustment in the Warrant Price shall be made by reason of the issuance of any securities of the Company or for any other reason whatsoever.</w:t>
      </w:r>
    </w:p>
    <w:p>
      <w:pPr>
        <w:spacing w:after="0" w:line="166" w:lineRule="exact"/>
        <w:rPr>
          <w:rFonts w:ascii="Arial" w:cs="Arial" w:eastAsia="Arial" w:hAnsi="Arial"/>
          <w:sz w:val="17"/>
          <w:szCs w:val="17"/>
          <w:b w:val="1"/>
          <w:bCs w:val="1"/>
          <w:color w:val="auto"/>
        </w:rPr>
      </w:pPr>
    </w:p>
    <w:p>
      <w:pPr>
        <w:jc w:val="both"/>
        <w:ind w:firstLine="1207"/>
        <w:spacing w:after="0" w:line="284" w:lineRule="auto"/>
        <w:tabs>
          <w:tab w:leader="none" w:pos="2148" w:val="left"/>
        </w:tabs>
        <w:numPr>
          <w:ilvl w:val="0"/>
          <w:numId w:val="172"/>
        </w:numPr>
        <w:rPr>
          <w:rFonts w:ascii="Arial" w:cs="Arial" w:eastAsia="Arial" w:hAnsi="Arial"/>
          <w:sz w:val="15"/>
          <w:szCs w:val="15"/>
          <w:b w:val="1"/>
          <w:bCs w:val="1"/>
          <w:color w:val="auto"/>
        </w:rPr>
      </w:pPr>
      <w:r>
        <w:rPr>
          <w:rFonts w:ascii="Arial" w:cs="Arial" w:eastAsia="Arial" w:hAnsi="Arial"/>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5"/>
          <w:szCs w:val="15"/>
          <w:b w:val="1"/>
          <w:bCs w:val="1"/>
          <w:i w:val="1"/>
          <w:iCs w:val="1"/>
          <w:color w:val="auto"/>
        </w:rPr>
        <w:t>OTC Bulletin Board</w:t>
      </w:r>
      <w:r>
        <w:rPr>
          <w:rFonts w:ascii="Arial" w:cs="Arial" w:eastAsia="Arial" w:hAnsi="Arial"/>
          <w:sz w:val="15"/>
          <w:szCs w:val="15"/>
          <w:color w:val="auto"/>
        </w:rPr>
        <w:t>”) operated by the Financial Industry Regulatory Authority, Inc. (“</w:t>
      </w:r>
      <w:r>
        <w:rPr>
          <w:rFonts w:ascii="Arial" w:cs="Arial" w:eastAsia="Arial" w:hAnsi="Arial"/>
          <w:sz w:val="15"/>
          <w:szCs w:val="15"/>
          <w:b w:val="1"/>
          <w:bCs w:val="1"/>
          <w:i w:val="1"/>
          <w:iCs w:val="1"/>
          <w:color w:val="auto"/>
        </w:rPr>
        <w:t>FINRA</w:t>
      </w:r>
      <w:r>
        <w:rPr>
          <w:rFonts w:ascii="Arial" w:cs="Arial" w:eastAsia="Arial" w:hAnsi="Arial"/>
          <w:sz w:val="15"/>
          <w:szCs w:val="15"/>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64" w:lineRule="exact"/>
        <w:rPr>
          <w:rFonts w:ascii="Arial" w:cs="Arial" w:eastAsia="Arial" w:hAnsi="Arial"/>
          <w:sz w:val="15"/>
          <w:szCs w:val="15"/>
          <w:b w:val="1"/>
          <w:bCs w:val="1"/>
          <w:color w:val="auto"/>
        </w:rPr>
      </w:pPr>
    </w:p>
    <w:p>
      <w:pPr>
        <w:jc w:val="both"/>
        <w:ind w:firstLine="1207"/>
        <w:spacing w:after="0" w:line="257" w:lineRule="auto"/>
        <w:tabs>
          <w:tab w:leader="none" w:pos="2097"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76" w:lineRule="exact"/>
        <w:rPr>
          <w:rFonts w:ascii="Arial" w:cs="Arial" w:eastAsia="Arial" w:hAnsi="Arial"/>
          <w:sz w:val="17"/>
          <w:szCs w:val="17"/>
          <w:b w:val="1"/>
          <w:bCs w:val="1"/>
          <w:color w:val="auto"/>
        </w:rPr>
      </w:pPr>
    </w:p>
    <w:p>
      <w:pPr>
        <w:ind w:firstLine="1207"/>
        <w:spacing w:after="0" w:line="268" w:lineRule="auto"/>
        <w:tabs>
          <w:tab w:leader="none" w:pos="2064"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7" w:name="page188"/>
    <w:bookmarkEnd w:id="187"/>
    <w:p>
      <w:pPr>
        <w:jc w:val="both"/>
        <w:ind w:firstLine="603"/>
        <w:spacing w:after="0" w:line="266" w:lineRule="auto"/>
        <w:rPr>
          <w:sz w:val="20"/>
          <w:szCs w:val="20"/>
          <w:color w:val="auto"/>
        </w:rPr>
      </w:pPr>
      <w:r>
        <w:rPr>
          <w:rFonts w:ascii="Arial" w:cs="Arial" w:eastAsia="Arial" w:hAnsi="Arial"/>
          <w:sz w:val="16"/>
          <w:szCs w:val="16"/>
          <w:b w:val="1"/>
          <w:bCs w:val="1"/>
          <w:color w:val="auto"/>
        </w:rPr>
        <w:t xml:space="preserve">3.5 Notice to Warrantholders. </w:t>
      </w:r>
      <w:r>
        <w:rPr>
          <w:rFonts w:ascii="Arial" w:cs="Arial" w:eastAsia="Arial" w:hAnsi="Arial"/>
          <w:sz w:val="16"/>
          <w:szCs w:val="16"/>
          <w:color w:val="auto"/>
        </w:rPr>
        <w:t>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0"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5"/>
          <w:szCs w:val="15"/>
          <w:color w:val="auto"/>
        </w:rPr>
        <w:t>[If the Warrants are Subject to Acceleration by the Company, Insert — Acceleration of Warrants by the Company.</w:t>
      </w:r>
    </w:p>
    <w:p>
      <w:pPr>
        <w:spacing w:after="0" w:line="211" w:lineRule="exact"/>
        <w:rPr>
          <w:sz w:val="20"/>
          <w:szCs w:val="20"/>
          <w:color w:val="auto"/>
        </w:rPr>
      </w:pPr>
    </w:p>
    <w:p>
      <w:pPr>
        <w:jc w:val="both"/>
        <w:ind w:firstLine="1207"/>
        <w:spacing w:after="0" w:line="252" w:lineRule="auto"/>
        <w:tabs>
          <w:tab w:leader="none" w:pos="2122"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7"/>
          <w:szCs w:val="17"/>
          <w:b w:val="1"/>
          <w:bCs w:val="1"/>
          <w:i w:val="1"/>
          <w:iCs w:val="1"/>
          <w:color w:val="auto"/>
        </w:rPr>
        <w:t>Acceleration Date</w:t>
      </w:r>
      <w:r>
        <w:rPr>
          <w:rFonts w:ascii="Arial" w:cs="Arial" w:eastAsia="Arial" w:hAnsi="Arial"/>
          <w:sz w:val="17"/>
          <w:szCs w:val="17"/>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6" w:lineRule="exact"/>
        <w:rPr>
          <w:rFonts w:ascii="Arial" w:cs="Arial" w:eastAsia="Arial" w:hAnsi="Arial"/>
          <w:sz w:val="17"/>
          <w:szCs w:val="17"/>
          <w:b w:val="1"/>
          <w:bCs w:val="1"/>
          <w:color w:val="auto"/>
        </w:rPr>
      </w:pPr>
    </w:p>
    <w:p>
      <w:pPr>
        <w:jc w:val="both"/>
        <w:ind w:firstLine="1207"/>
        <w:spacing w:after="0" w:line="265" w:lineRule="auto"/>
        <w:tabs>
          <w:tab w:leader="none" w:pos="211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for each Trading Day shall be, if the [title of Preferred Stock purchasable through exercise of Warrants] is listed or</w:t>
      </w:r>
      <w:r>
        <w:rPr>
          <w:rFonts w:ascii="Arial" w:cs="Arial" w:eastAsia="Arial" w:hAnsi="Arial"/>
          <w:sz w:val="16"/>
          <w:szCs w:val="16"/>
          <w:b w:val="1"/>
          <w:bCs w:val="1"/>
          <w:color w:val="auto"/>
        </w:rPr>
        <w:t xml:space="preserve"> </w:t>
      </w:r>
      <w:r>
        <w:rPr>
          <w:rFonts w:ascii="Arial" w:cs="Arial" w:eastAsia="Arial" w:hAnsi="Arial"/>
          <w:sz w:val="16"/>
          <w:szCs w:val="16"/>
          <w:color w:val="auto"/>
        </w:rPr>
        <w:t>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77" w:lineRule="exact"/>
        <w:rPr>
          <w:rFonts w:ascii="Arial" w:cs="Arial" w:eastAsia="Arial" w:hAnsi="Arial"/>
          <w:sz w:val="16"/>
          <w:szCs w:val="16"/>
          <w:b w:val="1"/>
          <w:bCs w:val="1"/>
          <w:color w:val="auto"/>
        </w:rPr>
      </w:pPr>
    </w:p>
    <w:p>
      <w:pPr>
        <w:jc w:val="both"/>
        <w:ind w:firstLine="1207"/>
        <w:spacing w:after="0" w:line="298" w:lineRule="auto"/>
        <w:tabs>
          <w:tab w:leader="none" w:pos="2100" w:val="left"/>
        </w:tabs>
        <w:numPr>
          <w:ilvl w:val="0"/>
          <w:numId w:val="173"/>
        </w:numPr>
        <w:rPr>
          <w:rFonts w:ascii="Arial" w:cs="Arial" w:eastAsia="Arial" w:hAnsi="Arial"/>
          <w:sz w:val="15"/>
          <w:szCs w:val="15"/>
          <w:b w:val="1"/>
          <w:bCs w:val="1"/>
          <w:color w:val="auto"/>
        </w:rPr>
      </w:pPr>
      <w:r>
        <w:rPr>
          <w:rFonts w:ascii="Arial" w:cs="Arial" w:eastAsia="Arial" w:hAnsi="Arial"/>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8" w:name="page189"/>
    <w:bookmarkEnd w:id="188"/>
    <w:p>
      <w:pPr>
        <w:ind w:firstLine="1207"/>
        <w:spacing w:after="0" w:line="268" w:lineRule="auto"/>
        <w:tabs>
          <w:tab w:leader="none" w:pos="2152" w:val="left"/>
        </w:tabs>
        <w:numPr>
          <w:ilvl w:val="0"/>
          <w:numId w:val="174"/>
        </w:numPr>
        <w:rPr>
          <w:rFonts w:ascii="Arial" w:cs="Arial" w:eastAsia="Arial" w:hAnsi="Arial"/>
          <w:sz w:val="17"/>
          <w:szCs w:val="17"/>
          <w:b w:val="1"/>
          <w:bCs w:val="1"/>
          <w:color w:val="auto"/>
        </w:rPr>
      </w:pPr>
      <w:r>
        <w:rPr>
          <w:rFonts w:ascii="Arial" w:cs="Arial" w:eastAsia="Arial" w:hAnsi="Arial"/>
          <w:sz w:val="17"/>
          <w:szCs w:val="17"/>
          <w:color w:val="auto"/>
        </w:rPr>
        <w:t>Any Warrant accelerated may be exercised until [●] p.m., [City] time, on the business day next preceding the Acceleration Date. The Warrant Price shall be payable as provided in Section 2.]</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100" w:type="dxa"/>
            <w:vAlign w:val="bottom"/>
          </w:tcPr>
          <w:p>
            <w:pPr>
              <w:jc w:val="center"/>
              <w:ind w:right="1056"/>
              <w:spacing w:after="0"/>
              <w:rPr>
                <w:sz w:val="20"/>
                <w:szCs w:val="20"/>
                <w:color w:val="auto"/>
              </w:rPr>
            </w:pPr>
            <w:r>
              <w:rPr>
                <w:rFonts w:ascii="Arial" w:cs="Arial" w:eastAsia="Arial" w:hAnsi="Arial"/>
                <w:sz w:val="17"/>
                <w:szCs w:val="17"/>
                <w:b w:val="1"/>
                <w:bCs w:val="1"/>
                <w:color w:val="auto"/>
              </w:rPr>
              <w:t>ARTICLE 4</w:t>
            </w:r>
          </w:p>
        </w:tc>
      </w:tr>
      <w:tr>
        <w:trPr>
          <w:trHeight w:val="402"/>
        </w:trPr>
        <w:tc>
          <w:tcPr>
            <w:tcW w:w="540" w:type="dxa"/>
            <w:vAlign w:val="bottom"/>
          </w:tcPr>
          <w:p>
            <w:pPr>
              <w:spacing w:after="0"/>
              <w:rPr>
                <w:sz w:val="24"/>
                <w:szCs w:val="24"/>
                <w:color w:val="auto"/>
              </w:rPr>
            </w:pPr>
          </w:p>
        </w:tc>
        <w:tc>
          <w:tcPr>
            <w:tcW w:w="10100" w:type="dxa"/>
            <w:vAlign w:val="bottom"/>
          </w:tcPr>
          <w:p>
            <w:pPr>
              <w:jc w:val="center"/>
              <w:ind w:right="1036"/>
              <w:spacing w:after="0"/>
              <w:rPr>
                <w:sz w:val="20"/>
                <w:szCs w:val="20"/>
                <w:color w:val="auto"/>
              </w:rPr>
            </w:pPr>
            <w:r>
              <w:rPr>
                <w:rFonts w:ascii="Arial" w:cs="Arial" w:eastAsia="Arial" w:hAnsi="Arial"/>
                <w:sz w:val="17"/>
                <w:szCs w:val="17"/>
                <w:b w:val="1"/>
                <w:bCs w:val="1"/>
                <w:color w:val="auto"/>
                <w:w w:val="98"/>
              </w:rPr>
              <w:t>EXCHANGE AND TRANSFER OF WARRANT CERTIFICATES</w:t>
            </w:r>
          </w:p>
        </w:tc>
      </w:tr>
      <w:tr>
        <w:trPr>
          <w:trHeight w:val="402"/>
        </w:trPr>
        <w:tc>
          <w:tcPr>
            <w:tcW w:w="540" w:type="dxa"/>
            <w:vAlign w:val="bottom"/>
          </w:tcPr>
          <w:p>
            <w:pPr>
              <w:jc w:val="right"/>
              <w:ind w:right="236"/>
              <w:spacing w:after="0"/>
              <w:rPr>
                <w:sz w:val="20"/>
                <w:szCs w:val="20"/>
                <w:color w:val="auto"/>
              </w:rPr>
            </w:pPr>
            <w:r>
              <w:rPr>
                <w:rFonts w:ascii="Arial" w:cs="Arial" w:eastAsia="Arial" w:hAnsi="Arial"/>
                <w:sz w:val="17"/>
                <w:szCs w:val="17"/>
                <w:b w:val="1"/>
                <w:bCs w:val="1"/>
                <w:color w:val="auto"/>
                <w:w w:val="84"/>
              </w:rPr>
              <w:t>4.1</w:t>
            </w:r>
          </w:p>
        </w:tc>
        <w:tc>
          <w:tcPr>
            <w:tcW w:w="10100" w:type="dxa"/>
            <w:vAlign w:val="bottom"/>
          </w:tcPr>
          <w:p>
            <w:pPr>
              <w:ind w:left="320"/>
              <w:spacing w:after="0"/>
              <w:rPr>
                <w:sz w:val="20"/>
                <w:szCs w:val="20"/>
                <w:color w:val="auto"/>
              </w:rPr>
            </w:pPr>
            <w:r>
              <w:rPr>
                <w:rFonts w:ascii="Arial" w:cs="Arial" w:eastAsia="Arial" w:hAnsi="Arial"/>
                <w:sz w:val="17"/>
                <w:szCs w:val="17"/>
                <w:color w:val="auto"/>
                <w:w w:val="89"/>
              </w:rPr>
              <w:t>Exchange and Transfer of Warrant Certificates. Upon surrender at the corporate trust office of the Warrant Agent, Warrant Certificates evidencing</w:t>
            </w:r>
          </w:p>
        </w:tc>
      </w:tr>
    </w:tbl>
    <w:p>
      <w:pPr>
        <w:jc w:val="both"/>
        <w:spacing w:after="0" w:line="283" w:lineRule="auto"/>
        <w:rPr>
          <w:sz w:val="20"/>
          <w:szCs w:val="20"/>
          <w:color w:val="auto"/>
        </w:rPr>
      </w:pPr>
      <w:r>
        <w:rPr>
          <w:rFonts w:ascii="Arial" w:cs="Arial" w:eastAsia="Arial" w:hAnsi="Arial"/>
          <w:sz w:val="15"/>
          <w:szCs w:val="15"/>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5"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4.2 Treatment of Holders of Warrant Certificates. </w:t>
      </w:r>
      <w:r>
        <w:rPr>
          <w:rFonts w:ascii="Arial" w:cs="Arial" w:eastAsia="Arial" w:hAnsi="Arial"/>
          <w:sz w:val="17"/>
          <w:szCs w:val="17"/>
          <w:color w:val="auto"/>
        </w:rPr>
        <w:t>The Company, the Warrant Agent and all other persons may treat the registered holder of a</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 as the absolute owner thereof for any purpose and as the person entitled to exercise the rights represented by the Warrants evidenced thereby, any notice to the contrary notwithstanding.</w:t>
      </w:r>
    </w:p>
    <w:p>
      <w:pPr>
        <w:spacing w:after="0" w:line="169"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10060" w:type="dxa"/>
            <w:vAlign w:val="bottom"/>
          </w:tcPr>
          <w:p>
            <w:pPr>
              <w:jc w:val="center"/>
              <w:ind w:right="1096"/>
              <w:spacing w:after="0"/>
              <w:rPr>
                <w:sz w:val="20"/>
                <w:szCs w:val="20"/>
                <w:color w:val="auto"/>
              </w:rPr>
            </w:pPr>
            <w:r>
              <w:rPr>
                <w:rFonts w:ascii="Arial" w:cs="Arial" w:eastAsia="Arial" w:hAnsi="Arial"/>
                <w:sz w:val="17"/>
                <w:szCs w:val="17"/>
                <w:b w:val="1"/>
                <w:bCs w:val="1"/>
                <w:color w:val="auto"/>
              </w:rPr>
              <w:t>ARTICLE 5</w:t>
            </w:r>
          </w:p>
        </w:tc>
      </w:tr>
      <w:tr>
        <w:trPr>
          <w:trHeight w:val="402"/>
        </w:trPr>
        <w:tc>
          <w:tcPr>
            <w:tcW w:w="580" w:type="dxa"/>
            <w:vAlign w:val="bottom"/>
          </w:tcPr>
          <w:p>
            <w:pPr>
              <w:spacing w:after="0"/>
              <w:rPr>
                <w:sz w:val="24"/>
                <w:szCs w:val="24"/>
                <w:color w:val="auto"/>
              </w:rPr>
            </w:pPr>
          </w:p>
        </w:tc>
        <w:tc>
          <w:tcPr>
            <w:tcW w:w="10060" w:type="dxa"/>
            <w:vAlign w:val="bottom"/>
          </w:tcPr>
          <w:p>
            <w:pPr>
              <w:jc w:val="center"/>
              <w:ind w:right="1076"/>
              <w:spacing w:after="0"/>
              <w:rPr>
                <w:sz w:val="20"/>
                <w:szCs w:val="20"/>
                <w:color w:val="auto"/>
              </w:rPr>
            </w:pPr>
            <w:r>
              <w:rPr>
                <w:rFonts w:ascii="Arial" w:cs="Arial" w:eastAsia="Arial" w:hAnsi="Arial"/>
                <w:sz w:val="17"/>
                <w:szCs w:val="17"/>
                <w:b w:val="1"/>
                <w:bCs w:val="1"/>
                <w:color w:val="auto"/>
                <w:w w:val="99"/>
              </w:rPr>
              <w:t>CONCERNING THE WARRANT AGENT</w:t>
            </w:r>
          </w:p>
        </w:tc>
      </w:tr>
      <w:tr>
        <w:trPr>
          <w:trHeight w:val="402"/>
        </w:trPr>
        <w:tc>
          <w:tcPr>
            <w:tcW w:w="580" w:type="dxa"/>
            <w:vAlign w:val="bottom"/>
          </w:tcPr>
          <w:p>
            <w:pPr>
              <w:jc w:val="right"/>
              <w:ind w:right="276"/>
              <w:spacing w:after="0"/>
              <w:rPr>
                <w:sz w:val="20"/>
                <w:szCs w:val="20"/>
                <w:color w:val="auto"/>
              </w:rPr>
            </w:pPr>
            <w:r>
              <w:rPr>
                <w:rFonts w:ascii="Arial" w:cs="Arial" w:eastAsia="Arial" w:hAnsi="Arial"/>
                <w:sz w:val="17"/>
                <w:szCs w:val="17"/>
                <w:b w:val="1"/>
                <w:bCs w:val="1"/>
                <w:color w:val="auto"/>
                <w:w w:val="84"/>
              </w:rPr>
              <w:t>5.1</w:t>
            </w:r>
          </w:p>
        </w:tc>
        <w:tc>
          <w:tcPr>
            <w:tcW w:w="10060" w:type="dxa"/>
            <w:vAlign w:val="bottom"/>
          </w:tcPr>
          <w:p>
            <w:pPr>
              <w:ind w:left="360"/>
              <w:spacing w:after="0"/>
              <w:rPr>
                <w:sz w:val="20"/>
                <w:szCs w:val="20"/>
                <w:color w:val="auto"/>
              </w:rPr>
            </w:pPr>
            <w:r>
              <w:rPr>
                <w:rFonts w:ascii="Arial" w:cs="Arial" w:eastAsia="Arial" w:hAnsi="Arial"/>
                <w:sz w:val="17"/>
                <w:szCs w:val="17"/>
                <w:b w:val="1"/>
                <w:bCs w:val="1"/>
                <w:color w:val="auto"/>
                <w:w w:val="91"/>
              </w:rPr>
              <w:t xml:space="preserve">Warrant Agent. </w:t>
            </w:r>
            <w:r>
              <w:rPr>
                <w:rFonts w:ascii="Arial" w:cs="Arial" w:eastAsia="Arial" w:hAnsi="Arial"/>
                <w:sz w:val="17"/>
                <w:szCs w:val="17"/>
                <w:color w:val="auto"/>
                <w:w w:val="91"/>
              </w:rPr>
              <w:t>The Company hereby appoints [●] as Warrant Agent of the Company in respect of the Warrants and the Warrant Certificates</w:t>
            </w:r>
          </w:p>
        </w:tc>
      </w:tr>
    </w:tbl>
    <w:p>
      <w:pPr>
        <w:jc w:val="both"/>
        <w:spacing w:after="0" w:line="249" w:lineRule="auto"/>
        <w:rPr>
          <w:sz w:val="20"/>
          <w:szCs w:val="20"/>
          <w:color w:val="auto"/>
        </w:rPr>
      </w:pPr>
      <w:r>
        <w:rPr>
          <w:rFonts w:ascii="Arial" w:cs="Arial" w:eastAsia="Arial" w:hAnsi="Arial"/>
          <w:sz w:val="17"/>
          <w:szCs w:val="17"/>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9" w:name="page190"/>
    <w:bookmarkEnd w:id="189"/>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5.2 Conditions of Warrant Agent’s Obligations. </w:t>
      </w:r>
      <w:r>
        <w:rPr>
          <w:rFonts w:ascii="Arial" w:cs="Arial" w:eastAsia="Arial" w:hAnsi="Arial"/>
          <w:sz w:val="17"/>
          <w:szCs w:val="17"/>
          <w:color w:val="auto"/>
        </w:rPr>
        <w:t>The Warrant Agent accepts its obligations herein set forth upon the terms and conditions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following to all of which the Company agrees and to all of which the rights hereunder of the holders from time to time of the Warrant Certificates shall be subject:</w:t>
      </w:r>
    </w:p>
    <w:p>
      <w:pPr>
        <w:spacing w:after="0" w:line="169" w:lineRule="exact"/>
        <w:rPr>
          <w:sz w:val="20"/>
          <w:szCs w:val="20"/>
          <w:color w:val="auto"/>
        </w:rPr>
      </w:pPr>
    </w:p>
    <w:p>
      <w:pPr>
        <w:jc w:val="both"/>
        <w:ind w:firstLine="1207"/>
        <w:spacing w:after="0" w:line="252" w:lineRule="auto"/>
        <w:tabs>
          <w:tab w:leader="none" w:pos="2209"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 upon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5" w:lineRule="exact"/>
        <w:rPr>
          <w:rFonts w:ascii="Arial" w:cs="Arial" w:eastAsia="Arial" w:hAnsi="Arial"/>
          <w:sz w:val="17"/>
          <w:szCs w:val="17"/>
          <w:b w:val="1"/>
          <w:bCs w:val="1"/>
          <w:color w:val="auto"/>
        </w:rPr>
      </w:pPr>
    </w:p>
    <w:p>
      <w:pPr>
        <w:jc w:val="both"/>
        <w:ind w:firstLine="1207"/>
        <w:spacing w:after="0" w:line="260" w:lineRule="auto"/>
        <w:tabs>
          <w:tab w:leader="none" w:pos="2129"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Agent for the Company. </w:t>
      </w:r>
      <w:r>
        <w:rPr>
          <w:rFonts w:ascii="Arial" w:cs="Arial" w:eastAsia="Arial" w:hAnsi="Arial"/>
          <w:sz w:val="17"/>
          <w:szCs w:val="17"/>
          <w:color w:val="auto"/>
        </w:rPr>
        <w:t>In acting under this Agreement and in connection with the Warrant Certificates, the Warrant Agent is acting</w:t>
      </w:r>
      <w:r>
        <w:rPr>
          <w:rFonts w:ascii="Arial" w:cs="Arial" w:eastAsia="Arial" w:hAnsi="Arial"/>
          <w:sz w:val="17"/>
          <w:szCs w:val="17"/>
          <w:b w:val="1"/>
          <w:bCs w:val="1"/>
          <w:color w:val="auto"/>
        </w:rPr>
        <w:t xml:space="preserve"> </w:t>
      </w:r>
      <w:r>
        <w:rPr>
          <w:rFonts w:ascii="Arial" w:cs="Arial" w:eastAsia="Arial" w:hAnsi="Arial"/>
          <w:sz w:val="17"/>
          <w:szCs w:val="17"/>
          <w:color w:val="auto"/>
        </w:rPr>
        <w:t>solely as agent of the Company and does not assume any obligations or relationship of agency or trust for or with any of the holders of Warrant Certificates or beneficial owners of Warrants.</w:t>
      </w:r>
    </w:p>
    <w:p>
      <w:pPr>
        <w:spacing w:after="0" w:line="168" w:lineRule="exact"/>
        <w:rPr>
          <w:rFonts w:ascii="Arial" w:cs="Arial" w:eastAsia="Arial" w:hAnsi="Arial"/>
          <w:sz w:val="17"/>
          <w:szCs w:val="17"/>
          <w:b w:val="1"/>
          <w:bCs w:val="1"/>
          <w:color w:val="auto"/>
        </w:rPr>
      </w:pPr>
    </w:p>
    <w:p>
      <w:pPr>
        <w:jc w:val="both"/>
        <w:ind w:firstLine="1207"/>
        <w:spacing w:after="0" w:line="260" w:lineRule="auto"/>
        <w:tabs>
          <w:tab w:leader="none" w:pos="2145"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Counsel. </w:t>
      </w:r>
      <w:r>
        <w:rPr>
          <w:rFonts w:ascii="Arial" w:cs="Arial" w:eastAsia="Arial" w:hAnsi="Arial"/>
          <w:sz w:val="17"/>
          <w:szCs w:val="17"/>
          <w:color w:val="auto"/>
        </w:rPr>
        <w:t>The Warrant Agent may consult with counsel satisfactory to it, which may include counsel for the Company, and the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8" w:lineRule="exact"/>
        <w:rPr>
          <w:rFonts w:ascii="Arial" w:cs="Arial" w:eastAsia="Arial" w:hAnsi="Arial"/>
          <w:sz w:val="17"/>
          <w:szCs w:val="17"/>
          <w:b w:val="1"/>
          <w:bCs w:val="1"/>
          <w:color w:val="auto"/>
        </w:rPr>
      </w:pPr>
    </w:p>
    <w:p>
      <w:pPr>
        <w:jc w:val="both"/>
        <w:ind w:firstLine="1207"/>
        <w:spacing w:after="0" w:line="260" w:lineRule="auto"/>
        <w:tabs>
          <w:tab w:leader="none" w:pos="2157"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Documents. </w:t>
      </w:r>
      <w:r>
        <w:rPr>
          <w:rFonts w:ascii="Arial" w:cs="Arial" w:eastAsia="Arial" w:hAnsi="Arial"/>
          <w:sz w:val="17"/>
          <w:szCs w:val="17"/>
          <w:color w:val="auto"/>
        </w:rPr>
        <w:t>The Warrant Agent shall be protected and shall incur no liability for or in respect of any action taken or omitted by it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8" w:lineRule="exact"/>
        <w:rPr>
          <w:rFonts w:ascii="Arial" w:cs="Arial" w:eastAsia="Arial" w:hAnsi="Arial"/>
          <w:sz w:val="17"/>
          <w:szCs w:val="17"/>
          <w:b w:val="1"/>
          <w:bCs w:val="1"/>
          <w:color w:val="auto"/>
        </w:rPr>
      </w:pPr>
    </w:p>
    <w:p>
      <w:pPr>
        <w:jc w:val="both"/>
        <w:ind w:firstLine="1207"/>
        <w:spacing w:after="0" w:line="273" w:lineRule="auto"/>
        <w:tabs>
          <w:tab w:leader="none" w:pos="2107"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59" w:lineRule="exact"/>
        <w:rPr>
          <w:rFonts w:ascii="Arial" w:cs="Arial" w:eastAsia="Arial" w:hAnsi="Arial"/>
          <w:sz w:val="16"/>
          <w:szCs w:val="16"/>
          <w:b w:val="1"/>
          <w:bCs w:val="1"/>
          <w:color w:val="auto"/>
        </w:rPr>
      </w:pPr>
    </w:p>
    <w:p>
      <w:pPr>
        <w:ind w:firstLine="1207"/>
        <w:spacing w:after="0" w:line="273" w:lineRule="auto"/>
        <w:tabs>
          <w:tab w:leader="none" w:pos="2258"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Interest. </w:t>
      </w:r>
      <w:r>
        <w:rPr>
          <w:rFonts w:ascii="Arial" w:cs="Arial" w:eastAsia="Arial" w:hAnsi="Arial"/>
          <w:sz w:val="17"/>
          <w:szCs w:val="17"/>
          <w:color w:val="auto"/>
        </w:rPr>
        <w:t>Unless otherwise agreed with the Company, the Warrant Agent shall have no liability for interest on any</w:t>
      </w:r>
      <w:r>
        <w:rPr>
          <w:rFonts w:ascii="Arial" w:cs="Arial" w:eastAsia="Arial" w:hAnsi="Arial"/>
          <w:sz w:val="17"/>
          <w:szCs w:val="17"/>
          <w:b w:val="1"/>
          <w:bCs w:val="1"/>
          <w:color w:val="auto"/>
        </w:rPr>
        <w:t xml:space="preserve"> </w:t>
      </w:r>
      <w:r>
        <w:rPr>
          <w:rFonts w:ascii="Arial" w:cs="Arial" w:eastAsia="Arial" w:hAnsi="Arial"/>
          <w:sz w:val="17"/>
          <w:szCs w:val="17"/>
          <w:color w:val="auto"/>
        </w:rPr>
        <w:t>monies at any time received by it pursuant to any of the provisions of this Agreement or of the Warrant Certificates.</w:t>
      </w:r>
    </w:p>
    <w:p>
      <w:pPr>
        <w:spacing w:after="0" w:line="158" w:lineRule="exact"/>
        <w:rPr>
          <w:rFonts w:ascii="Arial" w:cs="Arial" w:eastAsia="Arial" w:hAnsi="Arial"/>
          <w:sz w:val="17"/>
          <w:szCs w:val="17"/>
          <w:b w:val="1"/>
          <w:bCs w:val="1"/>
          <w:color w:val="auto"/>
        </w:rPr>
      </w:pPr>
    </w:p>
    <w:p>
      <w:pPr>
        <w:ind w:firstLine="1207"/>
        <w:spacing w:after="0" w:line="273" w:lineRule="auto"/>
        <w:tabs>
          <w:tab w:leader="none" w:pos="2202"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Invalidity. </w:t>
      </w:r>
      <w:r>
        <w:rPr>
          <w:rFonts w:ascii="Arial" w:cs="Arial" w:eastAsia="Arial" w:hAnsi="Arial"/>
          <w:sz w:val="17"/>
          <w:szCs w:val="17"/>
          <w:color w:val="auto"/>
        </w:rPr>
        <w:t>The Warrant Agent shall have no liability with respect to any invalidity of this Agreement or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0" w:name="page191"/>
    <w:bookmarkEnd w:id="190"/>
    <w:p>
      <w:pPr>
        <w:ind w:firstLine="1207"/>
        <w:spacing w:after="0" w:line="305" w:lineRule="auto"/>
        <w:tabs>
          <w:tab w:leader="none" w:pos="2102"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 herein 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Warrant Certificates (except as to the Warrant Agent’s countersignature thereon), all of which are made solely by the Company.</w:t>
      </w:r>
    </w:p>
    <w:p>
      <w:pPr>
        <w:spacing w:after="0" w:line="135" w:lineRule="exact"/>
        <w:rPr>
          <w:rFonts w:ascii="Arial" w:cs="Arial" w:eastAsia="Arial" w:hAnsi="Arial"/>
          <w:sz w:val="16"/>
          <w:szCs w:val="16"/>
          <w:b w:val="1"/>
          <w:bCs w:val="1"/>
          <w:color w:val="auto"/>
        </w:rPr>
      </w:pPr>
    </w:p>
    <w:p>
      <w:pPr>
        <w:jc w:val="both"/>
        <w:ind w:firstLine="1207"/>
        <w:spacing w:after="0" w:line="267" w:lineRule="auto"/>
        <w:tabs>
          <w:tab w:leader="none" w:pos="2087"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Implied Obligations. </w:t>
      </w:r>
      <w:r>
        <w:rPr>
          <w:rFonts w:ascii="Arial" w:cs="Arial" w:eastAsia="Arial" w:hAnsi="Arial"/>
          <w:sz w:val="16"/>
          <w:szCs w:val="16"/>
          <w:color w:val="auto"/>
        </w:rPr>
        <w:t>The Warrant Agent shall be obligated to perform only such duties as are herein and in the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68"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1" w:lineRule="exact"/>
        <w:rPr>
          <w:sz w:val="20"/>
          <w:szCs w:val="20"/>
          <w:color w:val="auto"/>
        </w:rPr>
      </w:pPr>
    </w:p>
    <w:p>
      <w:pPr>
        <w:ind w:firstLine="1207"/>
        <w:spacing w:after="0" w:line="268" w:lineRule="auto"/>
        <w:tabs>
          <w:tab w:leader="none" w:pos="2285"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66" w:lineRule="exact"/>
        <w:rPr>
          <w:rFonts w:ascii="Arial" w:cs="Arial" w:eastAsia="Arial" w:hAnsi="Arial"/>
          <w:sz w:val="17"/>
          <w:szCs w:val="17"/>
          <w:b w:val="1"/>
          <w:bCs w:val="1"/>
          <w:color w:val="auto"/>
        </w:rPr>
      </w:pPr>
    </w:p>
    <w:p>
      <w:pPr>
        <w:jc w:val="both"/>
        <w:ind w:firstLine="1207"/>
        <w:spacing w:after="0" w:line="289" w:lineRule="auto"/>
        <w:tabs>
          <w:tab w:leader="none" w:pos="2077" w:val="left"/>
        </w:tabs>
        <w:numPr>
          <w:ilvl w:val="0"/>
          <w:numId w:val="177"/>
        </w:numPr>
        <w:rPr>
          <w:rFonts w:ascii="Arial" w:cs="Arial" w:eastAsia="Arial" w:hAnsi="Arial"/>
          <w:sz w:val="15"/>
          <w:szCs w:val="15"/>
          <w:b w:val="1"/>
          <w:bCs w:val="1"/>
          <w:color w:val="auto"/>
        </w:rPr>
      </w:pPr>
      <w:r>
        <w:rPr>
          <w:rFonts w:ascii="Arial" w:cs="Arial" w:eastAsia="Arial" w:hAnsi="Arial"/>
          <w:sz w:val="15"/>
          <w:szCs w:val="15"/>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54" w:lineRule="exact"/>
        <w:rPr>
          <w:rFonts w:ascii="Arial" w:cs="Arial" w:eastAsia="Arial" w:hAnsi="Arial"/>
          <w:sz w:val="15"/>
          <w:szCs w:val="15"/>
          <w:b w:val="1"/>
          <w:bCs w:val="1"/>
          <w:color w:val="auto"/>
        </w:rPr>
      </w:pPr>
    </w:p>
    <w:p>
      <w:pPr>
        <w:jc w:val="both"/>
        <w:ind w:firstLine="1207"/>
        <w:spacing w:after="0" w:line="265" w:lineRule="auto"/>
        <w:tabs>
          <w:tab w:leader="none" w:pos="2225" w:val="left"/>
        </w:tabs>
        <w:numPr>
          <w:ilvl w:val="0"/>
          <w:numId w:val="177"/>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1" w:name="page192"/>
    <w:bookmarkEnd w:id="191"/>
    <w:p>
      <w:pPr>
        <w:jc w:val="both"/>
        <w:ind w:firstLine="1207"/>
        <w:spacing w:after="0" w:line="293" w:lineRule="auto"/>
        <w:tabs>
          <w:tab w:leader="none" w:pos="2177" w:val="left"/>
        </w:tabs>
        <w:numPr>
          <w:ilvl w:val="0"/>
          <w:numId w:val="178"/>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3" w:lineRule="exact"/>
        <w:rPr>
          <w:rFonts w:ascii="Arial" w:cs="Arial" w:eastAsia="Arial" w:hAnsi="Arial"/>
          <w:sz w:val="15"/>
          <w:szCs w:val="15"/>
          <w:b w:val="1"/>
          <w:bCs w:val="1"/>
          <w:color w:val="auto"/>
        </w:rPr>
      </w:pPr>
    </w:p>
    <w:p>
      <w:pPr>
        <w:jc w:val="both"/>
        <w:ind w:firstLine="1207"/>
        <w:spacing w:after="0" w:line="252" w:lineRule="auto"/>
        <w:tabs>
          <w:tab w:leader="none" w:pos="2075"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10120" w:type="dxa"/>
            <w:vAlign w:val="bottom"/>
          </w:tcPr>
          <w:p>
            <w:pPr>
              <w:jc w:val="center"/>
              <w:ind w:right="1036"/>
              <w:spacing w:after="0"/>
              <w:rPr>
                <w:sz w:val="20"/>
                <w:szCs w:val="20"/>
                <w:color w:val="auto"/>
              </w:rPr>
            </w:pPr>
            <w:r>
              <w:rPr>
                <w:rFonts w:ascii="Arial" w:cs="Arial" w:eastAsia="Arial" w:hAnsi="Arial"/>
                <w:sz w:val="17"/>
                <w:szCs w:val="17"/>
                <w:b w:val="1"/>
                <w:bCs w:val="1"/>
                <w:color w:val="auto"/>
              </w:rPr>
              <w:t>ARTICLE 6</w:t>
            </w:r>
          </w:p>
        </w:tc>
      </w:tr>
      <w:tr>
        <w:trPr>
          <w:trHeight w:val="402"/>
        </w:trPr>
        <w:tc>
          <w:tcPr>
            <w:tcW w:w="520" w:type="dxa"/>
            <w:vAlign w:val="bottom"/>
          </w:tcPr>
          <w:p>
            <w:pPr>
              <w:spacing w:after="0"/>
              <w:rPr>
                <w:sz w:val="24"/>
                <w:szCs w:val="24"/>
                <w:color w:val="auto"/>
              </w:rPr>
            </w:pPr>
          </w:p>
        </w:tc>
        <w:tc>
          <w:tcPr>
            <w:tcW w:w="10120" w:type="dxa"/>
            <w:vAlign w:val="bottom"/>
          </w:tcPr>
          <w:p>
            <w:pPr>
              <w:jc w:val="center"/>
              <w:ind w:right="1036"/>
              <w:spacing w:after="0"/>
              <w:rPr>
                <w:sz w:val="20"/>
                <w:szCs w:val="20"/>
                <w:color w:val="auto"/>
              </w:rPr>
            </w:pPr>
            <w:r>
              <w:rPr>
                <w:rFonts w:ascii="Arial" w:cs="Arial" w:eastAsia="Arial" w:hAnsi="Arial"/>
                <w:sz w:val="17"/>
                <w:szCs w:val="17"/>
                <w:b w:val="1"/>
                <w:bCs w:val="1"/>
                <w:color w:val="auto"/>
              </w:rPr>
              <w:t>MISCELLANEOUS</w:t>
            </w:r>
          </w:p>
        </w:tc>
      </w:tr>
      <w:tr>
        <w:trPr>
          <w:trHeight w:val="402"/>
        </w:trPr>
        <w:tc>
          <w:tcPr>
            <w:tcW w:w="520" w:type="dxa"/>
            <w:vAlign w:val="bottom"/>
          </w:tcPr>
          <w:p>
            <w:pPr>
              <w:jc w:val="right"/>
              <w:ind w:right="216"/>
              <w:spacing w:after="0"/>
              <w:rPr>
                <w:sz w:val="20"/>
                <w:szCs w:val="20"/>
                <w:color w:val="auto"/>
              </w:rPr>
            </w:pPr>
            <w:r>
              <w:rPr>
                <w:rFonts w:ascii="Arial" w:cs="Arial" w:eastAsia="Arial" w:hAnsi="Arial"/>
                <w:sz w:val="17"/>
                <w:szCs w:val="17"/>
                <w:b w:val="1"/>
                <w:bCs w:val="1"/>
                <w:color w:val="auto"/>
                <w:w w:val="84"/>
              </w:rPr>
              <w:t>6.1</w:t>
            </w:r>
          </w:p>
        </w:tc>
        <w:tc>
          <w:tcPr>
            <w:tcW w:w="10120" w:type="dxa"/>
            <w:vAlign w:val="bottom"/>
          </w:tcPr>
          <w:p>
            <w:pPr>
              <w:ind w:left="320"/>
              <w:spacing w:after="0"/>
              <w:rPr>
                <w:sz w:val="20"/>
                <w:szCs w:val="20"/>
                <w:color w:val="auto"/>
              </w:rPr>
            </w:pPr>
            <w:r>
              <w:rPr>
                <w:rFonts w:ascii="Arial" w:cs="Arial" w:eastAsia="Arial" w:hAnsi="Arial"/>
                <w:sz w:val="17"/>
                <w:szCs w:val="17"/>
                <w:b w:val="1"/>
                <w:bCs w:val="1"/>
                <w:color w:val="auto"/>
                <w:w w:val="88"/>
              </w:rPr>
              <w:t xml:space="preserve">Amendment. </w:t>
            </w:r>
            <w:r>
              <w:rPr>
                <w:rFonts w:ascii="Arial" w:cs="Arial" w:eastAsia="Arial" w:hAnsi="Arial"/>
                <w:sz w:val="17"/>
                <w:szCs w:val="17"/>
                <w:color w:val="auto"/>
                <w:w w:val="88"/>
              </w:rPr>
              <w:t>This Agreement may be amended by the parties hereto, without the consent of the holder of any Warrant Certificate, for the purpose</w:t>
            </w:r>
          </w:p>
        </w:tc>
      </w:tr>
    </w:tbl>
    <w:p>
      <w:pPr>
        <w:jc w:val="both"/>
        <w:spacing w:after="0" w:line="250" w:lineRule="auto"/>
        <w:rPr>
          <w:sz w:val="20"/>
          <w:szCs w:val="20"/>
          <w:color w:val="auto"/>
        </w:rPr>
      </w:pPr>
      <w:r>
        <w:rPr>
          <w:rFonts w:ascii="Arial" w:cs="Arial" w:eastAsia="Arial" w:hAnsi="Arial"/>
          <w:sz w:val="17"/>
          <w:szCs w:val="17"/>
          <w:color w:val="auto"/>
        </w:rPr>
        <w:t>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7"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6.2 Notices and Demands to the Company and Warrant Agent. </w:t>
      </w:r>
      <w:r>
        <w:rPr>
          <w:rFonts w:ascii="Arial" w:cs="Arial" w:eastAsia="Arial" w:hAnsi="Arial"/>
          <w:sz w:val="17"/>
          <w:szCs w:val="17"/>
          <w:color w:val="auto"/>
        </w:rPr>
        <w:t>If the Warrant Agent shall receive any notice or demand addressed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by the holder of a Warrant Certificate pursuant to the provisions of the Warrant Certificates, the Warrant Agent shall promptly forward such notice or demand to the Company.</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6.3 Addresses. </w:t>
      </w:r>
      <w:r>
        <w:rPr>
          <w:rFonts w:ascii="Arial" w:cs="Arial" w:eastAsia="Arial" w:hAnsi="Arial"/>
          <w:sz w:val="17"/>
          <w:szCs w:val="17"/>
          <w:color w:val="auto"/>
        </w:rPr>
        <w:t>Any communication from the Company to the Warrant Agent with respect to this Agreement shall be addressed to [●], Attention: [●]</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6.4</w:t>
            </w:r>
          </w:p>
        </w:tc>
        <w:tc>
          <w:tcPr>
            <w:tcW w:w="10100" w:type="dxa"/>
            <w:vAlign w:val="bottom"/>
          </w:tcPr>
          <w:p>
            <w:pPr>
              <w:jc w:val="right"/>
              <w:spacing w:after="0"/>
              <w:rPr>
                <w:sz w:val="20"/>
                <w:szCs w:val="20"/>
                <w:color w:val="auto"/>
              </w:rPr>
            </w:pPr>
            <w:r>
              <w:rPr>
                <w:rFonts w:ascii="Arial" w:cs="Arial" w:eastAsia="Arial" w:hAnsi="Arial"/>
                <w:sz w:val="17"/>
                <w:szCs w:val="17"/>
                <w:b w:val="1"/>
                <w:bCs w:val="1"/>
                <w:color w:val="auto"/>
                <w:w w:val="91"/>
              </w:rPr>
              <w:t xml:space="preserve">Governing Law. </w:t>
            </w:r>
            <w:r>
              <w:rPr>
                <w:rFonts w:ascii="Arial" w:cs="Arial" w:eastAsia="Arial" w:hAnsi="Arial"/>
                <w:sz w:val="17"/>
                <w:szCs w:val="17"/>
                <w:color w:val="auto"/>
                <w:w w:val="91"/>
              </w:rPr>
              <w:t>This Agreement and each Warrant Certificate issued hereunder shall be governed by and construed in accordance with the laws</w:t>
            </w:r>
          </w:p>
        </w:tc>
      </w:tr>
      <w:tr>
        <w:trPr>
          <w:trHeight w:val="213"/>
        </w:trPr>
        <w:tc>
          <w:tcPr>
            <w:tcW w:w="11240" w:type="dxa"/>
            <w:vAlign w:val="bottom"/>
            <w:gridSpan w:val="2"/>
          </w:tcPr>
          <w:p>
            <w:pPr>
              <w:jc w:val="right"/>
              <w:ind w:right="9436"/>
              <w:spacing w:after="0"/>
              <w:rPr>
                <w:sz w:val="20"/>
                <w:szCs w:val="20"/>
                <w:color w:val="auto"/>
              </w:rPr>
            </w:pPr>
            <w:r>
              <w:rPr>
                <w:rFonts w:ascii="Arial" w:cs="Arial" w:eastAsia="Arial" w:hAnsi="Arial"/>
                <w:sz w:val="17"/>
                <w:szCs w:val="17"/>
                <w:color w:val="auto"/>
                <w:w w:val="89"/>
              </w:rPr>
              <w:t>of the State of New York.</w:t>
            </w:r>
          </w:p>
        </w:tc>
      </w:tr>
      <w:tr>
        <w:trPr>
          <w:trHeight w:val="402"/>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6.5</w:t>
            </w:r>
          </w:p>
        </w:tc>
        <w:tc>
          <w:tcPr>
            <w:tcW w:w="10100" w:type="dxa"/>
            <w:vAlign w:val="bottom"/>
          </w:tcPr>
          <w:p>
            <w:pPr>
              <w:jc w:val="right"/>
              <w:spacing w:after="0"/>
              <w:rPr>
                <w:sz w:val="20"/>
                <w:szCs w:val="20"/>
                <w:color w:val="auto"/>
              </w:rPr>
            </w:pPr>
            <w:r>
              <w:rPr>
                <w:rFonts w:ascii="Arial" w:cs="Arial" w:eastAsia="Arial" w:hAnsi="Arial"/>
                <w:sz w:val="17"/>
                <w:szCs w:val="17"/>
                <w:b w:val="1"/>
                <w:bCs w:val="1"/>
                <w:color w:val="auto"/>
                <w:w w:val="96"/>
              </w:rPr>
              <w:t xml:space="preserve">Delivery of Prospectus. </w:t>
            </w:r>
            <w:r>
              <w:rPr>
                <w:rFonts w:ascii="Arial" w:cs="Arial" w:eastAsia="Arial" w:hAnsi="Arial"/>
                <w:sz w:val="17"/>
                <w:szCs w:val="17"/>
                <w:color w:val="auto"/>
                <w:w w:val="96"/>
              </w:rPr>
              <w:t>The Company shall furnish to the Warrant Agent sufficient copies of a prospectus meeting the requirements of the</w:t>
            </w:r>
          </w:p>
        </w:tc>
      </w:tr>
    </w:tbl>
    <w:p>
      <w:pPr>
        <w:jc w:val="both"/>
        <w:spacing w:after="0" w:line="249" w:lineRule="auto"/>
        <w:rPr>
          <w:sz w:val="20"/>
          <w:szCs w:val="20"/>
          <w:color w:val="auto"/>
        </w:rPr>
      </w:pP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2" w:name="page193"/>
    <w:bookmarkEnd w:id="192"/>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6.7</w:t>
            </w:r>
          </w:p>
        </w:tc>
        <w:tc>
          <w:tcPr>
            <w:tcW w:w="10100" w:type="dxa"/>
            <w:vAlign w:val="bottom"/>
          </w:tcPr>
          <w:p>
            <w:pPr>
              <w:jc w:val="right"/>
              <w:spacing w:after="0"/>
              <w:rPr>
                <w:sz w:val="20"/>
                <w:szCs w:val="20"/>
                <w:color w:val="auto"/>
              </w:rPr>
            </w:pPr>
            <w:r>
              <w:rPr>
                <w:rFonts w:ascii="Arial" w:cs="Arial" w:eastAsia="Arial" w:hAnsi="Arial"/>
                <w:sz w:val="17"/>
                <w:szCs w:val="17"/>
                <w:b w:val="1"/>
                <w:bCs w:val="1"/>
                <w:color w:val="auto"/>
                <w:w w:val="92"/>
              </w:rPr>
              <w:t xml:space="preserve">Persons Having Rights Under the Agreement. </w:t>
            </w:r>
            <w:r>
              <w:rPr>
                <w:rFonts w:ascii="Arial" w:cs="Arial" w:eastAsia="Arial" w:hAnsi="Arial"/>
                <w:sz w:val="17"/>
                <w:szCs w:val="17"/>
                <w:color w:val="auto"/>
                <w:w w:val="92"/>
              </w:rPr>
              <w:t>Nothing in this Agreement shall give to any person other than the Company, the Warrant Agent</w:t>
            </w:r>
          </w:p>
        </w:tc>
      </w:tr>
      <w:tr>
        <w:trPr>
          <w:trHeight w:val="213"/>
        </w:trPr>
        <w:tc>
          <w:tcPr>
            <w:tcW w:w="11240" w:type="dxa"/>
            <w:vAlign w:val="bottom"/>
            <w:gridSpan w:val="2"/>
          </w:tcPr>
          <w:p>
            <w:pPr>
              <w:spacing w:after="0"/>
              <w:rPr>
                <w:sz w:val="20"/>
                <w:szCs w:val="20"/>
                <w:color w:val="auto"/>
              </w:rPr>
            </w:pPr>
            <w:r>
              <w:rPr>
                <w:rFonts w:ascii="Arial" w:cs="Arial" w:eastAsia="Arial" w:hAnsi="Arial"/>
                <w:sz w:val="17"/>
                <w:szCs w:val="17"/>
                <w:color w:val="auto"/>
              </w:rPr>
              <w:t>and the holders of the Warrant Certificates any right, remedy or claim under or by reason of this Agreement.</w:t>
            </w:r>
          </w:p>
        </w:tc>
      </w:tr>
      <w:tr>
        <w:trPr>
          <w:trHeight w:val="390"/>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6.8</w:t>
            </w:r>
          </w:p>
        </w:tc>
        <w:tc>
          <w:tcPr>
            <w:tcW w:w="10100" w:type="dxa"/>
            <w:vAlign w:val="bottom"/>
          </w:tcPr>
          <w:p>
            <w:pPr>
              <w:jc w:val="right"/>
              <w:spacing w:after="0"/>
              <w:rPr>
                <w:sz w:val="20"/>
                <w:szCs w:val="20"/>
                <w:color w:val="auto"/>
              </w:rPr>
            </w:pPr>
            <w:r>
              <w:rPr>
                <w:rFonts w:ascii="Arial" w:cs="Arial" w:eastAsia="Arial" w:hAnsi="Arial"/>
                <w:sz w:val="17"/>
                <w:szCs w:val="17"/>
                <w:b w:val="1"/>
                <w:bCs w:val="1"/>
                <w:color w:val="auto"/>
                <w:w w:val="92"/>
              </w:rPr>
              <w:t xml:space="preserve">Headings. </w:t>
            </w:r>
            <w:r>
              <w:rPr>
                <w:rFonts w:ascii="Arial" w:cs="Arial" w:eastAsia="Arial" w:hAnsi="Arial"/>
                <w:sz w:val="17"/>
                <w:szCs w:val="17"/>
                <w:color w:val="auto"/>
                <w:w w:val="92"/>
              </w:rPr>
              <w:t>The descriptive headings of the several Articles and Sections of this Agreement are inserted for convenience only and shall not control</w:t>
            </w:r>
          </w:p>
        </w:tc>
      </w:tr>
      <w:tr>
        <w:trPr>
          <w:trHeight w:val="213"/>
        </w:trPr>
        <w:tc>
          <w:tcPr>
            <w:tcW w:w="11240" w:type="dxa"/>
            <w:vAlign w:val="bottom"/>
            <w:gridSpan w:val="2"/>
          </w:tcPr>
          <w:p>
            <w:pPr>
              <w:spacing w:after="0"/>
              <w:rPr>
                <w:sz w:val="20"/>
                <w:szCs w:val="20"/>
                <w:color w:val="auto"/>
              </w:rPr>
            </w:pPr>
            <w:r>
              <w:rPr>
                <w:rFonts w:ascii="Arial" w:cs="Arial" w:eastAsia="Arial" w:hAnsi="Arial"/>
                <w:sz w:val="17"/>
                <w:szCs w:val="17"/>
                <w:color w:val="auto"/>
              </w:rPr>
              <w:t>or affect the meaning or construction of any of the provisions hereof.</w:t>
            </w:r>
          </w:p>
        </w:tc>
      </w:tr>
      <w:tr>
        <w:trPr>
          <w:trHeight w:val="402"/>
        </w:trPr>
        <w:tc>
          <w:tcPr>
            <w:tcW w:w="1140" w:type="dxa"/>
            <w:vAlign w:val="bottom"/>
          </w:tcPr>
          <w:p>
            <w:pPr>
              <w:jc w:val="right"/>
              <w:ind w:right="236"/>
              <w:spacing w:after="0"/>
              <w:rPr>
                <w:sz w:val="20"/>
                <w:szCs w:val="20"/>
                <w:color w:val="auto"/>
              </w:rPr>
            </w:pPr>
            <w:r>
              <w:rPr>
                <w:rFonts w:ascii="Arial" w:cs="Arial" w:eastAsia="Arial" w:hAnsi="Arial"/>
                <w:sz w:val="17"/>
                <w:szCs w:val="17"/>
                <w:b w:val="1"/>
                <w:bCs w:val="1"/>
                <w:color w:val="auto"/>
              </w:rPr>
              <w:t>6.9</w:t>
            </w:r>
          </w:p>
        </w:tc>
        <w:tc>
          <w:tcPr>
            <w:tcW w:w="10100" w:type="dxa"/>
            <w:vAlign w:val="bottom"/>
          </w:tcPr>
          <w:p>
            <w:pPr>
              <w:jc w:val="right"/>
              <w:spacing w:after="0"/>
              <w:rPr>
                <w:sz w:val="20"/>
                <w:szCs w:val="20"/>
                <w:color w:val="auto"/>
              </w:rPr>
            </w:pPr>
            <w:r>
              <w:rPr>
                <w:rFonts w:ascii="Arial" w:cs="Arial" w:eastAsia="Arial" w:hAnsi="Arial"/>
                <w:sz w:val="17"/>
                <w:szCs w:val="17"/>
                <w:b w:val="1"/>
                <w:bCs w:val="1"/>
                <w:color w:val="auto"/>
                <w:w w:val="92"/>
              </w:rPr>
              <w:t xml:space="preserve">Counterparts. </w:t>
            </w:r>
            <w:r>
              <w:rPr>
                <w:rFonts w:ascii="Arial" w:cs="Arial" w:eastAsia="Arial" w:hAnsi="Arial"/>
                <w:sz w:val="17"/>
                <w:szCs w:val="17"/>
                <w:color w:val="auto"/>
                <w:w w:val="92"/>
              </w:rPr>
              <w:t>This Agreement may be executed in any number of counterparts, each of which as so executed shall be deemed to be an original,</w:t>
            </w:r>
          </w:p>
        </w:tc>
      </w:tr>
    </w:tbl>
    <w:p>
      <w:pPr>
        <w:spacing w:after="0"/>
        <w:rPr>
          <w:sz w:val="20"/>
          <w:szCs w:val="20"/>
          <w:color w:val="auto"/>
        </w:rPr>
      </w:pPr>
      <w:r>
        <w:rPr>
          <w:rFonts w:ascii="Arial" w:cs="Arial" w:eastAsia="Arial" w:hAnsi="Arial"/>
          <w:sz w:val="17"/>
          <w:szCs w:val="17"/>
          <w:color w:val="auto"/>
        </w:rPr>
        <w:t>but such counterparts shall together constitute but one and the same instrument.</w:t>
      </w:r>
    </w:p>
    <w:p>
      <w:pPr>
        <w:spacing w:after="0" w:line="190"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6.10 Inspection of Agreement. </w:t>
      </w:r>
      <w:r>
        <w:rPr>
          <w:rFonts w:ascii="Arial" w:cs="Arial" w:eastAsia="Arial" w:hAnsi="Arial"/>
          <w:sz w:val="17"/>
          <w:szCs w:val="17"/>
          <w:color w:val="auto"/>
        </w:rPr>
        <w:t>A copy of this Agreement shall be available at all reasonable times at the principal corporate trust office of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Agent for inspection by the holder of any Warrant Certificate. The Warrant Agent may require such holder to submit such holder’s Warrant Certificate for inspection by it.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3" w:name="page194"/>
    <w:bookmarkEnd w:id="193"/>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hereto have caused this Agreement to be duly executed as of the day and year first above written.</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as Company</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195"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13970</wp:posOffset>
            </wp:positionV>
            <wp:extent cx="31521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149860</wp:posOffset>
            </wp:positionV>
            <wp:extent cx="31521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OUNTERSIGNED</w:t>
      </w:r>
    </w:p>
    <w:p>
      <w:pPr>
        <w:spacing w:after="0" w:line="20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195"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13970</wp:posOffset>
            </wp:positionV>
            <wp:extent cx="31521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149860</wp:posOffset>
            </wp:positionV>
            <wp:extent cx="31521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w:t>
      </w:r>
      <w:r>
        <w:rPr>
          <w:rFonts w:ascii="Arial" w:cs="Arial" w:eastAsia="Arial" w:hAnsi="Arial"/>
          <w:sz w:val="13"/>
          <w:szCs w:val="13"/>
          <w:color w:val="auto"/>
        </w:rPr>
        <w:t>IGNATURE</w:t>
      </w:r>
      <w:r>
        <w:rPr>
          <w:rFonts w:ascii="Arial" w:cs="Arial" w:eastAsia="Arial" w:hAnsi="Arial"/>
          <w:sz w:val="17"/>
          <w:szCs w:val="17"/>
          <w:color w:val="auto"/>
        </w:rPr>
        <w:t xml:space="preserve"> P</w:t>
      </w:r>
      <w:r>
        <w:rPr>
          <w:rFonts w:ascii="Arial" w:cs="Arial" w:eastAsia="Arial" w:hAnsi="Arial"/>
          <w:sz w:val="13"/>
          <w:szCs w:val="13"/>
          <w:color w:val="auto"/>
        </w:rPr>
        <w:t>AGE</w:t>
      </w:r>
      <w:r>
        <w:rPr>
          <w:rFonts w:ascii="Arial" w:cs="Arial" w:eastAsia="Arial" w:hAnsi="Arial"/>
          <w:sz w:val="17"/>
          <w:szCs w:val="17"/>
          <w:color w:val="auto"/>
        </w:rPr>
        <w:t xml:space="preserve"> T</w:t>
      </w:r>
      <w:r>
        <w:rPr>
          <w:rFonts w:ascii="Arial" w:cs="Arial" w:eastAsia="Arial" w:hAnsi="Arial"/>
          <w:sz w:val="13"/>
          <w:szCs w:val="13"/>
          <w:color w:val="auto"/>
        </w:rPr>
        <w:t>O</w:t>
      </w:r>
      <w:r>
        <w:rPr>
          <w:rFonts w:ascii="Arial" w:cs="Arial" w:eastAsia="Arial" w:hAnsi="Arial"/>
          <w:sz w:val="17"/>
          <w:szCs w:val="17"/>
          <w:color w:val="auto"/>
        </w:rPr>
        <w:t xml:space="preserve"> M</w:t>
      </w:r>
      <w:r>
        <w:rPr>
          <w:rFonts w:ascii="Arial" w:cs="Arial" w:eastAsia="Arial" w:hAnsi="Arial"/>
          <w:sz w:val="13"/>
          <w:szCs w:val="13"/>
          <w:color w:val="auto"/>
        </w:rPr>
        <w:t>ARKER</w:t>
      </w:r>
      <w:r>
        <w:rPr>
          <w:rFonts w:ascii="Arial" w:cs="Arial" w:eastAsia="Arial" w:hAnsi="Arial"/>
          <w:sz w:val="17"/>
          <w:szCs w:val="17"/>
          <w:color w:val="auto"/>
        </w:rPr>
        <w:t xml:space="preserve"> T</w:t>
      </w:r>
      <w:r>
        <w:rPr>
          <w:rFonts w:ascii="Arial" w:cs="Arial" w:eastAsia="Arial" w:hAnsi="Arial"/>
          <w:sz w:val="13"/>
          <w:szCs w:val="13"/>
          <w:color w:val="auto"/>
        </w:rPr>
        <w:t>HERAPEUTICS,</w:t>
      </w:r>
      <w:r>
        <w:rPr>
          <w:rFonts w:ascii="Arial" w:cs="Arial" w:eastAsia="Arial" w:hAnsi="Arial"/>
          <w:sz w:val="17"/>
          <w:szCs w:val="17"/>
          <w:color w:val="auto"/>
        </w:rPr>
        <w:t xml:space="preserve"> I</w:t>
      </w:r>
      <w:r>
        <w:rPr>
          <w:rFonts w:ascii="Arial" w:cs="Arial" w:eastAsia="Arial" w:hAnsi="Arial"/>
          <w:sz w:val="13"/>
          <w:szCs w:val="13"/>
          <w:color w:val="auto"/>
        </w:rPr>
        <w:t>NC.</w:t>
      </w:r>
      <w:r>
        <w:rPr>
          <w:rFonts w:ascii="Arial" w:cs="Arial" w:eastAsia="Arial" w:hAnsi="Arial"/>
          <w:sz w:val="17"/>
          <w:szCs w:val="17"/>
          <w:color w:val="auto"/>
        </w:rPr>
        <w:t xml:space="preserve"> P</w:t>
      </w:r>
      <w:r>
        <w:rPr>
          <w:rFonts w:ascii="Arial" w:cs="Arial" w:eastAsia="Arial" w:hAnsi="Arial"/>
          <w:sz w:val="13"/>
          <w:szCs w:val="13"/>
          <w:color w:val="auto"/>
        </w:rPr>
        <w:t>REFERRED</w:t>
      </w:r>
      <w:r>
        <w:rPr>
          <w:rFonts w:ascii="Arial" w:cs="Arial" w:eastAsia="Arial" w:hAnsi="Arial"/>
          <w:sz w:val="17"/>
          <w:szCs w:val="17"/>
          <w:color w:val="auto"/>
        </w:rPr>
        <w:t xml:space="preserve"> S</w:t>
      </w:r>
      <w:r>
        <w:rPr>
          <w:rFonts w:ascii="Arial" w:cs="Arial" w:eastAsia="Arial" w:hAnsi="Arial"/>
          <w:sz w:val="13"/>
          <w:szCs w:val="13"/>
          <w:color w:val="auto"/>
        </w:rPr>
        <w:t>TOCK</w:t>
      </w:r>
      <w:r>
        <w:rPr>
          <w:rFonts w:ascii="Arial" w:cs="Arial" w:eastAsia="Arial" w:hAnsi="Arial"/>
          <w:sz w:val="17"/>
          <w:szCs w:val="17"/>
          <w:color w:val="auto"/>
        </w:rPr>
        <w:t xml:space="preserve"> W</w:t>
      </w:r>
      <w:r>
        <w:rPr>
          <w:rFonts w:ascii="Arial" w:cs="Arial" w:eastAsia="Arial" w:hAnsi="Arial"/>
          <w:sz w:val="13"/>
          <w:szCs w:val="13"/>
          <w:color w:val="auto"/>
        </w:rPr>
        <w:t>ARRANT</w:t>
      </w:r>
      <w:r>
        <w:rPr>
          <w:rFonts w:ascii="Arial" w:cs="Arial" w:eastAsia="Arial" w:hAnsi="Arial"/>
          <w:sz w:val="17"/>
          <w:szCs w:val="17"/>
          <w:color w:val="auto"/>
        </w:rPr>
        <w:t xml:space="preserve"> A</w:t>
      </w:r>
      <w:r>
        <w:rPr>
          <w:rFonts w:ascii="Arial" w:cs="Arial" w:eastAsia="Arial" w:hAnsi="Arial"/>
          <w:sz w:val="13"/>
          <w:szCs w:val="13"/>
          <w:color w:val="auto"/>
        </w:rPr>
        <w:t>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410210</wp:posOffset>
            </wp:positionV>
            <wp:extent cx="71418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52"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FORM OF WARRANT CERTIFICATE</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[FACE OF WARRANT CERTIFICATE]</w:t>
      </w:r>
    </w:p>
    <w:p>
      <w:pPr>
        <w:spacing w:after="0" w:line="200" w:lineRule="exact"/>
        <w:rPr>
          <w:sz w:val="20"/>
          <w:szCs w:val="20"/>
          <w:color w:val="auto"/>
        </w:rPr>
      </w:pPr>
    </w:p>
    <w:p>
      <w:pPr>
        <w:spacing w:after="0" w:line="221" w:lineRule="exact"/>
        <w:rPr>
          <w:sz w:val="20"/>
          <w:szCs w:val="20"/>
          <w:color w:val="auto"/>
        </w:rPr>
      </w:pPr>
    </w:p>
    <w:p>
      <w:pPr>
        <w:spacing w:after="0"/>
        <w:tabs>
          <w:tab w:leader="none" w:pos="572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of Legend if Warrants are not immediately exercisable.]</w:t>
      </w:r>
      <w:r>
        <w:rPr>
          <w:sz w:val="20"/>
          <w:szCs w:val="20"/>
          <w:color w:val="auto"/>
        </w:rPr>
        <w:tab/>
      </w:r>
      <w:r>
        <w:rPr>
          <w:rFonts w:ascii="Arial" w:cs="Arial" w:eastAsia="Arial" w:hAnsi="Arial"/>
          <w:sz w:val="15"/>
          <w:szCs w:val="15"/>
          <w:color w:val="auto"/>
        </w:rPr>
        <w:t>[Prior to [●], Warrants evidenced by this Warrant Certificate cannot be exercised.]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t>MARKER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[TITLE OF WARRANT SECURITIES]</w:t>
      </w:r>
    </w:p>
    <w:p>
      <w:pPr>
        <w:spacing w:after="0" w:line="194" w:lineRule="exact"/>
        <w:rPr>
          <w:sz w:val="20"/>
          <w:szCs w:val="20"/>
          <w:color w:val="auto"/>
        </w:rPr>
      </w:pPr>
    </w:p>
    <w:p>
      <w:pPr>
        <w:ind w:left="40"/>
        <w:spacing w:after="0"/>
        <w:tabs>
          <w:tab w:leader="none" w:pos="10380" w:val="left"/>
        </w:tabs>
        <w:rPr>
          <w:sz w:val="20"/>
          <w:szCs w:val="20"/>
          <w:color w:val="auto"/>
        </w:rPr>
      </w:pPr>
      <w:r>
        <w:rPr>
          <w:rFonts w:ascii="Arial" w:cs="Arial" w:eastAsia="Arial" w:hAnsi="Arial"/>
          <w:sz w:val="17"/>
          <w:szCs w:val="17"/>
          <w:color w:val="auto"/>
        </w:rPr>
        <w:t>No. [●]</w:t>
      </w:r>
      <w:r>
        <w:rPr>
          <w:sz w:val="20"/>
          <w:szCs w:val="20"/>
          <w:color w:val="auto"/>
        </w:rPr>
        <w:tab/>
      </w:r>
      <w:r>
        <w:rPr>
          <w:rFonts w:ascii="Arial" w:cs="Arial" w:eastAsia="Arial" w:hAnsi="Arial"/>
          <w:sz w:val="15"/>
          <w:szCs w:val="15"/>
          <w:color w:val="auto"/>
        </w:rPr>
        <w:t>[●] Warrants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67"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418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6" w:name="page197"/>
    <w:bookmarkEnd w:id="196"/>
    <w:p>
      <w:pPr>
        <w:spacing w:after="0" w:line="268" w:lineRule="auto"/>
        <w:rPr>
          <w:sz w:val="20"/>
          <w:szCs w:val="20"/>
          <w:color w:val="auto"/>
        </w:rPr>
      </w:pPr>
      <w:r>
        <w:rPr>
          <w:rFonts w:ascii="Arial" w:cs="Arial" w:eastAsia="Arial" w:hAnsi="Arial"/>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color w:val="auto"/>
        </w:rPr>
        <w:t>, the Company has caused this Warrant to be executed in its name and on its behalf by the facsimile signatures of its duly authorized officers.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11430</wp:posOffset>
            </wp:positionV>
            <wp:extent cx="6305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3055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as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-123190</wp:posOffset>
            </wp:positionV>
            <wp:extent cx="61366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19685</wp:posOffset>
            </wp:positionV>
            <wp:extent cx="61366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-115570</wp:posOffset>
            </wp:positionV>
            <wp:extent cx="61366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149860</wp:posOffset>
            </wp:positionV>
            <wp:extent cx="61366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13970</wp:posOffset>
            </wp:positionV>
            <wp:extent cx="61366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-123190</wp:posOffset>
            </wp:positionV>
            <wp:extent cx="61366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19685</wp:posOffset>
            </wp:positionV>
            <wp:extent cx="61366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-115570</wp:posOffset>
            </wp:positionV>
            <wp:extent cx="61366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149860</wp:posOffset>
            </wp:positionV>
            <wp:extent cx="61366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13970</wp:posOffset>
            </wp:positionV>
            <wp:extent cx="61366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556895</wp:posOffset>
            </wp:positionV>
            <wp:extent cx="71418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hereby irrevocably elects to exercise ______ Warrants, evidenced by this Warrant Certificate, to purchase _______ shares of the [TITLE OF</w:t>
      </w:r>
    </w:p>
    <w:p>
      <w:pPr>
        <w:spacing w:after="0" w:line="4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71" w:lineRule="exact"/>
        <w:rPr>
          <w:sz w:val="20"/>
          <w:szCs w:val="20"/>
          <w:color w:val="auto"/>
        </w:rPr>
      </w:pPr>
    </w:p>
    <w:p>
      <w:pPr>
        <w:jc w:val="both"/>
        <w:ind w:firstLine="603"/>
        <w:spacing w:after="0" w:line="336" w:lineRule="auto"/>
        <w:rPr>
          <w:sz w:val="20"/>
          <w:szCs w:val="20"/>
          <w:color w:val="auto"/>
        </w:rPr>
      </w:pPr>
      <w:r>
        <w:rPr>
          <w:rFonts w:ascii="Arial" w:cs="Arial" w:eastAsia="Arial" w:hAnsi="Arial"/>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20" w:lineRule="exact"/>
        <w:rPr>
          <w:sz w:val="20"/>
          <w:szCs w:val="20"/>
          <w:color w:val="auto"/>
        </w:rPr>
      </w:pPr>
    </w:p>
    <w:p>
      <w:pPr>
        <w:spacing w:after="0"/>
        <w:tabs>
          <w:tab w:leader="none" w:pos="502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11430</wp:posOffset>
            </wp:positionV>
            <wp:extent cx="6647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647180" cy="8255"/>
                    </a:xfrm>
                    <a:prstGeom prst="rect">
                      <a:avLst/>
                    </a:prstGeom>
                    <a:noFill/>
                  </pic:spPr>
                </pic:pic>
              </a:graphicData>
            </a:graphic>
          </wp:anchor>
        </w:drawing>
      </w:r>
    </w:p>
    <w:p>
      <w:pPr>
        <w:ind w:left="8120"/>
        <w:spacing w:after="0"/>
        <w:rPr>
          <w:sz w:val="20"/>
          <w:szCs w:val="20"/>
          <w:color w:val="auto"/>
        </w:rPr>
      </w:pPr>
      <w:r>
        <w:rPr>
          <w:rFonts w:ascii="Arial" w:cs="Arial" w:eastAsia="Arial" w:hAnsi="Arial"/>
          <w:sz w:val="17"/>
          <w:szCs w:val="17"/>
          <w:color w:val="auto"/>
        </w:rPr>
        <w:t>Please Print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35750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(Insert Social Security or Other Identifying Number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of Holder)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11430</wp:posOffset>
            </wp:positionV>
            <wp:extent cx="14281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7"/>
          <w:szCs w:val="17"/>
          <w:color w:val="auto"/>
        </w:rPr>
        <w:t>Signature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(Signature must conform in all respects to name of holder as specified on the face of this Warrant Certificate and must bear a signature guarantee by a FINRA member firm).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color w:val="auto"/>
        </w:rPr>
        <w:t>By mail at: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8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V</w:t>
      </w:r>
      <w:r>
        <w:rPr>
          <w:rFonts w:ascii="Arial" w:cs="Arial" w:eastAsia="Arial" w:hAnsi="Arial"/>
          <w:sz w:val="11"/>
          <w:szCs w:val="11"/>
          <w:b w:val="1"/>
          <w:bCs w:val="1"/>
          <w:color w:val="auto"/>
        </w:rPr>
        <w:t>ALUE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ECEIVED</w:t>
      </w:r>
      <w:r>
        <w:rPr>
          <w:rFonts w:ascii="Arial" w:cs="Arial" w:eastAsia="Arial" w:hAnsi="Arial"/>
          <w:sz w:val="17"/>
          <w:szCs w:val="17"/>
          <w:b w:val="1"/>
          <w:bCs w:val="1"/>
          <w:color w:val="auto"/>
        </w:rPr>
        <w:t xml:space="preserve">, </w:t>
      </w:r>
      <w:r>
        <w:rPr>
          <w:rFonts w:ascii="Arial" w:cs="Arial" w:eastAsia="Arial" w:hAnsi="Arial"/>
          <w:sz w:val="17"/>
          <w:szCs w:val="17"/>
          <w:color w:val="auto"/>
        </w:rPr>
        <w:t>______________ hereby sells, assigns and transfers unto:</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81"/>
        </w:trPr>
        <w:tc>
          <w:tcPr>
            <w:tcW w:w="4540" w:type="dxa"/>
            <w:vAlign w:val="bottom"/>
            <w:gridSpan w:val="2"/>
          </w:tcPr>
          <w:p>
            <w:pPr>
              <w:ind w:left="40"/>
              <w:spacing w:after="0" w:line="181" w:lineRule="exact"/>
              <w:rPr>
                <w:sz w:val="20"/>
                <w:szCs w:val="20"/>
                <w:color w:val="auto"/>
              </w:rPr>
            </w:pPr>
            <w:r>
              <w:rPr>
                <w:rFonts w:ascii="Arial" w:cs="Arial" w:eastAsia="Arial" w:hAnsi="Arial"/>
                <w:sz w:val="17"/>
                <w:szCs w:val="17"/>
                <w:color w:val="auto"/>
              </w:rPr>
              <w:t>(Please print name and address including zip code)</w:t>
            </w:r>
          </w:p>
        </w:tc>
        <w:tc>
          <w:tcPr>
            <w:tcW w:w="4280" w:type="dxa"/>
            <w:vAlign w:val="bottom"/>
          </w:tcPr>
          <w:p>
            <w:pPr>
              <w:ind w:left="1100"/>
              <w:spacing w:after="0" w:line="181" w:lineRule="exact"/>
              <w:rPr>
                <w:sz w:val="20"/>
                <w:szCs w:val="20"/>
                <w:color w:val="auto"/>
              </w:rPr>
            </w:pPr>
            <w:r>
              <w:rPr>
                <w:rFonts w:ascii="Arial" w:cs="Arial" w:eastAsia="Arial" w:hAnsi="Arial"/>
                <w:sz w:val="17"/>
                <w:szCs w:val="17"/>
                <w:color w:val="auto"/>
                <w:w w:val="89"/>
              </w:rPr>
              <w:t>Please print Social Security or other identifying</w:t>
            </w:r>
          </w:p>
        </w:tc>
      </w:tr>
      <w:tr>
        <w:trPr>
          <w:trHeight w:val="213"/>
        </w:trPr>
        <w:tc>
          <w:tcPr>
            <w:tcW w:w="3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80" w:type="dxa"/>
            <w:vAlign w:val="bottom"/>
          </w:tcPr>
          <w:p>
            <w:pPr>
              <w:ind w:left="1100"/>
              <w:spacing w:after="0"/>
              <w:rPr>
                <w:sz w:val="20"/>
                <w:szCs w:val="20"/>
                <w:color w:val="auto"/>
              </w:rPr>
            </w:pPr>
            <w:r>
              <w:rPr>
                <w:rFonts w:ascii="Arial" w:cs="Arial" w:eastAsia="Arial" w:hAnsi="Arial"/>
                <w:sz w:val="17"/>
                <w:szCs w:val="17"/>
                <w:color w:val="auto"/>
              </w:rPr>
              <w:t>number</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right represented by the within Warrant to purchase __________ shares of [Title of Warrant Securities] of Marker Therapeutics, Inc. to which the within Warrant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relates and appoints ____________________ attorney to transfer such right on the books of the Warrant Agent with full power of substitution in the premises.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20"/>
                <w:szCs w:val="20"/>
                <w:color w:val="auto"/>
              </w:rPr>
            </w:pPr>
            <w:r>
              <w:rPr>
                <w:rFonts w:ascii="Arial" w:cs="Arial" w:eastAsia="Arial" w:hAnsi="Arial"/>
                <w:sz w:val="17"/>
                <w:szCs w:val="17"/>
                <w:color w:val="auto"/>
                <w:w w:val="99"/>
              </w:rPr>
              <w:t>Dated:</w:t>
            </w: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80" w:type="dxa"/>
            <w:vAlign w:val="bottom"/>
            <w:gridSpan w:val="2"/>
          </w:tcPr>
          <w:p>
            <w:pPr>
              <w:ind w:left="1680"/>
              <w:spacing w:after="0"/>
              <w:rPr>
                <w:sz w:val="20"/>
                <w:szCs w:val="20"/>
                <w:color w:val="auto"/>
              </w:rPr>
            </w:pPr>
            <w:r>
              <w:rPr>
                <w:rFonts w:ascii="Arial" w:cs="Arial" w:eastAsia="Arial" w:hAnsi="Arial"/>
                <w:sz w:val="17"/>
                <w:szCs w:val="17"/>
                <w:color w:val="auto"/>
              </w:rPr>
              <w:t>Name:</w:t>
            </w:r>
          </w:p>
        </w:tc>
      </w:tr>
      <w:tr>
        <w:trPr>
          <w:trHeight w:val="206"/>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5640" w:type="dxa"/>
            <w:vAlign w:val="bottom"/>
            <w:tcBorders>
              <w:top w:val="single" w:sz="8" w:color="auto"/>
            </w:tcBorders>
          </w:tcPr>
          <w:p>
            <w:pPr>
              <w:ind w:left="2600"/>
              <w:spacing w:after="0"/>
              <w:rPr>
                <w:sz w:val="20"/>
                <w:szCs w:val="20"/>
                <w:color w:val="auto"/>
              </w:rPr>
            </w:pPr>
            <w:r>
              <w:rPr>
                <w:rFonts w:ascii="Arial" w:cs="Arial" w:eastAsia="Arial" w:hAnsi="Arial"/>
                <w:sz w:val="17"/>
                <w:szCs w:val="17"/>
                <w:color w:val="auto"/>
              </w:rPr>
              <w:t>Signature</w:t>
            </w:r>
          </w:p>
        </w:tc>
      </w:tr>
      <w:tr>
        <w:trPr>
          <w:trHeight w:val="390"/>
        </w:trPr>
        <w:tc>
          <w:tcPr>
            <w:tcW w:w="520" w:type="dxa"/>
            <w:vAlign w:val="bottom"/>
          </w:tcPr>
          <w:p>
            <w:pPr>
              <w:spacing w:after="0"/>
              <w:rPr>
                <w:sz w:val="24"/>
                <w:szCs w:val="24"/>
                <w:color w:val="auto"/>
              </w:rPr>
            </w:pPr>
          </w:p>
        </w:tc>
        <w:tc>
          <w:tcPr>
            <w:tcW w:w="10720" w:type="dxa"/>
            <w:vAlign w:val="bottom"/>
            <w:gridSpan w:val="4"/>
          </w:tcPr>
          <w:p>
            <w:pPr>
              <w:ind w:left="80"/>
              <w:spacing w:after="0"/>
              <w:rPr>
                <w:sz w:val="20"/>
                <w:szCs w:val="20"/>
                <w:color w:val="auto"/>
              </w:rPr>
            </w:pPr>
            <w:r>
              <w:rPr>
                <w:rFonts w:ascii="Arial" w:cs="Arial" w:eastAsia="Arial" w:hAnsi="Arial"/>
                <w:sz w:val="17"/>
                <w:szCs w:val="17"/>
                <w:color w:val="auto"/>
              </w:rPr>
              <w:t>(Signature must conform in all respects to name of holder as specified on the face of the Warrant)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35750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3575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673735</wp:posOffset>
            </wp:positionV>
            <wp:extent cx="71418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t>Exhibit 4.7</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1"/>
          <w:szCs w:val="11"/>
          <w:b w:val="1"/>
          <w:bCs w:val="1"/>
          <w:color w:val="auto"/>
        </w:rPr>
        <w:t>AND</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_____________, A</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GENT</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ORM OF</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EBT</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ECURITIES</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190"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ATED</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540385</wp:posOffset>
            </wp:positionV>
            <wp:extent cx="71418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 F</w:t>
      </w:r>
      <w:r>
        <w:rPr>
          <w:rFonts w:ascii="Arial" w:cs="Arial" w:eastAsia="Arial" w:hAnsi="Arial"/>
          <w:sz w:val="11"/>
          <w:szCs w:val="11"/>
          <w:b w:val="1"/>
          <w:bCs w:val="1"/>
          <w:color w:val="auto"/>
        </w:rPr>
        <w:t>ORM OF</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EBT</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ECURITIES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207"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EBT</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ECURITIES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 ● ], between</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 a [corporation] [national banking association] organized and existing under the laws of [●] and having a corporate trust office in [●],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w:t>
      </w:r>
    </w:p>
    <w:p>
      <w:pPr>
        <w:spacing w:after="0" w:line="169"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an indenture dated as of [●]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with [●], as trustee (such trustee, and any successors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herein called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providing for the issuance from time to time of its debt securities, to be issued in one or more series as provided in the Indenture (the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proposes to sell [</w:t>
      </w:r>
      <w:r>
        <w:rPr>
          <w:rFonts w:ascii="Arial" w:cs="Arial" w:eastAsia="Arial" w:hAnsi="Arial"/>
          <w:sz w:val="17"/>
          <w:szCs w:val="17"/>
          <w:b w:val="1"/>
          <w:bCs w:val="1"/>
          <w:i w:val="1"/>
          <w:iCs w:val="1"/>
          <w:color w:val="auto"/>
        </w:rPr>
        <w:t>If Warrants are sold with other 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[title of such other securities being offered] (the “</w:t>
      </w:r>
      <w:r>
        <w:rPr>
          <w:rFonts w:ascii="Arial" w:cs="Arial" w:eastAsia="Arial" w:hAnsi="Arial"/>
          <w:sz w:val="17"/>
          <w:szCs w:val="17"/>
          <w:b w:val="1"/>
          <w:bCs w:val="1"/>
          <w:i w:val="1"/>
          <w:iCs w:val="1"/>
          <w:color w:val="auto"/>
        </w:rPr>
        <w:t>Other 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 [title of Debt Securities purchasable through exercise of Warrants] (the “</w:t>
      </w:r>
      <w:r>
        <w:rPr>
          <w:rFonts w:ascii="Arial" w:cs="Arial" w:eastAsia="Arial" w:hAnsi="Arial"/>
          <w:sz w:val="17"/>
          <w:szCs w:val="17"/>
          <w:b w:val="1"/>
          <w:bCs w:val="1"/>
          <w:i w:val="1"/>
          <w:iCs w:val="1"/>
          <w:color w:val="auto"/>
        </w:rPr>
        <w:t>Warrant Debt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75"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HEREAS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desires the Warrant Agent to act on behalf of the Company, and the Warrant Agent is willing so to act,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ISSUANCE OF WARRANTS AND EXECUTION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DELIVERY OF WARRANT CERTIFICATES</w:t>
      </w:r>
    </w:p>
    <w:p>
      <w:pPr>
        <w:spacing w:after="0" w:line="190"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 Upon issuance, each Warrant Certificate shall evidence one or more Warrants.] [</w:t>
      </w:r>
      <w:r>
        <w:rPr>
          <w:rFonts w:ascii="Arial" w:cs="Arial" w:eastAsia="Arial" w:hAnsi="Arial"/>
          <w:sz w:val="16"/>
          <w:szCs w:val="16"/>
          <w:b w:val="1"/>
          <w:bCs w:val="1"/>
          <w:i w:val="1"/>
          <w:iCs w:val="1"/>
          <w:color w:val="auto"/>
        </w:rPr>
        <w:t>If Other Securities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and Warrants </w:t>
      </w:r>
      <w:r>
        <w:rPr>
          <w:rFonts w:ascii="Arial" w:cs="Arial" w:eastAsia="Arial" w:hAnsi="Arial"/>
          <w:sz w:val="16"/>
          <w:szCs w:val="16"/>
          <w:color w:val="auto"/>
        </w:rPr>
        <w:t>— Warrant Certificates will be issued in connection with the issuance of the Other Securities but shall be separately transferable and each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shall evidence one or more Warrants.] Each Warrant evidenced thereby shall represent the right, subject to the provisions contained herein and therein, to purchase one Warrant Debt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 Warrant Certificates will be issued with the Other Securities and each Warrant Certificate will evidence [●] Warrants for each [$[●] principal amount] [[●] shares] of Other Securities issued.]</w:t>
      </w:r>
    </w:p>
    <w:p>
      <w:pPr>
        <w:spacing w:after="0" w:line="160" w:lineRule="exact"/>
        <w:rPr>
          <w:sz w:val="20"/>
          <w:szCs w:val="20"/>
          <w:color w:val="auto"/>
        </w:rPr>
      </w:pPr>
    </w:p>
    <w:p>
      <w:pPr>
        <w:jc w:val="both"/>
        <w:ind w:firstLine="603"/>
        <w:spacing w:after="0" w:line="267"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 the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2" w:name="page203"/>
    <w:bookmarkEnd w:id="202"/>
    <w:p>
      <w:pPr>
        <w:jc w:val="both"/>
        <w:ind w:firstLine="603"/>
        <w:spacing w:after="0" w:line="257"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jc w:val="both"/>
        <w:ind w:firstLine="603"/>
        <w:spacing w:after="0" w:line="271"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8" w:lineRule="exact"/>
        <w:rPr>
          <w:sz w:val="20"/>
          <w:szCs w:val="20"/>
          <w:color w:val="auto"/>
        </w:rPr>
      </w:pPr>
    </w:p>
    <w:p>
      <w:pPr>
        <w:jc w:val="both"/>
        <w:ind w:firstLine="603"/>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holder of a Warrant Certificate</w:t>
      </w:r>
      <w:r>
        <w:rPr>
          <w:rFonts w:ascii="Arial" w:cs="Arial" w:eastAsia="Arial" w:hAnsi="Arial"/>
          <w:sz w:val="17"/>
          <w:szCs w:val="17"/>
          <w:color w:val="auto"/>
        </w:rPr>
        <w:t>” as used herein shall mean any person in whose name at the time any Warrant Certificate shall be registered upon the books to be maintained by the Warrant Agent for that purpose.</w:t>
      </w:r>
    </w:p>
    <w:p>
      <w:pPr>
        <w:spacing w:after="0" w:line="163" w:lineRule="exact"/>
        <w:rPr>
          <w:sz w:val="20"/>
          <w:szCs w:val="20"/>
          <w:color w:val="auto"/>
        </w:rPr>
      </w:pPr>
    </w:p>
    <w:p>
      <w:pPr>
        <w:jc w:val="both"/>
        <w:ind w:firstLine="603"/>
        <w:spacing w:after="0" w:line="310" w:lineRule="auto"/>
        <w:rPr>
          <w:sz w:val="20"/>
          <w:szCs w:val="20"/>
          <w:color w:val="auto"/>
        </w:rPr>
      </w:pPr>
      <w:r>
        <w:rPr>
          <w:rFonts w:ascii="Arial" w:cs="Arial" w:eastAsia="Arial" w:hAnsi="Arial"/>
          <w:sz w:val="15"/>
          <w:szCs w:val="15"/>
          <w:b w:val="1"/>
          <w:bCs w:val="1"/>
          <w:color w:val="auto"/>
        </w:rPr>
        <w:t xml:space="preserve">1.3 Issuance of Warrant Certificates. </w:t>
      </w:r>
      <w:r>
        <w:rPr>
          <w:rFonts w:ascii="Arial" w:cs="Arial" w:eastAsia="Arial" w:hAnsi="Arial"/>
          <w:sz w:val="15"/>
          <w:szCs w:val="15"/>
          <w:color w:val="auto"/>
        </w:rPr>
        <w:t>Warrant Certificates evidencing the right to purchase Warrant Debt Securities may be executed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PRICE, DURATION AND EXERCISE OF WARRANTS</w:t>
      </w:r>
    </w:p>
    <w:p>
      <w:pPr>
        <w:spacing w:after="0" w:line="207"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b w:val="1"/>
          <w:bCs w:val="1"/>
          <w:color w:val="auto"/>
        </w:rPr>
        <w:t xml:space="preserve">2.1 Warrant Price. </w:t>
      </w:r>
      <w:r>
        <w:rPr>
          <w:rFonts w:ascii="Arial" w:cs="Arial" w:eastAsia="Arial" w:hAnsi="Arial"/>
          <w:sz w:val="16"/>
          <w:szCs w:val="16"/>
          <w:color w:val="auto"/>
        </w:rPr>
        <w:t>During the period specified in Section 2.2, each Warrant shall, subject to the terms of this Agreement and the applicable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6"/>
          <w:szCs w:val="16"/>
          <w:b w:val="1"/>
          <w:bCs w:val="1"/>
          <w:i w:val="1"/>
          <w:iCs w:val="1"/>
          <w:color w:val="auto"/>
        </w:rPr>
        <w:t>Warrant Price.</w:t>
      </w:r>
    </w:p>
    <w:p>
      <w:pPr>
        <w:spacing w:after="0" w:line="165" w:lineRule="exact"/>
        <w:rPr>
          <w:sz w:val="20"/>
          <w:szCs w:val="20"/>
          <w:color w:val="auto"/>
        </w:rPr>
      </w:pPr>
    </w:p>
    <w:p>
      <w:pPr>
        <w:jc w:val="both"/>
        <w:ind w:firstLine="603"/>
        <w:spacing w:after="0" w:line="300" w:lineRule="auto"/>
        <w:rPr>
          <w:sz w:val="20"/>
          <w:szCs w:val="20"/>
          <w:color w:val="auto"/>
        </w:rPr>
      </w:pPr>
      <w:r>
        <w:rPr>
          <w:rFonts w:ascii="Arial" w:cs="Arial" w:eastAsia="Arial" w:hAnsi="Arial"/>
          <w:sz w:val="15"/>
          <w:szCs w:val="15"/>
          <w:b w:val="1"/>
          <w:bCs w:val="1"/>
          <w:color w:val="auto"/>
        </w:rPr>
        <w:t xml:space="preserve">2.2 Duration of Warrants. </w:t>
      </w:r>
      <w:r>
        <w:rPr>
          <w:rFonts w:ascii="Arial" w:cs="Arial" w:eastAsia="Arial" w:hAnsi="Arial"/>
          <w:sz w:val="15"/>
          <w:szCs w:val="15"/>
          <w:color w:val="auto"/>
        </w:rPr>
        <w:t>Each Warrant may be exercised in whole or in part at any time, as specified herein, on or after [the date thereof] [●] and at</w:t>
      </w:r>
      <w:r>
        <w:rPr>
          <w:rFonts w:ascii="Arial" w:cs="Arial" w:eastAsia="Arial" w:hAnsi="Arial"/>
          <w:sz w:val="15"/>
          <w:szCs w:val="15"/>
          <w:b w:val="1"/>
          <w:bCs w:val="1"/>
          <w:color w:val="auto"/>
        </w:rPr>
        <w:t xml:space="preserve"> </w:t>
      </w:r>
      <w:r>
        <w:rPr>
          <w:rFonts w:ascii="Arial" w:cs="Arial" w:eastAsia="Arial" w:hAnsi="Arial"/>
          <w:sz w:val="15"/>
          <w:szCs w:val="15"/>
          <w:color w:val="auto"/>
        </w:rPr>
        <w:t>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5"/>
          <w:szCs w:val="15"/>
          <w:b w:val="1"/>
          <w:bCs w:val="1"/>
          <w:i w:val="1"/>
          <w:iCs w:val="1"/>
          <w:color w:val="auto"/>
        </w:rPr>
        <w:t>Expiration Date</w:t>
      </w:r>
      <w:r>
        <w:rPr>
          <w:rFonts w:ascii="Arial" w:cs="Arial" w:eastAsia="Arial" w:hAnsi="Arial"/>
          <w:sz w:val="15"/>
          <w:szCs w:val="15"/>
          <w:color w:val="auto"/>
        </w:rPr>
        <w:t>”). Each Warrant not exercised at or before [●] p.m., [City] time, on the Expiration Date shall become void, and all rights of the holder of the Warrant Certificate evidencing such Warrant under this Agreement shall cease.</w:t>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3" w:name="page204"/>
    <w:bookmarkEnd w:id="203"/>
    <w:p>
      <w:pPr>
        <w:ind w:left="600"/>
        <w:spacing w:after="0"/>
        <w:tabs>
          <w:tab w:leader="none" w:pos="12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1" w:lineRule="exact"/>
        <w:rPr>
          <w:sz w:val="20"/>
          <w:szCs w:val="20"/>
          <w:color w:val="auto"/>
        </w:rPr>
      </w:pPr>
    </w:p>
    <w:p>
      <w:pPr>
        <w:jc w:val="both"/>
        <w:ind w:firstLine="1207"/>
        <w:spacing w:after="0" w:line="283" w:lineRule="auto"/>
        <w:tabs>
          <w:tab w:leader="none" w:pos="2197" w:val="left"/>
        </w:tabs>
        <w:numPr>
          <w:ilvl w:val="0"/>
          <w:numId w:val="179"/>
        </w:numPr>
        <w:rPr>
          <w:rFonts w:ascii="Arial" w:cs="Arial" w:eastAsia="Arial" w:hAnsi="Arial"/>
          <w:sz w:val="15"/>
          <w:szCs w:val="15"/>
          <w:b w:val="1"/>
          <w:bCs w:val="1"/>
          <w:color w:val="auto"/>
        </w:rPr>
      </w:pPr>
      <w:r>
        <w:rPr>
          <w:rFonts w:ascii="Arial" w:cs="Arial" w:eastAsia="Arial" w:hAnsi="Arial"/>
          <w:sz w:val="15"/>
          <w:szCs w:val="15"/>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3" w:lineRule="exact"/>
        <w:rPr>
          <w:rFonts w:ascii="Arial" w:cs="Arial" w:eastAsia="Arial" w:hAnsi="Arial"/>
          <w:sz w:val="15"/>
          <w:szCs w:val="15"/>
          <w:b w:val="1"/>
          <w:bCs w:val="1"/>
          <w:color w:val="auto"/>
        </w:rPr>
      </w:pPr>
    </w:p>
    <w:p>
      <w:pPr>
        <w:jc w:val="both"/>
        <w:ind w:firstLine="1207"/>
        <w:spacing w:after="0" w:line="298" w:lineRule="auto"/>
        <w:tabs>
          <w:tab w:leader="none" w:pos="2039" w:val="left"/>
        </w:tabs>
        <w:numPr>
          <w:ilvl w:val="0"/>
          <w:numId w:val="179"/>
        </w:numPr>
        <w:rPr>
          <w:rFonts w:ascii="Arial" w:cs="Arial" w:eastAsia="Arial" w:hAnsi="Arial"/>
          <w:sz w:val="15"/>
          <w:szCs w:val="15"/>
          <w:b w:val="1"/>
          <w:bCs w:val="1"/>
          <w:color w:val="auto"/>
        </w:rPr>
      </w:pPr>
      <w:r>
        <w:rPr>
          <w:rFonts w:ascii="Arial" w:cs="Arial" w:eastAsia="Arial" w:hAnsi="Arial"/>
          <w:sz w:val="15"/>
          <w:szCs w:val="15"/>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48" w:lineRule="exact"/>
        <w:rPr>
          <w:rFonts w:ascii="Arial" w:cs="Arial" w:eastAsia="Arial" w:hAnsi="Arial"/>
          <w:sz w:val="15"/>
          <w:szCs w:val="15"/>
          <w:b w:val="1"/>
          <w:bCs w:val="1"/>
          <w:color w:val="auto"/>
        </w:rPr>
      </w:pPr>
    </w:p>
    <w:p>
      <w:pPr>
        <w:jc w:val="both"/>
        <w:ind w:firstLine="1207"/>
        <w:spacing w:after="0" w:line="252" w:lineRule="auto"/>
        <w:tabs>
          <w:tab w:leader="none" w:pos="2540"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80" w:lineRule="exact"/>
        <w:rPr>
          <w:rFonts w:ascii="Arial" w:cs="Arial" w:eastAsia="Arial" w:hAnsi="Arial"/>
          <w:sz w:val="17"/>
          <w:szCs w:val="17"/>
          <w:b w:val="1"/>
          <w:bCs w:val="1"/>
          <w:color w:val="auto"/>
        </w:rPr>
      </w:pPr>
    </w:p>
    <w:p>
      <w:pPr>
        <w:jc w:val="both"/>
        <w:ind w:firstLine="1207"/>
        <w:spacing w:after="0" w:line="254" w:lineRule="auto"/>
        <w:tabs>
          <w:tab w:leader="none" w:pos="2127"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77" w:lineRule="exact"/>
        <w:rPr>
          <w:rFonts w:ascii="Arial" w:cs="Arial" w:eastAsia="Arial" w:hAnsi="Arial"/>
          <w:sz w:val="17"/>
          <w:szCs w:val="17"/>
          <w:b w:val="1"/>
          <w:bCs w:val="1"/>
          <w:color w:val="auto"/>
        </w:rPr>
      </w:pPr>
    </w:p>
    <w:p>
      <w:pPr>
        <w:ind w:firstLine="1207"/>
        <w:spacing w:after="0" w:line="300" w:lineRule="auto"/>
        <w:tabs>
          <w:tab w:leader="none" w:pos="2200"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PROVISIONS RELATING TO RIGHTS OF 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CERTIFICATES</w:t>
      </w:r>
    </w:p>
    <w:p>
      <w:pPr>
        <w:spacing w:after="0" w:line="190" w:lineRule="exact"/>
        <w:rPr>
          <w:sz w:val="20"/>
          <w:szCs w:val="20"/>
          <w:color w:val="auto"/>
        </w:rPr>
      </w:pPr>
    </w:p>
    <w:p>
      <w:pPr>
        <w:jc w:val="both"/>
        <w:ind w:firstLine="603"/>
        <w:spacing w:after="0" w:line="283" w:lineRule="auto"/>
        <w:rPr>
          <w:sz w:val="20"/>
          <w:szCs w:val="20"/>
          <w:color w:val="auto"/>
        </w:rPr>
      </w:pPr>
      <w:r>
        <w:rPr>
          <w:rFonts w:ascii="Arial" w:cs="Arial" w:eastAsia="Arial" w:hAnsi="Arial"/>
          <w:sz w:val="16"/>
          <w:szCs w:val="16"/>
          <w:b w:val="1"/>
          <w:bCs w:val="1"/>
          <w:color w:val="auto"/>
        </w:rPr>
        <w:t xml:space="preserve">3.1 No Rights as Holder of Warrant Debt Securities Conferred by Warrants or Warrant Certificates. </w:t>
      </w:r>
      <w:r>
        <w:rPr>
          <w:rFonts w:ascii="Arial" w:cs="Arial" w:eastAsia="Arial" w:hAnsi="Arial"/>
          <w:sz w:val="16"/>
          <w:szCs w:val="16"/>
          <w:color w:val="auto"/>
        </w:rPr>
        <w:t>No Warrant Certificate or Warrant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53"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6"/>
          <w:szCs w:val="16"/>
          <w:b w:val="1"/>
          <w:bCs w:val="1"/>
          <w:color w:val="auto"/>
        </w:rPr>
        <w:t xml:space="preserve">3.2 Lost, Stolen, Mutilated or Destroyed Warrant Certificates. </w:t>
      </w:r>
      <w:r>
        <w:rPr>
          <w:rFonts w:ascii="Arial" w:cs="Arial" w:eastAsia="Arial" w:hAnsi="Arial"/>
          <w:sz w:val="16"/>
          <w:szCs w:val="16"/>
          <w:color w:val="auto"/>
        </w:rPr>
        <w:t>Upon receipt by the Warrant Agent of evidence reasonably satisfactory to it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74"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3.3 Holder of Warrant Certificate May Enforce Rights. </w:t>
      </w:r>
      <w:r>
        <w:rPr>
          <w:rFonts w:ascii="Arial" w:cs="Arial" w:eastAsia="Arial" w:hAnsi="Arial"/>
          <w:sz w:val="17"/>
          <w:szCs w:val="17"/>
          <w:color w:val="auto"/>
        </w:rPr>
        <w:t>Notwithstanding any of the provisions of this Agreement, any holder of a Warrant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76" w:lineRule="exact"/>
        <w:rPr>
          <w:sz w:val="20"/>
          <w:szCs w:val="20"/>
          <w:color w:val="auto"/>
        </w:rPr>
      </w:pPr>
    </w:p>
    <w:p>
      <w:pPr>
        <w:jc w:val="both"/>
        <w:ind w:firstLine="603"/>
        <w:spacing w:after="0" w:line="284" w:lineRule="auto"/>
        <w:rPr>
          <w:sz w:val="20"/>
          <w:szCs w:val="20"/>
          <w:color w:val="auto"/>
        </w:rPr>
      </w:pPr>
      <w:r>
        <w:rPr>
          <w:rFonts w:ascii="Arial" w:cs="Arial" w:eastAsia="Arial" w:hAnsi="Arial"/>
          <w:sz w:val="15"/>
          <w:szCs w:val="15"/>
          <w:b w:val="1"/>
          <w:bCs w:val="1"/>
          <w:color w:val="auto"/>
        </w:rPr>
        <w:t xml:space="preserve">3.4 Merger, Sale, Conveyance or Lease. </w:t>
      </w:r>
      <w:r>
        <w:rPr>
          <w:rFonts w:ascii="Arial" w:cs="Arial" w:eastAsia="Arial" w:hAnsi="Arial"/>
          <w:sz w:val="15"/>
          <w:szCs w:val="15"/>
          <w:color w:val="auto"/>
        </w:rPr>
        <w:t>In case of (a) any share exchange, merger or similar transaction of the Company with or into another person or</w:t>
      </w:r>
      <w:r>
        <w:rPr>
          <w:rFonts w:ascii="Arial" w:cs="Arial" w:eastAsia="Arial" w:hAnsi="Arial"/>
          <w:sz w:val="15"/>
          <w:szCs w:val="15"/>
          <w:b w:val="1"/>
          <w:bCs w:val="1"/>
          <w:color w:val="auto"/>
        </w:rPr>
        <w:t xml:space="preserve"> </w:t>
      </w:r>
      <w:r>
        <w:rPr>
          <w:rFonts w:ascii="Arial" w:cs="Arial" w:eastAsia="Arial" w:hAnsi="Arial"/>
          <w:sz w:val="15"/>
          <w:szCs w:val="15"/>
          <w:color w:val="auto"/>
        </w:rPr>
        <w:t>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Arial" w:cs="Arial" w:eastAsia="Arial" w:hAnsi="Arial"/>
          <w:sz w:val="15"/>
          <w:szCs w:val="15"/>
          <w:b w:val="1"/>
          <w:bCs w:val="1"/>
          <w:i w:val="1"/>
          <w:iCs w:val="1"/>
          <w:color w:val="auto"/>
        </w:rPr>
        <w:t>Reorganization Event</w:t>
      </w:r>
      <w:r>
        <w:rPr>
          <w:rFonts w:ascii="Arial" w:cs="Arial" w:eastAsia="Arial" w:hAnsi="Arial"/>
          <w:sz w:val="15"/>
          <w:szCs w:val="15"/>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5" w:name="page206"/>
    <w:bookmarkEnd w:id="205"/>
    <w:p>
      <w:pPr>
        <w:jc w:val="both"/>
        <w:ind w:firstLine="603"/>
        <w:spacing w:after="0" w:line="251"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Reorganization Event or (b) make any distribution on or in respect of the [title</w:t>
      </w:r>
      <w:r>
        <w:rPr>
          <w:rFonts w:ascii="Arial" w:cs="Arial" w:eastAsia="Arial" w:hAnsi="Arial"/>
          <w:sz w:val="17"/>
          <w:szCs w:val="17"/>
          <w:b w:val="1"/>
          <w:bCs w:val="1"/>
          <w:color w:val="auto"/>
        </w:rPr>
        <w:t xml:space="preserve"> </w:t>
      </w:r>
      <w:r>
        <w:rPr>
          <w:rFonts w:ascii="Arial" w:cs="Arial" w:eastAsia="Arial" w:hAnsi="Arial"/>
          <w:sz w:val="17"/>
          <w:szCs w:val="17"/>
          <w:color w:val="auto"/>
        </w:rPr>
        <w:t>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AND TRANSFER OF WARRANT CERTIFICATES</w:t>
      </w:r>
    </w:p>
    <w:p>
      <w:pPr>
        <w:spacing w:after="0" w:line="207"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Exchange and Transfer of Warrant Certificates. Upon surrender at the corporate trust office of the Warrant Agent, Warrant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6" w:name="page207"/>
    <w:bookmarkEnd w:id="206"/>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4.2 Treatment of Holders of Warrant Certificates. </w:t>
      </w:r>
      <w:r>
        <w:rPr>
          <w:rFonts w:ascii="Arial" w:cs="Arial" w:eastAsia="Arial" w:hAnsi="Arial"/>
          <w:sz w:val="17"/>
          <w:szCs w:val="17"/>
          <w:color w:val="auto"/>
        </w:rPr>
        <w:t>The Company, the Warrant Agent and all other persons may treat the registered holder of a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as the absolute owner thereof for any purpose and as the person entitled to exercise the rights represented by the Warrants evidenced thereby, any notice to the contrary notwithstanding.</w:t>
      </w:r>
    </w:p>
    <w:p>
      <w:pPr>
        <w:spacing w:after="0" w:line="169"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CONCERNING THE WARRANT AGENT</w:t>
      </w:r>
    </w:p>
    <w:p>
      <w:pPr>
        <w:spacing w:after="0" w:line="207"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 Certificates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6"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5.2 Conditions of Warrant Agent’s Obligations. </w:t>
      </w:r>
      <w:r>
        <w:rPr>
          <w:rFonts w:ascii="Arial" w:cs="Arial" w:eastAsia="Arial" w:hAnsi="Arial"/>
          <w:sz w:val="17"/>
          <w:szCs w:val="17"/>
          <w:color w:val="auto"/>
        </w:rPr>
        <w:t>The Warrant Agent accepts its obligations herein set forth upon the terms and conditions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following to all of which the Company agrees and to all of which the rights hereunder of the holders from time to time of the Warrant Certificates shall be subject:</w:t>
      </w:r>
    </w:p>
    <w:p>
      <w:pPr>
        <w:spacing w:after="0" w:line="169" w:lineRule="exact"/>
        <w:rPr>
          <w:sz w:val="20"/>
          <w:szCs w:val="20"/>
          <w:color w:val="auto"/>
        </w:rPr>
      </w:pPr>
    </w:p>
    <w:p>
      <w:pPr>
        <w:jc w:val="both"/>
        <w:ind w:firstLine="1207"/>
        <w:spacing w:after="0" w:line="252" w:lineRule="auto"/>
        <w:tabs>
          <w:tab w:leader="none" w:pos="221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 upon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5" w:lineRule="exact"/>
        <w:rPr>
          <w:rFonts w:ascii="Arial" w:cs="Arial" w:eastAsia="Arial" w:hAnsi="Arial"/>
          <w:sz w:val="17"/>
          <w:szCs w:val="17"/>
          <w:b w:val="1"/>
          <w:bCs w:val="1"/>
          <w:color w:val="auto"/>
        </w:rPr>
      </w:pPr>
    </w:p>
    <w:p>
      <w:pPr>
        <w:jc w:val="both"/>
        <w:ind w:firstLine="1207"/>
        <w:spacing w:after="0" w:line="260" w:lineRule="auto"/>
        <w:tabs>
          <w:tab w:leader="none" w:pos="2127"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Agent for the Company. </w:t>
      </w:r>
      <w:r>
        <w:rPr>
          <w:rFonts w:ascii="Arial" w:cs="Arial" w:eastAsia="Arial" w:hAnsi="Arial"/>
          <w:sz w:val="17"/>
          <w:szCs w:val="17"/>
          <w:color w:val="auto"/>
        </w:rPr>
        <w:t>In acting under this Agreement and in connection with the Warrant Certificates, the Warrant Agent is acting</w:t>
      </w:r>
      <w:r>
        <w:rPr>
          <w:rFonts w:ascii="Arial" w:cs="Arial" w:eastAsia="Arial" w:hAnsi="Arial"/>
          <w:sz w:val="17"/>
          <w:szCs w:val="17"/>
          <w:b w:val="1"/>
          <w:bCs w:val="1"/>
          <w:color w:val="auto"/>
        </w:rPr>
        <w:t xml:space="preserve"> </w:t>
      </w:r>
      <w:r>
        <w:rPr>
          <w:rFonts w:ascii="Arial" w:cs="Arial" w:eastAsia="Arial" w:hAnsi="Arial"/>
          <w:sz w:val="17"/>
          <w:szCs w:val="17"/>
          <w:color w:val="auto"/>
        </w:rPr>
        <w:t>solely as agent of the Company and does not assume any obligations or relationship of agency or trust for or with any of the holders of Warrant Certificates or beneficial owners of Warrants.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7" w:name="page208"/>
    <w:bookmarkEnd w:id="207"/>
    <w:p>
      <w:pPr>
        <w:jc w:val="both"/>
        <w:ind w:firstLine="1207"/>
        <w:spacing w:after="0" w:line="260" w:lineRule="auto"/>
        <w:tabs>
          <w:tab w:leader="none" w:pos="215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Counsel. </w:t>
      </w:r>
      <w:r>
        <w:rPr>
          <w:rFonts w:ascii="Arial" w:cs="Arial" w:eastAsia="Arial" w:hAnsi="Arial"/>
          <w:sz w:val="17"/>
          <w:szCs w:val="17"/>
          <w:color w:val="auto"/>
        </w:rPr>
        <w:t>The Warrant Agent may consult with counsel satisfactory to it, which may include counsel for the Company, and the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8" w:lineRule="exact"/>
        <w:rPr>
          <w:rFonts w:ascii="Arial" w:cs="Arial" w:eastAsia="Arial" w:hAnsi="Arial"/>
          <w:sz w:val="17"/>
          <w:szCs w:val="17"/>
          <w:b w:val="1"/>
          <w:bCs w:val="1"/>
          <w:color w:val="auto"/>
        </w:rPr>
      </w:pPr>
    </w:p>
    <w:p>
      <w:pPr>
        <w:jc w:val="both"/>
        <w:ind w:firstLine="1207"/>
        <w:spacing w:after="0" w:line="260" w:lineRule="auto"/>
        <w:tabs>
          <w:tab w:leader="none" w:pos="2164"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Documents. </w:t>
      </w:r>
      <w:r>
        <w:rPr>
          <w:rFonts w:ascii="Arial" w:cs="Arial" w:eastAsia="Arial" w:hAnsi="Arial"/>
          <w:sz w:val="17"/>
          <w:szCs w:val="17"/>
          <w:color w:val="auto"/>
        </w:rPr>
        <w:t>The Warrant Agent shall be protected and shall incur no liability for or in respect of any action taken or omitted by it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8" w:lineRule="exact"/>
        <w:rPr>
          <w:rFonts w:ascii="Arial" w:cs="Arial" w:eastAsia="Arial" w:hAnsi="Arial"/>
          <w:sz w:val="17"/>
          <w:szCs w:val="17"/>
          <w:b w:val="1"/>
          <w:bCs w:val="1"/>
          <w:color w:val="auto"/>
        </w:rPr>
      </w:pPr>
    </w:p>
    <w:p>
      <w:pPr>
        <w:jc w:val="both"/>
        <w:ind w:firstLine="1207"/>
        <w:spacing w:after="0" w:line="295" w:lineRule="auto"/>
        <w:tabs>
          <w:tab w:leader="none" w:pos="2112" w:val="left"/>
        </w:tabs>
        <w:numPr>
          <w:ilvl w:val="0"/>
          <w:numId w:val="1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Certain Transactions. </w:t>
      </w:r>
      <w:r>
        <w:rPr>
          <w:rFonts w:ascii="Arial" w:cs="Arial" w:eastAsia="Arial" w:hAnsi="Arial"/>
          <w:sz w:val="15"/>
          <w:szCs w:val="15"/>
          <w:color w:val="auto"/>
        </w:rPr>
        <w:t>The Warrant Agent, and its officers, directors and employees, may become the owner of, or acquire any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46" w:lineRule="exact"/>
        <w:rPr>
          <w:rFonts w:ascii="Arial" w:cs="Arial" w:eastAsia="Arial" w:hAnsi="Arial"/>
          <w:sz w:val="15"/>
          <w:szCs w:val="15"/>
          <w:b w:val="1"/>
          <w:bCs w:val="1"/>
          <w:color w:val="auto"/>
        </w:rPr>
      </w:pPr>
    </w:p>
    <w:p>
      <w:pPr>
        <w:ind w:firstLine="1207"/>
        <w:spacing w:after="0" w:line="273" w:lineRule="auto"/>
        <w:tabs>
          <w:tab w:leader="none" w:pos="226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Interest. </w:t>
      </w:r>
      <w:r>
        <w:rPr>
          <w:rFonts w:ascii="Arial" w:cs="Arial" w:eastAsia="Arial" w:hAnsi="Arial"/>
          <w:sz w:val="17"/>
          <w:szCs w:val="17"/>
          <w:color w:val="auto"/>
        </w:rPr>
        <w:t>Unless otherwise agreed with the Company, the Warrant Agent shall have no liability for interest on any</w:t>
      </w:r>
      <w:r>
        <w:rPr>
          <w:rFonts w:ascii="Arial" w:cs="Arial" w:eastAsia="Arial" w:hAnsi="Arial"/>
          <w:sz w:val="17"/>
          <w:szCs w:val="17"/>
          <w:b w:val="1"/>
          <w:bCs w:val="1"/>
          <w:color w:val="auto"/>
        </w:rPr>
        <w:t xml:space="preserve"> </w:t>
      </w:r>
      <w:r>
        <w:rPr>
          <w:rFonts w:ascii="Arial" w:cs="Arial" w:eastAsia="Arial" w:hAnsi="Arial"/>
          <w:sz w:val="17"/>
          <w:szCs w:val="17"/>
          <w:color w:val="auto"/>
        </w:rPr>
        <w:t>monies at any time received by it pursuant to any of the provisions of this Agreement or of the Warrant Certificates.</w:t>
      </w:r>
    </w:p>
    <w:p>
      <w:pPr>
        <w:spacing w:after="0" w:line="158" w:lineRule="exact"/>
        <w:rPr>
          <w:rFonts w:ascii="Arial" w:cs="Arial" w:eastAsia="Arial" w:hAnsi="Arial"/>
          <w:sz w:val="17"/>
          <w:szCs w:val="17"/>
          <w:b w:val="1"/>
          <w:bCs w:val="1"/>
          <w:color w:val="auto"/>
        </w:rPr>
      </w:pPr>
    </w:p>
    <w:p>
      <w:pPr>
        <w:ind w:firstLine="1207"/>
        <w:spacing w:after="0" w:line="273" w:lineRule="auto"/>
        <w:tabs>
          <w:tab w:leader="none" w:pos="2197"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Liability for Invalidity. </w:t>
      </w:r>
      <w:r>
        <w:rPr>
          <w:rFonts w:ascii="Arial" w:cs="Arial" w:eastAsia="Arial" w:hAnsi="Arial"/>
          <w:sz w:val="17"/>
          <w:szCs w:val="17"/>
          <w:color w:val="auto"/>
        </w:rPr>
        <w:t>The Warrant Agent shall have no liability with respect to any invalidity of this Agreement or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Certificates (except as to the Warrant Agent’s countersignature thereon).</w:t>
      </w:r>
    </w:p>
    <w:p>
      <w:pPr>
        <w:spacing w:after="0" w:line="158" w:lineRule="exact"/>
        <w:rPr>
          <w:rFonts w:ascii="Arial" w:cs="Arial" w:eastAsia="Arial" w:hAnsi="Arial"/>
          <w:sz w:val="17"/>
          <w:szCs w:val="17"/>
          <w:b w:val="1"/>
          <w:bCs w:val="1"/>
          <w:color w:val="auto"/>
        </w:rPr>
      </w:pPr>
    </w:p>
    <w:p>
      <w:pPr>
        <w:ind w:firstLine="1207"/>
        <w:spacing w:after="0" w:line="305" w:lineRule="auto"/>
        <w:tabs>
          <w:tab w:leader="none" w:pos="210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 herein 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Warrant Certificates (except as to the Warrant Agent’s countersignature thereon), all of which are made solely by the Company.</w:t>
      </w:r>
    </w:p>
    <w:p>
      <w:pPr>
        <w:spacing w:after="0" w:line="135" w:lineRule="exact"/>
        <w:rPr>
          <w:rFonts w:ascii="Arial" w:cs="Arial" w:eastAsia="Arial" w:hAnsi="Arial"/>
          <w:sz w:val="16"/>
          <w:szCs w:val="16"/>
          <w:b w:val="1"/>
          <w:bCs w:val="1"/>
          <w:color w:val="auto"/>
        </w:rPr>
      </w:pPr>
    </w:p>
    <w:p>
      <w:pPr>
        <w:jc w:val="both"/>
        <w:ind w:firstLine="1207"/>
        <w:spacing w:after="0" w:line="267" w:lineRule="auto"/>
        <w:tabs>
          <w:tab w:leader="none" w:pos="2089"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Implied Obligations. </w:t>
      </w:r>
      <w:r>
        <w:rPr>
          <w:rFonts w:ascii="Arial" w:cs="Arial" w:eastAsia="Arial" w:hAnsi="Arial"/>
          <w:sz w:val="16"/>
          <w:szCs w:val="16"/>
          <w:color w:val="auto"/>
        </w:rPr>
        <w:t>The Warrant Agent shall be obligated to perform only such duties as are herein and in the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68" w:lineRule="exact"/>
        <w:rPr>
          <w:sz w:val="20"/>
          <w:szCs w:val="20"/>
          <w:color w:val="auto"/>
        </w:rPr>
      </w:pPr>
    </w:p>
    <w:p>
      <w:pPr>
        <w:ind w:left="600"/>
        <w:spacing w:after="0"/>
        <w:tabs>
          <w:tab w:leader="none" w:pos="12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1" w:lineRule="exact"/>
        <w:rPr>
          <w:sz w:val="20"/>
          <w:szCs w:val="20"/>
          <w:color w:val="auto"/>
        </w:rPr>
      </w:pPr>
    </w:p>
    <w:p>
      <w:pPr>
        <w:ind w:firstLine="1207"/>
        <w:spacing w:after="0" w:line="268" w:lineRule="auto"/>
        <w:tabs>
          <w:tab w:leader="none" w:pos="2285"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8" w:name="page209"/>
    <w:bookmarkEnd w:id="208"/>
    <w:p>
      <w:pPr>
        <w:jc w:val="both"/>
        <w:ind w:firstLine="1207"/>
        <w:spacing w:after="0" w:line="289" w:lineRule="auto"/>
        <w:tabs>
          <w:tab w:leader="none" w:pos="2077" w:val="left"/>
        </w:tabs>
        <w:numPr>
          <w:ilvl w:val="0"/>
          <w:numId w:val="183"/>
        </w:numPr>
        <w:rPr>
          <w:rFonts w:ascii="Arial" w:cs="Arial" w:eastAsia="Arial" w:hAnsi="Arial"/>
          <w:sz w:val="15"/>
          <w:szCs w:val="15"/>
          <w:b w:val="1"/>
          <w:bCs w:val="1"/>
          <w:color w:val="auto"/>
        </w:rPr>
      </w:pPr>
      <w:r>
        <w:rPr>
          <w:rFonts w:ascii="Arial" w:cs="Arial" w:eastAsia="Arial" w:hAnsi="Arial"/>
          <w:sz w:val="15"/>
          <w:szCs w:val="15"/>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54" w:lineRule="exact"/>
        <w:rPr>
          <w:rFonts w:ascii="Arial" w:cs="Arial" w:eastAsia="Arial" w:hAnsi="Arial"/>
          <w:sz w:val="15"/>
          <w:szCs w:val="15"/>
          <w:b w:val="1"/>
          <w:bCs w:val="1"/>
          <w:color w:val="auto"/>
        </w:rPr>
      </w:pPr>
    </w:p>
    <w:p>
      <w:pPr>
        <w:jc w:val="both"/>
        <w:ind w:firstLine="1207"/>
        <w:spacing w:after="0" w:line="265" w:lineRule="auto"/>
        <w:tabs>
          <w:tab w:leader="none" w:pos="2225" w:val="left"/>
        </w:tabs>
        <w:numPr>
          <w:ilvl w:val="0"/>
          <w:numId w:val="183"/>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76" w:lineRule="exact"/>
        <w:rPr>
          <w:rFonts w:ascii="Arial" w:cs="Arial" w:eastAsia="Arial" w:hAnsi="Arial"/>
          <w:sz w:val="16"/>
          <w:szCs w:val="16"/>
          <w:b w:val="1"/>
          <w:bCs w:val="1"/>
          <w:color w:val="auto"/>
        </w:rPr>
      </w:pPr>
    </w:p>
    <w:p>
      <w:pPr>
        <w:jc w:val="both"/>
        <w:ind w:firstLine="1207"/>
        <w:spacing w:after="0" w:line="293" w:lineRule="auto"/>
        <w:tabs>
          <w:tab w:leader="none" w:pos="2177" w:val="left"/>
        </w:tabs>
        <w:numPr>
          <w:ilvl w:val="0"/>
          <w:numId w:val="183"/>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3" w:lineRule="exact"/>
        <w:rPr>
          <w:rFonts w:ascii="Arial" w:cs="Arial" w:eastAsia="Arial" w:hAnsi="Arial"/>
          <w:sz w:val="15"/>
          <w:szCs w:val="15"/>
          <w:b w:val="1"/>
          <w:bCs w:val="1"/>
          <w:color w:val="auto"/>
        </w:rPr>
      </w:pPr>
    </w:p>
    <w:p>
      <w:pPr>
        <w:jc w:val="both"/>
        <w:ind w:firstLine="1207"/>
        <w:spacing w:after="0" w:line="252" w:lineRule="auto"/>
        <w:tabs>
          <w:tab w:leader="none" w:pos="2075"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7"/>
          <w:szCs w:val="17"/>
          <w:b w:val="1"/>
          <w:bCs w:val="1"/>
          <w:color w:val="auto"/>
        </w:rPr>
        <w:t>ARTICLE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07"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5"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6.2 Notices and Demands to the Company and Warrant Agent. </w:t>
      </w:r>
      <w:r>
        <w:rPr>
          <w:rFonts w:ascii="Arial" w:cs="Arial" w:eastAsia="Arial" w:hAnsi="Arial"/>
          <w:sz w:val="17"/>
          <w:szCs w:val="17"/>
          <w:color w:val="auto"/>
        </w:rPr>
        <w:t>If the Warrant Agent shall receive any notice or demand addressed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by the holder of a Warrant Certificate pursuant to the provisions of the Warrant Certificates, the Warrant Agent shall promptly forward such notice or demand to the Company.</w:t>
      </w:r>
    </w:p>
    <w:p>
      <w:pPr>
        <w:spacing w:after="0" w:line="169" w:lineRule="exact"/>
        <w:rPr>
          <w:sz w:val="20"/>
          <w:szCs w:val="20"/>
          <w:color w:val="auto"/>
        </w:rPr>
      </w:pPr>
    </w:p>
    <w:p>
      <w:pPr>
        <w:jc w:val="both"/>
        <w:ind w:firstLine="603"/>
        <w:spacing w:after="0" w:line="255" w:lineRule="auto"/>
        <w:rPr>
          <w:sz w:val="20"/>
          <w:szCs w:val="20"/>
          <w:color w:val="auto"/>
        </w:rPr>
      </w:pPr>
      <w:r>
        <w:rPr>
          <w:rFonts w:ascii="Arial" w:cs="Arial" w:eastAsia="Arial" w:hAnsi="Arial"/>
          <w:sz w:val="17"/>
          <w:szCs w:val="17"/>
          <w:b w:val="1"/>
          <w:bCs w:val="1"/>
          <w:color w:val="auto"/>
        </w:rPr>
        <w:t xml:space="preserve">6.3 Addresses. </w:t>
      </w:r>
      <w:r>
        <w:rPr>
          <w:rFonts w:ascii="Arial" w:cs="Arial" w:eastAsia="Arial" w:hAnsi="Arial"/>
          <w:sz w:val="17"/>
          <w:szCs w:val="17"/>
          <w:color w:val="auto"/>
        </w:rPr>
        <w:t>Any communication from the Company to the Warrant Agent with respect to this Agreement shall be addressed to [●], Attention: [●]</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75"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6.4 Governing Law. </w:t>
      </w:r>
      <w:r>
        <w:rPr>
          <w:rFonts w:ascii="Arial" w:cs="Arial" w:eastAsia="Arial" w:hAnsi="Arial"/>
          <w:sz w:val="17"/>
          <w:szCs w:val="17"/>
          <w:color w:val="auto"/>
        </w:rPr>
        <w:t>This Agreement and each Warrant Certificate issued hereunder shall be governed by and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New York.</w:t>
      </w:r>
    </w:p>
    <w:p>
      <w:pPr>
        <w:spacing w:after="0" w:line="158"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Debt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76"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60"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6.7 Persons Having Rights Under the Agreement. </w:t>
      </w:r>
      <w:r>
        <w:rPr>
          <w:rFonts w:ascii="Arial" w:cs="Arial" w:eastAsia="Arial" w:hAnsi="Arial"/>
          <w:sz w:val="17"/>
          <w:szCs w:val="17"/>
          <w:color w:val="auto"/>
        </w:rPr>
        <w:t>Nothing in this Agreement shall give to any person other than the Company, the Warrant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Warrant Certificates any right, remedy or claim under or by reason of this Agreement.</w:t>
      </w:r>
    </w:p>
    <w:p>
      <w:pPr>
        <w:spacing w:after="0" w:line="158"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6.8 Headings. </w:t>
      </w:r>
      <w:r>
        <w:rPr>
          <w:rFonts w:ascii="Arial" w:cs="Arial" w:eastAsia="Arial" w:hAnsi="Arial"/>
          <w:sz w:val="17"/>
          <w:szCs w:val="17"/>
          <w:color w:val="auto"/>
        </w:rPr>
        <w:t>The descriptive headings of the several Articles and Sections of this Agreement are inserted for convenience only and shall not control or</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meaning or construction of any of the provisions hereof.</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0" w:name="page211"/>
    <w:bookmarkEnd w:id="210"/>
    <w:p>
      <w:pPr>
        <w:jc w:val="both"/>
        <w:ind w:firstLine="603"/>
        <w:spacing w:after="0" w:line="273" w:lineRule="auto"/>
        <w:rPr>
          <w:sz w:val="20"/>
          <w:szCs w:val="20"/>
          <w:color w:val="auto"/>
        </w:rPr>
      </w:pPr>
      <w:r>
        <w:rPr>
          <w:rFonts w:ascii="Arial" w:cs="Arial" w:eastAsia="Arial" w:hAnsi="Arial"/>
          <w:sz w:val="17"/>
          <w:szCs w:val="17"/>
          <w:b w:val="1"/>
          <w:bCs w:val="1"/>
          <w:color w:val="auto"/>
        </w:rPr>
        <w:t xml:space="preserve">6.9 Counterparts. </w:t>
      </w:r>
      <w:r>
        <w:rPr>
          <w:rFonts w:ascii="Arial" w:cs="Arial" w:eastAsia="Arial" w:hAnsi="Arial"/>
          <w:sz w:val="17"/>
          <w:szCs w:val="17"/>
          <w:color w:val="auto"/>
        </w:rPr>
        <w:t>This Agreement may be executed in any number of counterparts, each of which as so executed shall be deemed to be an original, but</w:t>
      </w:r>
      <w:r>
        <w:rPr>
          <w:rFonts w:ascii="Arial" w:cs="Arial" w:eastAsia="Arial" w:hAnsi="Arial"/>
          <w:sz w:val="17"/>
          <w:szCs w:val="17"/>
          <w:b w:val="1"/>
          <w:bCs w:val="1"/>
          <w:color w:val="auto"/>
        </w:rPr>
        <w:t xml:space="preserve"> </w:t>
      </w:r>
      <w:r>
        <w:rPr>
          <w:rFonts w:ascii="Arial" w:cs="Arial" w:eastAsia="Arial" w:hAnsi="Arial"/>
          <w:sz w:val="17"/>
          <w:szCs w:val="17"/>
          <w:color w:val="auto"/>
        </w:rPr>
        <w:t>such counterparts shall together constitute but one and the same instrument.</w:t>
      </w:r>
    </w:p>
    <w:p>
      <w:pPr>
        <w:spacing w:after="0" w:line="158" w:lineRule="exact"/>
        <w:rPr>
          <w:sz w:val="20"/>
          <w:szCs w:val="20"/>
          <w:color w:val="auto"/>
        </w:rPr>
      </w:pPr>
    </w:p>
    <w:p>
      <w:pPr>
        <w:jc w:val="both"/>
        <w:ind w:firstLine="603"/>
        <w:spacing w:after="0" w:line="260" w:lineRule="auto"/>
        <w:rPr>
          <w:sz w:val="20"/>
          <w:szCs w:val="20"/>
          <w:color w:val="auto"/>
        </w:rPr>
      </w:pPr>
      <w:r>
        <w:rPr>
          <w:rFonts w:ascii="Arial" w:cs="Arial" w:eastAsia="Arial" w:hAnsi="Arial"/>
          <w:sz w:val="17"/>
          <w:szCs w:val="17"/>
          <w:b w:val="1"/>
          <w:bCs w:val="1"/>
          <w:color w:val="auto"/>
        </w:rPr>
        <w:t xml:space="preserve">6.10 Inspection of Agreement. </w:t>
      </w:r>
      <w:r>
        <w:rPr>
          <w:rFonts w:ascii="Arial" w:cs="Arial" w:eastAsia="Arial" w:hAnsi="Arial"/>
          <w:sz w:val="17"/>
          <w:szCs w:val="17"/>
          <w:color w:val="auto"/>
        </w:rPr>
        <w:t>A copy of this Agreement shall be available at all reasonable times at the principal corporate trust office of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Agent for inspection by the holder of any Warrant Certificate. The Warrant Agent may require such holder to submit such holder’s Warrant Certificate for inspection by it.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8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hereto have caused this Agreement to be duly executed as of the day and year first above written.</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as Company</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5"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13970</wp:posOffset>
            </wp:positionV>
            <wp:extent cx="32080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149860</wp:posOffset>
            </wp:positionV>
            <wp:extent cx="32080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OUNTERSIGNED</w:t>
      </w:r>
    </w:p>
    <w:p>
      <w:pPr>
        <w:spacing w:after="0" w:line="20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5"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TTEST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13970</wp:posOffset>
            </wp:positionV>
            <wp:extent cx="32080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149860</wp:posOffset>
            </wp:positionV>
            <wp:extent cx="32080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ind w:right="699"/>
        <w:spacing w:after="0"/>
        <w:rPr>
          <w:sz w:val="20"/>
          <w:szCs w:val="20"/>
          <w:color w:val="auto"/>
        </w:rPr>
      </w:pPr>
      <w:r>
        <w:rPr>
          <w:rFonts w:ascii="Arial" w:cs="Arial" w:eastAsia="Arial" w:hAnsi="Arial"/>
          <w:sz w:val="17"/>
          <w:szCs w:val="17"/>
          <w:color w:val="auto"/>
        </w:rPr>
        <w:t>[SIGNATURE PAGE TO MARKER THERAPEUTICS, INC. DEBT SECURITIES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410210</wp:posOffset>
            </wp:positionV>
            <wp:extent cx="71418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52" w:right="1440" w:bottom="1440" w:gutter="0" w:footer="0" w:header="0"/>
        </w:sectPr>
      </w:pPr>
    </w:p>
    <w:bookmarkStart w:id="212" w:name="page213"/>
    <w:bookmarkEnd w:id="212"/>
    <w:p>
      <w:pPr>
        <w:jc w:val="center"/>
        <w:ind w:right="-119"/>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FORM OF WARRANT CERTIFICATE</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[FACE OF WARRANT CERTIFICATE]</w:t>
      </w:r>
    </w:p>
    <w:p>
      <w:pPr>
        <w:spacing w:after="0" w:line="194"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of Legend if Warrants are not immediately exercisable.</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[Prior to [●], Warrants evidenced by this Warrant Certificate cannot be exercised.]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40"/>
          </w:cols>
          <w:pgMar w:left="320" w:top="852" w:right="4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7"/>
          <w:szCs w:val="17"/>
          <w:color w:val="auto"/>
        </w:rPr>
        <w:t>Marker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[TITLE OF WARRANT DEBT SECURITIES]</w:t>
      </w:r>
    </w:p>
    <w:p>
      <w:pPr>
        <w:spacing w:after="0" w:line="194" w:lineRule="exact"/>
        <w:rPr>
          <w:sz w:val="20"/>
          <w:szCs w:val="20"/>
          <w:color w:val="auto"/>
        </w:rPr>
      </w:pPr>
    </w:p>
    <w:p>
      <w:pPr>
        <w:spacing w:after="0"/>
        <w:tabs>
          <w:tab w:leader="none" w:pos="10380" w:val="left"/>
        </w:tabs>
        <w:rPr>
          <w:sz w:val="20"/>
          <w:szCs w:val="20"/>
          <w:color w:val="auto"/>
        </w:rPr>
      </w:pPr>
      <w:r>
        <w:rPr>
          <w:rFonts w:ascii="Arial" w:cs="Arial" w:eastAsia="Arial" w:hAnsi="Arial"/>
          <w:sz w:val="17"/>
          <w:szCs w:val="17"/>
          <w:color w:val="auto"/>
        </w:rPr>
        <w:t>No. [●]</w:t>
      </w:r>
      <w:r>
        <w:rPr>
          <w:sz w:val="20"/>
          <w:szCs w:val="20"/>
          <w:color w:val="auto"/>
        </w:rPr>
        <w:tab/>
      </w:r>
      <w:r>
        <w:rPr>
          <w:rFonts w:ascii="Arial" w:cs="Arial" w:eastAsia="Arial" w:hAnsi="Arial"/>
          <w:sz w:val="15"/>
          <w:szCs w:val="15"/>
          <w:color w:val="auto"/>
        </w:rPr>
        <w:t>[●] Warrants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Arial" w:cs="Arial" w:eastAsia="Arial" w:hAnsi="Arial"/>
          <w:sz w:val="15"/>
          <w:szCs w:val="15"/>
          <w:b w:val="1"/>
          <w:bCs w:val="1"/>
          <w:i w:val="1"/>
          <w:iCs w:val="1"/>
          <w:color w:val="auto"/>
        </w:rPr>
        <w:t>Warrant Debt Securities</w:t>
      </w:r>
      <w:r>
        <w:rPr>
          <w:rFonts w:ascii="Arial" w:cs="Arial" w:eastAsia="Arial" w:hAnsi="Arial"/>
          <w:sz w:val="15"/>
          <w:szCs w:val="15"/>
          <w:color w:val="auto"/>
        </w:rPr>
        <w:t>”), of Marker Therapeutics,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Arial" w:cs="Arial" w:eastAsia="Arial" w:hAnsi="Arial"/>
          <w:sz w:val="15"/>
          <w:szCs w:val="15"/>
          <w:b w:val="1"/>
          <w:bCs w:val="1"/>
          <w:i w:val="1"/>
          <w:iCs w:val="1"/>
          <w:color w:val="auto"/>
        </w:rPr>
        <w:t>Warrant Price</w:t>
      </w:r>
      <w:r>
        <w:rPr>
          <w:rFonts w:ascii="Arial" w:cs="Arial" w:eastAsia="Arial" w:hAnsi="Arial"/>
          <w:sz w:val="15"/>
          <w:szCs w:val="15"/>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5"/>
          <w:szCs w:val="15"/>
          <w:b w:val="1"/>
          <w:bCs w:val="1"/>
          <w:i w:val="1"/>
          <w:iCs w:val="1"/>
          <w:color w:val="auto"/>
        </w:rPr>
        <w:t>Warrant Agent</w:t>
      </w:r>
      <w:r>
        <w:rPr>
          <w:rFonts w:ascii="Arial" w:cs="Arial" w:eastAsia="Arial" w:hAnsi="Arial"/>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1418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4" w:name="page215"/>
    <w:bookmarkEnd w:id="214"/>
    <w:p>
      <w:pPr>
        <w:jc w:val="both"/>
        <w:spacing w:after="0" w:line="254" w:lineRule="auto"/>
        <w:rPr>
          <w:sz w:val="20"/>
          <w:szCs w:val="20"/>
          <w:color w:val="auto"/>
        </w:rPr>
      </w:pPr>
      <w:r>
        <w:rPr>
          <w:rFonts w:ascii="Arial" w:cs="Arial" w:eastAsia="Arial" w:hAnsi="Arial"/>
          <w:sz w:val="17"/>
          <w:szCs w:val="17"/>
          <w:color w:val="auto"/>
        </w:rPr>
        <w:t>The Warrant Debt Securities to be issued and delivered upon the exercise of Warrants evidenced by this Warrant Certificate will be issued under and in accordance with an Indenture, dated as of [●]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 as trustee (such trustee, and any successors to such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5"/>
          <w:szCs w:val="15"/>
          <w:color w:val="auto"/>
        </w:rPr>
        <w:t>, the Company has caused this Warrant to be executed in its name and on its behalf by the facsimile signatures of its duly authorized officers.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10693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ARKER</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as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13970</wp:posOffset>
            </wp:positionV>
            <wp:extent cx="60642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149860</wp:posOffset>
            </wp:positionV>
            <wp:extent cx="60642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13970</wp:posOffset>
            </wp:positionV>
            <wp:extent cx="60642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149860</wp:posOffset>
            </wp:positionV>
            <wp:extent cx="60642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556895</wp:posOffset>
            </wp:positionV>
            <wp:extent cx="71418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6"/>
          <w:szCs w:val="16"/>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hereby irrevocably elects to exercise ______ Warrants, evidenced by this Warrant Certificate, to purchase _______ $[●] principal amount of</w:t>
      </w:r>
    </w:p>
    <w:p>
      <w:pPr>
        <w:spacing w:after="0" w:line="4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[TITLE OF WARRANT DEBT SECURITIES] (the “</w:t>
      </w:r>
      <w:r>
        <w:rPr>
          <w:rFonts w:ascii="Arial" w:cs="Arial" w:eastAsia="Arial" w:hAnsi="Arial"/>
          <w:sz w:val="15"/>
          <w:szCs w:val="15"/>
          <w:b w:val="1"/>
          <w:bCs w:val="1"/>
          <w:i w:val="1"/>
          <w:iCs w:val="1"/>
          <w:color w:val="auto"/>
        </w:rPr>
        <w:t>Warrant Debt Securities</w:t>
      </w:r>
      <w:r>
        <w:rPr>
          <w:rFonts w:ascii="Arial" w:cs="Arial" w:eastAsia="Arial" w:hAnsi="Arial"/>
          <w:sz w:val="15"/>
          <w:szCs w:val="15"/>
          <w:color w:val="auto"/>
        </w:rPr>
        <w:t>”), of Marker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56"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76"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11430</wp:posOffset>
            </wp:positionV>
            <wp:extent cx="66389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6638925" cy="8255"/>
                    </a:xfrm>
                    <a:prstGeom prst="rect">
                      <a:avLst/>
                    </a:prstGeom>
                    <a:noFill/>
                  </pic:spPr>
                </pic:pic>
              </a:graphicData>
            </a:graphic>
          </wp:anchor>
        </w:drawing>
      </w:r>
    </w:p>
    <w:p>
      <w:pPr>
        <w:ind w:left="8600"/>
        <w:spacing w:after="0"/>
        <w:rPr>
          <w:sz w:val="20"/>
          <w:szCs w:val="20"/>
          <w:color w:val="auto"/>
        </w:rPr>
      </w:pPr>
      <w:r>
        <w:rPr>
          <w:rFonts w:ascii="Arial" w:cs="Arial" w:eastAsia="Arial" w:hAnsi="Arial"/>
          <w:sz w:val="17"/>
          <w:szCs w:val="17"/>
          <w:color w:val="auto"/>
        </w:rPr>
        <w:t>Please Print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35750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(Insert Social Security or Other Identifying Number of Holder)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11430</wp:posOffset>
            </wp:positionV>
            <wp:extent cx="24974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7"/>
          <w:szCs w:val="17"/>
          <w:color w:val="auto"/>
        </w:rPr>
        <w:t>Signature</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(Signature must conform in all respects to name of holder as specified on the face of this Warrant Certificate and must bear a signature guarantee by a FINRA member firm).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color w:val="auto"/>
        </w:rPr>
        <w:t>By mail at: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[Instructions as to form and delivery of Warrant Debt Securities and, if applicable, Warrant Certificates evidencing Warrants for the number of Warrant Debt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8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V</w:t>
      </w:r>
      <w:r>
        <w:rPr>
          <w:rFonts w:ascii="Arial" w:cs="Arial" w:eastAsia="Arial" w:hAnsi="Arial"/>
          <w:sz w:val="11"/>
          <w:szCs w:val="11"/>
          <w:b w:val="1"/>
          <w:bCs w:val="1"/>
          <w:color w:val="auto"/>
        </w:rPr>
        <w:t>ALUE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ECEIVED</w:t>
      </w:r>
      <w:r>
        <w:rPr>
          <w:rFonts w:ascii="Arial" w:cs="Arial" w:eastAsia="Arial" w:hAnsi="Arial"/>
          <w:sz w:val="17"/>
          <w:szCs w:val="17"/>
          <w:b w:val="1"/>
          <w:bCs w:val="1"/>
          <w:color w:val="auto"/>
        </w:rPr>
        <w:t xml:space="preserve">, </w:t>
      </w:r>
      <w:r>
        <w:rPr>
          <w:rFonts w:ascii="Arial" w:cs="Arial" w:eastAsia="Arial" w:hAnsi="Arial"/>
          <w:sz w:val="17"/>
          <w:szCs w:val="17"/>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71418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(Please print name and address including zip code)</w:t>
      </w:r>
      <w:r>
        <w:rPr>
          <w:sz w:val="20"/>
          <w:szCs w:val="20"/>
          <w:color w:val="auto"/>
        </w:rPr>
        <w:tab/>
      </w:r>
      <w:r>
        <w:rPr>
          <w:rFonts w:ascii="Arial" w:cs="Arial" w:eastAsia="Arial" w:hAnsi="Arial"/>
          <w:sz w:val="15"/>
          <w:szCs w:val="15"/>
          <w:color w:val="auto"/>
        </w:rPr>
        <w:t>Please print Social Security or other identifying number</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right represented by the within Warrant to purchase ________ aggregate principal amount of [Title of Warrant Debt Securities] of Marker Therapeutics, Inc. to</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which the within Warrant relates and appoints ____________________ attorney to transfer such right on the books of the Warrant Agent with full power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substitution in the premises.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20"/>
                <w:szCs w:val="20"/>
                <w:color w:val="auto"/>
              </w:rPr>
            </w:pPr>
            <w:r>
              <w:rPr>
                <w:rFonts w:ascii="Arial" w:cs="Arial" w:eastAsia="Arial" w:hAnsi="Arial"/>
                <w:sz w:val="17"/>
                <w:szCs w:val="17"/>
                <w:color w:val="auto"/>
              </w:rPr>
              <w:t>Dated:</w:t>
            </w:r>
          </w:p>
        </w:tc>
        <w:tc>
          <w:tcPr>
            <w:tcW w:w="4500" w:type="dxa"/>
            <w:vAlign w:val="bottom"/>
          </w:tcPr>
          <w:p>
            <w:pPr>
              <w:spacing w:after="0"/>
              <w:rPr>
                <w:sz w:val="18"/>
                <w:szCs w:val="18"/>
                <w:color w:val="auto"/>
              </w:rPr>
            </w:pPr>
          </w:p>
        </w:tc>
        <w:tc>
          <w:tcPr>
            <w:tcW w:w="5940" w:type="dxa"/>
            <w:vAlign w:val="bottom"/>
            <w:gridSpan w:val="2"/>
          </w:tcPr>
          <w:p>
            <w:pPr>
              <w:ind w:left="660"/>
              <w:spacing w:after="0"/>
              <w:rPr>
                <w:sz w:val="20"/>
                <w:szCs w:val="20"/>
                <w:color w:val="auto"/>
              </w:rPr>
            </w:pPr>
            <w:r>
              <w:rPr>
                <w:rFonts w:ascii="Arial" w:cs="Arial" w:eastAsia="Arial" w:hAnsi="Arial"/>
                <w:sz w:val="17"/>
                <w:szCs w:val="17"/>
                <w:color w:val="auto"/>
              </w:rPr>
              <w:t>Name:</w:t>
            </w:r>
          </w:p>
        </w:tc>
      </w:tr>
      <w:tr>
        <w:trPr>
          <w:trHeight w:val="206"/>
        </w:trPr>
        <w:tc>
          <w:tcPr>
            <w:tcW w:w="800" w:type="dxa"/>
            <w:vAlign w:val="bottom"/>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4500" w:type="dxa"/>
            <w:vAlign w:val="bottom"/>
            <w:tcBorders>
              <w:top w:val="single" w:sz="8" w:color="auto"/>
            </w:tcBorders>
          </w:tcPr>
          <w:p>
            <w:pPr>
              <w:ind w:left="1940"/>
              <w:spacing w:after="0"/>
              <w:rPr>
                <w:sz w:val="20"/>
                <w:szCs w:val="20"/>
                <w:color w:val="auto"/>
              </w:rPr>
            </w:pPr>
            <w:r>
              <w:rPr>
                <w:rFonts w:ascii="Arial" w:cs="Arial" w:eastAsia="Arial" w:hAnsi="Arial"/>
                <w:sz w:val="17"/>
                <w:szCs w:val="17"/>
                <w:color w:val="auto"/>
              </w:rPr>
              <w:t>Signature</w:t>
            </w:r>
          </w:p>
        </w:tc>
      </w:tr>
    </w:tbl>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(Signature must conform in all respects to name of holder as specified on the face of the Warrant)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35750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3575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673735</wp:posOffset>
            </wp:positionV>
            <wp:extent cx="71418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1252855" cy="4546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12528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Divakar Gupta</w:t>
      </w:r>
    </w:p>
    <w:p>
      <w:pPr>
        <w:spacing w:after="0" w:line="18" w:lineRule="exact"/>
        <w:rPr>
          <w:sz w:val="20"/>
          <w:szCs w:val="20"/>
          <w:color w:val="auto"/>
        </w:rPr>
      </w:pPr>
    </w:p>
    <w:p>
      <w:pPr>
        <w:jc w:val="both"/>
        <w:ind w:right="9860" w:firstLine="1"/>
        <w:spacing w:after="0" w:line="319" w:lineRule="auto"/>
        <w:tabs>
          <w:tab w:leader="none" w:pos="18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+1 212 479 6474 dgupta@cooley.com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August 10,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Marker Therapeutics,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3200 Southwest Freeway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Suite 2250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Houston, TX 77027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We have acted as counsel to Marker Therapeutics,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in connection with the filing of a Registration Statement on Form S-3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by the Company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The Registration Statement includes two prospectuses: (i) a base prospectus (the “</w:t>
      </w:r>
      <w:r>
        <w:rPr>
          <w:rFonts w:ascii="Arial" w:cs="Arial" w:eastAsia="Arial" w:hAnsi="Arial"/>
          <w:sz w:val="14"/>
          <w:szCs w:val="14"/>
          <w:b w:val="1"/>
          <w:bCs w:val="1"/>
          <w:i w:val="1"/>
          <w:iCs w:val="1"/>
          <w:color w:val="auto"/>
        </w:rPr>
        <w:t>Base Prospectus</w:t>
      </w:r>
      <w:r>
        <w:rPr>
          <w:rFonts w:ascii="Arial" w:cs="Arial" w:eastAsia="Arial" w:hAnsi="Arial"/>
          <w:sz w:val="14"/>
          <w:szCs w:val="14"/>
          <w:color w:val="auto"/>
        </w:rPr>
        <w:t>”) and (ii) a sales agreement prospectus (the “</w:t>
      </w:r>
      <w:r>
        <w:rPr>
          <w:rFonts w:ascii="Arial" w:cs="Arial" w:eastAsia="Arial" w:hAnsi="Arial"/>
          <w:sz w:val="14"/>
          <w:szCs w:val="14"/>
          <w:b w:val="1"/>
          <w:bCs w:val="1"/>
          <w:i w:val="1"/>
          <w:iCs w:val="1"/>
          <w:color w:val="auto"/>
        </w:rPr>
        <w:t>Sales Agreement Prospectus</w:t>
      </w:r>
      <w:r>
        <w:rPr>
          <w:rFonts w:ascii="Arial" w:cs="Arial" w:eastAsia="Arial" w:hAnsi="Arial"/>
          <w:sz w:val="14"/>
          <w:szCs w:val="14"/>
          <w:color w:val="auto"/>
        </w:rPr>
        <w:t>”), covering up to $75,000,000 of</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shares of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that may be sold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dated August 10, 2021, among the Company, Cantor Fitzgerald &amp; Co. and RBC Capital Markets, LLC (such agreement, the “</w:t>
      </w:r>
      <w:r>
        <w:rPr>
          <w:rFonts w:ascii="Arial" w:cs="Arial" w:eastAsia="Arial" w:hAnsi="Arial"/>
          <w:sz w:val="16"/>
          <w:szCs w:val="16"/>
          <w:b w:val="1"/>
          <w:bCs w:val="1"/>
          <w:i w:val="1"/>
          <w:iCs w:val="1"/>
          <w:color w:val="auto"/>
        </w:rPr>
        <w:t>Sales Agreement</w:t>
      </w:r>
      <w:r>
        <w:rPr>
          <w:rFonts w:ascii="Arial" w:cs="Arial" w:eastAsia="Arial" w:hAnsi="Arial"/>
          <w:sz w:val="16"/>
          <w:szCs w:val="16"/>
          <w:color w:val="auto"/>
        </w:rPr>
        <w:t>,” and such shares, the “</w:t>
      </w:r>
      <w:r>
        <w:rPr>
          <w:rFonts w:ascii="Arial" w:cs="Arial" w:eastAsia="Arial" w:hAnsi="Arial"/>
          <w:sz w:val="16"/>
          <w:szCs w:val="16"/>
          <w:b w:val="1"/>
          <w:bCs w:val="1"/>
          <w:i w:val="1"/>
          <w:iCs w:val="1"/>
          <w:color w:val="auto"/>
        </w:rPr>
        <w:t>Placement Shares</w:t>
      </w:r>
      <w:r>
        <w:rPr>
          <w:rFonts w:ascii="Arial" w:cs="Arial" w:eastAsia="Arial" w:hAnsi="Arial"/>
          <w:sz w:val="16"/>
          <w:szCs w:val="16"/>
          <w:color w:val="auto"/>
        </w:rPr>
        <w:t>”). The Base Prospectus provides it will be supplemented in the future by one or more prospectus supplements (each,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w:t>
      </w:r>
      <w:r>
        <w:rPr>
          <w:rFonts w:ascii="Arial" w:cs="Arial" w:eastAsia="Arial" w:hAnsi="Arial"/>
          <w:sz w:val="16"/>
          <w:szCs w:val="16"/>
          <w:color w:val="auto"/>
        </w:rPr>
        <w:t>”). The Registration Statement, including the Base Prospectus (as supplemented from time to time by one or more Prospectus Supplements) and the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Prospectus will provide for the registration by the Company of:</w:t>
      </w:r>
    </w:p>
    <w:p>
      <w:pPr>
        <w:spacing w:after="0" w:line="188" w:lineRule="exact"/>
        <w:rPr>
          <w:sz w:val="20"/>
          <w:szCs w:val="20"/>
          <w:color w:val="auto"/>
        </w:rPr>
      </w:pPr>
    </w:p>
    <w:p>
      <w:pPr>
        <w:ind w:left="600" w:hanging="298"/>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shares of Common Stock (the “</w:t>
      </w:r>
      <w:r>
        <w:rPr>
          <w:rFonts w:ascii="Arial" w:cs="Arial" w:eastAsia="Arial" w:hAnsi="Arial"/>
          <w:sz w:val="17"/>
          <w:szCs w:val="17"/>
          <w:b w:val="1"/>
          <w:bCs w:val="1"/>
          <w:i w:val="1"/>
          <w:iCs w:val="1"/>
          <w:color w:val="auto"/>
        </w:rPr>
        <w:t>Base Prospectus Shares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600" w:hanging="298"/>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shares of preferred stock, par value $0.001 per share, of the Company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jc w:val="both"/>
        <w:ind w:left="600" w:hanging="298"/>
        <w:spacing w:after="0" w:line="308" w:lineRule="auto"/>
        <w:tabs>
          <w:tab w:leader="none" w:pos="6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debt securities, in one or more series (the “</w:t>
      </w:r>
      <w:r>
        <w:rPr>
          <w:rFonts w:ascii="Arial" w:cs="Arial" w:eastAsia="Arial" w:hAnsi="Arial"/>
          <w:sz w:val="15"/>
          <w:szCs w:val="15"/>
          <w:b w:val="1"/>
          <w:bCs w:val="1"/>
          <w:i w:val="1"/>
          <w:iCs w:val="1"/>
          <w:color w:val="auto"/>
        </w:rPr>
        <w:t>Debt Securities</w:t>
      </w:r>
      <w:r>
        <w:rPr>
          <w:rFonts w:ascii="Arial" w:cs="Arial" w:eastAsia="Arial" w:hAnsi="Arial"/>
          <w:sz w:val="15"/>
          <w:szCs w:val="15"/>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5"/>
          <w:szCs w:val="15"/>
          <w:b w:val="1"/>
          <w:bCs w:val="1"/>
          <w:i w:val="1"/>
          <w:iCs w:val="1"/>
          <w:color w:val="auto"/>
        </w:rPr>
        <w:t>Trustee</w:t>
      </w:r>
      <w:r>
        <w:rPr>
          <w:rFonts w:ascii="Arial" w:cs="Arial" w:eastAsia="Arial" w:hAnsi="Arial"/>
          <w:sz w:val="15"/>
          <w:szCs w:val="15"/>
          <w:color w:val="auto"/>
        </w:rPr>
        <w:t>”) and the Company, in the form filed as Exhibit 4.3 to the Registration Statement and one or more indentures supplemental thereto with respect to any particular series of Debt Securities (the “</w:t>
      </w:r>
      <w:r>
        <w:rPr>
          <w:rFonts w:ascii="Arial" w:cs="Arial" w:eastAsia="Arial" w:hAnsi="Arial"/>
          <w:sz w:val="15"/>
          <w:szCs w:val="15"/>
          <w:b w:val="1"/>
          <w:bCs w:val="1"/>
          <w:i w:val="1"/>
          <w:iCs w:val="1"/>
          <w:color w:val="auto"/>
        </w:rPr>
        <w:t>Indenture</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jc w:val="both"/>
        <w:ind w:left="600" w:hanging="298"/>
        <w:spacing w:after="0" w:line="308" w:lineRule="auto"/>
        <w:tabs>
          <w:tab w:leader="none" w:pos="6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warrants to purchase Common Stock, Preferred Stock or Debt Securities (the “</w:t>
      </w:r>
      <w:r>
        <w:rPr>
          <w:rFonts w:ascii="Arial" w:cs="Arial" w:eastAsia="Arial" w:hAnsi="Arial"/>
          <w:sz w:val="15"/>
          <w:szCs w:val="15"/>
          <w:b w:val="1"/>
          <w:bCs w:val="1"/>
          <w:i w:val="1"/>
          <w:iCs w:val="1"/>
          <w:color w:val="auto"/>
        </w:rPr>
        <w:t>Warrants</w:t>
      </w:r>
      <w:r>
        <w:rPr>
          <w:rFonts w:ascii="Arial" w:cs="Arial" w:eastAsia="Arial" w:hAnsi="Arial"/>
          <w:sz w:val="15"/>
          <w:szCs w:val="15"/>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5"/>
          <w:szCs w:val="15"/>
          <w:b w:val="1"/>
          <w:bCs w:val="1"/>
          <w:i w:val="1"/>
          <w:iCs w:val="1"/>
          <w:color w:val="auto"/>
        </w:rPr>
        <w:t>Warrant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Agent</w:t>
      </w:r>
      <w:r>
        <w:rPr>
          <w:rFonts w:ascii="Arial" w:cs="Arial" w:eastAsia="Arial" w:hAnsi="Arial"/>
          <w:sz w:val="15"/>
          <w:szCs w:val="15"/>
          <w:color w:val="auto"/>
        </w:rPr>
        <w:t>”) and the Company, in the forms filed as Exhibits 4.5, 4.6 and 4.7 to the Registration Statement, respectively (each, a “</w:t>
      </w:r>
      <w:r>
        <w:rPr>
          <w:rFonts w:ascii="Arial" w:cs="Arial" w:eastAsia="Arial" w:hAnsi="Arial"/>
          <w:sz w:val="15"/>
          <w:szCs w:val="15"/>
          <w:b w:val="1"/>
          <w:bCs w:val="1"/>
          <w:i w:val="1"/>
          <w:iCs w:val="1"/>
          <w:color w:val="auto"/>
        </w:rPr>
        <w:t>Warrant Agreement</w:t>
      </w:r>
      <w:r>
        <w:rPr>
          <w:rFonts w:ascii="Arial" w:cs="Arial" w:eastAsia="Arial" w:hAnsi="Arial"/>
          <w:sz w:val="15"/>
          <w:szCs w:val="15"/>
          <w:color w:val="auto"/>
        </w:rPr>
        <w:t>”); and</w:t>
      </w:r>
    </w:p>
    <w:p>
      <w:pPr>
        <w:spacing w:after="0" w:line="140" w:lineRule="exact"/>
        <w:rPr>
          <w:rFonts w:ascii="Arial" w:cs="Arial" w:eastAsia="Arial" w:hAnsi="Arial"/>
          <w:sz w:val="15"/>
          <w:szCs w:val="15"/>
          <w:color w:val="auto"/>
        </w:rPr>
      </w:pPr>
    </w:p>
    <w:p>
      <w:pPr>
        <w:ind w:left="600" w:hanging="298"/>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Placement Shares.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Base Prospectus Shares, the Preferred Stock, the Debt Securities, the Warrants and the Placement Shares,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5"/>
          <w:szCs w:val="15"/>
          <w:b w:val="1"/>
          <w:bCs w:val="1"/>
          <w:i w:val="1"/>
          <w:iCs w:val="1"/>
          <w:color w:val="auto"/>
        </w:rPr>
        <w:t>Securities</w:t>
      </w:r>
      <w:r>
        <w:rPr>
          <w:rFonts w:ascii="Arial" w:cs="Arial" w:eastAsia="Arial" w:hAnsi="Arial"/>
          <w:sz w:val="15"/>
          <w:szCs w:val="15"/>
          <w:color w:val="auto"/>
        </w:rPr>
        <w:t>.” The Securities are being registered for offer and sale from time to time pursuant to Rule 415 under the Securities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b w:val="1"/>
          <w:bCs w:val="1"/>
          <w:color w:val="auto"/>
        </w:rPr>
        <w:t>August 10,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Page Two</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With respect to the Placement Shares, we have assumed (i) that the specific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and (ii) that no more than 34,000,000 Placement Shares will be sold for a consideration not less than the par value of the Common Stock. With respect to the Placement Shares, we express no opinion to the extent that future issuances of securities of the Company and/or anti-dilution adjustments to outstanding securities of the Company cause the number of shares of Common Stock then authorized less the sum of the number of shares outstanding or committed to be issued to exceed the number of Placement Shares then issuable under the Sales Agreement.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opinion herein is expressed solely with respect to the DGCL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20" w:name="page221"/>
    <w:bookmarkEnd w:id="220"/>
    <w:p>
      <w:pPr>
        <w:spacing w:after="0"/>
        <w:rPr>
          <w:sz w:val="20"/>
          <w:szCs w:val="20"/>
          <w:color w:val="auto"/>
        </w:rPr>
      </w:pPr>
      <w:r>
        <w:rPr>
          <w:rFonts w:ascii="Arial" w:cs="Arial" w:eastAsia="Arial" w:hAnsi="Arial"/>
          <w:sz w:val="17"/>
          <w:szCs w:val="17"/>
          <w:b w:val="1"/>
          <w:bCs w:val="1"/>
          <w:color w:val="auto"/>
        </w:rPr>
        <w:t>August 10,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Page Three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the foregoing, and in reliance thereon, and subject to the qualifications herein stated, we are of the opinion that:</w:t>
      </w:r>
    </w:p>
    <w:p>
      <w:pPr>
        <w:spacing w:after="0" w:line="207" w:lineRule="exact"/>
        <w:rPr>
          <w:sz w:val="20"/>
          <w:szCs w:val="20"/>
          <w:color w:val="auto"/>
        </w:rPr>
      </w:pPr>
    </w:p>
    <w:p>
      <w:pPr>
        <w:jc w:val="both"/>
        <w:ind w:firstLine="604"/>
        <w:spacing w:after="0" w:line="285" w:lineRule="auto"/>
        <w:tabs>
          <w:tab w:leader="none" w:pos="1164" w:val="left"/>
        </w:tabs>
        <w:numPr>
          <w:ilvl w:val="0"/>
          <w:numId w:val="186"/>
        </w:numPr>
        <w:rPr>
          <w:rFonts w:ascii="Arial" w:cs="Arial" w:eastAsia="Arial" w:hAnsi="Arial"/>
          <w:sz w:val="15"/>
          <w:szCs w:val="15"/>
          <w:b w:val="1"/>
          <w:bCs w:val="1"/>
          <w:color w:val="auto"/>
        </w:rPr>
      </w:pPr>
      <w:r>
        <w:rPr>
          <w:rFonts w:ascii="Arial" w:cs="Arial" w:eastAsia="Arial" w:hAnsi="Arial"/>
          <w:sz w:val="15"/>
          <w:szCs w:val="15"/>
          <w:color w:val="auto"/>
        </w:rPr>
        <w:t>With respect to the Base Prospectus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Base Prospectus Shares has been duly authorized by all necessary corporate action on the part of the Company; (iii) the issuance and sale of the Base Prospectus Shares do not violate any applicable law, are in conformity with the Company’s then operative certificate of incorporation (the “</w:t>
      </w:r>
      <w:r>
        <w:rPr>
          <w:rFonts w:ascii="Arial" w:cs="Arial" w:eastAsia="Arial" w:hAnsi="Arial"/>
          <w:sz w:val="15"/>
          <w:szCs w:val="15"/>
          <w:b w:val="1"/>
          <w:bCs w:val="1"/>
          <w:i w:val="1"/>
          <w:iCs w:val="1"/>
          <w:color w:val="auto"/>
        </w:rPr>
        <w:t>Certificate of Incorporation</w:t>
      </w:r>
      <w:r>
        <w:rPr>
          <w:rFonts w:ascii="Arial" w:cs="Arial" w:eastAsia="Arial" w:hAnsi="Arial"/>
          <w:sz w:val="15"/>
          <w:szCs w:val="15"/>
          <w:color w:val="auto"/>
        </w:rPr>
        <w:t>”) and bylaws (the “</w:t>
      </w:r>
      <w:r>
        <w:rPr>
          <w:rFonts w:ascii="Arial" w:cs="Arial" w:eastAsia="Arial" w:hAnsi="Arial"/>
          <w:sz w:val="15"/>
          <w:szCs w:val="15"/>
          <w:b w:val="1"/>
          <w:bCs w:val="1"/>
          <w:i w:val="1"/>
          <w:iCs w:val="1"/>
          <w:color w:val="auto"/>
        </w:rPr>
        <w:t>Bylaws</w:t>
      </w:r>
      <w:r>
        <w:rPr>
          <w:rFonts w:ascii="Arial" w:cs="Arial" w:eastAsia="Arial" w:hAnsi="Arial"/>
          <w:sz w:val="15"/>
          <w:szCs w:val="15"/>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Base Prospectus Shares have been duly executed by the Company, countersigned by the transfer agent therefor and duly delivered to the purchasers thereof against payment therefor, then the Base Prospectus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59" w:lineRule="exact"/>
        <w:rPr>
          <w:rFonts w:ascii="Arial" w:cs="Arial" w:eastAsia="Arial" w:hAnsi="Arial"/>
          <w:sz w:val="15"/>
          <w:szCs w:val="15"/>
          <w:b w:val="1"/>
          <w:bCs w:val="1"/>
          <w:color w:val="auto"/>
        </w:rPr>
      </w:pPr>
    </w:p>
    <w:p>
      <w:pPr>
        <w:jc w:val="both"/>
        <w:ind w:firstLine="604"/>
        <w:spacing w:after="0" w:line="286" w:lineRule="auto"/>
        <w:tabs>
          <w:tab w:leader="none" w:pos="1214" w:val="left"/>
        </w:tabs>
        <w:numPr>
          <w:ilvl w:val="0"/>
          <w:numId w:val="186"/>
        </w:numPr>
        <w:rPr>
          <w:rFonts w:ascii="Arial" w:cs="Arial" w:eastAsia="Arial" w:hAnsi="Arial"/>
          <w:sz w:val="15"/>
          <w:szCs w:val="15"/>
          <w:b w:val="1"/>
          <w:bCs w:val="1"/>
          <w:color w:val="auto"/>
        </w:rPr>
      </w:pPr>
      <w:r>
        <w:rPr>
          <w:rFonts w:ascii="Arial" w:cs="Arial" w:eastAsia="Arial" w:hAnsi="Arial"/>
          <w:sz w:val="15"/>
          <w:szCs w:val="15"/>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56" w:lineRule="exact"/>
        <w:rPr>
          <w:rFonts w:ascii="Arial" w:cs="Arial" w:eastAsia="Arial" w:hAnsi="Arial"/>
          <w:sz w:val="15"/>
          <w:szCs w:val="15"/>
          <w:b w:val="1"/>
          <w:bCs w:val="1"/>
          <w:color w:val="auto"/>
        </w:rPr>
      </w:pPr>
    </w:p>
    <w:p>
      <w:pPr>
        <w:jc w:val="both"/>
        <w:ind w:firstLine="604"/>
        <w:spacing w:after="0" w:line="265" w:lineRule="auto"/>
        <w:tabs>
          <w:tab w:leader="none" w:pos="1227"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b w:val="1"/>
          <w:bCs w:val="1"/>
          <w:color w:val="auto"/>
        </w:rPr>
        <w:t>August 10,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Page Four</w:t>
      </w:r>
    </w:p>
    <w:p>
      <w:pPr>
        <w:spacing w:after="0" w:line="194" w:lineRule="exact"/>
        <w:rPr>
          <w:sz w:val="20"/>
          <w:szCs w:val="20"/>
          <w:color w:val="auto"/>
        </w:rPr>
      </w:pPr>
    </w:p>
    <w:p>
      <w:pPr>
        <w:jc w:val="both"/>
        <w:ind w:firstLine="604"/>
        <w:spacing w:after="0" w:line="284" w:lineRule="auto"/>
        <w:tabs>
          <w:tab w:leader="none" w:pos="1164" w:val="left"/>
        </w:tabs>
        <w:numPr>
          <w:ilvl w:val="0"/>
          <w:numId w:val="187"/>
        </w:numPr>
        <w:rPr>
          <w:rFonts w:ascii="Arial" w:cs="Arial" w:eastAsia="Arial" w:hAnsi="Arial"/>
          <w:sz w:val="15"/>
          <w:szCs w:val="15"/>
          <w:b w:val="1"/>
          <w:bCs w:val="1"/>
          <w:color w:val="auto"/>
        </w:rPr>
      </w:pPr>
      <w:r>
        <w:rPr>
          <w:rFonts w:ascii="Arial" w:cs="Arial" w:eastAsia="Arial" w:hAnsi="Arial"/>
          <w:sz w:val="15"/>
          <w:szCs w:val="15"/>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8" w:lineRule="exact"/>
        <w:rPr>
          <w:rFonts w:ascii="Arial" w:cs="Arial" w:eastAsia="Arial" w:hAnsi="Arial"/>
          <w:sz w:val="15"/>
          <w:szCs w:val="15"/>
          <w:b w:val="1"/>
          <w:bCs w:val="1"/>
          <w:color w:val="auto"/>
        </w:rPr>
      </w:pPr>
    </w:p>
    <w:p>
      <w:pPr>
        <w:ind w:firstLine="604"/>
        <w:spacing w:after="0" w:line="268" w:lineRule="auto"/>
        <w:tabs>
          <w:tab w:leader="none" w:pos="1109" w:val="left"/>
        </w:tabs>
        <w:numPr>
          <w:ilvl w:val="0"/>
          <w:numId w:val="187"/>
        </w:numPr>
        <w:rPr>
          <w:rFonts w:ascii="Arial" w:cs="Arial" w:eastAsia="Arial" w:hAnsi="Arial"/>
          <w:sz w:val="17"/>
          <w:szCs w:val="17"/>
          <w:b w:val="1"/>
          <w:bCs w:val="1"/>
          <w:color w:val="auto"/>
        </w:rPr>
      </w:pPr>
      <w:r>
        <w:rPr>
          <w:rFonts w:ascii="Arial" w:cs="Arial" w:eastAsia="Arial" w:hAnsi="Arial"/>
          <w:sz w:val="17"/>
          <w:szCs w:val="17"/>
          <w:color w:val="auto"/>
        </w:rPr>
        <w:t>The Placement Shares, when issued and paid for in accordance with the Sales Agreement and as provided in the Sales Agreement Prospectus, will be validly issued, fully paid and nonassessable.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b w:val="1"/>
          <w:bCs w:val="1"/>
          <w:color w:val="auto"/>
        </w:rPr>
        <w:t>August 10,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Page Five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Cooley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11430</wp:posOffset>
            </wp:positionV>
            <wp:extent cx="33591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color w:val="auto"/>
        </w:rPr>
        <w:t>Divakar Gupta</w:t>
      </w:r>
    </w:p>
    <w:p>
      <w:pPr>
        <w:spacing w:after="0" w:line="207" w:lineRule="exact"/>
        <w:rPr>
          <w:sz w:val="20"/>
          <w:szCs w:val="20"/>
          <w:color w:val="auto"/>
        </w:rPr>
      </w:pPr>
    </w:p>
    <w:p>
      <w:pPr>
        <w:jc w:val="right"/>
        <w:ind w:right="799"/>
        <w:spacing w:after="0"/>
        <w:rPr>
          <w:sz w:val="20"/>
          <w:szCs w:val="20"/>
          <w:color w:val="auto"/>
        </w:rPr>
      </w:pPr>
      <w:r>
        <w:rPr>
          <w:rFonts w:ascii="Arial" w:cs="Arial" w:eastAsia="Arial" w:hAnsi="Arial"/>
          <w:sz w:val="17"/>
          <w:szCs w:val="17"/>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1418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consent to the incorporation by reference in this Registration Statement of Marker Therapeutics, Inc. on Form S-3 of our report dated March 9, 2021, with respect to our audits of the consolidated financial statements of Marker Therapeutics, Inc. as of December 31, 2020 and 2019 and for the years ended December 31, 2020 and 2019, which report is included in the Annual Report on Form 10-K of Marker Therapeutics for the year ended December 31, 2020. We also consent to the reference to our firm under the heading “Experts” in each prospectus, which is part of this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 Marcum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71418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1)"/>
      <w:numFmt w:val="lowerRoman"/>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1)"/>
      <w:numFmt w:val="lowerRoman"/>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1)"/>
      <w:numFmt w:val="lowerLetter"/>
      <w:start w:val="2"/>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1)"/>
      <w:numFmt w:val="decimal"/>
      <w:start w:val="1"/>
    </w:lvl>
    <w:lvl w:ilvl="1">
      <w:lvlJc w:val="left"/>
      <w:lvlText w:val="(%2)"/>
      <w:numFmt w:val="lowerRoman"/>
      <w:start w:val="1"/>
    </w:lvl>
  </w:abstractNum>
  <w:abstractNum w:abstractNumId="45">
    <w:nsid w:val="2B0D8DBE"/>
    <w:multiLevelType w:val="hybridMultilevel"/>
    <w:lvl w:ilvl="0">
      <w:lvlJc w:val="left"/>
      <w:lvlText w:val="(%1)"/>
      <w:numFmt w:val="decimal"/>
      <w:start w:val="2"/>
    </w:lvl>
    <w:lvl w:ilvl="1">
      <w:lvlJc w:val="left"/>
      <w:lvlText w:val="(%2)"/>
      <w:numFmt w:val="lowerRoman"/>
      <w:start w:val="1"/>
    </w:lvl>
  </w:abstractNum>
  <w:abstractNum w:abstractNumId="46">
    <w:nsid w:val="6C80EC70"/>
    <w:multiLevelType w:val="hybridMultilevel"/>
    <w:lvl w:ilvl="0">
      <w:lvlJc w:val="left"/>
      <w:lvlText w:val="(%1)"/>
      <w:numFmt w:val="decimal"/>
      <w:start w:val="5"/>
    </w:lvl>
  </w:abstractNum>
  <w:abstractNum w:abstractNumId="47">
    <w:nsid w:val="379E21B5"/>
    <w:multiLevelType w:val="hybridMultilevel"/>
    <w:lvl w:ilvl="0">
      <w:lvlJc w:val="left"/>
      <w:lvlText w:val="(%1)"/>
      <w:numFmt w:val="lowerRoman"/>
      <w:start w:val="4"/>
    </w:lvl>
  </w:abstractNum>
  <w:abstractNum w:abstractNumId="48">
    <w:nsid w:val="69E373"/>
    <w:multiLevelType w:val="hybridMultilevel"/>
    <w:lvl w:ilvl="0">
      <w:lvlJc w:val="left"/>
      <w:lvlText w:val="%1."/>
      <w:numFmt w:val="decimal"/>
      <w:start w:val="1"/>
    </w:lvl>
  </w:abstractNum>
  <w:abstractNum w:abstractNumId="49">
    <w:nsid w:val="2C27173B"/>
    <w:multiLevelType w:val="hybridMultilevel"/>
    <w:lvl w:ilvl="0">
      <w:lvlJc w:val="left"/>
      <w:lvlText w:val="%1."/>
      <w:numFmt w:val="decimal"/>
      <w:start w:val="2"/>
    </w:lvl>
  </w:abstractNum>
  <w:abstractNum w:abstractNumId="50">
    <w:nsid w:val="4C9B0904"/>
    <w:multiLevelType w:val="hybridMultilevel"/>
    <w:lvl w:ilvl="0">
      <w:lvlJc w:val="left"/>
      <w:lvlText w:val="%1."/>
      <w:numFmt w:val="decimal"/>
      <w:start w:val="5"/>
    </w:lvl>
    <w:lvl w:ilvl="1">
      <w:lvlJc w:val="left"/>
      <w:lvlText w:val="(%2)"/>
      <w:numFmt w:val="lowerLetter"/>
      <w:start w:val="1"/>
    </w:lvl>
  </w:abstractNum>
  <w:abstractNum w:abstractNumId="51">
    <w:nsid w:val="6AA7B7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52">
    <w:nsid w:val="1DF029D3"/>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6"/>
    </w:lvl>
  </w:abstractNum>
  <w:abstractNum w:abstractNumId="53">
    <w:nsid w:val="5675FF3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4">
    <w:nsid w:val="3DD15094"/>
    <w:multiLevelType w:val="hybridMultilevel"/>
    <w:lvl w:ilvl="0">
      <w:lvlJc w:val="left"/>
      <w:lvlText w:val="(%1)"/>
      <w:numFmt w:val="lowerLetter"/>
      <w:start w:val="2"/>
    </w:lvl>
    <w:lvl w:ilvl="1">
      <w:lvlJc w:val="left"/>
      <w:lvlText w:val="(%2)"/>
      <w:numFmt w:val="lowerLetter"/>
      <w:start w:val="35"/>
    </w:lvl>
  </w:abstractNum>
  <w:abstractNum w:abstractNumId="55">
    <w:nsid w:val="3DB012B3"/>
    <w:multiLevelType w:val="hybridMultilevel"/>
    <w:lvl w:ilvl="0">
      <w:lvlJc w:val="left"/>
      <w:lvlText w:val="%1"/>
      <w:numFmt w:val="lowerLetter"/>
      <w:start w:val="1"/>
    </w:lvl>
    <w:lvl w:ilvl="1">
      <w:lvlJc w:val="left"/>
      <w:lvlText w:val="(%2)"/>
      <w:numFmt w:val="lowerLetter"/>
      <w:start w:val="61"/>
    </w:lvl>
  </w:abstractNum>
  <w:abstractNum w:abstractNumId="56">
    <w:nsid w:val="2708C9AF"/>
    <w:multiLevelType w:val="hybridMultilevel"/>
    <w:lvl w:ilvl="0">
      <w:lvlJc w:val="left"/>
      <w:lvlText w:val="(%1)"/>
      <w:numFmt w:val="lowerLetter"/>
      <w:start w:val="4"/>
    </w:lvl>
    <w:lvl w:ilvl="1">
      <w:lvlJc w:val="left"/>
      <w:lvlText w:val="%2"/>
      <w:numFmt w:val="lowerLetter"/>
      <w:start w:val="1"/>
    </w:lvl>
  </w:abstractNum>
  <w:abstractNum w:abstractNumId="57">
    <w:nsid w:val="5B25ACE2"/>
    <w:multiLevelType w:val="hybridMultilevel"/>
    <w:lvl w:ilvl="0">
      <w:lvlJc w:val="left"/>
      <w:lvlText w:val="(%1)"/>
      <w:numFmt w:val="lowerLetter"/>
      <w:start w:val="7"/>
    </w:lvl>
  </w:abstractNum>
  <w:abstractNum w:abstractNumId="58">
    <w:nsid w:val="175DFCF0"/>
    <w:multiLevelType w:val="hybridMultilevel"/>
    <w:lvl w:ilvl="0">
      <w:lvlJc w:val="left"/>
      <w:lvlText w:val="(%1)"/>
      <w:numFmt w:val="lowerLetter"/>
      <w:start w:val="10"/>
    </w:lvl>
  </w:abstractNum>
  <w:abstractNum w:abstractNumId="59">
    <w:nsid w:val="4F97E3E4"/>
    <w:multiLevelType w:val="hybridMultilevel"/>
    <w:lvl w:ilvl="0">
      <w:lvlJc w:val="left"/>
      <w:lvlText w:val="(%1)"/>
      <w:numFmt w:val="lowerLetter"/>
      <w:start w:val="12"/>
    </w:lvl>
  </w:abstractNum>
  <w:abstractNum w:abstractNumId="60">
    <w:nsid w:val="53B0A9E"/>
    <w:multiLevelType w:val="hybridMultilevel"/>
    <w:lvl w:ilvl="0">
      <w:lvlJc w:val="left"/>
      <w:lvlText w:val="(%1)"/>
      <w:numFmt w:val="lowerLetter"/>
      <w:start w:val="15"/>
    </w:lvl>
  </w:abstractNum>
  <w:abstractNum w:abstractNumId="61">
    <w:nsid w:val="34FD6B4F"/>
    <w:multiLevelType w:val="hybridMultilevel"/>
    <w:lvl w:ilvl="0">
      <w:lvlJc w:val="left"/>
      <w:lvlText w:val="(%1)"/>
      <w:numFmt w:val="lowerLetter"/>
      <w:start w:val="16"/>
    </w:lvl>
  </w:abstractNum>
  <w:abstractNum w:abstractNumId="62">
    <w:nsid w:val="5915FF32"/>
    <w:multiLevelType w:val="hybridMultilevel"/>
    <w:lvl w:ilvl="0">
      <w:lvlJc w:val="left"/>
      <w:lvlText w:val="§§"/>
      <w:numFmt w:val="bullet"/>
      <w:start w:val="1"/>
    </w:lvl>
    <w:lvl w:ilvl="1">
      <w:lvlJc w:val="left"/>
      <w:lvlText w:val="(%2)"/>
      <w:numFmt w:val="lowerLetter"/>
      <w:start w:val="18"/>
    </w:lvl>
  </w:abstractNum>
  <w:abstractNum w:abstractNumId="63">
    <w:nsid w:val="56438D15"/>
    <w:multiLevelType w:val="hybridMultilevel"/>
    <w:lvl w:ilvl="0">
      <w:lvlJc w:val="left"/>
      <w:lvlText w:val="§§"/>
      <w:numFmt w:val="bullet"/>
      <w:start w:val="1"/>
    </w:lvl>
    <w:lvl w:ilvl="1">
      <w:lvlJc w:val="left"/>
      <w:lvlText w:val="(%2)"/>
      <w:numFmt w:val="lowerLetter"/>
      <w:start w:val="19"/>
    </w:lvl>
  </w:abstractNum>
  <w:abstractNum w:abstractNumId="64">
    <w:nsid w:val="519E3149"/>
    <w:multiLevelType w:val="hybridMultilevel"/>
    <w:lvl w:ilvl="0">
      <w:lvlJc w:val="left"/>
      <w:lvlText w:val="(%1)"/>
      <w:numFmt w:val="lowerLetter"/>
      <w:start w:val="21"/>
    </w:lvl>
  </w:abstractNum>
  <w:abstractNum w:abstractNumId="65">
    <w:nsid w:val="2C6E4AFD"/>
    <w:multiLevelType w:val="hybridMultilevel"/>
    <w:lvl w:ilvl="0">
      <w:lvlJc w:val="left"/>
      <w:lvlText w:val="(%1)"/>
      <w:numFmt w:val="lowerLetter"/>
      <w:start w:val="24"/>
    </w:lvl>
  </w:abstractNum>
  <w:abstractNum w:abstractNumId="66">
    <w:nsid w:val="17A1B582"/>
    <w:multiLevelType w:val="hybridMultilevel"/>
    <w:lvl w:ilvl="0">
      <w:lvlJc w:val="left"/>
      <w:lvlText w:val="(%1)"/>
      <w:numFmt w:val="lowerLetter"/>
      <w:start w:val="27"/>
    </w:lvl>
  </w:abstractNum>
  <w:abstractNum w:abstractNumId="67">
    <w:nsid w:val="4DF72E4E"/>
    <w:multiLevelType w:val="hybridMultilevel"/>
    <w:lvl w:ilvl="0">
      <w:lvlJc w:val="left"/>
      <w:lvlText w:val="(%1)"/>
      <w:numFmt w:val="lowerLetter"/>
      <w:start w:val="29"/>
    </w:lvl>
  </w:abstractNum>
  <w:abstractNum w:abstractNumId="68">
    <w:nsid w:val="5046B5A9"/>
    <w:multiLevelType w:val="hybridMultilevel"/>
    <w:lvl w:ilvl="0">
      <w:lvlJc w:val="left"/>
      <w:lvlText w:val="(%1)"/>
      <w:numFmt w:val="lowerRoman"/>
      <w:start w:val="1"/>
    </w:lvl>
  </w:abstractNum>
  <w:abstractNum w:abstractNumId="69">
    <w:nsid w:val="5D888A08"/>
    <w:multiLevelType w:val="hybridMultilevel"/>
    <w:lvl w:ilvl="0">
      <w:lvlJc w:val="left"/>
      <w:lvlText w:val="(%1)"/>
      <w:numFmt w:val="upperLetter"/>
      <w:start w:val="1"/>
    </w:lvl>
  </w:abstractNum>
  <w:abstractNum w:abstractNumId="70">
    <w:nsid w:val="2A082C70"/>
    <w:multiLevelType w:val="hybridMultilevel"/>
    <w:lvl w:ilvl="0">
      <w:lvlJc w:val="left"/>
      <w:lvlText w:val="(%1)"/>
      <w:numFmt w:val="lowerRoman"/>
      <w:start w:val="2"/>
    </w:lvl>
  </w:abstractNum>
  <w:abstractNum w:abstractNumId="71">
    <w:nsid w:val="5EC6AFD4"/>
    <w:multiLevelType w:val="hybridMultilevel"/>
    <w:lvl w:ilvl="0">
      <w:lvlJc w:val="left"/>
      <w:lvlText w:val="(%1)"/>
      <w:numFmt w:val="upperLetter"/>
      <w:start w:val="1"/>
    </w:lvl>
  </w:abstractNum>
  <w:abstractNum w:abstractNumId="72">
    <w:nsid w:val="19E21BB2"/>
    <w:multiLevelType w:val="hybridMultilevel"/>
    <w:lvl w:ilvl="0">
      <w:lvlJc w:val="left"/>
      <w:lvlText w:val="%1"/>
      <w:numFmt w:val="lowerLetter"/>
      <w:start w:val="1"/>
    </w:lvl>
    <w:lvl w:ilvl="1">
      <w:lvlJc w:val="left"/>
      <w:lvlText w:val="(%2)"/>
      <w:numFmt w:val="lowerLetter"/>
      <w:start w:val="61"/>
    </w:lvl>
  </w:abstractNum>
  <w:abstractNum w:abstractNumId="73">
    <w:nsid w:val="75E0858A"/>
    <w:multiLevelType w:val="hybridMultilevel"/>
    <w:lvl w:ilvl="0">
      <w:lvlJc w:val="left"/>
      <w:lvlText w:val="(%1)"/>
      <w:numFmt w:val="lowerLetter"/>
      <w:start w:val="33"/>
    </w:lvl>
    <w:lvl w:ilvl="1">
      <w:lvlJc w:val="left"/>
      <w:lvlText w:val="%2"/>
      <w:numFmt w:val="lowerLetter"/>
      <w:start w:val="1"/>
    </w:lvl>
  </w:abstractNum>
  <w:abstractNum w:abstractNumId="74">
    <w:nsid w:val="57A61A29"/>
    <w:multiLevelType w:val="hybridMultilevel"/>
    <w:lvl w:ilvl="0">
      <w:lvlJc w:val="left"/>
      <w:lvlText w:val="(%1)"/>
      <w:numFmt w:val="lowerLetter"/>
      <w:start w:val="35"/>
    </w:lvl>
  </w:abstractNum>
  <w:abstractNum w:abstractNumId="75">
    <w:nsid w:val="5399C654"/>
    <w:multiLevelType w:val="hybridMultilevel"/>
    <w:lvl w:ilvl="0">
      <w:lvlJc w:val="left"/>
      <w:lvlText w:val="(%1)"/>
      <w:numFmt w:val="lowerLetter"/>
      <w:start w:val="37"/>
    </w:lvl>
  </w:abstractNum>
  <w:abstractNum w:abstractNumId="76">
    <w:nsid w:val="20EE1348"/>
    <w:multiLevelType w:val="hybridMultilevel"/>
    <w:lvl w:ilvl="0">
      <w:lvlJc w:val="left"/>
      <w:lvlText w:val="%1"/>
      <w:numFmt w:val="lowerLetter"/>
      <w:start w:val="1"/>
    </w:lvl>
    <w:lvl w:ilvl="1">
      <w:lvlJc w:val="left"/>
      <w:lvlText w:val="(%2)"/>
      <w:numFmt w:val="lowerLetter"/>
      <w:start w:val="42"/>
    </w:lvl>
  </w:abstractNum>
  <w:abstractNum w:abstractNumId="77">
    <w:nsid w:val="4427069A"/>
    <w:multiLevelType w:val="hybridMultilevel"/>
    <w:lvl w:ilvl="0">
      <w:lvlJc w:val="left"/>
      <w:lvlText w:val="(%1)"/>
      <w:numFmt w:val="lowerLetter"/>
      <w:start w:val="61"/>
    </w:lvl>
    <w:lvl w:ilvl="1">
      <w:lvlJc w:val="left"/>
      <w:lvlText w:val="%2"/>
      <w:numFmt w:val="lowerLetter"/>
      <w:start w:val="1"/>
    </w:lvl>
  </w:abstractNum>
  <w:abstractNum w:abstractNumId="78">
    <w:nsid w:val="B37E80A"/>
    <w:multiLevelType w:val="hybridMultilevel"/>
    <w:lvl w:ilvl="0">
      <w:lvlJc w:val="left"/>
      <w:lvlText w:val="%1."/>
      <w:numFmt w:val="decimal"/>
      <w:start w:val="7"/>
    </w:lvl>
    <w:lvl w:ilvl="1">
      <w:lvlJc w:val="left"/>
      <w:lvlText w:val="(%2)"/>
      <w:numFmt w:val="lowerLetter"/>
      <w:start w:val="1"/>
    </w:lvl>
  </w:abstractNum>
  <w:abstractNum w:abstractNumId="79">
    <w:nsid w:val="2157F6BC"/>
    <w:multiLevelType w:val="hybridMultilevel"/>
    <w:lvl w:ilvl="0">
      <w:lvlJc w:val="left"/>
      <w:lvlText w:val="(%1)"/>
      <w:numFmt w:val="lowerLetter"/>
      <w:start w:val="2"/>
    </w:lvl>
  </w:abstractNum>
  <w:abstractNum w:abstractNumId="80">
    <w:nsid w:val="704E1DD5"/>
    <w:multiLevelType w:val="hybridMultilevel"/>
    <w:lvl w:ilvl="0">
      <w:lvlJc w:val="left"/>
      <w:lvlText w:val="(%1)"/>
      <w:numFmt w:val="lowerLetter"/>
      <w:start w:val="4"/>
    </w:lvl>
  </w:abstractNum>
  <w:abstractNum w:abstractNumId="81">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82">
    <w:nsid w:val="BFFAE18"/>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2"/>
    </w:lvl>
  </w:abstractNum>
  <w:abstractNum w:abstractNumId="83">
    <w:nsid w:val="E3E47A8"/>
    <w:multiLevelType w:val="hybridMultilevel"/>
    <w:lvl w:ilvl="0">
      <w:lvlJc w:val="left"/>
      <w:lvlText w:val="(%1)"/>
      <w:numFmt w:val="lowerRoman"/>
      <w:start w:val="2"/>
    </w:lvl>
  </w:abstractNum>
  <w:abstractNum w:abstractNumId="84">
    <w:nsid w:val="2E48F044"/>
    <w:multiLevelType w:val="hybridMultilevel"/>
    <w:lvl w:ilvl="0">
      <w:lvlJc w:val="left"/>
      <w:lvlText w:val="(%1)"/>
      <w:numFmt w:val="lowerLetter"/>
      <w:start w:val="13"/>
    </w:lvl>
  </w:abstractNum>
  <w:abstractNum w:abstractNumId="85">
    <w:nsid w:val="49D0FEAC"/>
    <w:multiLevelType w:val="hybridMultilevel"/>
    <w:lvl w:ilvl="0">
      <w:lvlJc w:val="left"/>
      <w:lvlText w:val="%1"/>
      <w:numFmt w:val="lowerLetter"/>
      <w:start w:val="1"/>
    </w:lvl>
    <w:lvl w:ilvl="1">
      <w:lvlJc w:val="left"/>
      <w:lvlText w:val="(%2)"/>
      <w:numFmt w:val="lowerLetter"/>
      <w:start w:val="14"/>
    </w:lvl>
  </w:abstractNum>
  <w:abstractNum w:abstractNumId="86">
    <w:nsid w:val="4BEE5A5B"/>
    <w:multiLevelType w:val="hybridMultilevel"/>
    <w:lvl w:ilvl="0">
      <w:lvlJc w:val="left"/>
      <w:lvlText w:val="(%1)"/>
      <w:numFmt w:val="lowerLetter"/>
      <w:start w:val="35"/>
    </w:lvl>
    <w:lvl w:ilvl="1">
      <w:lvlJc w:val="left"/>
      <w:lvlText w:val="(%2)"/>
      <w:numFmt w:val="lowerLetter"/>
      <w:start w:val="16"/>
    </w:lvl>
  </w:abstractNum>
  <w:abstractNum w:abstractNumId="87">
    <w:nsid w:val="5551B9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9"/>
    </w:lvl>
  </w:abstractNum>
  <w:abstractNum w:abstractNumId="88">
    <w:nsid w:val="24F6AB8E"/>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9">
    <w:nsid w:val="634C574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0">
    <w:nsid w:val="24E99DD7"/>
    <w:multiLevelType w:val="hybridMultilevel"/>
    <w:lvl w:ilvl="0">
      <w:lvlJc w:val="left"/>
      <w:lvlText w:val="%1."/>
      <w:numFmt w:val="decimal"/>
      <w:start w:val="9"/>
    </w:lvl>
    <w:lvl w:ilvl="1">
      <w:lvlJc w:val="left"/>
      <w:lvlText w:val="(%2)"/>
      <w:numFmt w:val="lowerLetter"/>
      <w:start w:val="1"/>
    </w:lvl>
  </w:abstractNum>
  <w:abstractNum w:abstractNumId="91">
    <w:nsid w:val="2A31B62D"/>
    <w:multiLevelType w:val="hybridMultilevel"/>
    <w:lvl w:ilvl="0">
      <w:lvlJc w:val="left"/>
      <w:lvlText w:val="(%1)"/>
      <w:numFmt w:val="lowerLetter"/>
      <w:start w:val="3"/>
    </w:lvl>
  </w:abstractNum>
  <w:abstractNum w:abstractNumId="92">
    <w:nsid w:val="1849C29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93">
    <w:nsid w:val="7DFF9D0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4">
    <w:nsid w:val="754342"/>
    <w:multiLevelType w:val="hybridMultilevel"/>
    <w:lvl w:ilvl="0">
      <w:lvlJc w:val="left"/>
      <w:lvlText w:val="%1"/>
      <w:numFmt w:val="decimal"/>
      <w:start w:val="1"/>
    </w:lvl>
    <w:lvl w:ilvl="1">
      <w:lvlJc w:val="left"/>
      <w:lvlText w:val="(%2)"/>
      <w:numFmt w:val="lowerLetter"/>
      <w:start w:val="2"/>
    </w:lvl>
  </w:abstractNum>
  <w:abstractNum w:abstractNumId="95">
    <w:nsid w:val="69E7F3E5"/>
    <w:multiLevelType w:val="hybridMultilevel"/>
    <w:lvl w:ilvl="0">
      <w:lvlJc w:val="left"/>
      <w:lvlText w:val="(%1)"/>
      <w:numFmt w:val="decimal"/>
      <w:start w:val="3"/>
    </w:lvl>
    <w:lvl w:ilvl="1">
      <w:lvlJc w:val="left"/>
      <w:lvlText w:val="%2"/>
      <w:numFmt w:val="lowerLetter"/>
      <w:start w:val="1"/>
    </w:lvl>
  </w:abstractNum>
  <w:abstractNum w:abstractNumId="96">
    <w:nsid w:val="2A6DE806"/>
    <w:multiLevelType w:val="hybridMultilevel"/>
    <w:lvl w:ilvl="0">
      <w:lvlJc w:val="left"/>
      <w:lvlText w:val="%1"/>
      <w:numFmt w:val="decimal"/>
      <w:start w:val="1"/>
    </w:lvl>
    <w:lvl w:ilvl="1">
      <w:lvlJc w:val="left"/>
      <w:lvlText w:val="(%2)"/>
      <w:numFmt w:val="lowerLetter"/>
      <w:start w:val="4"/>
    </w:lvl>
  </w:abstractNum>
  <w:abstractNum w:abstractNumId="97">
    <w:nsid w:val="1816F8C4"/>
    <w:multiLevelType w:val="hybridMultilevel"/>
    <w:lvl w:ilvl="0">
      <w:lvlJc w:val="left"/>
      <w:lvlText w:val="%1."/>
      <w:numFmt w:val="decimal"/>
      <w:start w:val="11"/>
    </w:lvl>
    <w:lvl w:ilvl="1">
      <w:lvlJc w:val="left"/>
      <w:lvlText w:val="%2"/>
      <w:numFmt w:val="lowerLetter"/>
      <w:start w:val="1"/>
    </w:lvl>
  </w:abstractNum>
  <w:abstractNum w:abstractNumId="98">
    <w:nsid w:val="37DF2233"/>
    <w:multiLevelType w:val="hybridMultilevel"/>
    <w:lvl w:ilvl="0">
      <w:lvlJc w:val="left"/>
      <w:lvlText w:val="%1."/>
      <w:numFmt w:val="decimal"/>
      <w:start w:val="12"/>
    </w:lvl>
    <w:lvl w:ilvl="1">
      <w:lvlJc w:val="left"/>
      <w:lvlText w:val="(%2)"/>
      <w:numFmt w:val="lowerLetter"/>
      <w:start w:val="1"/>
    </w:lvl>
  </w:abstractNum>
  <w:abstractNum w:abstractNumId="99">
    <w:nsid w:val="7AB49DAF"/>
    <w:multiLevelType w:val="hybridMultilevel"/>
    <w:lvl w:ilvl="0">
      <w:lvlJc w:val="left"/>
      <w:lvlText w:val="%1"/>
      <w:numFmt w:val="decimal"/>
      <w:start w:val="1"/>
    </w:lvl>
    <w:lvl w:ilvl="1">
      <w:lvlJc w:val="left"/>
      <w:lvlText w:val="(%2)"/>
      <w:numFmt w:val="lowerLetter"/>
      <w:start w:val="4"/>
    </w:lvl>
  </w:abstractNum>
  <w:abstractNum w:abstractNumId="100">
    <w:nsid w:val="759F82CD"/>
    <w:multiLevelType w:val="hybridMultilevel"/>
    <w:lvl w:ilvl="0">
      <w:lvlJc w:val="left"/>
      <w:lvlText w:val="%1."/>
      <w:numFmt w:val="decimal"/>
      <w:start w:val="13"/>
    </w:lvl>
    <w:lvl w:ilvl="1">
      <w:lvlJc w:val="left"/>
      <w:lvlText w:val="%2"/>
      <w:numFmt w:val="lowerLetter"/>
      <w:start w:val="1"/>
    </w:lvl>
  </w:abstractNum>
  <w:abstractNum w:abstractNumId="101">
    <w:nsid w:val="61E74EA3"/>
    <w:multiLevelType w:val="hybridMultilevel"/>
    <w:lvl w:ilvl="0">
      <w:lvlJc w:val="left"/>
      <w:lvlText w:val="%1."/>
      <w:numFmt w:val="decimal"/>
      <w:start w:val="14"/>
    </w:lvl>
  </w:abstractNum>
  <w:abstractNum w:abstractNumId="102">
    <w:nsid w:val="597B4D84"/>
    <w:multiLevelType w:val="hybridMultilevel"/>
    <w:lvl w:ilvl="0">
      <w:lvlJc w:val="left"/>
      <w:lvlText w:val="%1."/>
      <w:numFmt w:val="decimal"/>
      <w:start w:val="15"/>
    </w:lvl>
  </w:abstractNum>
  <w:abstractNum w:abstractNumId="103">
    <w:nsid w:val="F819E7F"/>
    <w:multiLevelType w:val="hybridMultilevel"/>
    <w:lvl w:ilvl="0">
      <w:lvlJc w:val="left"/>
      <w:lvlText w:val="%1."/>
      <w:numFmt w:val="decimal"/>
      <w:start w:val="19"/>
    </w:lvl>
  </w:abstractNum>
  <w:abstractNum w:abstractNumId="104">
    <w:nsid w:val="57C7D42D"/>
    <w:multiLevelType w:val="hybridMultilevel"/>
    <w:lvl w:ilvl="0">
      <w:lvlJc w:val="left"/>
      <w:lvlText w:val="%1."/>
      <w:numFmt w:val="decimal"/>
      <w:start w:val="22"/>
    </w:lvl>
    <w:lvl w:ilvl="1">
      <w:lvlJc w:val="left"/>
      <w:lvlText w:val="(%2)"/>
      <w:numFmt w:val="lowerLetter"/>
      <w:start w:val="1"/>
    </w:lvl>
  </w:abstractNum>
  <w:abstractNum w:abstractNumId="105">
    <w:nsid w:val="312167AD"/>
    <w:multiLevelType w:val="hybridMultilevel"/>
    <w:lvl w:ilvl="0">
      <w:lvlJc w:val="left"/>
      <w:lvlText w:val="%1"/>
      <w:numFmt w:val="decimal"/>
      <w:start w:val="1"/>
    </w:lvl>
    <w:lvl w:ilvl="1">
      <w:lvlJc w:val="left"/>
      <w:lvlText w:val="(%2)"/>
      <w:numFmt w:val="lowerLetter"/>
      <w:start w:val="3"/>
    </w:lvl>
  </w:abstractNum>
  <w:abstractNum w:abstractNumId="106">
    <w:nsid w:val="631B64D4"/>
    <w:multiLevelType w:val="hybridMultilevel"/>
    <w:lvl w:ilvl="0">
      <w:lvlJc w:val="left"/>
      <w:lvlText w:val="%1."/>
      <w:numFmt w:val="decimal"/>
      <w:start w:val="23"/>
    </w:lvl>
    <w:lvl w:ilvl="1">
      <w:lvlJc w:val="left"/>
      <w:lvlText w:val="%2"/>
      <w:numFmt w:val="lowerLetter"/>
      <w:start w:val="1"/>
    </w:lvl>
  </w:abstractNum>
  <w:abstractNum w:abstractNumId="107">
    <w:nsid w:val="78B5E776"/>
    <w:multiLevelType w:val="hybridMultilevel"/>
    <w:lvl w:ilvl="0">
      <w:lvlJc w:val="left"/>
      <w:lvlText w:val="(%1)"/>
      <w:numFmt w:val="lowerRoman"/>
      <w:start w:val="1"/>
    </w:lvl>
  </w:abstractNum>
  <w:abstractNum w:abstractNumId="108">
    <w:nsid w:val="75486E47"/>
    <w:multiLevelType w:val="hybridMultilevel"/>
    <w:lvl w:ilvl="0">
      <w:lvlJc w:val="left"/>
      <w:lvlText w:val="(%1)"/>
      <w:numFmt w:val="lowerLetter"/>
      <w:start w:val="1"/>
    </w:lvl>
    <w:lvl w:ilvl="1">
      <w:lvlJc w:val="left"/>
      <w:lvlText w:val="(%2)"/>
      <w:numFmt w:val="decimal"/>
      <w:start w:val="1"/>
    </w:lvl>
  </w:abstractNum>
  <w:abstractNum w:abstractNumId="109">
    <w:nsid w:val="6E534CDE"/>
    <w:multiLevelType w:val="hybridMultilevel"/>
    <w:lvl w:ilvl="0">
      <w:lvlJc w:val="left"/>
      <w:lvlText w:val="(%1)"/>
      <w:numFmt w:val="decimal"/>
      <w:start w:val="5"/>
    </w:lvl>
  </w:abstractNum>
  <w:abstractNum w:abstractNumId="110">
    <w:nsid w:val="1A0DDE32"/>
    <w:multiLevelType w:val="hybridMultilevel"/>
    <w:lvl w:ilvl="0">
      <w:lvlJc w:val="left"/>
      <w:lvlText w:val="(%1)"/>
      <w:numFmt w:val="decimal"/>
      <w:start w:val="8"/>
    </w:lvl>
  </w:abstractNum>
  <w:abstractNum w:abstractNumId="111">
    <w:nsid w:val="65968C1C"/>
    <w:multiLevelType w:val="hybridMultilevel"/>
    <w:lvl w:ilvl="0">
      <w:lvlJc w:val="left"/>
      <w:lvlText w:val="(%1)"/>
      <w:numFmt w:val="decimal"/>
      <w:start w:val="16"/>
    </w:lvl>
  </w:abstractNum>
  <w:abstractNum w:abstractNumId="112">
    <w:nsid w:val="46263DEC"/>
    <w:multiLevelType w:val="hybridMultilevel"/>
    <w:lvl w:ilvl="0">
      <w:lvlJc w:val="left"/>
      <w:lvlText w:val="(%1)"/>
      <w:numFmt w:val="decimal"/>
      <w:start w:val="27"/>
    </w:lvl>
  </w:abstractNum>
  <w:abstractNum w:abstractNumId="113">
    <w:nsid w:val="260D8C4A"/>
    <w:multiLevelType w:val="hybridMultilevel"/>
    <w:lvl w:ilvl="0">
      <w:lvlJc w:val="left"/>
      <w:lvlText w:val="(%1)"/>
      <w:numFmt w:val="decimal"/>
      <w:start w:val="1"/>
    </w:lvl>
  </w:abstractNum>
  <w:abstractNum w:abstractNumId="114">
    <w:nsid w:val="73D4D3C4"/>
    <w:multiLevelType w:val="hybridMultilevel"/>
    <w:lvl w:ilvl="0">
      <w:lvlJc w:val="left"/>
      <w:lvlText w:val="(%1)"/>
      <w:numFmt w:val="lowerLetter"/>
      <w:start w:val="1"/>
    </w:lvl>
  </w:abstractNum>
  <w:abstractNum w:abstractNumId="115">
    <w:nsid w:val="746F2E30"/>
    <w:multiLevelType w:val="hybridMultilevel"/>
    <w:lvl w:ilvl="0">
      <w:lvlJc w:val="left"/>
      <w:lvlText w:val="(%1)"/>
      <w:numFmt w:val="lowerLetter"/>
      <w:start w:val="2"/>
    </w:lvl>
  </w:abstractNum>
  <w:abstractNum w:abstractNumId="116">
    <w:nsid w:val="6FDE8AF6"/>
    <w:multiLevelType w:val="hybridMultilevel"/>
    <w:lvl w:ilvl="0">
      <w:lvlJc w:val="left"/>
      <w:lvlText w:val="(%1)"/>
      <w:numFmt w:val="lowerLetter"/>
      <w:start w:val="3"/>
    </w:lvl>
  </w:abstractNum>
  <w:abstractNum w:abstractNumId="117">
    <w:nsid w:val="3FC32E20"/>
    <w:multiLevelType w:val="hybridMultilevel"/>
    <w:lvl w:ilvl="0">
      <w:lvlJc w:val="left"/>
      <w:lvlText w:val="(%1)"/>
      <w:numFmt w:val="lowerLetter"/>
      <w:start w:val="1"/>
    </w:lvl>
  </w:abstractNum>
  <w:abstractNum w:abstractNumId="118">
    <w:nsid w:val="49C0E823"/>
    <w:multiLevelType w:val="hybridMultilevel"/>
    <w:lvl w:ilvl="0">
      <w:lvlJc w:val="left"/>
      <w:lvlText w:val="(%1)"/>
      <w:numFmt w:val="lowerLetter"/>
      <w:start w:val="1"/>
    </w:lvl>
  </w:abstractNum>
  <w:abstractNum w:abstractNumId="119">
    <w:nsid w:val="14D53685"/>
    <w:multiLevelType w:val="hybridMultilevel"/>
    <w:lvl w:ilvl="0">
      <w:lvlJc w:val="left"/>
      <w:lvlText w:val="(%1)"/>
      <w:numFmt w:val="lowerLetter"/>
      <w:start w:val="2"/>
    </w:lvl>
  </w:abstractNum>
  <w:abstractNum w:abstractNumId="120">
    <w:nsid w:val="230F856C"/>
    <w:multiLevelType w:val="hybridMultilevel"/>
    <w:lvl w:ilvl="0">
      <w:lvlJc w:val="left"/>
      <w:lvlText w:val="(%1)"/>
      <w:numFmt w:val="lowerLetter"/>
      <w:start w:val="1"/>
    </w:lvl>
  </w:abstractNum>
  <w:abstractNum w:abstractNumId="121">
    <w:nsid w:val="6EAA85FB"/>
    <w:multiLevelType w:val="hybridMultilevel"/>
    <w:lvl w:ilvl="0">
      <w:lvlJc w:val="left"/>
      <w:lvlText w:val="(%1)"/>
      <w:numFmt w:val="lowerLetter"/>
      <w:start w:val="1"/>
    </w:lvl>
    <w:lvl w:ilvl="1">
      <w:lvlJc w:val="left"/>
      <w:lvlText w:val="(%2)"/>
      <w:numFmt w:val="decimal"/>
      <w:start w:val="1"/>
    </w:lvl>
  </w:abstractNum>
  <w:abstractNum w:abstractNumId="122">
    <w:nsid w:val="3F06ECB2"/>
    <w:multiLevelType w:val="hybridMultilevel"/>
    <w:lvl w:ilvl="0">
      <w:lvlJc w:val="left"/>
      <w:lvlText w:val="(%1)"/>
      <w:numFmt w:val="lowerLetter"/>
      <w:start w:val="3"/>
    </w:lvl>
  </w:abstractNum>
  <w:abstractNum w:abstractNumId="123">
    <w:nsid w:val="3B594807"/>
    <w:multiLevelType w:val="hybridMultilevel"/>
    <w:lvl w:ilvl="0">
      <w:lvlJc w:val="left"/>
      <w:lvlText w:val="(%1)"/>
      <w:numFmt w:val="lowerLetter"/>
      <w:start w:val="1"/>
    </w:lvl>
  </w:abstractNum>
  <w:abstractNum w:abstractNumId="124">
    <w:nsid w:val="6CAA2304"/>
    <w:multiLevelType w:val="hybridMultilevel"/>
    <w:lvl w:ilvl="0">
      <w:lvlJc w:val="left"/>
      <w:lvlText w:val="(%1)"/>
      <w:numFmt w:val="lowerLetter"/>
      <w:start w:val="2"/>
    </w:lvl>
  </w:abstractNum>
  <w:abstractNum w:abstractNumId="125">
    <w:nsid w:val="3F7C2FF4"/>
    <w:multiLevelType w:val="hybridMultilevel"/>
    <w:lvl w:ilvl="0">
      <w:lvlJc w:val="left"/>
      <w:lvlText w:val="(%1)"/>
      <w:numFmt w:val="lowerLetter"/>
      <w:start w:val="1"/>
    </w:lvl>
  </w:abstractNum>
  <w:abstractNum w:abstractNumId="126">
    <w:nsid w:val="25413BEC"/>
    <w:multiLevelType w:val="hybridMultilevel"/>
    <w:lvl w:ilvl="0">
      <w:lvlJc w:val="left"/>
      <w:lvlText w:val="(%1)"/>
      <w:numFmt w:val="lowerLetter"/>
      <w:start w:val="1"/>
    </w:lvl>
  </w:abstractNum>
  <w:abstractNum w:abstractNumId="127">
    <w:nsid w:val="17180B0B"/>
    <w:multiLevelType w:val="hybridMultilevel"/>
    <w:lvl w:ilvl="0">
      <w:lvlJc w:val="left"/>
      <w:lvlText w:val="(%1)"/>
      <w:numFmt w:val="lowerLetter"/>
      <w:start w:val="2"/>
    </w:lvl>
  </w:abstractNum>
  <w:abstractNum w:abstractNumId="128">
    <w:nsid w:val="579328B9"/>
    <w:multiLevelType w:val="hybridMultilevel"/>
    <w:lvl w:ilvl="0">
      <w:lvlJc w:val="left"/>
      <w:lvlText w:val="(%1)"/>
      <w:numFmt w:val="lowerLetter"/>
      <w:start w:val="1"/>
    </w:lvl>
    <w:lvl w:ilvl="1">
      <w:lvlJc w:val="left"/>
      <w:lvlText w:val="(%2)"/>
      <w:numFmt w:val="decimal"/>
      <w:start w:val="1"/>
    </w:lvl>
  </w:abstractNum>
  <w:abstractNum w:abstractNumId="129">
    <w:nsid w:val="5D205E20"/>
    <w:multiLevelType w:val="hybridMultilevel"/>
    <w:lvl w:ilvl="0">
      <w:lvlJc w:val="left"/>
      <w:lvlText w:val="%1"/>
      <w:numFmt w:val="lowerLetter"/>
      <w:start w:val="1"/>
    </w:lvl>
    <w:lvl w:ilvl="1">
      <w:lvlJc w:val="left"/>
      <w:lvlText w:val="(%2)"/>
      <w:numFmt w:val="decimal"/>
      <w:start w:val="5"/>
    </w:lvl>
  </w:abstractNum>
  <w:abstractNum w:abstractNumId="130">
    <w:nsid w:val="11CCA8BA"/>
    <w:multiLevelType w:val="hybridMultilevel"/>
    <w:lvl w:ilvl="0">
      <w:lvlJc w:val="left"/>
      <w:lvlText w:val="(%1)"/>
      <w:numFmt w:val="lowerLetter"/>
      <w:start w:val="2"/>
    </w:lvl>
    <w:lvl w:ilvl="1">
      <w:lvlJc w:val="left"/>
      <w:lvlText w:val="%2"/>
      <w:numFmt w:val="decimal"/>
      <w:start w:val="1"/>
    </w:lvl>
  </w:abstractNum>
  <w:abstractNum w:abstractNumId="131">
    <w:nsid w:val="4D32AB86"/>
    <w:multiLevelType w:val="hybridMultilevel"/>
    <w:lvl w:ilvl="0">
      <w:lvlJc w:val="left"/>
      <w:lvlText w:val="(%1)"/>
      <w:numFmt w:val="lowerLetter"/>
      <w:start w:val="4"/>
    </w:lvl>
  </w:abstractNum>
  <w:abstractNum w:abstractNumId="132">
    <w:nsid w:val="3F07ACC3"/>
    <w:multiLevelType w:val="hybridMultilevel"/>
    <w:lvl w:ilvl="0">
      <w:lvlJc w:val="left"/>
      <w:lvlText w:val="(%1)"/>
      <w:numFmt w:val="lowerLetter"/>
      <w:start w:val="1"/>
    </w:lvl>
  </w:abstractNum>
  <w:abstractNum w:abstractNumId="133">
    <w:nsid w:val="6B47F63E"/>
    <w:multiLevelType w:val="hybridMultilevel"/>
    <w:lvl w:ilvl="0">
      <w:lvlJc w:val="left"/>
      <w:lvlText w:val="(%1)"/>
      <w:numFmt w:val="lowerRoman"/>
      <w:start w:val="1"/>
    </w:lvl>
  </w:abstractNum>
  <w:abstractNum w:abstractNumId="134">
    <w:nsid w:val="5CB44A05"/>
    <w:multiLevelType w:val="hybridMultilevel"/>
    <w:lvl w:ilvl="0">
      <w:lvlJc w:val="left"/>
      <w:lvlText w:val="(%1)"/>
      <w:numFmt w:val="lowerLetter"/>
      <w:start w:val="1"/>
    </w:lvl>
  </w:abstractNum>
  <w:abstractNum w:abstractNumId="135">
    <w:nsid w:val="16CF80F1"/>
    <w:multiLevelType w:val="hybridMultilevel"/>
    <w:lvl w:ilvl="0">
      <w:lvlJc w:val="left"/>
      <w:lvlText w:val="(%1)"/>
      <w:numFmt w:val="lowerLetter"/>
      <w:start w:val="1"/>
    </w:lvl>
  </w:abstractNum>
  <w:abstractNum w:abstractNumId="136">
    <w:nsid w:val="1C695DEC"/>
    <w:multiLevelType w:val="hybridMultilevel"/>
    <w:lvl w:ilvl="0">
      <w:lvlJc w:val="left"/>
      <w:lvlText w:val="(%1)"/>
      <w:numFmt w:val="lowerLetter"/>
      <w:start w:val="2"/>
    </w:lvl>
  </w:abstractNum>
  <w:abstractNum w:abstractNumId="137">
    <w:nsid w:val="3FCFAED9"/>
    <w:multiLevelType w:val="hybridMultilevel"/>
    <w:lvl w:ilvl="0">
      <w:lvlJc w:val="left"/>
      <w:lvlText w:val="(%1)"/>
      <w:numFmt w:val="lowerRoman"/>
      <w:start w:val="1"/>
    </w:lvl>
    <w:lvl w:ilvl="1">
      <w:lvlJc w:val="left"/>
      <w:lvlText w:val="(%2)"/>
      <w:numFmt w:val="upperLetter"/>
      <w:start w:val="1"/>
    </w:lvl>
  </w:abstractNum>
  <w:abstractNum w:abstractNumId="138">
    <w:nsid w:val="F856867"/>
    <w:multiLevelType w:val="hybridMultilevel"/>
    <w:lvl w:ilvl="0">
      <w:lvlJc w:val="left"/>
      <w:lvlText w:val="(%1)"/>
      <w:numFmt w:val="lowerRoman"/>
      <w:start w:val="5"/>
    </w:lvl>
  </w:abstractNum>
  <w:abstractNum w:abstractNumId="139">
    <w:nsid w:val="11B1CC33"/>
    <w:multiLevelType w:val="hybridMultilevel"/>
    <w:lvl w:ilvl="0">
      <w:lvlJc w:val="left"/>
      <w:lvlText w:val="(%1)"/>
      <w:numFmt w:val="lowerLetter"/>
      <w:start w:val="1"/>
    </w:lvl>
  </w:abstractNum>
  <w:abstractNum w:abstractNumId="140">
    <w:nsid w:val="2E22FBB7"/>
    <w:multiLevelType w:val="hybridMultilevel"/>
    <w:lvl w:ilvl="0">
      <w:lvlJc w:val="left"/>
      <w:lvlText w:val="(%1)"/>
      <w:numFmt w:val="lowerLetter"/>
      <w:start w:val="6"/>
    </w:lvl>
  </w:abstractNum>
  <w:abstractNum w:abstractNumId="141">
    <w:nsid w:val="29934699"/>
    <w:multiLevelType w:val="hybridMultilevel"/>
    <w:lvl w:ilvl="0">
      <w:lvlJc w:val="left"/>
      <w:lvlText w:val="(%1)"/>
      <w:numFmt w:val="lowerLetter"/>
      <w:start w:val="11"/>
    </w:lvl>
  </w:abstractNum>
  <w:abstractNum w:abstractNumId="142">
    <w:nsid w:val="77485850"/>
    <w:multiLevelType w:val="hybridMultilevel"/>
    <w:lvl w:ilvl="0">
      <w:lvlJc w:val="left"/>
      <w:lvlText w:val="(%1)"/>
      <w:numFmt w:val="lowerLetter"/>
      <w:start w:val="1"/>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2"/>
    </w:lvl>
  </w:abstractNum>
  <w:abstractNum w:abstractNumId="145">
    <w:nsid w:val="6B1D2C14"/>
    <w:multiLevelType w:val="hybridMultilevel"/>
    <w:lvl w:ilvl="0">
      <w:lvlJc w:val="left"/>
      <w:lvlText w:val="(%1)"/>
      <w:numFmt w:val="lowerLetter"/>
      <w:start w:val="1"/>
    </w:lvl>
    <w:lvl w:ilvl="1">
      <w:lvlJc w:val="left"/>
      <w:lvlText w:val="(%2)"/>
      <w:numFmt w:val="lowerRoman"/>
      <w:start w:val="1"/>
    </w:lvl>
  </w:abstractNum>
  <w:abstractNum w:abstractNumId="146">
    <w:nsid w:val="68B867D3"/>
    <w:multiLevelType w:val="hybridMultilevel"/>
    <w:lvl w:ilvl="0">
      <w:lvlJc w:val="left"/>
      <w:lvlText w:val="(%1)"/>
      <w:numFmt w:val="lowerRoman"/>
      <w:start w:val="3"/>
    </w:lvl>
  </w:abstractNum>
  <w:abstractNum w:abstractNumId="147">
    <w:nsid w:val="3F7F5DD9"/>
    <w:multiLevelType w:val="hybridMultilevel"/>
    <w:lvl w:ilvl="0">
      <w:lvlJc w:val="left"/>
      <w:lvlText w:val="(%1)"/>
      <w:numFmt w:val="lowerLetter"/>
      <w:start w:val="3"/>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2"/>
    </w:lvl>
  </w:abstractNum>
  <w:abstractNum w:abstractNumId="150">
    <w:nsid w:val="5454945E"/>
    <w:multiLevelType w:val="hybridMultilevel"/>
    <w:lvl w:ilvl="0">
      <w:lvlJc w:val="left"/>
      <w:lvlText w:val="(%1)"/>
      <w:numFmt w:val="lowerLetter"/>
      <w:start w:val="1"/>
    </w:lvl>
  </w:abstractNum>
  <w:abstractNum w:abstractNumId="151">
    <w:nsid w:val="4DEFDFA0"/>
    <w:multiLevelType w:val="hybridMultilevel"/>
    <w:lvl w:ilvl="0">
      <w:lvlJc w:val="left"/>
      <w:lvlText w:val="(%1)"/>
      <w:numFmt w:val="lowerLetter"/>
      <w:start w:val="1"/>
    </w:lvl>
  </w:abstractNum>
  <w:abstractNum w:abstractNumId="152">
    <w:nsid w:val="2123D5F2"/>
    <w:multiLevelType w:val="hybridMultilevel"/>
    <w:lvl w:ilvl="0">
      <w:lvlJc w:val="left"/>
      <w:lvlText w:val="(%1)"/>
      <w:numFmt w:val="lowerLetter"/>
      <w:start w:val="5"/>
    </w:lvl>
  </w:abstractNum>
  <w:abstractNum w:abstractNumId="153">
    <w:nsid w:val="135B8110"/>
    <w:multiLevelType w:val="hybridMultilevel"/>
    <w:lvl w:ilvl="0">
      <w:lvlJc w:val="left"/>
      <w:lvlText w:val="(%1)"/>
      <w:numFmt w:val="lowerLetter"/>
      <w:start w:val="1"/>
    </w:lvl>
  </w:abstractNum>
  <w:abstractNum w:abstractNumId="154">
    <w:nsid w:val="94927A8"/>
    <w:multiLevelType w:val="hybridMultilevel"/>
    <w:lvl w:ilvl="0">
      <w:lvlJc w:val="left"/>
      <w:lvlText w:val="(%1)"/>
      <w:numFmt w:val="lowerLetter"/>
      <w:start w:val="3"/>
    </w:lvl>
  </w:abstractNum>
  <w:abstractNum w:abstractNumId="155">
    <w:nsid w:val="DCDF8F6"/>
    <w:multiLevelType w:val="hybridMultilevel"/>
    <w:lvl w:ilvl="0">
      <w:lvlJc w:val="left"/>
      <w:lvlText w:val="(%1)"/>
      <w:numFmt w:val="lowerLetter"/>
      <w:start w:val="1"/>
    </w:lvl>
  </w:abstractNum>
  <w:abstractNum w:abstractNumId="156">
    <w:nsid w:val="52D7B105"/>
    <w:multiLevelType w:val="hybridMultilevel"/>
    <w:lvl w:ilvl="0">
      <w:lvlJc w:val="left"/>
      <w:lvlText w:val="(%1)"/>
      <w:numFmt w:val="decimal"/>
      <w:start w:val="1"/>
    </w:lvl>
  </w:abstractNum>
  <w:abstractNum w:abstractNumId="157">
    <w:nsid w:val="2E8A6394"/>
    <w:multiLevelType w:val="hybridMultilevel"/>
    <w:lvl w:ilvl="0">
      <w:lvlJc w:val="left"/>
      <w:lvlText w:val="(%1)"/>
      <w:numFmt w:val="lowerLetter"/>
      <w:start w:val="1"/>
    </w:lvl>
  </w:abstractNum>
  <w:abstractNum w:abstractNumId="158">
    <w:nsid w:val="24E60401"/>
    <w:multiLevelType w:val="hybridMultilevel"/>
    <w:lvl w:ilvl="0">
      <w:lvlJc w:val="left"/>
      <w:lvlText w:val="(%1)"/>
      <w:numFmt w:val="lowerLetter"/>
      <w:start w:val="2"/>
    </w:lvl>
  </w:abstractNum>
  <w:abstractNum w:abstractNumId="159">
    <w:nsid w:val="2A6AD9BE"/>
    <w:multiLevelType w:val="hybridMultilevel"/>
    <w:lvl w:ilvl="0">
      <w:lvlJc w:val="left"/>
      <w:lvlText w:val="(%1)"/>
      <w:numFmt w:val="lowerLetter"/>
      <w:start w:val="1"/>
    </w:lvl>
    <w:lvl w:ilvl="1">
      <w:lvlJc w:val="left"/>
      <w:lvlText w:val="(%2)"/>
      <w:numFmt w:val="lowerLetter"/>
      <w:start w:val="9"/>
    </w:lvl>
  </w:abstractNum>
  <w:abstractNum w:abstractNumId="160">
    <w:nsid w:val="BAAC1B4"/>
    <w:multiLevelType w:val="hybridMultilevel"/>
    <w:lvl w:ilvl="0">
      <w:lvlJc w:val="left"/>
      <w:lvlText w:val="%1"/>
      <w:numFmt w:val="lowerLetter"/>
      <w:start w:val="1"/>
    </w:lvl>
    <w:lvl w:ilvl="1">
      <w:lvlJc w:val="left"/>
      <w:lvlText w:val="(%2)"/>
      <w:numFmt w:val="lowerRoman"/>
      <w:start w:val="2"/>
    </w:lvl>
  </w:abstractNum>
  <w:abstractNum w:abstractNumId="161">
    <w:nsid w:val="36B2ACBC"/>
    <w:multiLevelType w:val="hybridMultilevel"/>
    <w:lvl w:ilvl="0">
      <w:lvlJc w:val="left"/>
      <w:lvlText w:val="(%1)"/>
      <w:numFmt w:val="lowerLetter"/>
      <w:start w:val="3"/>
    </w:lvl>
    <w:lvl w:ilvl="1">
      <w:lvlJc w:val="left"/>
      <w:lvlText w:val="%2"/>
      <w:numFmt w:val="lowerRoman"/>
      <w:start w:val="1"/>
    </w:lvl>
  </w:abstractNum>
  <w:abstractNum w:abstractNumId="162">
    <w:nsid w:val="779D8544"/>
    <w:multiLevelType w:val="hybridMultilevel"/>
    <w:lvl w:ilvl="0">
      <w:lvlJc w:val="left"/>
      <w:lvlText w:val="(%1)"/>
      <w:numFmt w:val="lowerLetter"/>
      <w:start w:val="5"/>
    </w:lvl>
  </w:abstractNum>
  <w:abstractNum w:abstractNumId="163">
    <w:nsid w:val="4AB26E78"/>
    <w:multiLevelType w:val="hybridMultilevel"/>
    <w:lvl w:ilvl="0">
      <w:lvlJc w:val="left"/>
      <w:lvlText w:val="(%1)"/>
      <w:numFmt w:val="lowerLetter"/>
      <w:start w:val="1"/>
    </w:lvl>
  </w:abstractNum>
  <w:abstractNum w:abstractNumId="164">
    <w:nsid w:val="21FAA2FA"/>
    <w:multiLevelType w:val="hybridMultilevel"/>
    <w:lvl w:ilvl="0">
      <w:lvlJc w:val="left"/>
      <w:lvlText w:val="(%1)"/>
      <w:numFmt w:val="lowerLetter"/>
      <w:start w:val="1"/>
    </w:lvl>
  </w:abstractNum>
  <w:abstractNum w:abstractNumId="165">
    <w:nsid w:val="5451CF49"/>
    <w:multiLevelType w:val="hybridMultilevel"/>
    <w:lvl w:ilvl="0">
      <w:lvlJc w:val="left"/>
      <w:lvlText w:val="(%1)"/>
      <w:numFmt w:val="lowerLetter"/>
      <w:start w:val="1"/>
    </w:lvl>
  </w:abstractNum>
  <w:abstractNum w:abstractNumId="166">
    <w:nsid w:val="6181EF69"/>
    <w:multiLevelType w:val="hybridMultilevel"/>
    <w:lvl w:ilvl="0">
      <w:lvlJc w:val="left"/>
      <w:lvlText w:val="(%1)"/>
      <w:numFmt w:val="lowerLetter"/>
      <w:start w:val="5"/>
    </w:lvl>
  </w:abstractNum>
  <w:abstractNum w:abstractNumId="167">
    <w:nsid w:val="3E6400E6"/>
    <w:multiLevelType w:val="hybridMultilevel"/>
    <w:lvl w:ilvl="0">
      <w:lvlJc w:val="left"/>
      <w:lvlText w:val="(%1)"/>
      <w:numFmt w:val="lowerLetter"/>
      <w:start w:val="1"/>
    </w:lvl>
  </w:abstractNum>
  <w:abstractNum w:abstractNumId="168">
    <w:nsid w:val="14217E23"/>
    <w:multiLevelType w:val="hybridMultilevel"/>
    <w:lvl w:ilvl="0">
      <w:lvlJc w:val="left"/>
      <w:lvlText w:val="(%1)"/>
      <w:numFmt w:val="lowerLetter"/>
      <w:start w:val="1"/>
    </w:lvl>
    <w:lvl w:ilvl="1">
      <w:lvlJc w:val="left"/>
      <w:lvlText w:val="(%2)"/>
      <w:numFmt w:val="lowerLetter"/>
      <w:start w:val="9"/>
    </w:lvl>
  </w:abstractNum>
  <w:abstractNum w:abstractNumId="169">
    <w:nsid w:val="710757D0"/>
    <w:multiLevelType w:val="hybridMultilevel"/>
    <w:lvl w:ilvl="0">
      <w:lvlJc w:val="left"/>
      <w:lvlText w:val="%1"/>
      <w:numFmt w:val="lowerLetter"/>
      <w:start w:val="1"/>
    </w:lvl>
    <w:lvl w:ilvl="1">
      <w:lvlJc w:val="left"/>
      <w:lvlText w:val="(%2)"/>
      <w:numFmt w:val="lowerRoman"/>
      <w:start w:val="2"/>
    </w:lvl>
  </w:abstractNum>
  <w:abstractNum w:abstractNumId="170">
    <w:nsid w:val="5015CD1A"/>
    <w:multiLevelType w:val="hybridMultilevel"/>
    <w:lvl w:ilvl="0">
      <w:lvlJc w:val="left"/>
      <w:lvlText w:val="(%1)"/>
      <w:numFmt w:val="lowerLetter"/>
      <w:start w:val="3"/>
    </w:lvl>
    <w:lvl w:ilvl="1">
      <w:lvlJc w:val="left"/>
      <w:lvlText w:val="%2"/>
      <w:numFmt w:val="lowerRoman"/>
      <w:start w:val="1"/>
    </w:lvl>
  </w:abstractNum>
  <w:abstractNum w:abstractNumId="171">
    <w:nsid w:val="424479DA"/>
    <w:multiLevelType w:val="hybridMultilevel"/>
    <w:lvl w:ilvl="0">
      <w:lvlJc w:val="left"/>
      <w:lvlText w:val="(%1)"/>
      <w:numFmt w:val="lowerLetter"/>
      <w:start w:val="4"/>
    </w:lvl>
  </w:abstractNum>
  <w:abstractNum w:abstractNumId="172">
    <w:nsid w:val="1A9A9E69"/>
    <w:multiLevelType w:val="hybridMultilevel"/>
    <w:lvl w:ilvl="0">
      <w:lvlJc w:val="left"/>
      <w:lvlText w:val="(%1)"/>
      <w:numFmt w:val="lowerLetter"/>
      <w:start w:val="1"/>
    </w:lvl>
  </w:abstractNum>
  <w:abstractNum w:abstractNumId="173">
    <w:nsid w:val="475E256A"/>
    <w:multiLevelType w:val="hybridMultilevel"/>
    <w:lvl w:ilvl="0">
      <w:lvlJc w:val="left"/>
      <w:lvlText w:val="(%1)"/>
      <w:numFmt w:val="lowerLetter"/>
      <w:start w:val="4"/>
    </w:lvl>
  </w:abstractNum>
  <w:abstractNum w:abstractNumId="174">
    <w:nsid w:val="368DB37E"/>
    <w:multiLevelType w:val="hybridMultilevel"/>
    <w:lvl w:ilvl="0">
      <w:lvlJc w:val="left"/>
      <w:lvlText w:val="(%1)"/>
      <w:numFmt w:val="lowerLetter"/>
      <w:start w:val="1"/>
    </w:lvl>
  </w:abstractNum>
  <w:abstractNum w:abstractNumId="175">
    <w:nsid w:val="6A3B714C"/>
    <w:multiLevelType w:val="hybridMultilevel"/>
    <w:lvl w:ilvl="0">
      <w:lvlJc w:val="left"/>
      <w:lvlText w:val="(%1)"/>
      <w:numFmt w:val="lowerLetter"/>
      <w:start w:val="8"/>
    </w:lvl>
  </w:abstractNum>
  <w:abstractNum w:abstractNumId="176">
    <w:nsid w:val="327B517E"/>
    <w:multiLevelType w:val="hybridMultilevel"/>
    <w:lvl w:ilvl="0">
      <w:lvlJc w:val="left"/>
      <w:lvlText w:val="(%1)"/>
      <w:numFmt w:val="lowerLetter"/>
      <w:start w:val="1"/>
    </w:lvl>
  </w:abstractNum>
  <w:abstractNum w:abstractNumId="177">
    <w:nsid w:val="1F461B51"/>
    <w:multiLevelType w:val="hybridMultilevel"/>
    <w:lvl w:ilvl="0">
      <w:lvlJc w:val="left"/>
      <w:lvlText w:val="(%1)"/>
      <w:numFmt w:val="lowerLetter"/>
      <w:start w:val="4"/>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lowerLetter"/>
      <w:start w:val="3"/>
    </w:lvl>
  </w:abstractNum>
  <w:abstractNum w:abstractNumId="181">
    <w:nsid w:val="7E0F6384"/>
    <w:multiLevelType w:val="hybridMultilevel"/>
    <w:lvl w:ilvl="0">
      <w:lvlJc w:val="left"/>
      <w:lvlText w:val="(%1)"/>
      <w:numFmt w:val="lowerLetter"/>
      <w:start w:val="1"/>
    </w:lvl>
  </w:abstractNum>
  <w:abstractNum w:abstractNumId="182">
    <w:nsid w:val="2B4B8B53"/>
    <w:multiLevelType w:val="hybridMultilevel"/>
    <w:lvl w:ilvl="0">
      <w:lvlJc w:val="left"/>
      <w:lvlText w:val="(%1)"/>
      <w:numFmt w:val="lowerLetter"/>
      <w:start w:val="2"/>
    </w:lvl>
  </w:abstractNum>
  <w:abstractNum w:abstractNumId="183">
    <w:nsid w:val="72E3413A"/>
    <w:multiLevelType w:val="hybridMultilevel"/>
    <w:lvl w:ilvl="0">
      <w:lvlJc w:val="left"/>
      <w:lvlText w:val="%1:"/>
      <w:numFmt w:val="upperLetter"/>
      <w:start w:val="20"/>
    </w:lvl>
  </w:abstractNum>
  <w:abstractNum w:abstractNumId="184">
    <w:nsid w:val="116AE494"/>
    <w:multiLevelType w:val="hybridMultilevel"/>
    <w:lvl w:ilvl="0">
      <w:lvlJc w:val="left"/>
      <w:lvlText w:val="·"/>
      <w:numFmt w:val="bullet"/>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jpe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jpe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jpe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 Type="http://schemas.openxmlformats.org/officeDocument/2006/relationships/hyperlink" Target="http://www.sec.gov/ix?doc=/Archives/edgar/data/1094038/000110465921033855/mrkr-20201231x10k.htm" TargetMode="External"/><Relationship Id="rId60" Type="http://schemas.openxmlformats.org/officeDocument/2006/relationships/hyperlink" Target="http://www.sec.gov/Archives/edgar/data/1094038/000110465921054483/tm2113410-2_def14a.htm" TargetMode="External"/><Relationship Id="rId61" Type="http://schemas.openxmlformats.org/officeDocument/2006/relationships/hyperlink" Target="http://www.sec.gov/Archives/edgar/data/1094038/000110465921061740/tm2115177-1_defa14a.htm" TargetMode="External"/><Relationship Id="rId62" Type="http://schemas.openxmlformats.org/officeDocument/2006/relationships/hyperlink" Target="http://www.sec.gov/ix?doc=/Archives/edgar/data/1094038/000110465921065131/mrkr-20210331x10q.htm" TargetMode="External"/><Relationship Id="rId63" Type="http://schemas.openxmlformats.org/officeDocument/2006/relationships/hyperlink" Target="https://www.sec.gov/ix?doc=/Archives/edgar/data/1094038/000110465921102826/mrkr-20210630x10q.htm" TargetMode="External"/><Relationship Id="rId64" Type="http://schemas.openxmlformats.org/officeDocument/2006/relationships/hyperlink" Target="http://www.sec.gov/ix?doc=/Archives/edgar/data/1094038/000110465921037220/tm219663d1_8k.htm" TargetMode="External"/><Relationship Id="rId65" Type="http://schemas.openxmlformats.org/officeDocument/2006/relationships/hyperlink" Target="http://www.sec.gov/ix?doc=/Archives/edgar/data/1094038/000110465921079831/tm2119398d1_8k.htm" TargetMode="External"/><Relationship Id="rId66" Type="http://schemas.openxmlformats.org/officeDocument/2006/relationships/hyperlink" Target="http://www.sec.gov/Archives/edgar/data/1094038/000114420418054210/tv504949_8a12ba.htm" TargetMode="External"/><Relationship Id="rId106" Type="http://schemas.openxmlformats.org/officeDocument/2006/relationships/hyperlink" Target="http://www.sec.gov/Archives/edgar/data/1094038/000114420418049481/tv502603-defm14a.htm#tANNA1" TargetMode="External"/><Relationship Id="rId107" Type="http://schemas.openxmlformats.org/officeDocument/2006/relationships/hyperlink" Target="http://www.sec.gov/Archives/edgar/data/1094038/000114420418054209/tv504951_ex3-4.htm" TargetMode="External"/><Relationship Id="rId108" Type="http://schemas.openxmlformats.org/officeDocument/2006/relationships/hyperlink" Target="http://www.sec.gov/Archives/edgar/data/1094038/000114420418054209/tv504951_ex3-6.htm" TargetMode="External"/><Relationship Id="rId109" Type="http://schemas.openxmlformats.org/officeDocument/2006/relationships/hyperlink" Target="http://www.sec.gov/Archives/edgar/data/1094038/000114420418054210/tv504949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2021-08-10T16:26:22Z</dcterms:created>
  <dcterms:modified xsi:type="dcterms:W3CDTF">2021-08-10T16:26:22Z</dcterms:modified>
</cp:coreProperties>
</file>