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13D/A-1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 (Amendment No. 1)</w:t>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57055L 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 Leen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3200 Southwest Freeway, Suite 2500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400-6400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240.13d-7(b)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jc w:val="both"/>
        <w:ind w:right="20"/>
        <w:spacing w:after="0" w:line="260"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734060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28"/>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60" w:type="dxa"/>
            <w:vAlign w:val="bottom"/>
          </w:tcPr>
          <w:p>
            <w:pPr>
              <w:ind w:left="1300"/>
              <w:spacing w:after="0"/>
              <w:rPr>
                <w:sz w:val="20"/>
                <w:szCs w:val="20"/>
                <w:color w:val="auto"/>
              </w:rPr>
            </w:pPr>
            <w:r>
              <w:rPr>
                <w:rFonts w:ascii="Arial" w:cs="Arial" w:eastAsia="Arial" w:hAnsi="Arial"/>
                <w:sz w:val="25"/>
                <w:szCs w:val="25"/>
                <w:b w:val="1"/>
                <w:bCs w:val="1"/>
                <w:color w:val="auto"/>
              </w:rPr>
              <w:t>SCHEDULE 13D</w:t>
            </w:r>
          </w:p>
        </w:tc>
        <w:tc>
          <w:tcPr>
            <w:tcW w:w="0" w:type="dxa"/>
            <w:vAlign w:val="bottom"/>
          </w:tcPr>
          <w:p>
            <w:pPr>
              <w:spacing w:after="0"/>
              <w:rPr>
                <w:sz w:val="1"/>
                <w:szCs w:val="1"/>
                <w:color w:val="auto"/>
              </w:rPr>
            </w:pPr>
          </w:p>
        </w:tc>
      </w:tr>
      <w:tr>
        <w:trPr>
          <w:trHeight w:val="289"/>
        </w:trPr>
        <w:tc>
          <w:tcPr>
            <w:tcW w:w="60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28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CUSIP No.</w:t>
            </w:r>
          </w:p>
        </w:tc>
        <w:tc>
          <w:tcPr>
            <w:tcW w:w="240" w:type="dxa"/>
            <w:vAlign w:val="bottom"/>
            <w:tcBorders>
              <w:top w:val="single" w:sz="8" w:color="auto"/>
            </w:tcBorders>
          </w:tcPr>
          <w:p>
            <w:pPr>
              <w:spacing w:after="0"/>
              <w:rPr>
                <w:sz w:val="22"/>
                <w:szCs w:val="22"/>
                <w:color w:val="auto"/>
              </w:rPr>
            </w:pPr>
          </w:p>
        </w:tc>
        <w:tc>
          <w:tcPr>
            <w:tcW w:w="1860" w:type="dxa"/>
            <w:vAlign w:val="bottom"/>
            <w:tcBorders>
              <w:top w:val="single" w:sz="8" w:color="auto"/>
              <w:right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57055L 107</w:t>
            </w:r>
          </w:p>
        </w:tc>
        <w:tc>
          <w:tcPr>
            <w:tcW w:w="7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7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18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0" w:type="dxa"/>
            <w:vAlign w:val="bottom"/>
            <w:tcBorders>
              <w:left w:val="single" w:sz="8" w:color="auto"/>
            </w:tcBorders>
          </w:tcPr>
          <w:p>
            <w:pPr>
              <w:ind w:left="120"/>
              <w:spacing w:after="0" w:line="238" w:lineRule="exact"/>
              <w:rPr>
                <w:sz w:val="20"/>
                <w:szCs w:val="20"/>
                <w:color w:val="auto"/>
              </w:rPr>
            </w:pPr>
            <w:r>
              <w:rPr>
                <w:rFonts w:ascii="Arial" w:cs="Arial" w:eastAsia="Arial" w:hAnsi="Arial"/>
                <w:sz w:val="25"/>
                <w:szCs w:val="25"/>
                <w:b w:val="1"/>
                <w:bCs w:val="1"/>
                <w:color w:val="auto"/>
              </w:rPr>
              <w:t>1</w:t>
            </w:r>
          </w:p>
        </w:tc>
        <w:tc>
          <w:tcPr>
            <w:tcW w:w="20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4"/>
        </w:trPr>
        <w:tc>
          <w:tcPr>
            <w:tcW w:w="40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Ann Leen</w:t>
            </w: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00" w:type="dxa"/>
            <w:vAlign w:val="bottom"/>
            <w:tcBorders>
              <w:left w:val="single" w:sz="8" w:color="auto"/>
            </w:tcBorders>
          </w:tcPr>
          <w:p>
            <w:pPr>
              <w:ind w:left="120"/>
              <w:spacing w:after="0" w:line="232" w:lineRule="exact"/>
              <w:rPr>
                <w:sz w:val="20"/>
                <w:szCs w:val="20"/>
                <w:color w:val="auto"/>
              </w:rPr>
            </w:pPr>
            <w:r>
              <w:rPr>
                <w:rFonts w:ascii="Arial" w:cs="Arial" w:eastAsia="Arial" w:hAnsi="Arial"/>
                <w:sz w:val="25"/>
                <w:szCs w:val="25"/>
                <w:b w:val="1"/>
                <w:bCs w:val="1"/>
                <w:color w:val="auto"/>
              </w:rPr>
              <w:t>2</w:t>
            </w:r>
          </w:p>
        </w:tc>
        <w:tc>
          <w:tcPr>
            <w:tcW w:w="20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74"/>
        </w:trPr>
        <w:tc>
          <w:tcPr>
            <w:tcW w:w="400" w:type="dxa"/>
            <w:vAlign w:val="bottom"/>
            <w:tcBorders>
              <w:lef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80" w:type="dxa"/>
            <w:vAlign w:val="bottom"/>
          </w:tcPr>
          <w:p>
            <w:pPr>
              <w:ind w:left="400"/>
              <w:spacing w:after="0" w:line="174" w:lineRule="exact"/>
              <w:rPr>
                <w:sz w:val="20"/>
                <w:szCs w:val="20"/>
                <w:color w:val="auto"/>
              </w:rPr>
            </w:pPr>
            <w:r>
              <w:rPr>
                <w:rFonts w:ascii="Arial" w:cs="Arial" w:eastAsia="Arial" w:hAnsi="Arial"/>
                <w:sz w:val="18"/>
                <w:szCs w:val="18"/>
                <w:color w:val="auto"/>
              </w:rPr>
              <w:t>(a)</w:t>
            </w:r>
          </w:p>
        </w:tc>
        <w:tc>
          <w:tcPr>
            <w:tcW w:w="780" w:type="dxa"/>
            <w:vAlign w:val="bottom"/>
            <w:gridSpan w:val="2"/>
          </w:tcPr>
          <w:p>
            <w:pPr>
              <w:spacing w:after="0" w:line="175" w:lineRule="exact"/>
              <w:rPr>
                <w:sz w:val="20"/>
                <w:szCs w:val="20"/>
                <w:color w:val="auto"/>
              </w:rPr>
            </w:pPr>
            <w:r>
              <w:rPr>
                <w:rFonts w:ascii="MS PGothic" w:cs="MS PGothic" w:eastAsia="MS PGothic" w:hAnsi="MS PGothic"/>
                <w:sz w:val="18"/>
                <w:szCs w:val="18"/>
                <w:color w:val="auto"/>
              </w:rPr>
              <w:t>☐</w:t>
            </w:r>
          </w:p>
        </w:tc>
        <w:tc>
          <w:tcPr>
            <w:tcW w:w="1320" w:type="dxa"/>
            <w:vAlign w:val="bottom"/>
          </w:tcPr>
          <w:p>
            <w:pPr>
              <w:spacing w:after="0"/>
              <w:rPr>
                <w:sz w:val="15"/>
                <w:szCs w:val="15"/>
                <w:color w:val="auto"/>
              </w:rPr>
            </w:pPr>
          </w:p>
        </w:tc>
        <w:tc>
          <w:tcPr>
            <w:tcW w:w="7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0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(b)</w:t>
            </w:r>
          </w:p>
        </w:tc>
        <w:tc>
          <w:tcPr>
            <w:tcW w:w="780" w:type="dxa"/>
            <w:vAlign w:val="bottom"/>
            <w:tcBorders>
              <w:bottom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25"/>
                <w:szCs w:val="25"/>
                <w:b w:val="1"/>
                <w:bCs w:val="1"/>
                <w:color w:val="auto"/>
              </w:rPr>
              <w:t>3</w:t>
            </w:r>
          </w:p>
        </w:tc>
        <w:tc>
          <w:tcPr>
            <w:tcW w:w="200" w:type="dxa"/>
            <w:vAlign w:val="bottom"/>
            <w:tcBorders>
              <w:right w:val="single" w:sz="8" w:color="auto"/>
            </w:tcBorders>
          </w:tcPr>
          <w:p>
            <w:pPr>
              <w:spacing w:after="0"/>
              <w:rPr>
                <w:sz w:val="24"/>
                <w:szCs w:val="24"/>
                <w:color w:val="auto"/>
              </w:rPr>
            </w:pP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1320" w:type="dxa"/>
            <w:vAlign w:val="bottom"/>
          </w:tcPr>
          <w:p>
            <w:pPr>
              <w:spacing w:after="0"/>
              <w:rPr>
                <w:sz w:val="24"/>
                <w:szCs w:val="24"/>
                <w:color w:val="auto"/>
              </w:rPr>
            </w:pPr>
          </w:p>
        </w:tc>
        <w:tc>
          <w:tcPr>
            <w:tcW w:w="7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0" w:type="dxa"/>
            <w:vAlign w:val="bottom"/>
            <w:tcBorders>
              <w:left w:val="single" w:sz="8" w:color="auto"/>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tcBorders>
            <w:gridSpan w:val="2"/>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18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0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4</w:t>
            </w:r>
          </w:p>
        </w:tc>
        <w:tc>
          <w:tcPr>
            <w:tcW w:w="20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rPr>
              <w:t>5</w:t>
            </w:r>
          </w:p>
        </w:tc>
        <w:tc>
          <w:tcPr>
            <w:tcW w:w="20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56"/>
        </w:trPr>
        <w:tc>
          <w:tcPr>
            <w:tcW w:w="40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ind w:left="7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6"/>
        </w:trPr>
        <w:tc>
          <w:tcPr>
            <w:tcW w:w="40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6</w:t>
            </w:r>
          </w:p>
        </w:tc>
        <w:tc>
          <w:tcPr>
            <w:tcW w:w="20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Ireland</w:t>
            </w: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tcBorders>
            <w:gridSpan w:val="3"/>
          </w:tcPr>
          <w:p>
            <w:pPr>
              <w:jc w:val="center"/>
              <w:ind w:left="126"/>
              <w:spacing w:after="0"/>
              <w:rPr>
                <w:sz w:val="20"/>
                <w:szCs w:val="20"/>
                <w:color w:val="auto"/>
              </w:rPr>
            </w:pPr>
            <w:r>
              <w:rPr>
                <w:rFonts w:ascii="Arial" w:cs="Arial" w:eastAsia="Arial" w:hAnsi="Arial"/>
                <w:sz w:val="18"/>
                <w:szCs w:val="18"/>
                <w:color w:val="auto"/>
                <w:w w:val="96"/>
              </w:rPr>
              <w:t>NUMBER OF</w:t>
            </w:r>
          </w:p>
        </w:tc>
        <w:tc>
          <w:tcPr>
            <w:tcW w:w="24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vMerge w:val="restart"/>
          </w:tcPr>
          <w:p>
            <w:pPr>
              <w:ind w:left="80"/>
              <w:spacing w:after="0"/>
              <w:rPr>
                <w:sz w:val="20"/>
                <w:szCs w:val="20"/>
                <w:color w:val="auto"/>
              </w:rPr>
            </w:pPr>
            <w:r>
              <w:rPr>
                <w:rFonts w:ascii="Arial" w:cs="Arial" w:eastAsia="Arial" w:hAnsi="Arial"/>
                <w:sz w:val="25"/>
                <w:szCs w:val="25"/>
                <w:b w:val="1"/>
                <w:bCs w:val="1"/>
                <w:color w:val="auto"/>
              </w:rPr>
              <w:t>7</w:t>
            </w: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02"/>
        </w:trPr>
        <w:tc>
          <w:tcPr>
            <w:tcW w:w="40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00" w:type="dxa"/>
            <w:vAlign w:val="bottom"/>
            <w:tcBorders>
              <w:left w:val="single" w:sz="8" w:color="auto"/>
            </w:tcBorders>
          </w:tcPr>
          <w:p>
            <w:pPr>
              <w:spacing w:after="0"/>
              <w:rPr>
                <w:sz w:val="24"/>
                <w:szCs w:val="24"/>
                <w:color w:val="auto"/>
              </w:rPr>
            </w:pPr>
          </w:p>
        </w:tc>
        <w:tc>
          <w:tcPr>
            <w:tcW w:w="880" w:type="dxa"/>
            <w:vAlign w:val="bottom"/>
            <w:gridSpan w:val="2"/>
          </w:tcPr>
          <w:p>
            <w:pPr>
              <w:jc w:val="center"/>
              <w:ind w:right="70"/>
              <w:spacing w:after="0"/>
              <w:rPr>
                <w:sz w:val="20"/>
                <w:szCs w:val="20"/>
                <w:color w:val="auto"/>
              </w:rPr>
            </w:pPr>
            <w:r>
              <w:rPr>
                <w:rFonts w:ascii="Arial" w:cs="Arial" w:eastAsia="Arial" w:hAnsi="Arial"/>
                <w:sz w:val="18"/>
                <w:szCs w:val="18"/>
                <w:color w:val="auto"/>
                <w:w w:val="91"/>
              </w:rPr>
              <w:t>SHARES</w:t>
            </w:r>
          </w:p>
        </w:tc>
        <w:tc>
          <w:tcPr>
            <w:tcW w:w="2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320" w:type="dxa"/>
            <w:vAlign w:val="bottom"/>
          </w:tcPr>
          <w:p>
            <w:pPr>
              <w:ind w:left="80"/>
              <w:spacing w:after="0"/>
              <w:rPr>
                <w:sz w:val="20"/>
                <w:szCs w:val="20"/>
                <w:color w:val="auto"/>
              </w:rPr>
            </w:pPr>
            <w:r>
              <w:rPr>
                <w:rFonts w:ascii="Arial" w:cs="Arial" w:eastAsia="Arial" w:hAnsi="Arial"/>
                <w:sz w:val="18"/>
                <w:szCs w:val="18"/>
                <w:color w:val="auto"/>
              </w:rPr>
              <w:t>2,415,842*</w:t>
            </w:r>
          </w:p>
        </w:tc>
        <w:tc>
          <w:tcPr>
            <w:tcW w:w="7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gridSpan w:val="4"/>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918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326"/>
        </w:trPr>
        <w:tc>
          <w:tcPr>
            <w:tcW w:w="152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5"/>
                <w:szCs w:val="25"/>
                <w:b w:val="1"/>
                <w:bCs w:val="1"/>
                <w:color w:val="auto"/>
              </w:rPr>
              <w:t>8</w:t>
            </w: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70"/>
        </w:trPr>
        <w:tc>
          <w:tcPr>
            <w:tcW w:w="1280" w:type="dxa"/>
            <w:vAlign w:val="bottom"/>
            <w:tcBorders>
              <w:left w:val="single" w:sz="8" w:color="auto"/>
            </w:tcBorders>
            <w:gridSpan w:val="3"/>
          </w:tcPr>
          <w:p>
            <w:pPr>
              <w:jc w:val="center"/>
              <w:ind w:left="126"/>
              <w:spacing w:after="0"/>
              <w:rPr>
                <w:sz w:val="20"/>
                <w:szCs w:val="20"/>
                <w:color w:val="auto"/>
              </w:rPr>
            </w:pPr>
            <w:r>
              <w:rPr>
                <w:rFonts w:ascii="Arial" w:cs="Arial" w:eastAsia="Arial" w:hAnsi="Arial"/>
                <w:sz w:val="18"/>
                <w:szCs w:val="18"/>
                <w:color w:val="auto"/>
                <w:w w:val="97"/>
              </w:rPr>
              <w:t>OWNED BY</w:t>
            </w:r>
          </w:p>
        </w:tc>
        <w:tc>
          <w:tcPr>
            <w:tcW w:w="2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320" w:type="dxa"/>
            <w:vAlign w:val="bottom"/>
          </w:tcPr>
          <w:p>
            <w:pPr>
              <w:ind w:left="80"/>
              <w:spacing w:after="0"/>
              <w:rPr>
                <w:sz w:val="20"/>
                <w:szCs w:val="20"/>
                <w:color w:val="auto"/>
              </w:rPr>
            </w:pPr>
            <w:r>
              <w:rPr>
                <w:rFonts w:ascii="Arial" w:cs="Arial" w:eastAsia="Arial" w:hAnsi="Arial"/>
                <w:sz w:val="18"/>
                <w:szCs w:val="18"/>
                <w:color w:val="auto"/>
              </w:rPr>
              <w:t>0</w:t>
            </w:r>
          </w:p>
        </w:tc>
        <w:tc>
          <w:tcPr>
            <w:tcW w:w="7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00" w:type="dxa"/>
            <w:vAlign w:val="bottom"/>
            <w:tcBorders>
              <w:left w:val="single" w:sz="8" w:color="auto"/>
            </w:tcBorders>
          </w:tcPr>
          <w:p>
            <w:pPr>
              <w:spacing w:after="0"/>
              <w:rPr>
                <w:sz w:val="8"/>
                <w:szCs w:val="8"/>
                <w:color w:val="auto"/>
              </w:rPr>
            </w:pPr>
          </w:p>
        </w:tc>
        <w:tc>
          <w:tcPr>
            <w:tcW w:w="880" w:type="dxa"/>
            <w:vAlign w:val="bottom"/>
            <w:gridSpan w:val="2"/>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918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400" w:type="dxa"/>
            <w:vAlign w:val="bottom"/>
            <w:tcBorders>
              <w:left w:val="single" w:sz="8" w:color="auto"/>
            </w:tcBorders>
          </w:tcPr>
          <w:p>
            <w:pPr>
              <w:spacing w:after="0"/>
              <w:rPr>
                <w:sz w:val="24"/>
                <w:szCs w:val="24"/>
                <w:color w:val="auto"/>
              </w:rPr>
            </w:pPr>
          </w:p>
        </w:tc>
        <w:tc>
          <w:tcPr>
            <w:tcW w:w="880" w:type="dxa"/>
            <w:vAlign w:val="bottom"/>
            <w:gridSpan w:val="2"/>
          </w:tcPr>
          <w:p>
            <w:pPr>
              <w:jc w:val="center"/>
              <w:ind w:right="70"/>
              <w:spacing w:after="0"/>
              <w:rPr>
                <w:sz w:val="20"/>
                <w:szCs w:val="20"/>
                <w:color w:val="auto"/>
              </w:rPr>
            </w:pPr>
            <w:r>
              <w:rPr>
                <w:rFonts w:ascii="Arial" w:cs="Arial" w:eastAsia="Arial" w:hAnsi="Arial"/>
                <w:sz w:val="18"/>
                <w:szCs w:val="18"/>
                <w:color w:val="auto"/>
                <w:w w:val="95"/>
              </w:rPr>
              <w:t>EACH</w:t>
            </w:r>
          </w:p>
        </w:tc>
        <w:tc>
          <w:tcPr>
            <w:tcW w:w="2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5"/>
                <w:szCs w:val="25"/>
                <w:b w:val="1"/>
                <w:bCs w:val="1"/>
                <w:color w:val="auto"/>
              </w:rPr>
              <w:t>9</w:t>
            </w: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16"/>
        </w:trPr>
        <w:tc>
          <w:tcPr>
            <w:tcW w:w="1280" w:type="dxa"/>
            <w:vAlign w:val="bottom"/>
            <w:tcBorders>
              <w:left w:val="single" w:sz="8" w:color="auto"/>
            </w:tcBorders>
            <w:gridSpan w:val="3"/>
            <w:vMerge w:val="restart"/>
          </w:tcPr>
          <w:p>
            <w:pPr>
              <w:jc w:val="center"/>
              <w:ind w:left="126"/>
              <w:spacing w:after="0"/>
              <w:rPr>
                <w:sz w:val="20"/>
                <w:szCs w:val="20"/>
                <w:color w:val="auto"/>
              </w:rPr>
            </w:pPr>
            <w:r>
              <w:rPr>
                <w:rFonts w:ascii="Arial" w:cs="Arial" w:eastAsia="Arial" w:hAnsi="Arial"/>
                <w:sz w:val="18"/>
                <w:szCs w:val="18"/>
                <w:color w:val="auto"/>
                <w:w w:val="93"/>
              </w:rPr>
              <w:t>REPORTING</w:t>
            </w:r>
          </w:p>
        </w:tc>
        <w:tc>
          <w:tcPr>
            <w:tcW w:w="2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320" w:type="dxa"/>
            <w:vAlign w:val="bottom"/>
          </w:tcPr>
          <w:p>
            <w:pPr>
              <w:ind w:left="80"/>
              <w:spacing w:after="0"/>
              <w:rPr>
                <w:sz w:val="20"/>
                <w:szCs w:val="20"/>
                <w:color w:val="auto"/>
              </w:rPr>
            </w:pPr>
            <w:r>
              <w:rPr>
                <w:rFonts w:ascii="Arial" w:cs="Arial" w:eastAsia="Arial" w:hAnsi="Arial"/>
                <w:sz w:val="18"/>
                <w:szCs w:val="18"/>
                <w:color w:val="auto"/>
              </w:rPr>
              <w:t>2,415,842*</w:t>
            </w:r>
          </w:p>
        </w:tc>
        <w:tc>
          <w:tcPr>
            <w:tcW w:w="7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tcBorders>
            <w:gridSpan w:val="3"/>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7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400" w:type="dxa"/>
            <w:vAlign w:val="bottom"/>
            <w:tcBorders>
              <w:lef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918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0" w:type="dxa"/>
            <w:vAlign w:val="bottom"/>
            <w:tcBorders>
              <w:left w:val="single" w:sz="8" w:color="auto"/>
            </w:tcBorders>
          </w:tcPr>
          <w:p>
            <w:pPr>
              <w:spacing w:after="0"/>
              <w:rPr>
                <w:sz w:val="20"/>
                <w:szCs w:val="20"/>
                <w:color w:val="auto"/>
              </w:rPr>
            </w:pPr>
          </w:p>
        </w:tc>
        <w:tc>
          <w:tcPr>
            <w:tcW w:w="88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89"/>
              </w:rPr>
              <w:t>PERSON</w:t>
            </w:r>
          </w:p>
        </w:tc>
        <w:tc>
          <w:tcPr>
            <w:tcW w:w="24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vMerge w:val="restart"/>
          </w:tcPr>
          <w:p>
            <w:pPr>
              <w:ind w:left="80"/>
              <w:spacing w:after="0"/>
              <w:rPr>
                <w:sz w:val="20"/>
                <w:szCs w:val="20"/>
                <w:color w:val="auto"/>
              </w:rPr>
            </w:pPr>
            <w:r>
              <w:rPr>
                <w:rFonts w:ascii="Arial" w:cs="Arial" w:eastAsia="Arial" w:hAnsi="Arial"/>
                <w:sz w:val="25"/>
                <w:szCs w:val="25"/>
                <w:b w:val="1"/>
                <w:bCs w:val="1"/>
                <w:color w:val="auto"/>
              </w:rPr>
              <w:t>10</w:t>
            </w: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5"/>
        </w:trPr>
        <w:tc>
          <w:tcPr>
            <w:tcW w:w="400" w:type="dxa"/>
            <w:vAlign w:val="bottom"/>
            <w:tcBorders>
              <w:left w:val="single" w:sz="8" w:color="auto"/>
            </w:tcBorders>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1320" w:type="dxa"/>
            <w:vAlign w:val="bottom"/>
          </w:tcPr>
          <w:p>
            <w:pPr>
              <w:spacing w:after="0"/>
              <w:rPr>
                <w:sz w:val="11"/>
                <w:szCs w:val="11"/>
                <w:color w:val="auto"/>
              </w:rPr>
            </w:pPr>
          </w:p>
        </w:tc>
        <w:tc>
          <w:tcPr>
            <w:tcW w:w="7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88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rPr>
              <w:t>WITH</w:t>
            </w:r>
          </w:p>
        </w:tc>
        <w:tc>
          <w:tcPr>
            <w:tcW w:w="2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320" w:type="dxa"/>
            <w:vAlign w:val="bottom"/>
          </w:tcPr>
          <w:p>
            <w:pPr>
              <w:ind w:left="80"/>
              <w:spacing w:after="0"/>
              <w:rPr>
                <w:sz w:val="20"/>
                <w:szCs w:val="20"/>
                <w:color w:val="auto"/>
              </w:rPr>
            </w:pPr>
            <w:r>
              <w:rPr>
                <w:rFonts w:ascii="Arial" w:cs="Arial" w:eastAsia="Arial" w:hAnsi="Arial"/>
                <w:sz w:val="18"/>
                <w:szCs w:val="18"/>
                <w:color w:val="auto"/>
              </w:rPr>
              <w:t>0</w:t>
            </w:r>
          </w:p>
        </w:tc>
        <w:tc>
          <w:tcPr>
            <w:tcW w:w="7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0" w:type="dxa"/>
            <w:vAlign w:val="bottom"/>
            <w:tcBorders>
              <w:left w:val="single" w:sz="8" w:color="auto"/>
              <w:bottom w:val="single" w:sz="8" w:color="auto"/>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7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40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93"/>
              </w:rPr>
              <w:t>11</w:t>
            </w:r>
          </w:p>
        </w:tc>
        <w:tc>
          <w:tcPr>
            <w:tcW w:w="20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1"/>
              </w:rPr>
              <w:t>2,415,842*</w:t>
            </w:r>
          </w:p>
        </w:tc>
        <w:tc>
          <w:tcPr>
            <w:tcW w:w="5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w w:val="93"/>
              </w:rPr>
              <w:t>12</w:t>
            </w:r>
          </w:p>
        </w:tc>
        <w:tc>
          <w:tcPr>
            <w:tcW w:w="20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56"/>
        </w:trPr>
        <w:tc>
          <w:tcPr>
            <w:tcW w:w="40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ind w:left="7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6"/>
        </w:trPr>
        <w:tc>
          <w:tcPr>
            <w:tcW w:w="40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93"/>
              </w:rPr>
              <w:t>13</w:t>
            </w:r>
          </w:p>
        </w:tc>
        <w:tc>
          <w:tcPr>
            <w:tcW w:w="20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2.89%**</w:t>
            </w:r>
          </w:p>
        </w:tc>
        <w:tc>
          <w:tcPr>
            <w:tcW w:w="5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93"/>
              </w:rPr>
              <w:t>14</w:t>
            </w:r>
          </w:p>
        </w:tc>
        <w:tc>
          <w:tcPr>
            <w:tcW w:w="20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color w:val="auto"/>
        </w:rPr>
        <w:t>*Includes warrants to acquire 722,783 shares of Issuer’s common stock.</w:t>
      </w:r>
    </w:p>
    <w:p>
      <w:pPr>
        <w:spacing w:after="0" w:line="211" w:lineRule="exact"/>
        <w:rPr>
          <w:sz w:val="20"/>
          <w:szCs w:val="20"/>
          <w:color w:val="auto"/>
        </w:rPr>
      </w:pPr>
    </w:p>
    <w:p>
      <w:pPr>
        <w:jc w:val="both"/>
        <w:ind w:left="20"/>
        <w:spacing w:after="0" w:line="273" w:lineRule="auto"/>
        <w:rPr>
          <w:sz w:val="20"/>
          <w:szCs w:val="20"/>
          <w:color w:val="auto"/>
        </w:rPr>
      </w:pPr>
      <w:r>
        <w:rPr>
          <w:rFonts w:ascii="Arial" w:cs="Arial" w:eastAsia="Arial" w:hAnsi="Arial"/>
          <w:sz w:val="17"/>
          <w:szCs w:val="17"/>
          <w:color w:val="auto"/>
        </w:rPr>
        <w:t>**Such percentage was calculated based upon an aggregate of 83,736,712 Issuer shares of common stock outstanding, consisting of (i) 50,731,072 Issuer shares of common stock outstanding as of March 1, 2021 as represented by the Issuer’s Report on Form 10-K filed with the Securities and Exchange Commission (“SEC”) on March 9, 2021, (ii) 28,572,000 shares of common stock sold in an underwritten public offering as represented by the Issuer’s Report on Form 8-K filed with the SEC on March 16, 2021, (iii) 3,710,857 shares issued pursuant to the partial exercise by the underwriter of its over-allotment option as represented by the Issuer’s Report on Form 8-K filed with the SEC on March 16, 2021, and (iv) 722,783 shares of common stock able to be acquired by the Reporting Person upon exercise of warrants held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57055L 107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This Amendment No. 1 (“Amendment No. 1”) amends the statement on Schedule 13D originally filed on February 14, 2019. Except as otherwise specified in this Amendment No. 1, all previous Items are unchanged. Defined terms used herein but not otherwise defined have the meanings set forth in the Schedule 13D.</w:t>
      </w:r>
    </w:p>
    <w:p>
      <w:pPr>
        <w:spacing w:after="0" w:line="184"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This Amendment No. 1 is being filed to report a decrease in the Reporting Person’s beneficial ownership in the Company (i) primarily due to an increase in the Company’s issued and outstanding shares resulting from the Company’s consummation of a public offering on March 16, 2021 pursuant to which an aggregate of 32,282,857 shares of common stock were issued, and (ii) resulting from the sale of 300,000 shares of common stock by the Reporting Person on March 22, 2021.</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Amendment No. 1 represents the final amendment to Schedule 13D and constitutes an exit filing for the Reporting Person.</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Statement on Schedule 13D (this “Schedule”) relates to the common stock, par value $0.001 per share (“Common Stock”), of Marker Therapeutics, Inc., a Delaware corporation (the “Issuer”). The principal executive offices of the Issuer are located at 3200 Southwest Freeway, Suite 2500, Houston, Texas.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Schedule is being filed by Ann Leen, an individual.</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Reporting Person’s business address is One Baylor Plaza BCM 210-600D Houston, Texas, 77030.</w:t>
      </w:r>
    </w:p>
    <w:p>
      <w:pPr>
        <w:spacing w:after="0" w:line="225" w:lineRule="exact"/>
        <w:rPr>
          <w:rFonts w:ascii="Arial" w:cs="Arial" w:eastAsia="Arial" w:hAnsi="Arial"/>
          <w:sz w:val="18"/>
          <w:szCs w:val="18"/>
          <w:b w:val="1"/>
          <w:bCs w:val="1"/>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Reporting Person is employed by Baylor College of Medicine.</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Reporting Person has not been convicted in a criminal proceeding in the last five years (excluding traffic violations or similar misdemeanors).</w:t>
      </w:r>
    </w:p>
    <w:p>
      <w:pPr>
        <w:spacing w:after="0" w:line="170" w:lineRule="exact"/>
        <w:rPr>
          <w:rFonts w:ascii="Arial" w:cs="Arial" w:eastAsia="Arial" w:hAnsi="Arial"/>
          <w:sz w:val="18"/>
          <w:szCs w:val="18"/>
          <w:color w:val="auto"/>
        </w:rPr>
      </w:pPr>
    </w:p>
    <w:p>
      <w:pPr>
        <w:jc w:val="both"/>
        <w:ind w:left="980" w:hanging="648"/>
        <w:spacing w:after="0" w:line="28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Reporting Person has not,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Reporting Person is a citizen of Ireland.</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Reporting Person has no plans or proposals that relate to or would result in any transaction, event or action enumerated in paragraph (a) through (j) of Item 4 of Schedule 13D. The Reporting Person sold an aggregate 300,000 shares of the Issuer’s common stock in open market transactions on March 22, 2021. Full information regarding the number of shares sold at separate prices can be furnished to the SEC staff upon request. The Reporting Person has no specific plans or proposals to dispose of any specific number of shares of Common Stock or at any specific prices and the Reporting Person reserves the right to change such current intentions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57055L 107</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jc w:val="both"/>
        <w:ind w:left="660" w:hanging="652"/>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 beneficially owns 2,415,842 shares of Common Stock (including 722,783 shares issuable upon the exercise of warrants), which comprises 2.89% of the Common Stock of the Issuer. As of, March 16, 2021, there were 83,013,929 shares of Common Stock of the Issuer issued and outstanding as consisting of (i) 50,731,072 Issuer shares of common stock outstanding as of March 1, 2021 as represented by the Issuer’s Report on Form 10-K filed with the Securities and Exchange Commission (“SEC”) on March 9, 2021, (ii) 28,572,000 shares of common stock sold in an underwritten public offering as represented by the Issuer’s Report on Form 8-K filed with the SEC on March 16, 2021, and (iii) 3,710,857 shares issued to the underwriter in a partial exercise of its over-allotment option as represented by the Issuer’s Report on Form 8-K filed with the SEC on March 16, 2021.</w:t>
      </w:r>
    </w:p>
    <w:p>
      <w:pPr>
        <w:spacing w:after="0" w:line="194"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 has the sole power to vote the shares beneficially owned.</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have been no reportable transactions with respect to the Issuer’s Common Stock within the last 60 days by the Reporting Person other than as described in this Statement on Schedule 13D.</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Only the Reporting Person has the right to receive or the power to direct the receipt of dividends from, or proceeds from the sale of, the shares of Common Stock reported by this statement.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March 16, 2021, the Reporting Persons ceased to be the beneficial owner of more than five percent of the shares of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57055L 107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March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/s/Ann Leen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2021-03-25T18:02:35Z</dcterms:created>
  <dcterms:modified xsi:type="dcterms:W3CDTF">2021-03-25T18:02:35Z</dcterms:modified>
</cp:coreProperties>
</file>