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309880</wp:posOffset>
            </wp:positionV>
            <wp:extent cx="729869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8690" cy="29845"/>
                    </a:xfrm>
                    <a:prstGeom prst="rect">
                      <a:avLst/>
                    </a:prstGeom>
                    <a:noFill/>
                  </pic:spPr>
                </pic:pic>
              </a:graphicData>
            </a:graphic>
          </wp:anchor>
        </w:drawing>
        <w:t>As filed with the Securities and Exchange Commission on July 8, 2015</w:t>
      </w:r>
    </w:p>
    <w:p>
      <w:pPr>
        <w:spacing w:after="0" w:line="152" w:lineRule="exact"/>
        <w:rPr>
          <w:sz w:val="24"/>
          <w:szCs w:val="24"/>
          <w:color w:val="auto"/>
        </w:rPr>
      </w:pPr>
    </w:p>
    <w:tbl>
      <w:tblPr>
        <w:tblLayout w:type="fixed"/>
        <w:tblInd w:w="480" w:type="dxa"/>
        <w:tblCellMar>
          <w:top w:w="0" w:type="dxa"/>
          <w:left w:w="0" w:type="dxa"/>
          <w:bottom w:w="0" w:type="dxa"/>
          <w:right w:w="0" w:type="dxa"/>
        </w:tblCellMar>
      </w:tblPr>
      <w:tr>
        <w:trPr>
          <w:trHeight w:val="154"/>
        </w:trPr>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40" w:type="dxa"/>
            <w:vAlign w:val="bottom"/>
          </w:tcPr>
          <w:p>
            <w:pPr>
              <w:ind w:left="120"/>
              <w:spacing w:after="0"/>
              <w:rPr>
                <w:sz w:val="20"/>
                <w:szCs w:val="20"/>
                <w:color w:val="auto"/>
              </w:rPr>
            </w:pPr>
            <w:r>
              <w:rPr>
                <w:rFonts w:ascii="Arial" w:cs="Arial" w:eastAsia="Arial" w:hAnsi="Arial"/>
                <w:sz w:val="12"/>
                <w:szCs w:val="12"/>
                <w:color w:val="auto"/>
                <w:w w:val="91"/>
              </w:rPr>
              <w:t>Registration No. 333-196115</w:t>
            </w:r>
          </w:p>
        </w:tc>
      </w:tr>
      <w:tr>
        <w:trPr>
          <w:trHeight w:val="422"/>
        </w:trPr>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60" w:type="dxa"/>
            <w:vAlign w:val="bottom"/>
            <w:gridSpan w:val="8"/>
          </w:tcPr>
          <w:p>
            <w:pPr>
              <w:jc w:val="center"/>
              <w:ind w:right="5180"/>
              <w:spacing w:after="0"/>
              <w:rPr>
                <w:sz w:val="20"/>
                <w:szCs w:val="20"/>
                <w:color w:val="auto"/>
              </w:rPr>
            </w:pPr>
            <w:r>
              <w:rPr>
                <w:rFonts w:ascii="Arial" w:cs="Arial" w:eastAsia="Arial" w:hAnsi="Arial"/>
                <w:sz w:val="12"/>
                <w:szCs w:val="12"/>
                <w:b w:val="1"/>
                <w:bCs w:val="1"/>
                <w:color w:val="auto"/>
                <w:w w:val="98"/>
              </w:rPr>
              <w:t>UNITED STATES</w:t>
            </w:r>
          </w:p>
        </w:tc>
      </w:tr>
      <w:tr>
        <w:trPr>
          <w:trHeight w:val="145"/>
        </w:trPr>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960" w:type="dxa"/>
            <w:vAlign w:val="bottom"/>
            <w:gridSpan w:val="9"/>
          </w:tcPr>
          <w:p>
            <w:pPr>
              <w:jc w:val="center"/>
              <w:ind w:right="3460"/>
              <w:spacing w:after="0"/>
              <w:rPr>
                <w:sz w:val="20"/>
                <w:szCs w:val="20"/>
                <w:color w:val="auto"/>
              </w:rPr>
            </w:pPr>
            <w:r>
              <w:rPr>
                <w:rFonts w:ascii="Arial" w:cs="Arial" w:eastAsia="Arial" w:hAnsi="Arial"/>
                <w:sz w:val="12"/>
                <w:szCs w:val="12"/>
                <w:b w:val="1"/>
                <w:bCs w:val="1"/>
                <w:color w:val="auto"/>
              </w:rPr>
              <w:t>SECURITIES AND EXCHANGE COMMISSION</w:t>
            </w:r>
          </w:p>
        </w:tc>
      </w:tr>
      <w:tr>
        <w:trPr>
          <w:trHeight w:val="158"/>
        </w:trPr>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960" w:type="dxa"/>
            <w:vAlign w:val="bottom"/>
            <w:gridSpan w:val="9"/>
          </w:tcPr>
          <w:p>
            <w:pPr>
              <w:jc w:val="center"/>
              <w:ind w:right="3480"/>
              <w:spacing w:after="0"/>
              <w:rPr>
                <w:sz w:val="20"/>
                <w:szCs w:val="20"/>
                <w:color w:val="auto"/>
              </w:rPr>
            </w:pPr>
            <w:r>
              <w:rPr>
                <w:rFonts w:ascii="Arial" w:cs="Arial" w:eastAsia="Arial" w:hAnsi="Arial"/>
                <w:sz w:val="12"/>
                <w:szCs w:val="12"/>
                <w:b w:val="1"/>
                <w:bCs w:val="1"/>
                <w:color w:val="auto"/>
                <w:w w:val="96"/>
              </w:rPr>
              <w:t>WASHINGTON, D.C. 20549</w:t>
            </w:r>
          </w:p>
        </w:tc>
      </w:tr>
      <w:tr>
        <w:trPr>
          <w:trHeight w:val="296"/>
        </w:trPr>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960" w:type="dxa"/>
            <w:vAlign w:val="bottom"/>
            <w:gridSpan w:val="9"/>
          </w:tcPr>
          <w:p>
            <w:pPr>
              <w:jc w:val="center"/>
              <w:ind w:right="3480"/>
              <w:spacing w:after="0"/>
              <w:rPr>
                <w:sz w:val="20"/>
                <w:szCs w:val="20"/>
                <w:color w:val="auto"/>
              </w:rPr>
            </w:pPr>
            <w:r>
              <w:rPr>
                <w:rFonts w:ascii="Arial" w:cs="Arial" w:eastAsia="Arial" w:hAnsi="Arial"/>
                <w:sz w:val="12"/>
                <w:szCs w:val="12"/>
                <w:b w:val="1"/>
                <w:bCs w:val="1"/>
                <w:color w:val="auto"/>
              </w:rPr>
              <w:t>POST-EFFECTIVE AMENDMENT NO. 2 TO FORM S-3/A ON</w:t>
            </w:r>
          </w:p>
        </w:tc>
      </w:tr>
      <w:tr>
        <w:trPr>
          <w:trHeight w:val="145"/>
        </w:trPr>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60" w:type="dxa"/>
            <w:vAlign w:val="bottom"/>
            <w:gridSpan w:val="7"/>
          </w:tcPr>
          <w:p>
            <w:pPr>
              <w:jc w:val="center"/>
              <w:ind w:right="5360"/>
              <w:spacing w:after="0"/>
              <w:rPr>
                <w:sz w:val="20"/>
                <w:szCs w:val="20"/>
                <w:color w:val="auto"/>
              </w:rPr>
            </w:pPr>
            <w:r>
              <w:rPr>
                <w:rFonts w:ascii="Arial" w:cs="Arial" w:eastAsia="Arial" w:hAnsi="Arial"/>
                <w:sz w:val="12"/>
                <w:szCs w:val="12"/>
                <w:b w:val="1"/>
                <w:bCs w:val="1"/>
                <w:color w:val="auto"/>
                <w:w w:val="97"/>
              </w:rPr>
              <w:t>FORM S-1</w:t>
            </w:r>
          </w:p>
        </w:tc>
      </w:tr>
      <w:tr>
        <w:trPr>
          <w:trHeight w:val="158"/>
        </w:trPr>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960" w:type="dxa"/>
            <w:vAlign w:val="bottom"/>
            <w:gridSpan w:val="9"/>
          </w:tcPr>
          <w:p>
            <w:pPr>
              <w:jc w:val="center"/>
              <w:ind w:right="3460"/>
              <w:spacing w:after="0"/>
              <w:rPr>
                <w:sz w:val="20"/>
                <w:szCs w:val="20"/>
                <w:color w:val="auto"/>
              </w:rPr>
            </w:pPr>
            <w:r>
              <w:rPr>
                <w:rFonts w:ascii="Arial" w:cs="Arial" w:eastAsia="Arial" w:hAnsi="Arial"/>
                <w:sz w:val="12"/>
                <w:szCs w:val="12"/>
                <w:b w:val="1"/>
                <w:bCs w:val="1"/>
                <w:color w:val="auto"/>
              </w:rPr>
              <w:t>REGISTRATION STATEMENT UNDER THE SECURITIES ACT OF 1933</w:t>
            </w:r>
          </w:p>
        </w:tc>
      </w:tr>
      <w:tr>
        <w:trPr>
          <w:trHeight w:val="281"/>
        </w:trPr>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rPr>
              <w:t>TAPIMMUNE INC.</w:t>
            </w:r>
          </w:p>
        </w:tc>
        <w:tc>
          <w:tcPr>
            <w:tcW w:w="5220" w:type="dxa"/>
            <w:vAlign w:val="bottom"/>
            <w:gridSpan w:val="3"/>
          </w:tcPr>
          <w:p>
            <w:pPr>
              <w:spacing w:after="0"/>
              <w:rPr>
                <w:sz w:val="24"/>
                <w:szCs w:val="24"/>
                <w:color w:val="auto"/>
              </w:rPr>
            </w:pPr>
          </w:p>
        </w:tc>
      </w:tr>
      <w:tr>
        <w:trPr>
          <w:trHeight w:val="297"/>
        </w:trPr>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960" w:type="dxa"/>
            <w:vAlign w:val="bottom"/>
            <w:gridSpan w:val="9"/>
          </w:tcPr>
          <w:p>
            <w:pPr>
              <w:jc w:val="center"/>
              <w:ind w:right="3440"/>
              <w:spacing w:after="0"/>
              <w:rPr>
                <w:sz w:val="20"/>
                <w:szCs w:val="20"/>
                <w:color w:val="auto"/>
              </w:rPr>
            </w:pPr>
            <w:r>
              <w:rPr>
                <w:rFonts w:ascii="Arial" w:cs="Arial" w:eastAsia="Arial" w:hAnsi="Arial"/>
                <w:sz w:val="12"/>
                <w:szCs w:val="12"/>
                <w:color w:val="auto"/>
                <w:w w:val="92"/>
              </w:rPr>
              <w:t>(Name of Issuer in Its Charter)</w:t>
            </w:r>
          </w:p>
        </w:tc>
      </w:tr>
      <w:tr>
        <w:trPr>
          <w:trHeight w:val="426"/>
        </w:trPr>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Nevada</w:t>
            </w:r>
          </w:p>
        </w:tc>
        <w:tc>
          <w:tcPr>
            <w:tcW w:w="5480" w:type="dxa"/>
            <w:vAlign w:val="bottom"/>
            <w:gridSpan w:val="5"/>
          </w:tcPr>
          <w:p>
            <w:pPr>
              <w:spacing w:after="0"/>
              <w:rPr>
                <w:sz w:val="24"/>
                <w:szCs w:val="24"/>
                <w:color w:val="auto"/>
              </w:rPr>
            </w:pPr>
          </w:p>
        </w:tc>
      </w:tr>
      <w:tr>
        <w:trPr>
          <w:trHeight w:val="139"/>
        </w:trPr>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960" w:type="dxa"/>
            <w:vAlign w:val="bottom"/>
            <w:gridSpan w:val="9"/>
          </w:tcPr>
          <w:p>
            <w:pPr>
              <w:jc w:val="center"/>
              <w:ind w:right="3340"/>
              <w:spacing w:after="0"/>
              <w:rPr>
                <w:sz w:val="20"/>
                <w:szCs w:val="20"/>
                <w:color w:val="auto"/>
              </w:rPr>
            </w:pPr>
            <w:r>
              <w:rPr>
                <w:rFonts w:ascii="Arial" w:cs="Arial" w:eastAsia="Arial" w:hAnsi="Arial"/>
                <w:sz w:val="12"/>
                <w:szCs w:val="12"/>
                <w:color w:val="auto"/>
                <w:w w:val="93"/>
              </w:rPr>
              <w:t>(State or other jurisdiction of incorporation)</w:t>
            </w:r>
          </w:p>
        </w:tc>
      </w:tr>
      <w:tr>
        <w:trPr>
          <w:trHeight w:val="131"/>
        </w:trPr>
        <w:tc>
          <w:tcPr>
            <w:tcW w:w="1540" w:type="dxa"/>
            <w:vAlign w:val="bottom"/>
            <w:gridSpan w:val="2"/>
          </w:tcPr>
          <w:p>
            <w:pPr>
              <w:jc w:val="right"/>
              <w:spacing w:after="0" w:line="131" w:lineRule="exact"/>
              <w:rPr>
                <w:sz w:val="20"/>
                <w:szCs w:val="20"/>
                <w:color w:val="auto"/>
              </w:rPr>
            </w:pPr>
            <w:r>
              <w:rPr>
                <w:rFonts w:ascii="Arial" w:cs="Arial" w:eastAsia="Arial" w:hAnsi="Arial"/>
                <w:sz w:val="12"/>
                <w:szCs w:val="12"/>
                <w:b w:val="1"/>
                <w:bCs w:val="1"/>
                <w:color w:val="auto"/>
              </w:rPr>
              <w:t>2836</w:t>
            </w:r>
          </w:p>
        </w:tc>
        <w:tc>
          <w:tcPr>
            <w:tcW w:w="1500" w:type="dxa"/>
            <w:vAlign w:val="bottom"/>
          </w:tcPr>
          <w:p>
            <w:pPr>
              <w:spacing w:after="0"/>
              <w:rPr>
                <w:sz w:val="11"/>
                <w:szCs w:val="11"/>
                <w:color w:val="auto"/>
              </w:rPr>
            </w:pPr>
          </w:p>
        </w:tc>
        <w:tc>
          <w:tcPr>
            <w:tcW w:w="7960" w:type="dxa"/>
            <w:vAlign w:val="bottom"/>
            <w:gridSpan w:val="9"/>
          </w:tcPr>
          <w:p>
            <w:pPr>
              <w:jc w:val="right"/>
              <w:ind w:right="1480"/>
              <w:spacing w:after="0" w:line="131" w:lineRule="exact"/>
              <w:rPr>
                <w:sz w:val="20"/>
                <w:szCs w:val="20"/>
                <w:color w:val="auto"/>
              </w:rPr>
            </w:pPr>
            <w:r>
              <w:rPr>
                <w:rFonts w:ascii="Arial" w:cs="Arial" w:eastAsia="Arial" w:hAnsi="Arial"/>
                <w:sz w:val="12"/>
                <w:szCs w:val="12"/>
                <w:b w:val="1"/>
                <w:bCs w:val="1"/>
                <w:color w:val="auto"/>
              </w:rPr>
              <w:t>88-0277072</w:t>
            </w:r>
          </w:p>
        </w:tc>
      </w:tr>
      <w:tr>
        <w:trPr>
          <w:trHeight w:val="20"/>
        </w:trPr>
        <w:tc>
          <w:tcPr>
            <w:tcW w:w="1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39"/>
        </w:trPr>
        <w:tc>
          <w:tcPr>
            <w:tcW w:w="3040" w:type="dxa"/>
            <w:vAlign w:val="bottom"/>
            <w:gridSpan w:val="3"/>
          </w:tcPr>
          <w:p>
            <w:pPr>
              <w:jc w:val="center"/>
              <w:ind w:right="220"/>
              <w:spacing w:after="0"/>
              <w:rPr>
                <w:sz w:val="20"/>
                <w:szCs w:val="20"/>
                <w:color w:val="auto"/>
              </w:rPr>
            </w:pPr>
            <w:r>
              <w:rPr>
                <w:rFonts w:ascii="Arial" w:cs="Arial" w:eastAsia="Arial" w:hAnsi="Arial"/>
                <w:sz w:val="12"/>
                <w:szCs w:val="12"/>
                <w:color w:val="auto"/>
                <w:w w:val="92"/>
              </w:rPr>
              <w:t>(Primary Standard Industrial Classification Code Number)</w:t>
            </w: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20" w:type="dxa"/>
            <w:vAlign w:val="bottom"/>
            <w:gridSpan w:val="3"/>
          </w:tcPr>
          <w:p>
            <w:pPr>
              <w:jc w:val="center"/>
              <w:ind w:left="1480"/>
              <w:spacing w:after="0"/>
              <w:rPr>
                <w:sz w:val="20"/>
                <w:szCs w:val="20"/>
                <w:color w:val="auto"/>
              </w:rPr>
            </w:pPr>
            <w:r>
              <w:rPr>
                <w:rFonts w:ascii="Arial" w:cs="Arial" w:eastAsia="Arial" w:hAnsi="Arial"/>
                <w:sz w:val="12"/>
                <w:szCs w:val="12"/>
                <w:color w:val="auto"/>
                <w:w w:val="96"/>
              </w:rPr>
              <w:t>(IRS Employer Identification No.)</w:t>
            </w:r>
          </w:p>
        </w:tc>
      </w:tr>
      <w:tr>
        <w:trPr>
          <w:trHeight w:val="145"/>
        </w:trPr>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960" w:type="dxa"/>
            <w:vAlign w:val="bottom"/>
            <w:gridSpan w:val="9"/>
          </w:tcPr>
          <w:p>
            <w:pPr>
              <w:jc w:val="center"/>
              <w:ind w:right="3340"/>
              <w:spacing w:after="0"/>
              <w:rPr>
                <w:sz w:val="20"/>
                <w:szCs w:val="20"/>
                <w:color w:val="auto"/>
              </w:rPr>
            </w:pPr>
            <w:r>
              <w:rPr>
                <w:rFonts w:ascii="Arial" w:cs="Arial" w:eastAsia="Arial" w:hAnsi="Arial"/>
                <w:sz w:val="12"/>
                <w:szCs w:val="12"/>
                <w:b w:val="1"/>
                <w:bCs w:val="1"/>
                <w:color w:val="auto"/>
                <w:w w:val="88"/>
              </w:rPr>
              <w:t>1551 Eastlake Avenue East,</w:t>
            </w:r>
          </w:p>
        </w:tc>
      </w:tr>
      <w:tr>
        <w:trPr>
          <w:trHeight w:val="145"/>
        </w:trPr>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260" w:type="dxa"/>
            <w:vAlign w:val="bottom"/>
            <w:gridSpan w:val="8"/>
          </w:tcPr>
          <w:p>
            <w:pPr>
              <w:jc w:val="center"/>
              <w:ind w:right="5060"/>
              <w:spacing w:after="0"/>
              <w:rPr>
                <w:sz w:val="20"/>
                <w:szCs w:val="20"/>
                <w:color w:val="auto"/>
              </w:rPr>
            </w:pPr>
            <w:r>
              <w:rPr>
                <w:rFonts w:ascii="Arial" w:cs="Arial" w:eastAsia="Arial" w:hAnsi="Arial"/>
                <w:sz w:val="12"/>
                <w:szCs w:val="12"/>
                <w:b w:val="1"/>
                <w:bCs w:val="1"/>
                <w:color w:val="auto"/>
                <w:w w:val="90"/>
              </w:rPr>
              <w:t>Suite 100, Seattle, WA</w:t>
            </w:r>
          </w:p>
        </w:tc>
      </w:tr>
      <w:tr>
        <w:trPr>
          <w:trHeight w:val="131"/>
        </w:trPr>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900" w:type="dxa"/>
            <w:vAlign w:val="bottom"/>
            <w:gridSpan w:val="2"/>
          </w:tcPr>
          <w:p>
            <w:pPr>
              <w:spacing w:after="0"/>
              <w:rPr>
                <w:sz w:val="11"/>
                <w:szCs w:val="11"/>
                <w:color w:val="auto"/>
              </w:rPr>
            </w:pPr>
          </w:p>
        </w:tc>
        <w:tc>
          <w:tcPr>
            <w:tcW w:w="760" w:type="dxa"/>
            <w:vAlign w:val="bottom"/>
            <w:tcBorders>
              <w:bottom w:val="single" w:sz="8" w:color="auto"/>
            </w:tcBorders>
            <w:gridSpan w:val="3"/>
          </w:tcPr>
          <w:p>
            <w:pPr>
              <w:jc w:val="center"/>
              <w:spacing w:after="0" w:line="131" w:lineRule="exact"/>
              <w:rPr>
                <w:sz w:val="20"/>
                <w:szCs w:val="20"/>
                <w:color w:val="auto"/>
              </w:rPr>
            </w:pPr>
            <w:r>
              <w:rPr>
                <w:rFonts w:ascii="Arial" w:cs="Arial" w:eastAsia="Arial" w:hAnsi="Arial"/>
                <w:sz w:val="12"/>
                <w:szCs w:val="12"/>
                <w:b w:val="1"/>
                <w:bCs w:val="1"/>
                <w:color w:val="auto"/>
                <w:w w:val="92"/>
              </w:rPr>
              <w:t>(206) 504-7278</w:t>
            </w:r>
          </w:p>
        </w:tc>
        <w:tc>
          <w:tcPr>
            <w:tcW w:w="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40" w:type="dxa"/>
            <w:vAlign w:val="bottom"/>
          </w:tcPr>
          <w:p>
            <w:pPr>
              <w:spacing w:after="0"/>
              <w:rPr>
                <w:sz w:val="11"/>
                <w:szCs w:val="11"/>
                <w:color w:val="auto"/>
              </w:rPr>
            </w:pPr>
          </w:p>
        </w:tc>
      </w:tr>
    </w:tbl>
    <w:p>
      <w:pPr>
        <w:spacing w:after="0" w:line="172"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Sierra Corporate Services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100 West Liberty Street, 10th Floor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Reno, Nevada 89501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(Name, Address, Including Zip Code, and Telephone Number,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Including Area Code, of Agent for Service)</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Copies to:</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William S. Rosenstadt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Sanders Ortoli Vaughn-Flam Rosenstadt LLP</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501 Madison Avenue – 14th Floor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New York, NY 10022</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Telephone: 212-588-0022</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Fax: 212-826-9307</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As soon as practicable after this registration statement becomes effective.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Approximate date of commencement of proposed sale to the public</w:t>
      </w:r>
    </w:p>
    <w:p>
      <w:pPr>
        <w:spacing w:after="0" w:line="143" w:lineRule="exact"/>
        <w:rPr>
          <w:sz w:val="24"/>
          <w:szCs w:val="24"/>
          <w:color w:val="auto"/>
        </w:rPr>
      </w:pPr>
    </w:p>
    <w:p>
      <w:pPr>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 x</w:t>
      </w:r>
    </w:p>
    <w:p>
      <w:pPr>
        <w:spacing w:after="0" w:line="152" w:lineRule="exact"/>
        <w:rPr>
          <w:sz w:val="24"/>
          <w:szCs w:val="24"/>
          <w:color w:val="auto"/>
        </w:rPr>
      </w:pPr>
    </w:p>
    <w:p>
      <w:pPr>
        <w:ind w:right="520"/>
        <w:spacing w:after="0" w:line="279"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14" w:lineRule="exact"/>
        <w:rPr>
          <w:sz w:val="24"/>
          <w:szCs w:val="24"/>
          <w:color w:val="auto"/>
        </w:rPr>
      </w:pPr>
    </w:p>
    <w:p>
      <w:pPr>
        <w:ind w:right="100"/>
        <w:spacing w:after="0" w:line="279" w:lineRule="auto"/>
        <w:rPr>
          <w:sz w:val="20"/>
          <w:szCs w:val="20"/>
          <w:color w:val="auto"/>
        </w:rPr>
      </w:pPr>
      <w:r>
        <w:rPr>
          <w:rFonts w:ascii="Arial" w:cs="Arial" w:eastAsia="Arial" w:hAnsi="Arial"/>
          <w:sz w:val="12"/>
          <w:szCs w:val="12"/>
          <w:color w:val="auto"/>
        </w:rPr>
        <w:t>If this Form is a post-effective amendment filed pursuant to Rule 462(c) under the Securities Act of 1933, check the following box and list the Securities Act registration statement number of the earlier effective registration statement for the same offering. o</w:t>
      </w:r>
    </w:p>
    <w:p>
      <w:pPr>
        <w:spacing w:after="0" w:line="114" w:lineRule="exact"/>
        <w:rPr>
          <w:sz w:val="24"/>
          <w:szCs w:val="24"/>
          <w:color w:val="auto"/>
        </w:rPr>
      </w:pPr>
    </w:p>
    <w:p>
      <w:pPr>
        <w:ind w:right="80"/>
        <w:spacing w:after="0" w:line="279" w:lineRule="auto"/>
        <w:rPr>
          <w:sz w:val="20"/>
          <w:szCs w:val="20"/>
          <w:color w:val="auto"/>
        </w:rPr>
      </w:pPr>
      <w:r>
        <w:rPr>
          <w:rFonts w:ascii="Arial" w:cs="Arial" w:eastAsia="Arial" w:hAnsi="Arial"/>
          <w:sz w:val="12"/>
          <w:szCs w:val="12"/>
          <w:color w:val="auto"/>
        </w:rPr>
        <w:t>If this Form is a post-effective amendment filed pursuant to Rule 462(d) under the Securities Act of 1933, check the following box and list the Securities Act registration statement number of the earlier effective registration statement for the same offering. o</w:t>
      </w:r>
    </w:p>
    <w:p>
      <w:pPr>
        <w:spacing w:after="0" w:line="114" w:lineRule="exact"/>
        <w:rPr>
          <w:sz w:val="24"/>
          <w:szCs w:val="24"/>
          <w:color w:val="auto"/>
        </w:rPr>
      </w:pPr>
    </w:p>
    <w:p>
      <w:pPr>
        <w:spacing w:after="0" w:line="27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5260" w:type="dxa"/>
            <w:vAlign w:val="bottom"/>
          </w:tcPr>
          <w:p>
            <w:pPr>
              <w:ind w:left="420"/>
              <w:spacing w:after="0"/>
              <w:rPr>
                <w:sz w:val="20"/>
                <w:szCs w:val="20"/>
                <w:color w:val="auto"/>
              </w:rPr>
            </w:pPr>
            <w:r>
              <w:rPr>
                <w:rFonts w:ascii="Arial" w:cs="Arial" w:eastAsia="Arial" w:hAnsi="Arial"/>
                <w:sz w:val="12"/>
                <w:szCs w:val="12"/>
                <w:color w:val="auto"/>
              </w:rPr>
              <w:t>Large accelerated filer o</w:t>
            </w:r>
          </w:p>
        </w:tc>
        <w:tc>
          <w:tcPr>
            <w:tcW w:w="6220" w:type="dxa"/>
            <w:vAlign w:val="bottom"/>
          </w:tcPr>
          <w:p>
            <w:pPr>
              <w:ind w:left="1460"/>
              <w:spacing w:after="0"/>
              <w:rPr>
                <w:sz w:val="20"/>
                <w:szCs w:val="20"/>
                <w:color w:val="auto"/>
              </w:rPr>
            </w:pPr>
            <w:r>
              <w:rPr>
                <w:rFonts w:ascii="Arial" w:cs="Arial" w:eastAsia="Arial" w:hAnsi="Arial"/>
                <w:sz w:val="12"/>
                <w:szCs w:val="12"/>
                <w:color w:val="auto"/>
              </w:rPr>
              <w:t>Accelerated filer o</w:t>
            </w:r>
          </w:p>
        </w:tc>
      </w:tr>
      <w:tr>
        <w:trPr>
          <w:trHeight w:val="154"/>
        </w:trPr>
        <w:tc>
          <w:tcPr>
            <w:tcW w:w="5260" w:type="dxa"/>
            <w:vAlign w:val="bottom"/>
          </w:tcPr>
          <w:p>
            <w:pPr>
              <w:ind w:left="420"/>
              <w:spacing w:after="0"/>
              <w:rPr>
                <w:sz w:val="20"/>
                <w:szCs w:val="20"/>
                <w:color w:val="auto"/>
              </w:rPr>
            </w:pPr>
            <w:r>
              <w:rPr>
                <w:rFonts w:ascii="Arial" w:cs="Arial" w:eastAsia="Arial" w:hAnsi="Arial"/>
                <w:sz w:val="12"/>
                <w:szCs w:val="12"/>
                <w:color w:val="auto"/>
              </w:rPr>
              <w:t>Non-accelerated filer o (Do not check if a smaller reporting company)</w:t>
            </w:r>
          </w:p>
        </w:tc>
        <w:tc>
          <w:tcPr>
            <w:tcW w:w="6220" w:type="dxa"/>
            <w:vAlign w:val="bottom"/>
          </w:tcPr>
          <w:p>
            <w:pPr>
              <w:ind w:left="1460"/>
              <w:spacing w:after="0"/>
              <w:rPr>
                <w:sz w:val="20"/>
                <w:szCs w:val="20"/>
                <w:color w:val="auto"/>
              </w:rPr>
            </w:pPr>
            <w:r>
              <w:rPr>
                <w:rFonts w:ascii="Arial" w:cs="Arial" w:eastAsia="Arial" w:hAnsi="Arial"/>
                <w:sz w:val="12"/>
                <w:szCs w:val="12"/>
                <w:color w:val="auto"/>
              </w:rPr>
              <w:t>Smaller reporting company x</w:t>
            </w:r>
          </w:p>
        </w:tc>
      </w:tr>
      <w:tr>
        <w:trPr>
          <w:trHeight w:val="566"/>
        </w:trPr>
        <w:tc>
          <w:tcPr>
            <w:tcW w:w="5260" w:type="dxa"/>
            <w:vAlign w:val="bottom"/>
            <w:tcBorders>
              <w:bottom w:val="single" w:sz="8" w:color="808080"/>
            </w:tcBorders>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747"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8"/>
        </w:trPr>
        <w:tc>
          <w:tcPr>
            <w:tcW w:w="3580" w:type="dxa"/>
            <w:vAlign w:val="bottom"/>
          </w:tcPr>
          <w:p>
            <w:pPr>
              <w:spacing w:after="0"/>
              <w:rPr>
                <w:sz w:val="13"/>
                <w:szCs w:val="13"/>
                <w:color w:val="auto"/>
              </w:rPr>
            </w:pPr>
          </w:p>
        </w:tc>
        <w:tc>
          <w:tcPr>
            <w:tcW w:w="4560" w:type="dxa"/>
            <w:vAlign w:val="bottom"/>
            <w:gridSpan w:val="8"/>
          </w:tcPr>
          <w:p>
            <w:pPr>
              <w:jc w:val="right"/>
              <w:ind w:right="1240"/>
              <w:spacing w:after="0"/>
              <w:rPr>
                <w:sz w:val="20"/>
                <w:szCs w:val="20"/>
                <w:color w:val="auto"/>
              </w:rPr>
            </w:pPr>
            <w:r>
              <w:rPr>
                <w:rFonts w:ascii="Arial" w:cs="Arial" w:eastAsia="Arial" w:hAnsi="Arial"/>
                <w:sz w:val="12"/>
                <w:szCs w:val="12"/>
                <w:b w:val="1"/>
                <w:bCs w:val="1"/>
                <w:color w:val="auto"/>
              </w:rPr>
              <w:t>CALCULATION OF REGISTRATION FEE</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77"/>
        </w:trPr>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86"/>
              </w:rPr>
              <w:t>Proposed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45"/>
        </w:trPr>
        <w:tc>
          <w:tcPr>
            <w:tcW w:w="3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7"/>
              </w:rPr>
              <w:t>Maximum</w:t>
            </w:r>
          </w:p>
        </w:tc>
        <w:tc>
          <w:tcPr>
            <w:tcW w:w="220" w:type="dxa"/>
            <w:vAlign w:val="bottom"/>
          </w:tcPr>
          <w:p>
            <w:pPr>
              <w:spacing w:after="0"/>
              <w:rPr>
                <w:sz w:val="12"/>
                <w:szCs w:val="12"/>
                <w:color w:val="auto"/>
              </w:rPr>
            </w:pPr>
          </w:p>
        </w:tc>
        <w:tc>
          <w:tcPr>
            <w:tcW w:w="1060" w:type="dxa"/>
            <w:vAlign w:val="bottom"/>
          </w:tcPr>
          <w:p>
            <w:pPr>
              <w:jc w:val="center"/>
              <w:ind w:right="160"/>
              <w:spacing w:after="0"/>
              <w:rPr>
                <w:sz w:val="20"/>
                <w:szCs w:val="20"/>
                <w:color w:val="auto"/>
              </w:rPr>
            </w:pPr>
            <w:r>
              <w:rPr>
                <w:rFonts w:ascii="Arial" w:cs="Arial" w:eastAsia="Arial" w:hAnsi="Arial"/>
                <w:sz w:val="12"/>
                <w:szCs w:val="12"/>
                <w:b w:val="1"/>
                <w:bCs w:val="1"/>
                <w:color w:val="auto"/>
                <w:w w:val="86"/>
              </w:rPr>
              <w:t>Proposed</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5"/>
        </w:trPr>
        <w:tc>
          <w:tcPr>
            <w:tcW w:w="3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8"/>
              </w:rPr>
              <w:t>Offering</w:t>
            </w:r>
          </w:p>
        </w:tc>
        <w:tc>
          <w:tcPr>
            <w:tcW w:w="220" w:type="dxa"/>
            <w:vAlign w:val="bottom"/>
          </w:tcPr>
          <w:p>
            <w:pPr>
              <w:spacing w:after="0"/>
              <w:rPr>
                <w:sz w:val="12"/>
                <w:szCs w:val="12"/>
                <w:color w:val="auto"/>
              </w:rPr>
            </w:pPr>
          </w:p>
        </w:tc>
        <w:tc>
          <w:tcPr>
            <w:tcW w:w="1060" w:type="dxa"/>
            <w:vAlign w:val="bottom"/>
          </w:tcPr>
          <w:p>
            <w:pPr>
              <w:jc w:val="center"/>
              <w:ind w:right="140"/>
              <w:spacing w:after="0"/>
              <w:rPr>
                <w:sz w:val="20"/>
                <w:szCs w:val="20"/>
                <w:color w:val="auto"/>
              </w:rPr>
            </w:pPr>
            <w:r>
              <w:rPr>
                <w:rFonts w:ascii="Arial" w:cs="Arial" w:eastAsia="Arial" w:hAnsi="Arial"/>
                <w:sz w:val="12"/>
                <w:szCs w:val="12"/>
                <w:b w:val="1"/>
                <w:bCs w:val="1"/>
                <w:color w:val="auto"/>
                <w:w w:val="97"/>
              </w:rPr>
              <w:t>Maximum</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5"/>
        </w:trPr>
        <w:tc>
          <w:tcPr>
            <w:tcW w:w="3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88"/>
              </w:rPr>
              <w:t>Price</w:t>
            </w:r>
          </w:p>
        </w:tc>
        <w:tc>
          <w:tcPr>
            <w:tcW w:w="220" w:type="dxa"/>
            <w:vAlign w:val="bottom"/>
          </w:tcPr>
          <w:p>
            <w:pPr>
              <w:spacing w:after="0"/>
              <w:rPr>
                <w:sz w:val="12"/>
                <w:szCs w:val="12"/>
                <w:color w:val="auto"/>
              </w:rPr>
            </w:pPr>
          </w:p>
        </w:tc>
        <w:tc>
          <w:tcPr>
            <w:tcW w:w="1060" w:type="dxa"/>
            <w:vAlign w:val="bottom"/>
          </w:tcPr>
          <w:p>
            <w:pPr>
              <w:jc w:val="center"/>
              <w:ind w:right="140"/>
              <w:spacing w:after="0"/>
              <w:rPr>
                <w:sz w:val="20"/>
                <w:szCs w:val="20"/>
                <w:color w:val="auto"/>
              </w:rPr>
            </w:pPr>
            <w:r>
              <w:rPr>
                <w:rFonts w:ascii="Arial" w:cs="Arial" w:eastAsia="Arial" w:hAnsi="Arial"/>
                <w:sz w:val="12"/>
                <w:szCs w:val="12"/>
                <w:b w:val="1"/>
                <w:bCs w:val="1"/>
                <w:color w:val="auto"/>
                <w:w w:val="90"/>
              </w:rPr>
              <w:t>Aggregate</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80"/>
              <w:spacing w:after="0"/>
              <w:rPr>
                <w:sz w:val="20"/>
                <w:szCs w:val="20"/>
                <w:color w:val="auto"/>
              </w:rPr>
            </w:pPr>
            <w:r>
              <w:rPr>
                <w:rFonts w:ascii="Arial" w:cs="Arial" w:eastAsia="Arial" w:hAnsi="Arial"/>
                <w:sz w:val="12"/>
                <w:szCs w:val="12"/>
                <w:b w:val="1"/>
                <w:bCs w:val="1"/>
                <w:color w:val="auto"/>
                <w:w w:val="93"/>
              </w:rPr>
              <w:t>Amount of</w:t>
            </w:r>
          </w:p>
        </w:tc>
      </w:tr>
      <w:tr>
        <w:trPr>
          <w:trHeight w:val="145"/>
        </w:trPr>
        <w:tc>
          <w:tcPr>
            <w:tcW w:w="3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ind w:left="340"/>
              <w:spacing w:after="0"/>
              <w:rPr>
                <w:sz w:val="20"/>
                <w:szCs w:val="20"/>
                <w:color w:val="auto"/>
              </w:rPr>
            </w:pPr>
            <w:r>
              <w:rPr>
                <w:rFonts w:ascii="Arial" w:cs="Arial" w:eastAsia="Arial" w:hAnsi="Arial"/>
                <w:sz w:val="12"/>
                <w:szCs w:val="12"/>
                <w:b w:val="1"/>
                <w:bCs w:val="1"/>
                <w:color w:val="auto"/>
              </w:rPr>
              <w:t>Amount to Be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2"/>
              </w:rPr>
              <w:t>Per</w:t>
            </w:r>
          </w:p>
        </w:tc>
        <w:tc>
          <w:tcPr>
            <w:tcW w:w="220" w:type="dxa"/>
            <w:vAlign w:val="bottom"/>
          </w:tcPr>
          <w:p>
            <w:pPr>
              <w:spacing w:after="0"/>
              <w:rPr>
                <w:sz w:val="12"/>
                <w:szCs w:val="12"/>
                <w:color w:val="auto"/>
              </w:rPr>
            </w:pPr>
          </w:p>
        </w:tc>
        <w:tc>
          <w:tcPr>
            <w:tcW w:w="1060" w:type="dxa"/>
            <w:vAlign w:val="bottom"/>
          </w:tcPr>
          <w:p>
            <w:pPr>
              <w:jc w:val="center"/>
              <w:ind w:right="160"/>
              <w:spacing w:after="0"/>
              <w:rPr>
                <w:sz w:val="20"/>
                <w:szCs w:val="20"/>
                <w:color w:val="auto"/>
              </w:rPr>
            </w:pPr>
            <w:r>
              <w:rPr>
                <w:rFonts w:ascii="Arial" w:cs="Arial" w:eastAsia="Arial" w:hAnsi="Arial"/>
                <w:sz w:val="12"/>
                <w:szCs w:val="12"/>
                <w:b w:val="1"/>
                <w:bCs w:val="1"/>
                <w:color w:val="auto"/>
                <w:w w:val="94"/>
              </w:rPr>
              <w:t>Offering</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80"/>
              <w:spacing w:after="0"/>
              <w:rPr>
                <w:sz w:val="20"/>
                <w:szCs w:val="20"/>
                <w:color w:val="auto"/>
              </w:rPr>
            </w:pPr>
            <w:r>
              <w:rPr>
                <w:rFonts w:ascii="Arial" w:cs="Arial" w:eastAsia="Arial" w:hAnsi="Arial"/>
                <w:sz w:val="12"/>
                <w:szCs w:val="12"/>
                <w:b w:val="1"/>
                <w:bCs w:val="1"/>
                <w:color w:val="auto"/>
                <w:w w:val="91"/>
              </w:rPr>
              <w:t>Registration</w:t>
            </w:r>
          </w:p>
        </w:tc>
      </w:tr>
      <w:tr>
        <w:trPr>
          <w:trHeight w:val="158"/>
        </w:trPr>
        <w:tc>
          <w:tcPr>
            <w:tcW w:w="3580" w:type="dxa"/>
            <w:vAlign w:val="bottom"/>
            <w:tcBorders>
              <w:bottom w:val="single" w:sz="8" w:color="auto"/>
            </w:tcBorders>
          </w:tcPr>
          <w:p>
            <w:pPr>
              <w:spacing w:after="0" w:line="158" w:lineRule="exact"/>
              <w:rPr>
                <w:sz w:val="20"/>
                <w:szCs w:val="20"/>
                <w:color w:val="auto"/>
              </w:rPr>
            </w:pPr>
            <w:r>
              <w:rPr>
                <w:rFonts w:ascii="Arial" w:cs="Arial" w:eastAsia="Arial" w:hAnsi="Arial"/>
                <w:sz w:val="12"/>
                <w:szCs w:val="12"/>
                <w:b w:val="1"/>
                <w:bCs w:val="1"/>
                <w:color w:val="auto"/>
              </w:rPr>
              <w:t>Title of Each Class of Securities to Be Registered</w:t>
            </w:r>
            <w:r>
              <w:rPr>
                <w:rFonts w:ascii="Arial" w:cs="Arial" w:eastAsia="Arial" w:hAnsi="Arial"/>
                <w:sz w:val="16"/>
                <w:szCs w:val="16"/>
                <w:b w:val="1"/>
                <w:bCs w:val="1"/>
                <w:color w:val="auto"/>
                <w:vertAlign w:val="superscript"/>
              </w:rPr>
              <w:t>(2)</w:t>
            </w:r>
          </w:p>
        </w:tc>
        <w:tc>
          <w:tcPr>
            <w:tcW w:w="10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Registered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1"/>
              </w:rPr>
              <w:t>Security (1)</w:t>
            </w:r>
          </w:p>
        </w:tc>
        <w:tc>
          <w:tcPr>
            <w:tcW w:w="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2"/>
              </w:rPr>
              <w:t>Price (1)</w:t>
            </w:r>
          </w:p>
        </w:tc>
        <w:tc>
          <w:tcPr>
            <w:tcW w:w="5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86"/>
              </w:rPr>
              <w:t>Fee</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3580" w:type="dxa"/>
            <w:vAlign w:val="bottom"/>
          </w:tcPr>
          <w:p>
            <w:pPr>
              <w:spacing w:after="0"/>
              <w:rPr>
                <w:sz w:val="20"/>
                <w:szCs w:val="20"/>
                <w:color w:val="auto"/>
              </w:rPr>
            </w:pPr>
            <w:r>
              <w:rPr>
                <w:rFonts w:ascii="Arial" w:cs="Arial" w:eastAsia="Arial" w:hAnsi="Arial"/>
                <w:sz w:val="12"/>
                <w:szCs w:val="12"/>
                <w:color w:val="auto"/>
              </w:rPr>
              <w:t>August 2014 Warrants</w:t>
            </w:r>
          </w:p>
        </w:tc>
        <w:tc>
          <w:tcPr>
            <w:tcW w:w="2660" w:type="dxa"/>
            <w:vAlign w:val="bottom"/>
            <w:gridSpan w:val="3"/>
          </w:tcPr>
          <w:p>
            <w:pPr>
              <w:jc w:val="right"/>
              <w:spacing w:after="0"/>
              <w:rPr>
                <w:sz w:val="20"/>
                <w:szCs w:val="20"/>
                <w:color w:val="auto"/>
              </w:rPr>
            </w:pPr>
            <w:r>
              <w:rPr>
                <w:rFonts w:ascii="Arial" w:cs="Arial" w:eastAsia="Arial" w:hAnsi="Arial"/>
                <w:sz w:val="12"/>
                <w:szCs w:val="12"/>
                <w:color w:val="auto"/>
              </w:rPr>
              <w:t>1,886,792</w:t>
            </w:r>
          </w:p>
        </w:tc>
        <w:tc>
          <w:tcPr>
            <w:tcW w:w="14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80" w:type="dxa"/>
            <w:vAlign w:val="bottom"/>
            <w:gridSpan w:val="2"/>
          </w:tcPr>
          <w:p>
            <w:pPr>
              <w:jc w:val="right"/>
              <w:ind w:right="500"/>
              <w:spacing w:after="0"/>
              <w:rPr>
                <w:sz w:val="20"/>
                <w:szCs w:val="20"/>
                <w:color w:val="auto"/>
              </w:rPr>
            </w:pPr>
            <w:r>
              <w:rPr>
                <w:rFonts w:ascii="Arial" w:cs="Arial" w:eastAsia="Arial" w:hAnsi="Arial"/>
                <w:sz w:val="12"/>
                <w:szCs w:val="12"/>
                <w:color w:val="auto"/>
              </w:rPr>
              <w:t>_____</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________</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_____</w:t>
            </w:r>
          </w:p>
        </w:tc>
      </w:tr>
      <w:tr>
        <w:trPr>
          <w:trHeight w:val="145"/>
        </w:trPr>
        <w:tc>
          <w:tcPr>
            <w:tcW w:w="3580" w:type="dxa"/>
            <w:vAlign w:val="bottom"/>
          </w:tcPr>
          <w:p>
            <w:pPr>
              <w:spacing w:after="0"/>
              <w:rPr>
                <w:sz w:val="20"/>
                <w:szCs w:val="20"/>
                <w:color w:val="auto"/>
              </w:rPr>
            </w:pPr>
            <w:r>
              <w:rPr>
                <w:rFonts w:ascii="Arial" w:cs="Arial" w:eastAsia="Arial" w:hAnsi="Arial"/>
                <w:sz w:val="12"/>
                <w:szCs w:val="12"/>
                <w:color w:val="auto"/>
              </w:rPr>
              <w:t>Series A Warrants</w:t>
            </w:r>
          </w:p>
        </w:tc>
        <w:tc>
          <w:tcPr>
            <w:tcW w:w="2660" w:type="dxa"/>
            <w:vAlign w:val="bottom"/>
            <w:gridSpan w:val="3"/>
          </w:tcPr>
          <w:p>
            <w:pPr>
              <w:jc w:val="right"/>
              <w:spacing w:after="0"/>
              <w:rPr>
                <w:sz w:val="20"/>
                <w:szCs w:val="20"/>
                <w:color w:val="auto"/>
              </w:rPr>
            </w:pPr>
            <w:r>
              <w:rPr>
                <w:rFonts w:ascii="Arial" w:cs="Arial" w:eastAsia="Arial" w:hAnsi="Arial"/>
                <w:sz w:val="12"/>
                <w:szCs w:val="12"/>
                <w:color w:val="auto"/>
              </w:rPr>
              <w:t>7,320,000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5"/>
        </w:trPr>
        <w:tc>
          <w:tcPr>
            <w:tcW w:w="3580" w:type="dxa"/>
            <w:vAlign w:val="bottom"/>
          </w:tcPr>
          <w:p>
            <w:pPr>
              <w:spacing w:after="0"/>
              <w:rPr>
                <w:sz w:val="20"/>
                <w:szCs w:val="20"/>
                <w:color w:val="auto"/>
              </w:rPr>
            </w:pPr>
            <w:r>
              <w:rPr>
                <w:rFonts w:ascii="Arial" w:cs="Arial" w:eastAsia="Arial" w:hAnsi="Arial"/>
                <w:sz w:val="12"/>
                <w:szCs w:val="12"/>
                <w:color w:val="auto"/>
              </w:rPr>
              <w:t>Series B Warrants</w:t>
            </w:r>
          </w:p>
        </w:tc>
        <w:tc>
          <w:tcPr>
            <w:tcW w:w="2660" w:type="dxa"/>
            <w:vAlign w:val="bottom"/>
            <w:gridSpan w:val="3"/>
          </w:tcPr>
          <w:p>
            <w:pPr>
              <w:jc w:val="right"/>
              <w:spacing w:after="0"/>
              <w:rPr>
                <w:sz w:val="20"/>
                <w:szCs w:val="20"/>
                <w:color w:val="auto"/>
              </w:rPr>
            </w:pPr>
            <w:r>
              <w:rPr>
                <w:rFonts w:ascii="Arial" w:cs="Arial" w:eastAsia="Arial" w:hAnsi="Arial"/>
                <w:sz w:val="12"/>
                <w:szCs w:val="12"/>
                <w:color w:val="auto"/>
              </w:rPr>
              <w:t>7,320,000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5"/>
        </w:trPr>
        <w:tc>
          <w:tcPr>
            <w:tcW w:w="3580" w:type="dxa"/>
            <w:vAlign w:val="bottom"/>
          </w:tcPr>
          <w:p>
            <w:pPr>
              <w:spacing w:after="0"/>
              <w:rPr>
                <w:sz w:val="20"/>
                <w:szCs w:val="20"/>
                <w:color w:val="auto"/>
              </w:rPr>
            </w:pPr>
            <w:r>
              <w:rPr>
                <w:rFonts w:ascii="Arial" w:cs="Arial" w:eastAsia="Arial" w:hAnsi="Arial"/>
                <w:sz w:val="12"/>
                <w:szCs w:val="12"/>
                <w:color w:val="auto"/>
              </w:rPr>
              <w:t>Series C Warrants</w:t>
            </w:r>
          </w:p>
        </w:tc>
        <w:tc>
          <w:tcPr>
            <w:tcW w:w="2660" w:type="dxa"/>
            <w:vAlign w:val="bottom"/>
            <w:gridSpan w:val="3"/>
          </w:tcPr>
          <w:p>
            <w:pPr>
              <w:jc w:val="right"/>
              <w:spacing w:after="0"/>
              <w:rPr>
                <w:sz w:val="20"/>
                <w:szCs w:val="20"/>
                <w:color w:val="auto"/>
              </w:rPr>
            </w:pPr>
            <w:r>
              <w:rPr>
                <w:rFonts w:ascii="Arial" w:cs="Arial" w:eastAsia="Arial" w:hAnsi="Arial"/>
                <w:sz w:val="12"/>
                <w:szCs w:val="12"/>
                <w:color w:val="auto"/>
              </w:rPr>
              <w:t>7,320,000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5"/>
        </w:trPr>
        <w:tc>
          <w:tcPr>
            <w:tcW w:w="3580" w:type="dxa"/>
            <w:vAlign w:val="bottom"/>
          </w:tcPr>
          <w:p>
            <w:pPr>
              <w:spacing w:after="0"/>
              <w:rPr>
                <w:sz w:val="20"/>
                <w:szCs w:val="20"/>
                <w:color w:val="auto"/>
              </w:rPr>
            </w:pPr>
            <w:r>
              <w:rPr>
                <w:rFonts w:ascii="Arial" w:cs="Arial" w:eastAsia="Arial" w:hAnsi="Arial"/>
                <w:sz w:val="12"/>
                <w:szCs w:val="12"/>
                <w:color w:val="auto"/>
              </w:rPr>
              <w:t>Series D Warrants</w:t>
            </w:r>
          </w:p>
        </w:tc>
        <w:tc>
          <w:tcPr>
            <w:tcW w:w="2660" w:type="dxa"/>
            <w:vAlign w:val="bottom"/>
            <w:gridSpan w:val="3"/>
          </w:tcPr>
          <w:p>
            <w:pPr>
              <w:jc w:val="right"/>
              <w:spacing w:after="0"/>
              <w:rPr>
                <w:sz w:val="20"/>
                <w:szCs w:val="20"/>
                <w:color w:val="auto"/>
              </w:rPr>
            </w:pPr>
            <w:r>
              <w:rPr>
                <w:rFonts w:ascii="Arial" w:cs="Arial" w:eastAsia="Arial" w:hAnsi="Arial"/>
                <w:sz w:val="12"/>
                <w:szCs w:val="12"/>
                <w:color w:val="auto"/>
              </w:rPr>
              <w:t>7,320,000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5"/>
        </w:trPr>
        <w:tc>
          <w:tcPr>
            <w:tcW w:w="3580" w:type="dxa"/>
            <w:vAlign w:val="bottom"/>
          </w:tcPr>
          <w:p>
            <w:pPr>
              <w:spacing w:after="0"/>
              <w:rPr>
                <w:sz w:val="20"/>
                <w:szCs w:val="20"/>
                <w:color w:val="auto"/>
              </w:rPr>
            </w:pPr>
            <w:r>
              <w:rPr>
                <w:rFonts w:ascii="Arial" w:cs="Arial" w:eastAsia="Arial" w:hAnsi="Arial"/>
                <w:sz w:val="12"/>
                <w:szCs w:val="12"/>
                <w:color w:val="auto"/>
              </w:rPr>
              <w:t>Series E Warrants</w:t>
            </w:r>
          </w:p>
        </w:tc>
        <w:tc>
          <w:tcPr>
            <w:tcW w:w="2660" w:type="dxa"/>
            <w:vAlign w:val="bottom"/>
            <w:gridSpan w:val="3"/>
          </w:tcPr>
          <w:p>
            <w:pPr>
              <w:jc w:val="right"/>
              <w:spacing w:after="0"/>
              <w:rPr>
                <w:sz w:val="20"/>
                <w:szCs w:val="20"/>
                <w:color w:val="auto"/>
              </w:rPr>
            </w:pPr>
            <w:r>
              <w:rPr>
                <w:rFonts w:ascii="Arial" w:cs="Arial" w:eastAsia="Arial" w:hAnsi="Arial"/>
                <w:sz w:val="12"/>
                <w:szCs w:val="12"/>
                <w:color w:val="auto"/>
              </w:rPr>
              <w:t>7,320,000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5"/>
        </w:trPr>
        <w:tc>
          <w:tcPr>
            <w:tcW w:w="3580" w:type="dxa"/>
            <w:vAlign w:val="bottom"/>
          </w:tcPr>
          <w:p>
            <w:pPr>
              <w:spacing w:after="0"/>
              <w:rPr>
                <w:sz w:val="20"/>
                <w:szCs w:val="20"/>
                <w:color w:val="auto"/>
              </w:rPr>
            </w:pPr>
            <w:r>
              <w:rPr>
                <w:rFonts w:ascii="Arial" w:cs="Arial" w:eastAsia="Arial" w:hAnsi="Arial"/>
                <w:sz w:val="12"/>
                <w:szCs w:val="12"/>
                <w:color w:val="auto"/>
              </w:rPr>
              <w:t>Series A-1 Warrants</w:t>
            </w:r>
          </w:p>
        </w:tc>
        <w:tc>
          <w:tcPr>
            <w:tcW w:w="2660" w:type="dxa"/>
            <w:vAlign w:val="bottom"/>
            <w:gridSpan w:val="3"/>
          </w:tcPr>
          <w:p>
            <w:pPr>
              <w:jc w:val="right"/>
              <w:spacing w:after="0"/>
              <w:rPr>
                <w:sz w:val="20"/>
                <w:szCs w:val="20"/>
                <w:color w:val="auto"/>
              </w:rPr>
            </w:pPr>
            <w:r>
              <w:rPr>
                <w:rFonts w:ascii="Arial" w:cs="Arial" w:eastAsia="Arial" w:hAnsi="Arial"/>
                <w:sz w:val="12"/>
                <w:szCs w:val="12"/>
                <w:color w:val="auto"/>
              </w:rPr>
              <w:t>5,000,000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5"/>
        </w:trPr>
        <w:tc>
          <w:tcPr>
            <w:tcW w:w="3580" w:type="dxa"/>
            <w:vAlign w:val="bottom"/>
          </w:tcPr>
          <w:p>
            <w:pPr>
              <w:spacing w:after="0"/>
              <w:rPr>
                <w:sz w:val="20"/>
                <w:szCs w:val="20"/>
                <w:color w:val="auto"/>
              </w:rPr>
            </w:pPr>
            <w:r>
              <w:rPr>
                <w:rFonts w:ascii="Arial" w:cs="Arial" w:eastAsia="Arial" w:hAnsi="Arial"/>
                <w:sz w:val="12"/>
                <w:szCs w:val="12"/>
                <w:color w:val="auto"/>
              </w:rPr>
              <w:t>Series B-1 Warrants</w:t>
            </w:r>
          </w:p>
        </w:tc>
        <w:tc>
          <w:tcPr>
            <w:tcW w:w="2660" w:type="dxa"/>
            <w:vAlign w:val="bottom"/>
            <w:gridSpan w:val="3"/>
          </w:tcPr>
          <w:p>
            <w:pPr>
              <w:jc w:val="right"/>
              <w:spacing w:after="0"/>
              <w:rPr>
                <w:sz w:val="20"/>
                <w:szCs w:val="20"/>
                <w:color w:val="auto"/>
              </w:rPr>
            </w:pPr>
            <w:r>
              <w:rPr>
                <w:rFonts w:ascii="Arial" w:cs="Arial" w:eastAsia="Arial" w:hAnsi="Arial"/>
                <w:sz w:val="12"/>
                <w:szCs w:val="12"/>
                <w:color w:val="auto"/>
              </w:rPr>
              <w:t>5,000,000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5"/>
        </w:trPr>
        <w:tc>
          <w:tcPr>
            <w:tcW w:w="3580" w:type="dxa"/>
            <w:vAlign w:val="bottom"/>
          </w:tcPr>
          <w:p>
            <w:pPr>
              <w:spacing w:after="0"/>
              <w:rPr>
                <w:sz w:val="20"/>
                <w:szCs w:val="20"/>
                <w:color w:val="auto"/>
              </w:rPr>
            </w:pPr>
            <w:r>
              <w:rPr>
                <w:rFonts w:ascii="Arial" w:cs="Arial" w:eastAsia="Arial" w:hAnsi="Arial"/>
                <w:sz w:val="12"/>
                <w:szCs w:val="12"/>
                <w:color w:val="auto"/>
              </w:rPr>
              <w:t>Series C-1 Warrants</w:t>
            </w:r>
          </w:p>
        </w:tc>
        <w:tc>
          <w:tcPr>
            <w:tcW w:w="2660" w:type="dxa"/>
            <w:vAlign w:val="bottom"/>
            <w:gridSpan w:val="3"/>
          </w:tcPr>
          <w:p>
            <w:pPr>
              <w:jc w:val="right"/>
              <w:spacing w:after="0"/>
              <w:rPr>
                <w:sz w:val="20"/>
                <w:szCs w:val="20"/>
                <w:color w:val="auto"/>
              </w:rPr>
            </w:pPr>
            <w:r>
              <w:rPr>
                <w:rFonts w:ascii="Arial" w:cs="Arial" w:eastAsia="Arial" w:hAnsi="Arial"/>
                <w:sz w:val="12"/>
                <w:szCs w:val="12"/>
                <w:color w:val="auto"/>
              </w:rPr>
              <w:t>5,000,000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5"/>
        </w:trPr>
        <w:tc>
          <w:tcPr>
            <w:tcW w:w="3580" w:type="dxa"/>
            <w:vAlign w:val="bottom"/>
          </w:tcPr>
          <w:p>
            <w:pPr>
              <w:spacing w:after="0"/>
              <w:rPr>
                <w:sz w:val="20"/>
                <w:szCs w:val="20"/>
                <w:color w:val="auto"/>
              </w:rPr>
            </w:pPr>
            <w:r>
              <w:rPr>
                <w:rFonts w:ascii="Arial" w:cs="Arial" w:eastAsia="Arial" w:hAnsi="Arial"/>
                <w:sz w:val="12"/>
                <w:szCs w:val="12"/>
                <w:color w:val="auto"/>
              </w:rPr>
              <w:t>Series D-1 Warrants</w:t>
            </w:r>
          </w:p>
        </w:tc>
        <w:tc>
          <w:tcPr>
            <w:tcW w:w="2660" w:type="dxa"/>
            <w:vAlign w:val="bottom"/>
            <w:gridSpan w:val="3"/>
          </w:tcPr>
          <w:p>
            <w:pPr>
              <w:jc w:val="right"/>
              <w:spacing w:after="0"/>
              <w:rPr>
                <w:sz w:val="20"/>
                <w:szCs w:val="20"/>
                <w:color w:val="auto"/>
              </w:rPr>
            </w:pPr>
            <w:r>
              <w:rPr>
                <w:rFonts w:ascii="Arial" w:cs="Arial" w:eastAsia="Arial" w:hAnsi="Arial"/>
                <w:sz w:val="12"/>
                <w:szCs w:val="12"/>
                <w:color w:val="auto"/>
              </w:rPr>
              <w:t>5,000,000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5"/>
        </w:trPr>
        <w:tc>
          <w:tcPr>
            <w:tcW w:w="3580" w:type="dxa"/>
            <w:vAlign w:val="bottom"/>
          </w:tcPr>
          <w:p>
            <w:pPr>
              <w:spacing w:after="0"/>
              <w:rPr>
                <w:sz w:val="20"/>
                <w:szCs w:val="20"/>
                <w:color w:val="auto"/>
              </w:rPr>
            </w:pPr>
            <w:r>
              <w:rPr>
                <w:rFonts w:ascii="Arial" w:cs="Arial" w:eastAsia="Arial" w:hAnsi="Arial"/>
                <w:sz w:val="12"/>
                <w:szCs w:val="12"/>
                <w:color w:val="auto"/>
              </w:rPr>
              <w:t>Series E-1 Warrants</w:t>
            </w:r>
          </w:p>
        </w:tc>
        <w:tc>
          <w:tcPr>
            <w:tcW w:w="2660" w:type="dxa"/>
            <w:vAlign w:val="bottom"/>
            <w:gridSpan w:val="3"/>
          </w:tcPr>
          <w:p>
            <w:pPr>
              <w:jc w:val="right"/>
              <w:spacing w:after="0"/>
              <w:rPr>
                <w:sz w:val="20"/>
                <w:szCs w:val="20"/>
                <w:color w:val="auto"/>
              </w:rPr>
            </w:pPr>
            <w:r>
              <w:rPr>
                <w:rFonts w:ascii="Arial" w:cs="Arial" w:eastAsia="Arial" w:hAnsi="Arial"/>
                <w:sz w:val="12"/>
                <w:szCs w:val="12"/>
                <w:color w:val="auto"/>
              </w:rPr>
              <w:t>5,000,000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54"/>
        </w:trPr>
        <w:tc>
          <w:tcPr>
            <w:tcW w:w="3580" w:type="dxa"/>
            <w:vAlign w:val="bottom"/>
          </w:tcPr>
          <w:p>
            <w:pPr>
              <w:spacing w:after="0"/>
              <w:rPr>
                <w:sz w:val="20"/>
                <w:szCs w:val="20"/>
                <w:color w:val="auto"/>
              </w:rPr>
            </w:pPr>
            <w:r>
              <w:rPr>
                <w:rFonts w:ascii="Arial" w:cs="Arial" w:eastAsia="Arial" w:hAnsi="Arial"/>
                <w:sz w:val="12"/>
                <w:szCs w:val="12"/>
                <w:color w:val="auto"/>
              </w:rPr>
              <w:t>Common Stock</w:t>
            </w:r>
          </w:p>
        </w:tc>
        <w:tc>
          <w:tcPr>
            <w:tcW w:w="2660" w:type="dxa"/>
            <w:vAlign w:val="bottom"/>
            <w:gridSpan w:val="3"/>
          </w:tcPr>
          <w:p>
            <w:pPr>
              <w:jc w:val="right"/>
              <w:spacing w:after="0"/>
              <w:rPr>
                <w:sz w:val="20"/>
                <w:szCs w:val="20"/>
                <w:color w:val="auto"/>
              </w:rPr>
            </w:pPr>
            <w:r>
              <w:rPr>
                <w:rFonts w:ascii="Arial" w:cs="Arial" w:eastAsia="Arial" w:hAnsi="Arial"/>
                <w:sz w:val="12"/>
                <w:szCs w:val="12"/>
                <w:color w:val="auto"/>
              </w:rPr>
              <w:t>5,000,000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2"/>
        </w:trPr>
        <w:tc>
          <w:tcPr>
            <w:tcW w:w="3580" w:type="dxa"/>
            <w:vAlign w:val="bottom"/>
          </w:tcPr>
          <w:p>
            <w:pPr>
              <w:ind w:left="420"/>
              <w:spacing w:after="0"/>
              <w:rPr>
                <w:sz w:val="20"/>
                <w:szCs w:val="20"/>
                <w:color w:val="auto"/>
              </w:rPr>
            </w:pPr>
            <w:r>
              <w:rPr>
                <w:rFonts w:ascii="Arial" w:cs="Arial" w:eastAsia="Arial" w:hAnsi="Arial"/>
                <w:sz w:val="12"/>
                <w:szCs w:val="12"/>
                <w:color w:val="auto"/>
              </w:rPr>
              <w:t>Total:</w:t>
            </w:r>
          </w:p>
        </w:tc>
        <w:tc>
          <w:tcPr>
            <w:tcW w:w="1260" w:type="dxa"/>
            <w:vAlign w:val="bottom"/>
            <w:gridSpan w:val="2"/>
          </w:tcPr>
          <w:p>
            <w:pPr>
              <w:spacing w:after="0"/>
              <w:rPr>
                <w:sz w:val="13"/>
                <w:szCs w:val="13"/>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68,486,792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tcBorders>
              <w:top w:val="single" w:sz="8" w:color="auto"/>
            </w:tcBorders>
          </w:tcPr>
          <w:p>
            <w:pPr>
              <w:spacing w:after="0"/>
              <w:rPr>
                <w:sz w:val="13"/>
                <w:szCs w:val="13"/>
                <w:color w:val="auto"/>
              </w:rPr>
            </w:pPr>
          </w:p>
        </w:tc>
      </w:tr>
    </w:tbl>
    <w:p>
      <w:pPr>
        <w:spacing w:after="0" w:line="127" w:lineRule="exact"/>
        <w:rPr>
          <w:sz w:val="20"/>
          <w:szCs w:val="20"/>
          <w:color w:val="auto"/>
        </w:rPr>
      </w:pPr>
    </w:p>
    <w:p>
      <w:pPr>
        <w:ind w:left="380" w:hanging="263"/>
        <w:spacing w:after="0"/>
        <w:tabs>
          <w:tab w:leader="none" w:pos="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 under the Securities Act of 1933, as amended.</w:t>
      </w:r>
    </w:p>
    <w:p>
      <w:pPr>
        <w:spacing w:after="0" w:line="15" w:lineRule="exact"/>
        <w:rPr>
          <w:rFonts w:ascii="Arial" w:cs="Arial" w:eastAsia="Arial" w:hAnsi="Arial"/>
          <w:sz w:val="12"/>
          <w:szCs w:val="12"/>
          <w:color w:val="auto"/>
        </w:rPr>
      </w:pPr>
    </w:p>
    <w:p>
      <w:pPr>
        <w:ind w:left="380" w:hanging="263"/>
        <w:spacing w:after="0"/>
        <w:tabs>
          <w:tab w:leader="none" w:pos="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These shares were previously included in Registration Statement No. 333-196115 for which all filing fees were paid.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645160</wp:posOffset>
            </wp:positionV>
            <wp:extent cx="7298690"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71"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EXPLANATORY NOTE</w:t>
      </w:r>
    </w:p>
    <w:p>
      <w:pPr>
        <w:spacing w:after="0" w:line="174" w:lineRule="exact"/>
        <w:rPr>
          <w:sz w:val="20"/>
          <w:szCs w:val="20"/>
          <w:color w:val="auto"/>
        </w:rPr>
      </w:pPr>
    </w:p>
    <w:p>
      <w:pPr>
        <w:jc w:val="both"/>
        <w:spacing w:after="0" w:line="329" w:lineRule="auto"/>
        <w:rPr>
          <w:sz w:val="20"/>
          <w:szCs w:val="20"/>
          <w:color w:val="auto"/>
        </w:rPr>
      </w:pPr>
      <w:r>
        <w:rPr>
          <w:rFonts w:ascii="Arial" w:cs="Arial" w:eastAsia="Arial" w:hAnsi="Arial"/>
          <w:sz w:val="10"/>
          <w:szCs w:val="10"/>
          <w:color w:val="auto"/>
        </w:rPr>
        <w:t>We filed a registration statement on Form S-3 (Registration No. 333-196115) (as amended on July 21, 2014, the “Original Registration Statement”) declared effective by the Securities and Exchange Commission on July 23, 2014, which registered shares of our common stock, warrants and shares of our common stock underlying those warrants. In connection with the Original Registration Statement, we offered and sold shares of our common stock and warrants to purchase shares of our common stock pursuant to prospectus supplements filed with the U.S. Securities and Exchange Commission on August 13, 2014, January 12, 2015 and March 9, 2015. We are filing this Post-Effective Amendment No. 2 to Form S-3/A on Form S-1 to amend the Original Registration Statement (as amended by Post-Effective Amendment No.1 to Form S-3/A on Form S-1, filed on June 19, 2015) into a registration statement on Form S-1 to:</w:t>
      </w:r>
    </w:p>
    <w:p>
      <w:pPr>
        <w:spacing w:after="0" w:line="258" w:lineRule="exact"/>
        <w:rPr>
          <w:sz w:val="20"/>
          <w:szCs w:val="20"/>
          <w:color w:val="auto"/>
        </w:rPr>
      </w:pPr>
    </w:p>
    <w:p>
      <w:pPr>
        <w:ind w:left="420" w:hanging="210"/>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continue the registration of:</w:t>
      </w:r>
    </w:p>
    <w:p>
      <w:pPr>
        <w:spacing w:after="0" w:line="152" w:lineRule="exact"/>
        <w:rPr>
          <w:rFonts w:ascii="Arial" w:cs="Arial" w:eastAsia="Arial" w:hAnsi="Arial"/>
          <w:sz w:val="12"/>
          <w:szCs w:val="12"/>
          <w:color w:val="auto"/>
        </w:rPr>
      </w:pPr>
    </w:p>
    <w:p>
      <w:pPr>
        <w:ind w:left="640" w:hanging="212"/>
        <w:spacing w:after="0"/>
        <w:tabs>
          <w:tab w:leader="none" w:pos="640" w:val="left"/>
        </w:tabs>
        <w:numPr>
          <w:ilvl w:val="1"/>
          <w:numId w:val="2"/>
        </w:numPr>
        <w:rPr>
          <w:rFonts w:ascii="Arial" w:cs="Arial" w:eastAsia="Arial" w:hAnsi="Arial"/>
          <w:sz w:val="12"/>
          <w:szCs w:val="12"/>
          <w:color w:val="auto"/>
        </w:rPr>
      </w:pPr>
      <w:r>
        <w:rPr>
          <w:rFonts w:ascii="Arial" w:cs="Arial" w:eastAsia="Arial" w:hAnsi="Arial"/>
          <w:sz w:val="12"/>
          <w:szCs w:val="12"/>
          <w:color w:val="auto"/>
        </w:rPr>
        <w:t>1,886,792 shares of common stock issuable upon exercise of warrants originally issued subject to a Prospectus Supplement dated August 13, 2014,</w:t>
      </w:r>
    </w:p>
    <w:p>
      <w:pPr>
        <w:spacing w:after="0" w:line="170" w:lineRule="exact"/>
        <w:rPr>
          <w:rFonts w:ascii="Arial" w:cs="Arial" w:eastAsia="Arial" w:hAnsi="Arial"/>
          <w:sz w:val="12"/>
          <w:szCs w:val="12"/>
          <w:color w:val="auto"/>
        </w:rPr>
      </w:pPr>
    </w:p>
    <w:p>
      <w:pPr>
        <w:ind w:left="640" w:hanging="212"/>
        <w:spacing w:after="0"/>
        <w:tabs>
          <w:tab w:leader="none" w:pos="640" w:val="left"/>
        </w:tabs>
        <w:numPr>
          <w:ilvl w:val="1"/>
          <w:numId w:val="2"/>
        </w:numPr>
        <w:rPr>
          <w:rFonts w:ascii="Arial" w:cs="Arial" w:eastAsia="Arial" w:hAnsi="Arial"/>
          <w:sz w:val="12"/>
          <w:szCs w:val="12"/>
          <w:color w:val="auto"/>
        </w:rPr>
      </w:pPr>
      <w:r>
        <w:rPr>
          <w:rFonts w:ascii="Arial" w:cs="Arial" w:eastAsia="Arial" w:hAnsi="Arial"/>
          <w:sz w:val="12"/>
          <w:szCs w:val="12"/>
          <w:color w:val="auto"/>
        </w:rPr>
        <w:t>7,320,000 shares of common stock issuable upon exercise of the Series A Warrants originally issued subject to a Prospectus Supplement dated January 12, 2015,</w:t>
      </w:r>
    </w:p>
    <w:p>
      <w:pPr>
        <w:spacing w:after="0" w:line="170" w:lineRule="exact"/>
        <w:rPr>
          <w:rFonts w:ascii="Arial" w:cs="Arial" w:eastAsia="Arial" w:hAnsi="Arial"/>
          <w:sz w:val="12"/>
          <w:szCs w:val="12"/>
          <w:color w:val="auto"/>
        </w:rPr>
      </w:pPr>
    </w:p>
    <w:p>
      <w:pPr>
        <w:ind w:left="640" w:hanging="212"/>
        <w:spacing w:after="0"/>
        <w:tabs>
          <w:tab w:leader="none" w:pos="640" w:val="left"/>
        </w:tabs>
        <w:numPr>
          <w:ilvl w:val="1"/>
          <w:numId w:val="2"/>
        </w:numPr>
        <w:rPr>
          <w:rFonts w:ascii="Arial" w:cs="Arial" w:eastAsia="Arial" w:hAnsi="Arial"/>
          <w:sz w:val="12"/>
          <w:szCs w:val="12"/>
          <w:color w:val="auto"/>
        </w:rPr>
      </w:pPr>
      <w:r>
        <w:rPr>
          <w:rFonts w:ascii="Arial" w:cs="Arial" w:eastAsia="Arial" w:hAnsi="Arial"/>
          <w:sz w:val="12"/>
          <w:szCs w:val="12"/>
          <w:color w:val="auto"/>
        </w:rPr>
        <w:t>7,320,000 shares of common stock issuable upon exercise of the Series B Warrants originally issued subject to a Prospectus Supplement dated January 12, 2015,</w:t>
      </w:r>
    </w:p>
    <w:p>
      <w:pPr>
        <w:spacing w:after="0" w:line="170" w:lineRule="exact"/>
        <w:rPr>
          <w:rFonts w:ascii="Arial" w:cs="Arial" w:eastAsia="Arial" w:hAnsi="Arial"/>
          <w:sz w:val="12"/>
          <w:szCs w:val="12"/>
          <w:color w:val="auto"/>
        </w:rPr>
      </w:pPr>
    </w:p>
    <w:p>
      <w:pPr>
        <w:ind w:left="640" w:hanging="212"/>
        <w:spacing w:after="0"/>
        <w:tabs>
          <w:tab w:leader="none" w:pos="640" w:val="left"/>
        </w:tabs>
        <w:numPr>
          <w:ilvl w:val="1"/>
          <w:numId w:val="2"/>
        </w:numPr>
        <w:rPr>
          <w:rFonts w:ascii="Arial" w:cs="Arial" w:eastAsia="Arial" w:hAnsi="Arial"/>
          <w:sz w:val="12"/>
          <w:szCs w:val="12"/>
          <w:color w:val="auto"/>
        </w:rPr>
      </w:pPr>
      <w:r>
        <w:rPr>
          <w:rFonts w:ascii="Arial" w:cs="Arial" w:eastAsia="Arial" w:hAnsi="Arial"/>
          <w:sz w:val="12"/>
          <w:szCs w:val="12"/>
          <w:color w:val="auto"/>
        </w:rPr>
        <w:t>7,320,000 shares of common stock issuable upon exercise of the Series C Warrants originally issued subject to a Prospectus Supplement dated January 12, 2015,</w:t>
      </w:r>
    </w:p>
    <w:p>
      <w:pPr>
        <w:spacing w:after="0" w:line="170" w:lineRule="exact"/>
        <w:rPr>
          <w:rFonts w:ascii="Arial" w:cs="Arial" w:eastAsia="Arial" w:hAnsi="Arial"/>
          <w:sz w:val="12"/>
          <w:szCs w:val="12"/>
          <w:color w:val="auto"/>
        </w:rPr>
      </w:pPr>
    </w:p>
    <w:p>
      <w:pPr>
        <w:ind w:left="640" w:hanging="212"/>
        <w:spacing w:after="0"/>
        <w:tabs>
          <w:tab w:leader="none" w:pos="640" w:val="left"/>
        </w:tabs>
        <w:numPr>
          <w:ilvl w:val="1"/>
          <w:numId w:val="2"/>
        </w:numPr>
        <w:rPr>
          <w:rFonts w:ascii="Arial" w:cs="Arial" w:eastAsia="Arial" w:hAnsi="Arial"/>
          <w:sz w:val="12"/>
          <w:szCs w:val="12"/>
          <w:color w:val="auto"/>
        </w:rPr>
      </w:pPr>
      <w:r>
        <w:rPr>
          <w:rFonts w:ascii="Arial" w:cs="Arial" w:eastAsia="Arial" w:hAnsi="Arial"/>
          <w:sz w:val="12"/>
          <w:szCs w:val="12"/>
          <w:color w:val="auto"/>
        </w:rPr>
        <w:t>7,320,000 shares of common stock issuable upon exercise of the Series D Warrants originally issued subject to a Prospectus Supplement dated January 12, 2015,</w:t>
      </w:r>
    </w:p>
    <w:p>
      <w:pPr>
        <w:spacing w:after="0" w:line="170" w:lineRule="exact"/>
        <w:rPr>
          <w:rFonts w:ascii="Arial" w:cs="Arial" w:eastAsia="Arial" w:hAnsi="Arial"/>
          <w:sz w:val="12"/>
          <w:szCs w:val="12"/>
          <w:color w:val="auto"/>
        </w:rPr>
      </w:pPr>
    </w:p>
    <w:p>
      <w:pPr>
        <w:ind w:left="640" w:hanging="212"/>
        <w:spacing w:after="0"/>
        <w:tabs>
          <w:tab w:leader="none" w:pos="640" w:val="left"/>
        </w:tabs>
        <w:numPr>
          <w:ilvl w:val="1"/>
          <w:numId w:val="2"/>
        </w:numPr>
        <w:rPr>
          <w:rFonts w:ascii="Arial" w:cs="Arial" w:eastAsia="Arial" w:hAnsi="Arial"/>
          <w:sz w:val="12"/>
          <w:szCs w:val="12"/>
          <w:color w:val="auto"/>
        </w:rPr>
      </w:pPr>
      <w:r>
        <w:rPr>
          <w:rFonts w:ascii="Arial" w:cs="Arial" w:eastAsia="Arial" w:hAnsi="Arial"/>
          <w:sz w:val="12"/>
          <w:szCs w:val="12"/>
          <w:color w:val="auto"/>
        </w:rPr>
        <w:t>7,320,000 shares of common stock issuable upon exercise of the Series E Warrants originally issued subject to a Prospectus Supplement dated January 12, 2015,</w:t>
      </w:r>
    </w:p>
    <w:p>
      <w:pPr>
        <w:spacing w:after="0" w:line="170" w:lineRule="exact"/>
        <w:rPr>
          <w:rFonts w:ascii="Arial" w:cs="Arial" w:eastAsia="Arial" w:hAnsi="Arial"/>
          <w:sz w:val="12"/>
          <w:szCs w:val="12"/>
          <w:color w:val="auto"/>
        </w:rPr>
      </w:pPr>
    </w:p>
    <w:p>
      <w:pPr>
        <w:ind w:left="640" w:hanging="212"/>
        <w:spacing w:after="0"/>
        <w:tabs>
          <w:tab w:leader="none" w:pos="640" w:val="left"/>
        </w:tabs>
        <w:numPr>
          <w:ilvl w:val="1"/>
          <w:numId w:val="2"/>
        </w:numPr>
        <w:rPr>
          <w:rFonts w:ascii="Arial" w:cs="Arial" w:eastAsia="Arial" w:hAnsi="Arial"/>
          <w:sz w:val="12"/>
          <w:szCs w:val="12"/>
          <w:color w:val="auto"/>
        </w:rPr>
      </w:pPr>
      <w:r>
        <w:rPr>
          <w:rFonts w:ascii="Arial" w:cs="Arial" w:eastAsia="Arial" w:hAnsi="Arial"/>
          <w:sz w:val="12"/>
          <w:szCs w:val="12"/>
          <w:color w:val="auto"/>
        </w:rPr>
        <w:t>5,000,000 shares of common stock issuable upon exercise of the Series A-1 Warrants originally issued subject to a Prospectus Supplement dated March 9, 2015,</w:t>
      </w:r>
    </w:p>
    <w:p>
      <w:pPr>
        <w:spacing w:after="0" w:line="170" w:lineRule="exact"/>
        <w:rPr>
          <w:rFonts w:ascii="Arial" w:cs="Arial" w:eastAsia="Arial" w:hAnsi="Arial"/>
          <w:sz w:val="12"/>
          <w:szCs w:val="12"/>
          <w:color w:val="auto"/>
        </w:rPr>
      </w:pPr>
    </w:p>
    <w:p>
      <w:pPr>
        <w:ind w:left="640" w:hanging="212"/>
        <w:spacing w:after="0"/>
        <w:tabs>
          <w:tab w:leader="none" w:pos="640" w:val="left"/>
        </w:tabs>
        <w:numPr>
          <w:ilvl w:val="1"/>
          <w:numId w:val="2"/>
        </w:numPr>
        <w:rPr>
          <w:rFonts w:ascii="Arial" w:cs="Arial" w:eastAsia="Arial" w:hAnsi="Arial"/>
          <w:sz w:val="12"/>
          <w:szCs w:val="12"/>
          <w:color w:val="auto"/>
        </w:rPr>
      </w:pPr>
      <w:r>
        <w:rPr>
          <w:rFonts w:ascii="Arial" w:cs="Arial" w:eastAsia="Arial" w:hAnsi="Arial"/>
          <w:sz w:val="12"/>
          <w:szCs w:val="12"/>
          <w:color w:val="auto"/>
        </w:rPr>
        <w:t>5,000,000 shares of common stock issuable upon exercise of the Series B-1 Warrants originally issued subject to a Prospectus Supplement dated March 9, 2015,</w:t>
      </w:r>
    </w:p>
    <w:p>
      <w:pPr>
        <w:spacing w:after="0" w:line="170" w:lineRule="exact"/>
        <w:rPr>
          <w:rFonts w:ascii="Arial" w:cs="Arial" w:eastAsia="Arial" w:hAnsi="Arial"/>
          <w:sz w:val="12"/>
          <w:szCs w:val="12"/>
          <w:color w:val="auto"/>
        </w:rPr>
      </w:pPr>
    </w:p>
    <w:p>
      <w:pPr>
        <w:ind w:left="640" w:hanging="212"/>
        <w:spacing w:after="0"/>
        <w:tabs>
          <w:tab w:leader="none" w:pos="640" w:val="left"/>
        </w:tabs>
        <w:numPr>
          <w:ilvl w:val="1"/>
          <w:numId w:val="2"/>
        </w:numPr>
        <w:rPr>
          <w:rFonts w:ascii="Arial" w:cs="Arial" w:eastAsia="Arial" w:hAnsi="Arial"/>
          <w:sz w:val="12"/>
          <w:szCs w:val="12"/>
          <w:color w:val="auto"/>
        </w:rPr>
      </w:pPr>
      <w:r>
        <w:rPr>
          <w:rFonts w:ascii="Arial" w:cs="Arial" w:eastAsia="Arial" w:hAnsi="Arial"/>
          <w:sz w:val="12"/>
          <w:szCs w:val="12"/>
          <w:color w:val="auto"/>
        </w:rPr>
        <w:t>5,000,000 shares of common stock issuable upon exercise of the Series C-1 Warrants originally issued subject to a Prospectus Supplement dated March 9, 2015,</w:t>
      </w:r>
    </w:p>
    <w:p>
      <w:pPr>
        <w:spacing w:after="0" w:line="170" w:lineRule="exact"/>
        <w:rPr>
          <w:rFonts w:ascii="Arial" w:cs="Arial" w:eastAsia="Arial" w:hAnsi="Arial"/>
          <w:sz w:val="12"/>
          <w:szCs w:val="12"/>
          <w:color w:val="auto"/>
        </w:rPr>
      </w:pPr>
    </w:p>
    <w:p>
      <w:pPr>
        <w:ind w:left="640" w:hanging="212"/>
        <w:spacing w:after="0"/>
        <w:tabs>
          <w:tab w:leader="none" w:pos="640" w:val="left"/>
        </w:tabs>
        <w:numPr>
          <w:ilvl w:val="1"/>
          <w:numId w:val="2"/>
        </w:numPr>
        <w:rPr>
          <w:rFonts w:ascii="Arial" w:cs="Arial" w:eastAsia="Arial" w:hAnsi="Arial"/>
          <w:sz w:val="12"/>
          <w:szCs w:val="12"/>
          <w:color w:val="auto"/>
        </w:rPr>
      </w:pPr>
      <w:r>
        <w:rPr>
          <w:rFonts w:ascii="Arial" w:cs="Arial" w:eastAsia="Arial" w:hAnsi="Arial"/>
          <w:sz w:val="12"/>
          <w:szCs w:val="12"/>
          <w:color w:val="auto"/>
        </w:rPr>
        <w:t>5,000,000 shares of common stock issuable upon exercise of the Series D-1 Warrants originally issued subject to a Prospectus Supplement dated March 9, 2015,</w:t>
      </w:r>
    </w:p>
    <w:p>
      <w:pPr>
        <w:spacing w:after="0" w:line="170" w:lineRule="exact"/>
        <w:rPr>
          <w:rFonts w:ascii="Arial" w:cs="Arial" w:eastAsia="Arial" w:hAnsi="Arial"/>
          <w:sz w:val="12"/>
          <w:szCs w:val="12"/>
          <w:color w:val="auto"/>
        </w:rPr>
      </w:pPr>
    </w:p>
    <w:p>
      <w:pPr>
        <w:ind w:left="640" w:hanging="212"/>
        <w:spacing w:after="0"/>
        <w:tabs>
          <w:tab w:leader="none" w:pos="640" w:val="left"/>
        </w:tabs>
        <w:numPr>
          <w:ilvl w:val="1"/>
          <w:numId w:val="2"/>
        </w:numPr>
        <w:rPr>
          <w:rFonts w:ascii="Arial" w:cs="Arial" w:eastAsia="Arial" w:hAnsi="Arial"/>
          <w:sz w:val="12"/>
          <w:szCs w:val="12"/>
          <w:color w:val="auto"/>
        </w:rPr>
      </w:pPr>
      <w:r>
        <w:rPr>
          <w:rFonts w:ascii="Arial" w:cs="Arial" w:eastAsia="Arial" w:hAnsi="Arial"/>
          <w:sz w:val="12"/>
          <w:szCs w:val="12"/>
          <w:color w:val="auto"/>
        </w:rPr>
        <w:t>5,000,000 shares of common stock issuable upon exercise of the Series E-1 Warrants originally issued subject to a Prospectus Supplement dated March 9, 2015 and</w:t>
      </w:r>
    </w:p>
    <w:p>
      <w:pPr>
        <w:spacing w:after="0" w:line="170" w:lineRule="exact"/>
        <w:rPr>
          <w:rFonts w:ascii="Arial" w:cs="Arial" w:eastAsia="Arial" w:hAnsi="Arial"/>
          <w:sz w:val="12"/>
          <w:szCs w:val="12"/>
          <w:color w:val="auto"/>
        </w:rPr>
      </w:pPr>
    </w:p>
    <w:p>
      <w:pPr>
        <w:ind w:left="640" w:hanging="212"/>
        <w:spacing w:after="0"/>
        <w:tabs>
          <w:tab w:leader="none" w:pos="640" w:val="left"/>
        </w:tabs>
        <w:numPr>
          <w:ilvl w:val="1"/>
          <w:numId w:val="2"/>
        </w:numPr>
        <w:rPr>
          <w:rFonts w:ascii="Arial" w:cs="Arial" w:eastAsia="Arial" w:hAnsi="Arial"/>
          <w:sz w:val="12"/>
          <w:szCs w:val="12"/>
          <w:color w:val="auto"/>
        </w:rPr>
      </w:pPr>
      <w:r>
        <w:rPr>
          <w:rFonts w:ascii="Arial" w:cs="Arial" w:eastAsia="Arial" w:hAnsi="Arial"/>
          <w:sz w:val="12"/>
          <w:szCs w:val="12"/>
          <w:color w:val="auto"/>
        </w:rPr>
        <w:t>5,000,000 shares of common stock originally issued subject to a Prospectus Supplement dated March 9, 2015,</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all such warrants and shares underlying the warrants having been previously registered on the Original Registration Statement, and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(ii) remove from registration the unsold portion of securities registered under the Original Registration Statement.</w:t>
      </w:r>
    </w:p>
    <w:p>
      <w:pPr>
        <w:spacing w:after="0" w:line="170" w:lineRule="exact"/>
        <w:rPr>
          <w:sz w:val="20"/>
          <w:szCs w:val="20"/>
          <w:color w:val="auto"/>
        </w:rPr>
      </w:pPr>
    </w:p>
    <w:p>
      <w:pPr>
        <w:ind w:right="120"/>
        <w:spacing w:after="0" w:line="383" w:lineRule="auto"/>
        <w:rPr>
          <w:sz w:val="20"/>
          <w:szCs w:val="20"/>
          <w:color w:val="auto"/>
        </w:rPr>
      </w:pPr>
      <w:r>
        <w:rPr>
          <w:rFonts w:ascii="Arial" w:cs="Arial" w:eastAsia="Arial" w:hAnsi="Arial"/>
          <w:sz w:val="10"/>
          <w:szCs w:val="10"/>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528955</wp:posOffset>
            </wp:positionV>
            <wp:extent cx="7298690"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71" w:right="199" w:bottom="1440" w:gutter="0" w:footer="0" w:header="0"/>
        </w:sectPr>
      </w:pPr>
    </w:p>
    <w:bookmarkStart w:id="3" w:name="page4"/>
    <w:bookmarkEnd w:id="3"/>
    <w:p>
      <w:pPr>
        <w:spacing w:after="0" w:line="279" w:lineRule="auto"/>
        <w:rPr>
          <w:sz w:val="20"/>
          <w:szCs w:val="20"/>
          <w:color w:val="auto"/>
        </w:rPr>
      </w:pPr>
      <w:r>
        <w:rPr>
          <w:rFonts w:ascii="Arial" w:cs="Arial" w:eastAsia="Arial" w:hAnsi="Arial"/>
          <w:sz w:val="12"/>
          <w:szCs w:val="12"/>
          <w:b w:val="1"/>
          <w:bCs w:val="1"/>
          <w:i w:val="1"/>
          <w:iCs w:val="1"/>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2"/>
          <w:szCs w:val="12"/>
          <w:b w:val="1"/>
          <w:bCs w:val="1"/>
          <w:i w:val="1"/>
          <w:iCs w:val="1"/>
          <w:color w:val="auto"/>
        </w:rPr>
        <w:t>Subject to Completion—Dated July 8, 2015</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219710</wp:posOffset>
            </wp:positionV>
            <wp:extent cx="1254760" cy="696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4760" cy="69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68,486,792 Shares of Common Stock</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prospectus covers the resale of:</w:t>
      </w:r>
    </w:p>
    <w:p>
      <w:pPr>
        <w:spacing w:after="0" w:line="170" w:lineRule="exact"/>
        <w:rPr>
          <w:sz w:val="20"/>
          <w:szCs w:val="20"/>
          <w:color w:val="auto"/>
        </w:rPr>
      </w:pPr>
    </w:p>
    <w:p>
      <w:pPr>
        <w:ind w:left="860" w:hanging="432"/>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1,886,792 shares of common stock issuable upon exercise of warrants originally issued subject to a Prospectus Supplement dated August 13, 2014,</w:t>
      </w:r>
    </w:p>
    <w:p>
      <w:pPr>
        <w:spacing w:after="0" w:line="170" w:lineRule="exact"/>
        <w:rPr>
          <w:rFonts w:ascii="Arial" w:cs="Arial" w:eastAsia="Arial" w:hAnsi="Arial"/>
          <w:sz w:val="12"/>
          <w:szCs w:val="12"/>
          <w:color w:val="auto"/>
        </w:rPr>
      </w:pPr>
    </w:p>
    <w:p>
      <w:pPr>
        <w:ind w:left="860" w:hanging="432"/>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7,320,000 shares of common stock issuable upon exercise of the Series A Warrants originally issued subject to a Prospectus Supplement dated January 12, 2015,</w:t>
      </w:r>
    </w:p>
    <w:p>
      <w:pPr>
        <w:spacing w:after="0" w:line="170" w:lineRule="exact"/>
        <w:rPr>
          <w:rFonts w:ascii="Arial" w:cs="Arial" w:eastAsia="Arial" w:hAnsi="Arial"/>
          <w:sz w:val="12"/>
          <w:szCs w:val="12"/>
          <w:color w:val="auto"/>
        </w:rPr>
      </w:pPr>
    </w:p>
    <w:p>
      <w:pPr>
        <w:ind w:left="860" w:hanging="432"/>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7,320,000 shares of common stock issuable upon exercise of the Series B Warrants originally issued subject to a Prospectus Supplement dated January 12, 2015,</w:t>
      </w:r>
    </w:p>
    <w:p>
      <w:pPr>
        <w:spacing w:after="0" w:line="170" w:lineRule="exact"/>
        <w:rPr>
          <w:rFonts w:ascii="Arial" w:cs="Arial" w:eastAsia="Arial" w:hAnsi="Arial"/>
          <w:sz w:val="12"/>
          <w:szCs w:val="12"/>
          <w:color w:val="auto"/>
        </w:rPr>
      </w:pPr>
    </w:p>
    <w:p>
      <w:pPr>
        <w:ind w:left="860" w:hanging="432"/>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7,320,000 shares of common stock issuable upon exercise of the Series C Warrants originally issued subject to a Prospectus Supplement dated January 12, 2015,</w:t>
      </w:r>
    </w:p>
    <w:p>
      <w:pPr>
        <w:spacing w:after="0" w:line="170" w:lineRule="exact"/>
        <w:rPr>
          <w:rFonts w:ascii="Arial" w:cs="Arial" w:eastAsia="Arial" w:hAnsi="Arial"/>
          <w:sz w:val="12"/>
          <w:szCs w:val="12"/>
          <w:color w:val="auto"/>
        </w:rPr>
      </w:pPr>
    </w:p>
    <w:p>
      <w:pPr>
        <w:ind w:left="860" w:hanging="432"/>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7,320,000 shares of common stock issuable upon exercise of the Series D Warrants originally issued subject to a Prospectus Supplement dated January 12, 2015,</w:t>
      </w:r>
    </w:p>
    <w:p>
      <w:pPr>
        <w:spacing w:after="0" w:line="170" w:lineRule="exact"/>
        <w:rPr>
          <w:rFonts w:ascii="Arial" w:cs="Arial" w:eastAsia="Arial" w:hAnsi="Arial"/>
          <w:sz w:val="12"/>
          <w:szCs w:val="12"/>
          <w:color w:val="auto"/>
        </w:rPr>
      </w:pPr>
    </w:p>
    <w:p>
      <w:pPr>
        <w:ind w:left="860" w:hanging="432"/>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7,320,000 shares of common stock issuable upon exercise of the Series E Warrants originally issued subject to a Prospectus Supplement dated January 12, 2015,</w:t>
      </w:r>
    </w:p>
    <w:p>
      <w:pPr>
        <w:spacing w:after="0" w:line="170" w:lineRule="exact"/>
        <w:rPr>
          <w:rFonts w:ascii="Arial" w:cs="Arial" w:eastAsia="Arial" w:hAnsi="Arial"/>
          <w:sz w:val="12"/>
          <w:szCs w:val="12"/>
          <w:color w:val="auto"/>
        </w:rPr>
      </w:pPr>
    </w:p>
    <w:p>
      <w:pPr>
        <w:ind w:left="860" w:hanging="432"/>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5,000,000 shares of common stock issuable upon exercise of the Series A-1 Warrants originally issued subject to a Prospectus Supplement dated March 9, 2015,</w:t>
      </w:r>
    </w:p>
    <w:p>
      <w:pPr>
        <w:spacing w:after="0" w:line="152" w:lineRule="exact"/>
        <w:rPr>
          <w:rFonts w:ascii="Arial" w:cs="Arial" w:eastAsia="Arial" w:hAnsi="Arial"/>
          <w:sz w:val="12"/>
          <w:szCs w:val="12"/>
          <w:color w:val="auto"/>
        </w:rPr>
      </w:pPr>
    </w:p>
    <w:p>
      <w:pPr>
        <w:ind w:left="860" w:hanging="432"/>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5,000,000 shares of common stock issuable upon exercise of the Series B-1 Warrants originally issued subject to a Prospectus Supplement dated March 9, 2015,</w:t>
      </w:r>
    </w:p>
    <w:p>
      <w:pPr>
        <w:spacing w:after="0" w:line="170" w:lineRule="exact"/>
        <w:rPr>
          <w:rFonts w:ascii="Arial" w:cs="Arial" w:eastAsia="Arial" w:hAnsi="Arial"/>
          <w:sz w:val="12"/>
          <w:szCs w:val="12"/>
          <w:color w:val="auto"/>
        </w:rPr>
      </w:pPr>
    </w:p>
    <w:p>
      <w:pPr>
        <w:ind w:left="860" w:hanging="432"/>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5,000,000 shares of common stock issuable upon exercise of the Series C-1 Warrants originally issued subject to a Prospectus Supplement dated March 9, 2015,</w:t>
      </w:r>
    </w:p>
    <w:p>
      <w:pPr>
        <w:spacing w:after="0" w:line="170" w:lineRule="exact"/>
        <w:rPr>
          <w:rFonts w:ascii="Arial" w:cs="Arial" w:eastAsia="Arial" w:hAnsi="Arial"/>
          <w:sz w:val="12"/>
          <w:szCs w:val="12"/>
          <w:color w:val="auto"/>
        </w:rPr>
      </w:pPr>
    </w:p>
    <w:p>
      <w:pPr>
        <w:ind w:left="860" w:hanging="432"/>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5,000,000 shares of common stock issuable upon exercise of the Series D-1 Warrants originally issued subject to a Prospectus Supplement dated March 9, 2015,</w:t>
      </w:r>
    </w:p>
    <w:p>
      <w:pPr>
        <w:spacing w:after="0" w:line="170" w:lineRule="exact"/>
        <w:rPr>
          <w:rFonts w:ascii="Arial" w:cs="Arial" w:eastAsia="Arial" w:hAnsi="Arial"/>
          <w:sz w:val="12"/>
          <w:szCs w:val="12"/>
          <w:color w:val="auto"/>
        </w:rPr>
      </w:pPr>
    </w:p>
    <w:p>
      <w:pPr>
        <w:ind w:left="860" w:hanging="432"/>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5,000,000 shares of common stock issuable upon exercise of the Series E-1 Warrants originally issued subject to a Prospectus Supplement dated March 9, 2015 and</w:t>
      </w:r>
    </w:p>
    <w:p>
      <w:pPr>
        <w:spacing w:after="0" w:line="170" w:lineRule="exact"/>
        <w:rPr>
          <w:rFonts w:ascii="Arial" w:cs="Arial" w:eastAsia="Arial" w:hAnsi="Arial"/>
          <w:sz w:val="12"/>
          <w:szCs w:val="12"/>
          <w:color w:val="auto"/>
        </w:rPr>
      </w:pPr>
    </w:p>
    <w:p>
      <w:pPr>
        <w:ind w:left="860" w:hanging="432"/>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5,000,000 shares of common stock issued to a shareholder on March 9, 2015.</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We will not receive any proceeds from the resale of any of the shares of common stock being registered hereby sold by the selling stockholders. However, we may receive proceeds from the exercise of the warrants held by the selling stockholders.</w:t>
      </w:r>
    </w:p>
    <w:p>
      <w:pPr>
        <w:spacing w:after="0" w:line="114" w:lineRule="exact"/>
        <w:rPr>
          <w:sz w:val="20"/>
          <w:szCs w:val="20"/>
          <w:color w:val="auto"/>
        </w:rPr>
      </w:pPr>
    </w:p>
    <w:p>
      <w:pPr>
        <w:ind w:right="260"/>
        <w:spacing w:after="0" w:line="279" w:lineRule="auto"/>
        <w:rPr>
          <w:sz w:val="20"/>
          <w:szCs w:val="20"/>
          <w:color w:val="auto"/>
        </w:rPr>
      </w:pPr>
      <w:r>
        <w:rPr>
          <w:rFonts w:ascii="Arial" w:cs="Arial" w:eastAsia="Arial" w:hAnsi="Arial"/>
          <w:sz w:val="12"/>
          <w:szCs w:val="12"/>
          <w:color w:val="auto"/>
        </w:rPr>
        <w:t>Our common stock is quoted on the OTCQB under the symbol “TPIV.” On July 2, 2015, the last reported sale price of our common stock on the OTCQB was $1.02 per share, and we had approximately 38,038,920 shares of common stock outstanding.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selling stockholders may offer all or part of the shares for resale from time to time through public or private transactions, at either prevailing market prices or at privately negotiated prices.</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Investing in our securities involves risks. You should review carefully the risks and uncertainties described under the heading “</w:t>
      </w:r>
      <w:r>
        <w:rPr>
          <w:rFonts w:ascii="Arial" w:cs="Arial" w:eastAsia="Arial" w:hAnsi="Arial"/>
          <w:sz w:val="12"/>
          <w:szCs w:val="12"/>
          <w:b w:val="1"/>
          <w:bCs w:val="1"/>
          <w:u w:val="single" w:color="auto"/>
          <w:color w:val="auto"/>
        </w:rPr>
        <w:t>Risk Factors</w:t>
      </w:r>
      <w:r>
        <w:rPr>
          <w:rFonts w:ascii="Arial" w:cs="Arial" w:eastAsia="Arial" w:hAnsi="Arial"/>
          <w:sz w:val="12"/>
          <w:szCs w:val="12"/>
          <w:b w:val="1"/>
          <w:bCs w:val="1"/>
          <w:color w:val="auto"/>
        </w:rPr>
        <w:t>” on page 1.</w:t>
      </w:r>
    </w:p>
    <w:p>
      <w:pPr>
        <w:spacing w:after="0" w:line="152" w:lineRule="exact"/>
        <w:rPr>
          <w:sz w:val="20"/>
          <w:szCs w:val="20"/>
          <w:color w:val="auto"/>
        </w:rPr>
      </w:pPr>
    </w:p>
    <w:p>
      <w:pPr>
        <w:ind w:right="400"/>
        <w:spacing w:after="0" w:line="286"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date of this prospectus is July ___,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685800</wp:posOffset>
            </wp:positionV>
            <wp:extent cx="7298690"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7"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8"/>
        </w:trPr>
        <w:tc>
          <w:tcPr>
            <w:tcW w:w="4800" w:type="dxa"/>
            <w:vAlign w:val="bottom"/>
          </w:tcPr>
          <w:p>
            <w:pPr>
              <w:spacing w:after="0"/>
              <w:rPr>
                <w:sz w:val="13"/>
                <w:szCs w:val="13"/>
                <w:color w:val="auto"/>
              </w:rPr>
            </w:pPr>
          </w:p>
        </w:tc>
        <w:tc>
          <w:tcPr>
            <w:tcW w:w="6680" w:type="dxa"/>
            <w:vAlign w:val="bottom"/>
            <w:gridSpan w:val="2"/>
          </w:tcPr>
          <w:p>
            <w:pPr>
              <w:jc w:val="right"/>
              <w:ind w:right="5240"/>
              <w:spacing w:after="0"/>
              <w:rPr>
                <w:sz w:val="20"/>
                <w:szCs w:val="20"/>
                <w:color w:val="auto"/>
              </w:rPr>
            </w:pPr>
            <w:r>
              <w:rPr>
                <w:rFonts w:ascii="Arial" w:cs="Arial" w:eastAsia="Arial" w:hAnsi="Arial"/>
                <w:sz w:val="12"/>
                <w:szCs w:val="12"/>
                <w:b w:val="1"/>
                <w:bCs w:val="1"/>
                <w:color w:val="auto"/>
              </w:rPr>
              <w:t>Table of Contents</w:t>
            </w:r>
          </w:p>
        </w:tc>
      </w:tr>
      <w:tr>
        <w:trPr>
          <w:trHeight w:val="308"/>
        </w:trPr>
        <w:tc>
          <w:tcPr>
            <w:tcW w:w="4800" w:type="dxa"/>
            <w:vAlign w:val="bottom"/>
          </w:tcPr>
          <w:p>
            <w:pPr>
              <w:spacing w:after="0"/>
              <w:rPr>
                <w:sz w:val="24"/>
                <w:szCs w:val="24"/>
                <w:color w:val="auto"/>
              </w:rPr>
            </w:pPr>
          </w:p>
        </w:tc>
        <w:tc>
          <w:tcPr>
            <w:tcW w:w="6680" w:type="dxa"/>
            <w:vAlign w:val="bottom"/>
            <w:gridSpan w:val="2"/>
          </w:tcPr>
          <w:p>
            <w:pPr>
              <w:jc w:val="right"/>
              <w:ind w:right="1040"/>
              <w:spacing w:after="0"/>
              <w:rPr>
                <w:sz w:val="20"/>
                <w:szCs w:val="20"/>
                <w:color w:val="auto"/>
              </w:rPr>
            </w:pPr>
            <w:r>
              <w:rPr>
                <w:rFonts w:ascii="Arial" w:cs="Arial" w:eastAsia="Arial" w:hAnsi="Arial"/>
                <w:sz w:val="12"/>
                <w:szCs w:val="12"/>
                <w:b w:val="1"/>
                <w:bCs w:val="1"/>
                <w:color w:val="auto"/>
              </w:rPr>
              <w:t>Page</w:t>
            </w:r>
          </w:p>
        </w:tc>
      </w:tr>
      <w:tr>
        <w:trPr>
          <w:trHeight w:val="143"/>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Prospectus Summary</w:t>
            </w:r>
          </w:p>
        </w:tc>
        <w:tc>
          <w:tcPr>
            <w:tcW w:w="5320" w:type="dxa"/>
            <w:vAlign w:val="bottom"/>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i</w:t>
            </w:r>
          </w:p>
        </w:tc>
      </w:tr>
      <w:tr>
        <w:trPr>
          <w:trHeight w:val="145"/>
        </w:trPr>
        <w:tc>
          <w:tcPr>
            <w:tcW w:w="4800" w:type="dxa"/>
            <w:vAlign w:val="bottom"/>
          </w:tcPr>
          <w:p>
            <w:pPr>
              <w:spacing w:after="0"/>
              <w:rPr>
                <w:sz w:val="20"/>
                <w:szCs w:val="20"/>
                <w:color w:val="auto"/>
              </w:rPr>
            </w:pPr>
            <w:r>
              <w:rPr>
                <w:rFonts w:ascii="Arial" w:cs="Arial" w:eastAsia="Arial" w:hAnsi="Arial"/>
                <w:sz w:val="12"/>
                <w:szCs w:val="12"/>
                <w:color w:val="auto"/>
              </w:rPr>
              <w:t>Risk Factors</w:t>
            </w:r>
          </w:p>
        </w:tc>
        <w:tc>
          <w:tcPr>
            <w:tcW w:w="6680" w:type="dxa"/>
            <w:vAlign w:val="bottom"/>
            <w:gridSpan w:val="2"/>
          </w:tcPr>
          <w:p>
            <w:pPr>
              <w:jc w:val="right"/>
              <w:spacing w:after="0"/>
              <w:rPr>
                <w:sz w:val="20"/>
                <w:szCs w:val="20"/>
                <w:color w:val="auto"/>
              </w:rPr>
            </w:pPr>
            <w:r>
              <w:rPr>
                <w:rFonts w:ascii="Arial" w:cs="Arial" w:eastAsia="Arial" w:hAnsi="Arial"/>
                <w:sz w:val="12"/>
                <w:szCs w:val="12"/>
                <w:color w:val="auto"/>
              </w:rPr>
              <w:t>1</w:t>
            </w:r>
          </w:p>
        </w:tc>
      </w:tr>
      <w:tr>
        <w:trPr>
          <w:trHeight w:val="14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Use of Proceeds</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w:t>
            </w:r>
          </w:p>
        </w:tc>
      </w:tr>
      <w:tr>
        <w:trPr>
          <w:trHeight w:val="145"/>
        </w:trPr>
        <w:tc>
          <w:tcPr>
            <w:tcW w:w="4800" w:type="dxa"/>
            <w:vAlign w:val="bottom"/>
          </w:tcPr>
          <w:p>
            <w:pPr>
              <w:spacing w:after="0"/>
              <w:rPr>
                <w:sz w:val="20"/>
                <w:szCs w:val="20"/>
                <w:color w:val="auto"/>
              </w:rPr>
            </w:pPr>
            <w:r>
              <w:rPr>
                <w:rFonts w:ascii="Arial" w:cs="Arial" w:eastAsia="Arial" w:hAnsi="Arial"/>
                <w:sz w:val="12"/>
                <w:szCs w:val="12"/>
                <w:color w:val="auto"/>
              </w:rPr>
              <w:t>Determination of Offering Price</w:t>
            </w:r>
          </w:p>
        </w:tc>
        <w:tc>
          <w:tcPr>
            <w:tcW w:w="6680" w:type="dxa"/>
            <w:vAlign w:val="bottom"/>
            <w:gridSpan w:val="2"/>
          </w:tcPr>
          <w:p>
            <w:pPr>
              <w:jc w:val="right"/>
              <w:spacing w:after="0"/>
              <w:rPr>
                <w:sz w:val="20"/>
                <w:szCs w:val="20"/>
                <w:color w:val="auto"/>
              </w:rPr>
            </w:pPr>
            <w:r>
              <w:rPr>
                <w:rFonts w:ascii="Arial" w:cs="Arial" w:eastAsia="Arial" w:hAnsi="Arial"/>
                <w:sz w:val="12"/>
                <w:szCs w:val="12"/>
                <w:color w:val="auto"/>
              </w:rPr>
              <w:t>13</w:t>
            </w:r>
          </w:p>
        </w:tc>
      </w:tr>
      <w:tr>
        <w:trPr>
          <w:trHeight w:val="14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Selling Stockholders</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w:t>
            </w:r>
          </w:p>
        </w:tc>
      </w:tr>
      <w:tr>
        <w:trPr>
          <w:trHeight w:val="145"/>
        </w:trPr>
        <w:tc>
          <w:tcPr>
            <w:tcW w:w="4800" w:type="dxa"/>
            <w:vAlign w:val="bottom"/>
          </w:tcPr>
          <w:p>
            <w:pPr>
              <w:spacing w:after="0"/>
              <w:rPr>
                <w:sz w:val="20"/>
                <w:szCs w:val="20"/>
                <w:color w:val="auto"/>
              </w:rPr>
            </w:pPr>
            <w:r>
              <w:rPr>
                <w:rFonts w:ascii="Arial" w:cs="Arial" w:eastAsia="Arial" w:hAnsi="Arial"/>
                <w:sz w:val="12"/>
                <w:szCs w:val="12"/>
                <w:color w:val="auto"/>
              </w:rPr>
              <w:t>Plan of Distribution</w:t>
            </w:r>
          </w:p>
        </w:tc>
        <w:tc>
          <w:tcPr>
            <w:tcW w:w="6680" w:type="dxa"/>
            <w:vAlign w:val="bottom"/>
            <w:gridSpan w:val="2"/>
          </w:tcPr>
          <w:p>
            <w:pPr>
              <w:jc w:val="right"/>
              <w:spacing w:after="0"/>
              <w:rPr>
                <w:sz w:val="20"/>
                <w:szCs w:val="20"/>
                <w:color w:val="auto"/>
              </w:rPr>
            </w:pPr>
            <w:r>
              <w:rPr>
                <w:rFonts w:ascii="Arial" w:cs="Arial" w:eastAsia="Arial" w:hAnsi="Arial"/>
                <w:sz w:val="12"/>
                <w:szCs w:val="12"/>
                <w:color w:val="auto"/>
              </w:rPr>
              <w:t>17</w:t>
            </w:r>
          </w:p>
        </w:tc>
      </w:tr>
      <w:tr>
        <w:trPr>
          <w:trHeight w:val="14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Description of Securities to be Registered</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w:t>
            </w:r>
          </w:p>
        </w:tc>
      </w:tr>
      <w:tr>
        <w:trPr>
          <w:trHeight w:val="145"/>
        </w:trPr>
        <w:tc>
          <w:tcPr>
            <w:tcW w:w="4800" w:type="dxa"/>
            <w:vAlign w:val="bottom"/>
          </w:tcPr>
          <w:p>
            <w:pPr>
              <w:spacing w:after="0"/>
              <w:rPr>
                <w:sz w:val="20"/>
                <w:szCs w:val="20"/>
                <w:color w:val="auto"/>
              </w:rPr>
            </w:pPr>
            <w:r>
              <w:rPr>
                <w:rFonts w:ascii="Arial" w:cs="Arial" w:eastAsia="Arial" w:hAnsi="Arial"/>
                <w:sz w:val="12"/>
                <w:szCs w:val="12"/>
                <w:color w:val="auto"/>
              </w:rPr>
              <w:t>Business</w:t>
            </w:r>
          </w:p>
        </w:tc>
        <w:tc>
          <w:tcPr>
            <w:tcW w:w="6680" w:type="dxa"/>
            <w:vAlign w:val="bottom"/>
            <w:gridSpan w:val="2"/>
          </w:tcPr>
          <w:p>
            <w:pPr>
              <w:jc w:val="right"/>
              <w:spacing w:after="0"/>
              <w:rPr>
                <w:sz w:val="20"/>
                <w:szCs w:val="20"/>
                <w:color w:val="auto"/>
              </w:rPr>
            </w:pPr>
            <w:r>
              <w:rPr>
                <w:rFonts w:ascii="Arial" w:cs="Arial" w:eastAsia="Arial" w:hAnsi="Arial"/>
                <w:sz w:val="12"/>
                <w:szCs w:val="12"/>
                <w:color w:val="auto"/>
              </w:rPr>
              <w:t>21</w:t>
            </w:r>
          </w:p>
        </w:tc>
      </w:tr>
      <w:tr>
        <w:trPr>
          <w:trHeight w:val="14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Market For Common Equity and Related Stockholder Matters</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w:t>
            </w:r>
          </w:p>
        </w:tc>
      </w:tr>
      <w:tr>
        <w:trPr>
          <w:trHeight w:val="145"/>
        </w:trPr>
        <w:tc>
          <w:tcPr>
            <w:tcW w:w="4800" w:type="dxa"/>
            <w:vAlign w:val="bottom"/>
          </w:tcPr>
          <w:p>
            <w:pPr>
              <w:spacing w:after="0"/>
              <w:rPr>
                <w:sz w:val="20"/>
                <w:szCs w:val="20"/>
                <w:color w:val="auto"/>
              </w:rPr>
            </w:pPr>
            <w:r>
              <w:rPr>
                <w:rFonts w:ascii="Arial" w:cs="Arial" w:eastAsia="Arial" w:hAnsi="Arial"/>
                <w:sz w:val="12"/>
                <w:szCs w:val="12"/>
                <w:color w:val="auto"/>
              </w:rPr>
              <w:t>Management’s Discussion and Analysis of Financial Condition and Results of Operations</w:t>
            </w:r>
          </w:p>
        </w:tc>
        <w:tc>
          <w:tcPr>
            <w:tcW w:w="6680" w:type="dxa"/>
            <w:vAlign w:val="bottom"/>
            <w:gridSpan w:val="2"/>
          </w:tcPr>
          <w:p>
            <w:pPr>
              <w:jc w:val="right"/>
              <w:spacing w:after="0"/>
              <w:rPr>
                <w:sz w:val="20"/>
                <w:szCs w:val="20"/>
                <w:color w:val="auto"/>
              </w:rPr>
            </w:pPr>
            <w:r>
              <w:rPr>
                <w:rFonts w:ascii="Arial" w:cs="Arial" w:eastAsia="Arial" w:hAnsi="Arial"/>
                <w:sz w:val="12"/>
                <w:szCs w:val="12"/>
                <w:color w:val="auto"/>
              </w:rPr>
              <w:t>29</w:t>
            </w:r>
          </w:p>
        </w:tc>
      </w:tr>
      <w:tr>
        <w:trPr>
          <w:trHeight w:val="14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Management</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r>
      <w:tr>
        <w:trPr>
          <w:trHeight w:val="145"/>
        </w:trPr>
        <w:tc>
          <w:tcPr>
            <w:tcW w:w="4800" w:type="dxa"/>
            <w:vAlign w:val="bottom"/>
          </w:tcPr>
          <w:p>
            <w:pPr>
              <w:spacing w:after="0"/>
              <w:rPr>
                <w:sz w:val="20"/>
                <w:szCs w:val="20"/>
                <w:color w:val="auto"/>
              </w:rPr>
            </w:pPr>
            <w:r>
              <w:rPr>
                <w:rFonts w:ascii="Arial" w:cs="Arial" w:eastAsia="Arial" w:hAnsi="Arial"/>
                <w:sz w:val="12"/>
                <w:szCs w:val="12"/>
                <w:color w:val="auto"/>
              </w:rPr>
              <w:t>Transactions with Related Persons</w:t>
            </w:r>
          </w:p>
        </w:tc>
        <w:tc>
          <w:tcPr>
            <w:tcW w:w="6680" w:type="dxa"/>
            <w:vAlign w:val="bottom"/>
            <w:gridSpan w:val="2"/>
          </w:tcPr>
          <w:p>
            <w:pPr>
              <w:jc w:val="right"/>
              <w:spacing w:after="0"/>
              <w:rPr>
                <w:sz w:val="20"/>
                <w:szCs w:val="20"/>
                <w:color w:val="auto"/>
              </w:rPr>
            </w:pPr>
            <w:r>
              <w:rPr>
                <w:rFonts w:ascii="Arial" w:cs="Arial" w:eastAsia="Arial" w:hAnsi="Arial"/>
                <w:sz w:val="12"/>
                <w:szCs w:val="12"/>
                <w:color w:val="auto"/>
              </w:rPr>
              <w:t>33</w:t>
            </w:r>
          </w:p>
        </w:tc>
      </w:tr>
      <w:tr>
        <w:trPr>
          <w:trHeight w:val="14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Executive Compensation</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33</w:t>
            </w:r>
          </w:p>
        </w:tc>
      </w:tr>
      <w:tr>
        <w:trPr>
          <w:trHeight w:val="145"/>
        </w:trPr>
        <w:tc>
          <w:tcPr>
            <w:tcW w:w="4800" w:type="dxa"/>
            <w:vAlign w:val="bottom"/>
          </w:tcPr>
          <w:p>
            <w:pPr>
              <w:spacing w:after="0"/>
              <w:rPr>
                <w:sz w:val="20"/>
                <w:szCs w:val="20"/>
                <w:color w:val="auto"/>
              </w:rPr>
            </w:pPr>
            <w:r>
              <w:rPr>
                <w:rFonts w:ascii="Arial" w:cs="Arial" w:eastAsia="Arial" w:hAnsi="Arial"/>
                <w:sz w:val="12"/>
                <w:szCs w:val="12"/>
                <w:color w:val="auto"/>
              </w:rPr>
              <w:t>Beneficial Ownership of Principal Stockholders, Officers and Directors</w:t>
            </w:r>
          </w:p>
        </w:tc>
        <w:tc>
          <w:tcPr>
            <w:tcW w:w="6680" w:type="dxa"/>
            <w:vAlign w:val="bottom"/>
            <w:gridSpan w:val="2"/>
          </w:tcPr>
          <w:p>
            <w:pPr>
              <w:jc w:val="right"/>
              <w:spacing w:after="0"/>
              <w:rPr>
                <w:sz w:val="20"/>
                <w:szCs w:val="20"/>
                <w:color w:val="auto"/>
              </w:rPr>
            </w:pPr>
            <w:r>
              <w:rPr>
                <w:rFonts w:ascii="Arial" w:cs="Arial" w:eastAsia="Arial" w:hAnsi="Arial"/>
                <w:sz w:val="12"/>
                <w:szCs w:val="12"/>
                <w:color w:val="auto"/>
              </w:rPr>
              <w:t>35</w:t>
            </w:r>
          </w:p>
        </w:tc>
      </w:tr>
      <w:tr>
        <w:trPr>
          <w:trHeight w:val="14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Experts</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w:t>
            </w:r>
          </w:p>
        </w:tc>
      </w:tr>
      <w:tr>
        <w:trPr>
          <w:trHeight w:val="145"/>
        </w:trPr>
        <w:tc>
          <w:tcPr>
            <w:tcW w:w="4800" w:type="dxa"/>
            <w:vAlign w:val="bottom"/>
          </w:tcPr>
          <w:p>
            <w:pPr>
              <w:spacing w:after="0"/>
              <w:rPr>
                <w:sz w:val="20"/>
                <w:szCs w:val="20"/>
                <w:color w:val="auto"/>
              </w:rPr>
            </w:pPr>
            <w:r>
              <w:rPr>
                <w:rFonts w:ascii="Arial" w:cs="Arial" w:eastAsia="Arial" w:hAnsi="Arial"/>
                <w:sz w:val="12"/>
                <w:szCs w:val="12"/>
                <w:color w:val="auto"/>
              </w:rPr>
              <w:t>Legal Matters</w:t>
            </w:r>
          </w:p>
        </w:tc>
        <w:tc>
          <w:tcPr>
            <w:tcW w:w="6680" w:type="dxa"/>
            <w:vAlign w:val="bottom"/>
            <w:gridSpan w:val="2"/>
          </w:tcPr>
          <w:p>
            <w:pPr>
              <w:jc w:val="right"/>
              <w:spacing w:after="0"/>
              <w:rPr>
                <w:sz w:val="20"/>
                <w:szCs w:val="20"/>
                <w:color w:val="auto"/>
              </w:rPr>
            </w:pPr>
            <w:r>
              <w:rPr>
                <w:rFonts w:ascii="Arial" w:cs="Arial" w:eastAsia="Arial" w:hAnsi="Arial"/>
                <w:sz w:val="12"/>
                <w:szCs w:val="12"/>
                <w:color w:val="auto"/>
              </w:rPr>
              <w:t>36</w:t>
            </w:r>
          </w:p>
        </w:tc>
      </w:tr>
      <w:tr>
        <w:trPr>
          <w:trHeight w:val="14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Disclosure of Commission Position of Indemnification For Securities Act Liabilities</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w:t>
            </w:r>
          </w:p>
        </w:tc>
      </w:tr>
      <w:tr>
        <w:trPr>
          <w:trHeight w:val="145"/>
        </w:trPr>
        <w:tc>
          <w:tcPr>
            <w:tcW w:w="4800" w:type="dxa"/>
            <w:vAlign w:val="bottom"/>
          </w:tcPr>
          <w:p>
            <w:pPr>
              <w:spacing w:after="0"/>
              <w:rPr>
                <w:sz w:val="20"/>
                <w:szCs w:val="20"/>
                <w:color w:val="auto"/>
              </w:rPr>
            </w:pPr>
            <w:r>
              <w:rPr>
                <w:rFonts w:ascii="Arial" w:cs="Arial" w:eastAsia="Arial" w:hAnsi="Arial"/>
                <w:sz w:val="12"/>
                <w:szCs w:val="12"/>
                <w:color w:val="auto"/>
              </w:rPr>
              <w:t>Where You Can Find Additional Information</w:t>
            </w:r>
          </w:p>
        </w:tc>
        <w:tc>
          <w:tcPr>
            <w:tcW w:w="6680" w:type="dxa"/>
            <w:vAlign w:val="bottom"/>
            <w:gridSpan w:val="2"/>
          </w:tcPr>
          <w:p>
            <w:pPr>
              <w:jc w:val="right"/>
              <w:spacing w:after="0"/>
              <w:rPr>
                <w:sz w:val="20"/>
                <w:szCs w:val="20"/>
                <w:color w:val="auto"/>
              </w:rPr>
            </w:pPr>
            <w:r>
              <w:rPr>
                <w:rFonts w:ascii="Arial" w:cs="Arial" w:eastAsia="Arial" w:hAnsi="Arial"/>
                <w:sz w:val="12"/>
                <w:szCs w:val="12"/>
                <w:color w:val="auto"/>
              </w:rPr>
              <w:t>36</w:t>
            </w:r>
          </w:p>
        </w:tc>
      </w:tr>
      <w:tr>
        <w:trPr>
          <w:trHeight w:val="14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Index to Financial Statements</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w:t>
            </w:r>
          </w:p>
        </w:tc>
      </w:tr>
      <w:tr>
        <w:trPr>
          <w:trHeight w:val="3139"/>
        </w:trPr>
        <w:tc>
          <w:tcPr>
            <w:tcW w:w="480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553" w:right="199" w:bottom="1440" w:gutter="0" w:footer="0" w:header="0"/>
        </w:sectPr>
      </w:pPr>
    </w:p>
    <w:bookmarkStart w:id="5" w:name="page6"/>
    <w:bookmarkEnd w:id="5"/>
    <w:p>
      <w:pPr>
        <w:jc w:val="center"/>
        <w:spacing w:after="0"/>
        <w:rPr>
          <w:sz w:val="20"/>
          <w:szCs w:val="20"/>
          <w:color w:val="auto"/>
        </w:rPr>
      </w:pPr>
      <w:r>
        <w:rPr>
          <w:rFonts w:ascii="Arial" w:cs="Arial" w:eastAsia="Arial" w:hAnsi="Arial"/>
          <w:sz w:val="12"/>
          <w:szCs w:val="12"/>
          <w:b w:val="1"/>
          <w:bCs w:val="1"/>
          <w:color w:val="auto"/>
        </w:rPr>
        <w:t>PROSPECTUS SUMMARY</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i w:val="1"/>
          <w:iCs w:val="1"/>
          <w:color w:val="auto"/>
        </w:rPr>
        <w:t>This summary highlights selected information contained elsewhere in this prospectus. This summary does not contain all the information that you should consider before investing in the common stock. You should carefully read the entire prospectus. In particular, attention should be directed to our “Risk Factors,” “Information With Respect to the Company,” “Management’s Discussion and Analysis of Financial Condition and Results of Operations” and the financial statements and related notes thereto contained herein before making an investment decision.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Overview</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We specialize in the development of innovative peptide and gene-based immunotherapeutics and vaccines for the treatment of cancer and infectious disease. The field of immunotherapy is a relatively new area of cancer treatment development that holds tremendous promise to generate more effective and better tolerated treatments for cancer than the more traditional, high dose chemotherapy and radiation and surgery therapies. Traditional treatments are not precise in targeting only cancerous cells, and they often fail to remove or destroy all of the cancer. The remaining cancer cells may then grow into new tumors, which can be fatally resistant to further chemotherapy or radiation. In the United States, deaths from cancer are second only to cardiovascular deaths.</w:t>
      </w:r>
    </w:p>
    <w:p>
      <w:pPr>
        <w:spacing w:after="0" w:line="125" w:lineRule="exact"/>
        <w:rPr>
          <w:sz w:val="20"/>
          <w:szCs w:val="20"/>
          <w:color w:val="auto"/>
        </w:rPr>
      </w:pPr>
    </w:p>
    <w:p>
      <w:pPr>
        <w:jc w:val="both"/>
        <w:ind w:right="20"/>
        <w:spacing w:after="0" w:line="326" w:lineRule="auto"/>
        <w:rPr>
          <w:sz w:val="20"/>
          <w:szCs w:val="20"/>
          <w:color w:val="auto"/>
        </w:rPr>
      </w:pPr>
      <w:r>
        <w:rPr>
          <w:rFonts w:ascii="Arial" w:cs="Arial" w:eastAsia="Arial" w:hAnsi="Arial"/>
          <w:sz w:val="11"/>
          <w:szCs w:val="11"/>
          <w:color w:val="auto"/>
        </w:rPr>
        <w:t>Unlike other immunotherapeutic and vaccine technologies that narrowly address the initiation of an immune response, we have designed our approach ("Prime" and "Boost") to broadly stimulate the cellular immune system by enhancing the function of killer T-cells and helper T-cells. Our business strategy in cancer is to take products through Phase II clinical trials and then partner with pharmaceutical marketing organizations ahead of Phase III trials.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Our principal product candidates are:</w:t>
      </w:r>
    </w:p>
    <w:p>
      <w:pPr>
        <w:spacing w:after="0" w:line="170" w:lineRule="exact"/>
        <w:rPr>
          <w:sz w:val="20"/>
          <w:szCs w:val="20"/>
          <w:color w:val="auto"/>
        </w:rPr>
      </w:pPr>
    </w:p>
    <w:p>
      <w:pPr>
        <w:ind w:left="1180" w:hanging="752"/>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 new Her2/neu breast cancer immunotherapeutic vaccine technology in-licensed from the Mayo Clinic, MN,</w:t>
      </w:r>
    </w:p>
    <w:p>
      <w:pPr>
        <w:spacing w:after="0" w:line="15" w:lineRule="exact"/>
        <w:rPr>
          <w:rFonts w:ascii="Arial" w:cs="Arial" w:eastAsia="Arial" w:hAnsi="Arial"/>
          <w:sz w:val="12"/>
          <w:szCs w:val="12"/>
          <w:color w:val="auto"/>
        </w:rPr>
      </w:pPr>
    </w:p>
    <w:p>
      <w:pPr>
        <w:ind w:left="1180" w:hanging="752"/>
        <w:spacing w:after="0"/>
        <w:tabs>
          <w:tab w:leader="none" w:pos="1180" w:val="left"/>
        </w:tabs>
        <w:numPr>
          <w:ilvl w:val="0"/>
          <w:numId w:val="4"/>
        </w:numPr>
        <w:rPr>
          <w:rFonts w:ascii="Arial" w:cs="Arial" w:eastAsia="Arial" w:hAnsi="Arial"/>
          <w:sz w:val="11"/>
          <w:szCs w:val="11"/>
          <w:color w:val="auto"/>
        </w:rPr>
      </w:pPr>
      <w:r>
        <w:rPr>
          <w:rFonts w:ascii="Arial" w:cs="Arial" w:eastAsia="Arial" w:hAnsi="Arial"/>
          <w:sz w:val="11"/>
          <w:szCs w:val="11"/>
          <w:color w:val="auto"/>
        </w:rPr>
        <w:t>a Folate Alpha Receptor immunotherapeutic vaccine comprised of a set of unique peptide epitopes targeting both breast cancer and ovarian cancer that we have an option to in-license from the Mayo Clinic,</w:t>
      </w:r>
    </w:p>
    <w:p>
      <w:pPr>
        <w:spacing w:after="0" w:line="18" w:lineRule="exact"/>
        <w:rPr>
          <w:rFonts w:ascii="Arial" w:cs="Arial" w:eastAsia="Arial" w:hAnsi="Arial"/>
          <w:sz w:val="11"/>
          <w:szCs w:val="11"/>
          <w:color w:val="auto"/>
        </w:rPr>
      </w:pPr>
    </w:p>
    <w:p>
      <w:pPr>
        <w:ind w:left="1180" w:hanging="752"/>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Polystart™, our proprietary immunotherapeutic, nucleic acid-based expression technology,</w:t>
      </w:r>
    </w:p>
    <w:p>
      <w:pPr>
        <w:spacing w:after="0" w:line="7" w:lineRule="exact"/>
        <w:rPr>
          <w:rFonts w:ascii="Arial" w:cs="Arial" w:eastAsia="Arial" w:hAnsi="Arial"/>
          <w:sz w:val="12"/>
          <w:szCs w:val="12"/>
          <w:color w:val="auto"/>
        </w:rPr>
      </w:pPr>
    </w:p>
    <w:p>
      <w:pPr>
        <w:ind w:left="1180" w:hanging="752"/>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TAP, a DNA technology expressing Transporter associated with Antigen Processing, and</w:t>
      </w:r>
    </w:p>
    <w:p>
      <w:pPr>
        <w:spacing w:after="0" w:line="7" w:lineRule="exact"/>
        <w:rPr>
          <w:rFonts w:ascii="Arial" w:cs="Arial" w:eastAsia="Arial" w:hAnsi="Arial"/>
          <w:sz w:val="12"/>
          <w:szCs w:val="12"/>
          <w:color w:val="auto"/>
        </w:rPr>
      </w:pPr>
    </w:p>
    <w:p>
      <w:pPr>
        <w:ind w:left="1180" w:hanging="752"/>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the field of infectious diseases, use of our technology platforms to create and improve on therapeutic vaccines for pandemic diseases and national preparedness.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Product Candidates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Our current operations are focused on developing four product candidates. Two of these candidates are completing Phase I clinical trials, and we plan to progress them into Phase II clinical trials in 2015. The remaining product candidates are proprietary immunotherapeutic technologies that are in preclinical trials.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Folate Alpha Receptor</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In March 2014, we acquired the option to in-license the technology being used in a late stage 24 patient, Phase l clinical program in ovarian cancer (Folate Alpha) being conducted by the Mayo Clinic. We have the exclusive option to in-license the Folate Alpha Receptor upon the completion of Phase I. We may exercise our option to acquire that license prior to the completion of Phase I. This product candidate was generally well tolerated and safe and generated immune responses in the majority of patients in Phase I, and planning for Phase II is well underway</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Folate Alpha Receptor is expressed in over 90% of ovarian cancer and in 86% of triple negative breast cancer, for which the only treatment options are surgery and chemotherapy, leaving a very important and urgent clinical need for new therapeutics. In ovarian cancer, time to recurrence is relatively short for this type of cancer and survival prognosis is extremely poor after recurrence. We intend to initiate a Phase II trial in the second or third quarter of 2015 to include the Folate Alpha Receptor epitopes. This trial will likely focus on either triple-negative breast or ovarian cancer. As both of these cancer indications have few treatment options, our plan is to present a Phase II advancement plan with an application for orphan drug status. Orphan drug status is allowed by the FDA in cases where the disease affects fewer than 200,000 people in the USA and makes allowances for a number of commercial benefits including sales of the drug for seven years without competition.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3" w:right="199" w:bottom="1440" w:gutter="0" w:footer="0" w:header="0"/>
        </w:sectPr>
      </w:pPr>
    </w:p>
    <w:bookmarkStart w:id="6" w:name="page7"/>
    <w:bookmarkEnd w:id="6"/>
    <w:p>
      <w:pPr>
        <w:jc w:val="both"/>
        <w:spacing w:after="0" w:line="326" w:lineRule="auto"/>
        <w:rPr>
          <w:sz w:val="20"/>
          <w:szCs w:val="20"/>
          <w:color w:val="auto"/>
        </w:rPr>
      </w:pPr>
      <w:r>
        <w:rPr>
          <w:rFonts w:ascii="Arial" w:cs="Arial" w:eastAsia="Arial" w:hAnsi="Arial"/>
          <w:sz w:val="11"/>
          <w:szCs w:val="11"/>
          <w:color w:val="auto"/>
        </w:rPr>
        <w:t>We plan to incorporate the pre-clinical development of Polystart™ as a boost strategy for ovarian cancer and triple negative breast cancer. We believe that the comprehensive scientific underpinnings of our overall approach, to elicit the production of both helper T-cells and killer T-cells, will provide us with competitive product candidates for the treatment of ovarian cancer, Her2neu breast cancer and triple negative breast cancer.</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Her2/NEU</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In 2011, we signed a Technology Option Agreement with the Mayo Foundation for Medical Education and Research, Rochester, MN (the “Mayo Clinic”), for the evaluation of Her2/neu peptide epitopes as antigens for a breast cancer vaccine. The agreement grants us an exclusive worldwide option to become the exclusive in-licensee of the technology after completion of Phase I clinical trials. The Mayo Clinic is completing a Phase I study to evaluate the safety and immune response(s) for Her2/neu antigens. This trial is fully enrolled with 22 patients and closed, and patient dosing has been completed. All patients have received the vaccine composition, and interim safety analysis on the first six patients has been completed and shown to be safe. In addition, each of the first six patients treated developed specific T-cell immune responses to the antigens in the vaccine composition proving a solid case for advancement to Phase II in 2015. An additional secondary endpoint incorporated into this Phase I trial will be a two-year follow-on recording time to disease recurrence in the participating breast cancer patients. The assessment of vaccine safety (primary endpoint) was completed in 2014 and evaluation of immunogenicity (secondary endpoint) for this trial is currently scheduled for completion in 2015 with a full set of interim data expected in Q1 of 2015.</w:t>
      </w:r>
    </w:p>
    <w:p>
      <w:pPr>
        <w:spacing w:after="0" w:line="114"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As this Phase I Trial progresses, we plan to add a class I peptide, in-licensed from the Mayo Clinic in 2012 to the four class II peptides in the context of a Phase I(b)/II clinical trial. We believe that the combination of class I and class II Her2/neu antigens gives us the leading Her2/neu vaccine platform. Therefore, a key goal in 2015 is to progress the Her2/neu vaccine into the above mentioned Phase 1(b)/II clinical trial.</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In the future, we would like to incorporate the pre-clinical development of Polystart™ as a boost strategy for Her2/neu breast cancer. We believe that the comprehensive scientific underpinnings of our overall approach, to elicit the production of both helper T-cells and killer T-cells, will provide us with highly competitive product candidates for the treatment of Her2/neu positive breast cancer.</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Our business strategy with respect to the peptide vaccines is to take them through Phase II clinical trials and then partner with pharmaceutical marketing organizations ahead of Phase III trials.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Polystart™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Polystart™ is our proprietary immunotherapeutic, nucleic acid-based expression technology. Our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w:t>
      </w:r>
    </w:p>
    <w:p>
      <w:pPr>
        <w:spacing w:after="0" w:line="114"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In addition, our versatile Polystart™ technology is designed to express either class I killer or class II helper T-cell antigenic epitopes. We believe that our nucleic acid-based systems can also incorporate our TAP technology, although we have not yet taken steps to analyze their combined use.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We have undertaken preclinical studies with our Polystart™/PAA technology in connection with a vaccine candidate, and we have been encouraged by the results.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Our Polystart™ technology was invented in-house and is therefore not subject to any licensing fees or downstream 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7" w:right="199" w:bottom="1440" w:gutter="0" w:footer="0" w:header="0"/>
        </w:sectPr>
      </w:pPr>
    </w:p>
    <w:bookmarkStart w:id="7" w:name="page8"/>
    <w:bookmarkEnd w:id="7"/>
    <w:p>
      <w:pPr>
        <w:ind w:left="220"/>
        <w:spacing w:after="0"/>
        <w:rPr>
          <w:sz w:val="20"/>
          <w:szCs w:val="20"/>
          <w:color w:val="auto"/>
        </w:rPr>
      </w:pPr>
      <w:r>
        <w:rPr>
          <w:rFonts w:ascii="Arial" w:cs="Arial" w:eastAsia="Arial" w:hAnsi="Arial"/>
          <w:sz w:val="12"/>
          <w:szCs w:val="12"/>
          <w:b w:val="1"/>
          <w:bCs w:val="1"/>
          <w:i w:val="1"/>
          <w:iCs w:val="1"/>
          <w:color w:val="auto"/>
        </w:rPr>
        <w:t>TAP</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TAP is our DNA expression technology designed to make cancer cells more immunogenic. In many solid cancer tumors, the TAP (</w:t>
      </w:r>
      <w:r>
        <w:rPr>
          <w:rFonts w:ascii="Arial" w:cs="Arial" w:eastAsia="Arial" w:hAnsi="Arial"/>
          <w:sz w:val="12"/>
          <w:szCs w:val="12"/>
          <w:b w:val="1"/>
          <w:bCs w:val="1"/>
          <w:color w:val="auto"/>
        </w:rPr>
        <w:t>T</w:t>
      </w:r>
      <w:r>
        <w:rPr>
          <w:rFonts w:ascii="Arial" w:cs="Arial" w:eastAsia="Arial" w:hAnsi="Arial"/>
          <w:sz w:val="12"/>
          <w:szCs w:val="12"/>
          <w:color w:val="auto"/>
        </w:rPr>
        <w:t xml:space="preserve">ransporter associated with </w:t>
      </w:r>
      <w:r>
        <w:rPr>
          <w:rFonts w:ascii="Arial" w:cs="Arial" w:eastAsia="Arial" w:hAnsi="Arial"/>
          <w:sz w:val="12"/>
          <w:szCs w:val="12"/>
          <w:b w:val="1"/>
          <w:bCs w:val="1"/>
          <w:color w:val="auto"/>
        </w:rPr>
        <w:t>A</w:t>
      </w:r>
      <w:r>
        <w:rPr>
          <w:rFonts w:ascii="Arial" w:cs="Arial" w:eastAsia="Arial" w:hAnsi="Arial"/>
          <w:sz w:val="12"/>
          <w:szCs w:val="12"/>
          <w:color w:val="auto"/>
        </w:rPr>
        <w:t xml:space="preserve">ntigen </w:t>
      </w:r>
      <w:r>
        <w:rPr>
          <w:rFonts w:ascii="Arial" w:cs="Arial" w:eastAsia="Arial" w:hAnsi="Arial"/>
          <w:sz w:val="12"/>
          <w:szCs w:val="12"/>
          <w:b w:val="1"/>
          <w:bCs w:val="1"/>
          <w:color w:val="auto"/>
        </w:rPr>
        <w:t>P</w:t>
      </w:r>
      <w:r>
        <w:rPr>
          <w:rFonts w:ascii="Arial" w:cs="Arial" w:eastAsia="Arial" w:hAnsi="Arial"/>
          <w:sz w:val="12"/>
          <w:szCs w:val="12"/>
          <w:color w:val="auto"/>
        </w:rPr>
        <w:t>resentation) protein system does not function and, therefore, the immune system is not stimulated to attack the cancer. We believe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By restoring TAP expression to TAP-deficient cells, the MHC Class I protein peptide complexes could signal the immune system to attack the cancer. One of our strategic visions is to restore the TAP function within cancerous cells, thus making them immunogenic, or more “visible” to cancer fighting immune cells. We believe that this strategy will provide a commercially viable therapeutic approach that addresses this problem of “non-immunogenicity” of cancer. We expect these studies to begin in 2015.</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Our TAP technology was acquired from the University of British Columbia in full and is therefore not subject to any licensing fees or downstream royalty payments.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Our principal executive offices are located at 1551 Eastlake Avenue East, Suite 100, Seattle, WA 98102 and our telephone number is (206) 504-7278.</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702" w:right="199" w:bottom="1440" w:gutter="0" w:footer="0" w:header="0"/>
        </w:sectPr>
      </w:pPr>
    </w:p>
    <w:bookmarkStart w:id="8" w:name="page9"/>
    <w:bookmarkEnd w:id="8"/>
    <w:p>
      <w:pPr>
        <w:ind w:left="7"/>
        <w:spacing w:after="0"/>
        <w:rPr>
          <w:sz w:val="20"/>
          <w:szCs w:val="20"/>
          <w:color w:val="auto"/>
        </w:rPr>
      </w:pPr>
      <w:r>
        <w:rPr>
          <w:rFonts w:ascii="Arial" w:cs="Arial" w:eastAsia="Arial" w:hAnsi="Arial"/>
          <w:sz w:val="12"/>
          <w:szCs w:val="12"/>
          <w:b w:val="1"/>
          <w:bCs w:val="1"/>
          <w:color w:val="auto"/>
        </w:rPr>
        <w:t>Common stock outstanding:</w:t>
      </w:r>
    </w:p>
    <w:p>
      <w:pPr>
        <w:spacing w:after="0" w:line="20" w:lineRule="exact"/>
        <w:rPr>
          <w:sz w:val="20"/>
          <w:szCs w:val="20"/>
          <w:color w:val="auto"/>
        </w:rPr>
      </w:pPr>
    </w:p>
    <w:p>
      <w:pPr>
        <w:ind w:left="7"/>
        <w:spacing w:after="0"/>
        <w:rPr>
          <w:sz w:val="20"/>
          <w:szCs w:val="20"/>
          <w:color w:val="auto"/>
        </w:rPr>
      </w:pPr>
      <w:r>
        <w:rPr>
          <w:rFonts w:ascii="Arial" w:cs="Arial" w:eastAsia="Arial" w:hAnsi="Arial"/>
          <w:sz w:val="10"/>
          <w:szCs w:val="10"/>
          <w:b w:val="1"/>
          <w:bCs w:val="1"/>
          <w:color w:val="auto"/>
        </w:rPr>
        <w:t>Common stock offered by selling stockholders:</w:t>
      </w:r>
    </w:p>
    <w:p>
      <w:pPr>
        <w:spacing w:after="0" w:line="30" w:lineRule="exact"/>
        <w:rPr>
          <w:sz w:val="20"/>
          <w:szCs w:val="20"/>
          <w:color w:val="auto"/>
        </w:rPr>
      </w:pPr>
    </w:p>
    <w:p>
      <w:pPr>
        <w:ind w:left="7"/>
        <w:spacing w:after="0"/>
        <w:rPr>
          <w:sz w:val="20"/>
          <w:szCs w:val="20"/>
          <w:color w:val="auto"/>
        </w:rPr>
      </w:pPr>
      <w:r>
        <w:rPr>
          <w:rFonts w:ascii="Arial" w:cs="Arial" w:eastAsia="Arial" w:hAnsi="Arial"/>
          <w:sz w:val="11"/>
          <w:szCs w:val="11"/>
          <w:b w:val="1"/>
          <w:bCs w:val="1"/>
          <w:color w:val="auto"/>
        </w:rPr>
        <w:t>Common stock outstanding after the offering:</w:t>
      </w:r>
    </w:p>
    <w:p>
      <w:pPr>
        <w:spacing w:after="0" w:line="19"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38,038,920 shares as of July 2, 2015</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68,486,792 shares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101,525,712 shares(1)</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We will not receive any proceeds from the sale of the common stock by the selling stockholders. We may receive proceeds if the following</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warrants are exercised:</w:t>
      </w:r>
    </w:p>
    <w:p>
      <w:pPr>
        <w:spacing w:after="0" w:line="143" w:lineRule="exact"/>
        <w:rPr>
          <w:sz w:val="20"/>
          <w:szCs w:val="20"/>
          <w:color w:val="auto"/>
        </w:rPr>
      </w:pPr>
    </w:p>
    <w:p>
      <w:pPr>
        <w:sectPr>
          <w:pgSz w:w="11900" w:h="16838" w:orient="portrait"/>
          <w:cols w:equalWidth="0" w:num="2">
            <w:col w:w="3887" w:space="720"/>
            <w:col w:w="6880"/>
          </w:cols>
          <w:pgMar w:left="213" w:top="534" w:right="199" w:bottom="1440" w:gutter="0" w:footer="0" w:header="0"/>
        </w:sectPr>
      </w:pPr>
    </w:p>
    <w:p>
      <w:pPr>
        <w:ind w:left="4947"/>
        <w:spacing w:after="0"/>
        <w:tabs>
          <w:tab w:leader="none" w:pos="5207" w:val="left"/>
        </w:tabs>
        <w:rPr>
          <w:sz w:val="20"/>
          <w:szCs w:val="20"/>
          <w:color w:val="auto"/>
        </w:rPr>
      </w:pPr>
      <w:r>
        <w:rPr>
          <w:rFonts w:ascii="Arial" w:cs="Arial" w:eastAsia="Arial" w:hAnsi="Arial"/>
          <w:sz w:val="12"/>
          <w:szCs w:val="12"/>
          <w:color w:val="auto"/>
        </w:rPr>
        <w:t>(i)</w:t>
        <w:tab/>
        <w:t>up to $2,207,547 if the warrants issued in August 2014 are exercised;</w:t>
      </w:r>
    </w:p>
    <w:p>
      <w:pPr>
        <w:spacing w:after="0" w:line="16" w:lineRule="exact"/>
        <w:rPr>
          <w:sz w:val="20"/>
          <w:szCs w:val="20"/>
          <w:color w:val="auto"/>
        </w:rPr>
      </w:pPr>
    </w:p>
    <w:p>
      <w:pPr>
        <w:ind w:left="4947"/>
        <w:spacing w:after="0"/>
        <w:tabs>
          <w:tab w:leader="none" w:pos="5227" w:val="left"/>
        </w:tabs>
        <w:rPr>
          <w:sz w:val="20"/>
          <w:szCs w:val="20"/>
          <w:color w:val="auto"/>
        </w:rPr>
      </w:pPr>
      <w:r>
        <w:rPr>
          <w:rFonts w:ascii="Arial" w:cs="Arial" w:eastAsia="Arial" w:hAnsi="Arial"/>
          <w:sz w:val="12"/>
          <w:szCs w:val="12"/>
          <w:color w:val="auto"/>
        </w:rPr>
        <w:t>(ii)</w:t>
        <w:tab/>
        <w:t>up to $732,000 if the Series A Warrants are exercised;</w:t>
      </w:r>
    </w:p>
    <w:p>
      <w:pPr>
        <w:spacing w:after="0" w:line="7" w:lineRule="exact"/>
        <w:rPr>
          <w:sz w:val="20"/>
          <w:szCs w:val="20"/>
          <w:color w:val="auto"/>
        </w:rPr>
      </w:pPr>
    </w:p>
    <w:p>
      <w:pPr>
        <w:ind w:left="4947"/>
        <w:spacing w:after="0"/>
        <w:tabs>
          <w:tab w:leader="none" w:pos="5227" w:val="left"/>
        </w:tabs>
        <w:rPr>
          <w:sz w:val="20"/>
          <w:szCs w:val="20"/>
          <w:color w:val="auto"/>
        </w:rPr>
      </w:pPr>
      <w:r>
        <w:rPr>
          <w:rFonts w:ascii="Arial" w:cs="Arial" w:eastAsia="Arial" w:hAnsi="Arial"/>
          <w:sz w:val="12"/>
          <w:szCs w:val="12"/>
          <w:color w:val="auto"/>
        </w:rPr>
        <w:t>(iii)</w:t>
      </w:r>
      <w:r>
        <w:rPr>
          <w:sz w:val="20"/>
          <w:szCs w:val="20"/>
          <w:color w:val="auto"/>
        </w:rPr>
        <w:tab/>
      </w:r>
      <w:r>
        <w:rPr>
          <w:rFonts w:ascii="Arial" w:cs="Arial" w:eastAsia="Arial" w:hAnsi="Arial"/>
          <w:sz w:val="10"/>
          <w:szCs w:val="10"/>
          <w:color w:val="auto"/>
        </w:rPr>
        <w:t>up to $1,464,000 if the Series B Warrants are exercised;</w:t>
      </w:r>
    </w:p>
    <w:p>
      <w:pPr>
        <w:spacing w:after="0" w:line="7" w:lineRule="exact"/>
        <w:rPr>
          <w:sz w:val="20"/>
          <w:szCs w:val="20"/>
          <w:color w:val="auto"/>
        </w:rPr>
      </w:pPr>
    </w:p>
    <w:p>
      <w:pPr>
        <w:ind w:left="4947"/>
        <w:spacing w:after="0"/>
        <w:tabs>
          <w:tab w:leader="none" w:pos="5207" w:val="left"/>
        </w:tabs>
        <w:rPr>
          <w:sz w:val="20"/>
          <w:szCs w:val="20"/>
          <w:color w:val="auto"/>
        </w:rPr>
      </w:pPr>
      <w:r>
        <w:rPr>
          <w:rFonts w:ascii="Arial" w:cs="Arial" w:eastAsia="Arial" w:hAnsi="Arial"/>
          <w:sz w:val="12"/>
          <w:szCs w:val="12"/>
          <w:color w:val="auto"/>
        </w:rPr>
        <w:t>(iv)</w:t>
      </w:r>
      <w:r>
        <w:rPr>
          <w:sz w:val="20"/>
          <w:szCs w:val="20"/>
          <w:color w:val="auto"/>
        </w:rPr>
        <w:tab/>
      </w:r>
      <w:r>
        <w:rPr>
          <w:rFonts w:ascii="Arial" w:cs="Arial" w:eastAsia="Arial" w:hAnsi="Arial"/>
          <w:sz w:val="10"/>
          <w:szCs w:val="10"/>
          <w:color w:val="auto"/>
        </w:rPr>
        <w:t>up to $3,660,000 if the Series C Warrants are exercised;</w:t>
      </w:r>
    </w:p>
    <w:p>
      <w:pPr>
        <w:spacing w:after="0" w:line="7" w:lineRule="exact"/>
        <w:rPr>
          <w:sz w:val="20"/>
          <w:szCs w:val="20"/>
          <w:color w:val="auto"/>
        </w:rPr>
      </w:pPr>
    </w:p>
    <w:p>
      <w:pPr>
        <w:ind w:left="4947"/>
        <w:spacing w:after="0"/>
        <w:tabs>
          <w:tab w:leader="none" w:pos="5207" w:val="left"/>
        </w:tabs>
        <w:rPr>
          <w:sz w:val="20"/>
          <w:szCs w:val="20"/>
          <w:color w:val="auto"/>
        </w:rPr>
      </w:pPr>
      <w:r>
        <w:rPr>
          <w:rFonts w:ascii="Arial" w:cs="Arial" w:eastAsia="Arial" w:hAnsi="Arial"/>
          <w:sz w:val="12"/>
          <w:szCs w:val="12"/>
          <w:color w:val="auto"/>
        </w:rPr>
        <w:t>(v)</w:t>
        <w:tab/>
        <w:t>up to $5,490,000 if the Series D Warrants are exercised;</w:t>
      </w:r>
    </w:p>
    <w:p>
      <w:pPr>
        <w:spacing w:after="0" w:line="7" w:lineRule="exact"/>
        <w:rPr>
          <w:sz w:val="20"/>
          <w:szCs w:val="20"/>
          <w:color w:val="auto"/>
        </w:rPr>
      </w:pPr>
    </w:p>
    <w:p>
      <w:pPr>
        <w:ind w:left="4947"/>
        <w:spacing w:after="0"/>
        <w:tabs>
          <w:tab w:leader="none" w:pos="5207" w:val="left"/>
        </w:tabs>
        <w:rPr>
          <w:sz w:val="20"/>
          <w:szCs w:val="20"/>
          <w:color w:val="auto"/>
        </w:rPr>
      </w:pPr>
      <w:r>
        <w:rPr>
          <w:rFonts w:ascii="Arial" w:cs="Arial" w:eastAsia="Arial" w:hAnsi="Arial"/>
          <w:sz w:val="12"/>
          <w:szCs w:val="12"/>
          <w:color w:val="auto"/>
        </w:rPr>
        <w:t>(vi)</w:t>
      </w:r>
      <w:r>
        <w:rPr>
          <w:sz w:val="20"/>
          <w:szCs w:val="20"/>
          <w:color w:val="auto"/>
        </w:rPr>
        <w:tab/>
      </w:r>
      <w:r>
        <w:rPr>
          <w:rFonts w:ascii="Arial" w:cs="Arial" w:eastAsia="Arial" w:hAnsi="Arial"/>
          <w:sz w:val="10"/>
          <w:szCs w:val="10"/>
          <w:color w:val="auto"/>
        </w:rPr>
        <w:t>up to $9,150,000 if the Series E Warrants are exercised;</w:t>
      </w:r>
    </w:p>
    <w:p>
      <w:pPr>
        <w:spacing w:after="0" w:line="7" w:lineRule="exact"/>
        <w:rPr>
          <w:sz w:val="20"/>
          <w:szCs w:val="20"/>
          <w:color w:val="auto"/>
        </w:rPr>
      </w:pPr>
    </w:p>
    <w:p>
      <w:pPr>
        <w:ind w:left="4947"/>
        <w:spacing w:after="0"/>
        <w:rPr>
          <w:sz w:val="20"/>
          <w:szCs w:val="20"/>
          <w:color w:val="auto"/>
        </w:rPr>
      </w:pPr>
      <w:r>
        <w:rPr>
          <w:rFonts w:ascii="Arial" w:cs="Arial" w:eastAsia="Arial" w:hAnsi="Arial"/>
          <w:sz w:val="12"/>
          <w:szCs w:val="12"/>
          <w:color w:val="auto"/>
        </w:rPr>
        <w:t>(vii)  up to $500,000 if the Series A-1 Warrants are exercised;</w:t>
      </w:r>
    </w:p>
    <w:p>
      <w:pPr>
        <w:spacing w:after="0" w:line="7" w:lineRule="exact"/>
        <w:rPr>
          <w:sz w:val="20"/>
          <w:szCs w:val="20"/>
          <w:color w:val="auto"/>
        </w:rPr>
      </w:pPr>
    </w:p>
    <w:p>
      <w:pPr>
        <w:ind w:left="4947"/>
        <w:spacing w:after="0"/>
        <w:rPr>
          <w:sz w:val="20"/>
          <w:szCs w:val="20"/>
          <w:color w:val="auto"/>
        </w:rPr>
      </w:pPr>
      <w:r>
        <w:rPr>
          <w:rFonts w:ascii="Arial" w:cs="Arial" w:eastAsia="Arial" w:hAnsi="Arial"/>
          <w:sz w:val="12"/>
          <w:szCs w:val="12"/>
          <w:color w:val="auto"/>
        </w:rPr>
        <w:t>(viii) up to $1,000,000 if the Series B-1 Warrants are exercised;</w:t>
      </w:r>
    </w:p>
    <w:p>
      <w:pPr>
        <w:spacing w:after="0" w:line="7" w:lineRule="exact"/>
        <w:rPr>
          <w:sz w:val="20"/>
          <w:szCs w:val="20"/>
          <w:color w:val="auto"/>
        </w:rPr>
      </w:pPr>
    </w:p>
    <w:p>
      <w:pPr>
        <w:ind w:left="4947"/>
        <w:spacing w:after="0"/>
        <w:tabs>
          <w:tab w:leader="none" w:pos="5247" w:val="left"/>
        </w:tabs>
        <w:rPr>
          <w:sz w:val="20"/>
          <w:szCs w:val="20"/>
          <w:color w:val="auto"/>
        </w:rPr>
      </w:pPr>
      <w:r>
        <w:rPr>
          <w:rFonts w:ascii="Arial" w:cs="Arial" w:eastAsia="Arial" w:hAnsi="Arial"/>
          <w:sz w:val="12"/>
          <w:szCs w:val="12"/>
          <w:color w:val="auto"/>
        </w:rPr>
        <w:t>(ix)</w:t>
        <w:tab/>
        <w:t>up to $2,500,000 if the Series C-1 Warrants are exercised;</w:t>
      </w:r>
    </w:p>
    <w:p>
      <w:pPr>
        <w:spacing w:after="0" w:line="7" w:lineRule="exact"/>
        <w:rPr>
          <w:sz w:val="20"/>
          <w:szCs w:val="20"/>
          <w:color w:val="auto"/>
        </w:rPr>
      </w:pPr>
    </w:p>
    <w:p>
      <w:pPr>
        <w:ind w:left="4947"/>
        <w:spacing w:after="0"/>
        <w:tabs>
          <w:tab w:leader="none" w:pos="5247" w:val="left"/>
        </w:tabs>
        <w:rPr>
          <w:sz w:val="20"/>
          <w:szCs w:val="20"/>
          <w:color w:val="auto"/>
        </w:rPr>
      </w:pPr>
      <w:r>
        <w:rPr>
          <w:rFonts w:ascii="Arial" w:cs="Arial" w:eastAsia="Arial" w:hAnsi="Arial"/>
          <w:sz w:val="12"/>
          <w:szCs w:val="12"/>
          <w:color w:val="auto"/>
        </w:rPr>
        <w:t>(x)</w:t>
        <w:tab/>
        <w:t>up to $3,750,000 if the Series D-1 Warrants are exercised;</w:t>
      </w:r>
    </w:p>
    <w:p>
      <w:pPr>
        <w:spacing w:after="0" w:line="7" w:lineRule="exact"/>
        <w:rPr>
          <w:sz w:val="20"/>
          <w:szCs w:val="20"/>
          <w:color w:val="auto"/>
        </w:rPr>
      </w:pPr>
    </w:p>
    <w:p>
      <w:pPr>
        <w:ind w:left="4947"/>
        <w:spacing w:after="0"/>
        <w:tabs>
          <w:tab w:leader="none" w:pos="5247" w:val="left"/>
        </w:tabs>
        <w:rPr>
          <w:sz w:val="20"/>
          <w:szCs w:val="20"/>
          <w:color w:val="auto"/>
        </w:rPr>
      </w:pPr>
      <w:r>
        <w:rPr>
          <w:rFonts w:ascii="Arial" w:cs="Arial" w:eastAsia="Arial" w:hAnsi="Arial"/>
          <w:sz w:val="12"/>
          <w:szCs w:val="12"/>
          <w:color w:val="auto"/>
        </w:rPr>
        <w:t>(xi)</w:t>
        <w:tab/>
        <w:t>up to $6,250,000 if the Series E-1 Warrants are exercised;</w:t>
      </w:r>
    </w:p>
    <w:p>
      <w:pPr>
        <w:spacing w:after="0" w:line="143" w:lineRule="exact"/>
        <w:rPr>
          <w:sz w:val="20"/>
          <w:szCs w:val="20"/>
          <w:color w:val="auto"/>
        </w:rPr>
      </w:pPr>
    </w:p>
    <w:tbl>
      <w:tblPr>
        <w:tblLayout w:type="fixed"/>
        <w:tblInd w:w="7" w:type="dxa"/>
        <w:tblCellMar>
          <w:top w:w="0" w:type="dxa"/>
          <w:left w:w="0" w:type="dxa"/>
          <w:bottom w:w="0" w:type="dxa"/>
          <w:right w:w="0" w:type="dxa"/>
        </w:tblCellMar>
      </w:tblPr>
      <w:tr>
        <w:trPr>
          <w:trHeight w:val="145"/>
        </w:trPr>
        <w:tc>
          <w:tcPr>
            <w:tcW w:w="3040" w:type="dxa"/>
            <w:vAlign w:val="bottom"/>
          </w:tcPr>
          <w:p>
            <w:pPr>
              <w:spacing w:after="0"/>
              <w:rPr>
                <w:sz w:val="12"/>
                <w:szCs w:val="12"/>
                <w:color w:val="auto"/>
              </w:rPr>
            </w:pPr>
          </w:p>
        </w:tc>
        <w:tc>
          <w:tcPr>
            <w:tcW w:w="8440" w:type="dxa"/>
            <w:vAlign w:val="bottom"/>
          </w:tcPr>
          <w:p>
            <w:pPr>
              <w:ind w:left="1560"/>
              <w:spacing w:after="0"/>
              <w:rPr>
                <w:sz w:val="20"/>
                <w:szCs w:val="20"/>
                <w:color w:val="auto"/>
              </w:rPr>
            </w:pPr>
            <w:r>
              <w:rPr>
                <w:rFonts w:ascii="Arial" w:cs="Arial" w:eastAsia="Arial" w:hAnsi="Arial"/>
                <w:sz w:val="12"/>
                <w:szCs w:val="12"/>
                <w:color w:val="auto"/>
                <w:w w:val="91"/>
              </w:rPr>
              <w:t>(to the extent the registration statement of which this prospectus is a part is then effective and, if applicable, the “cashless exercise” provision</w:t>
            </w:r>
          </w:p>
        </w:tc>
        <w:tc>
          <w:tcPr>
            <w:tcW w:w="0" w:type="dxa"/>
            <w:vAlign w:val="bottom"/>
          </w:tcPr>
          <w:p>
            <w:pPr>
              <w:spacing w:after="0"/>
              <w:rPr>
                <w:sz w:val="1"/>
                <w:szCs w:val="1"/>
                <w:color w:val="auto"/>
              </w:rPr>
            </w:pPr>
          </w:p>
        </w:tc>
      </w:tr>
      <w:tr>
        <w:trPr>
          <w:trHeight w:val="145"/>
        </w:trPr>
        <w:tc>
          <w:tcPr>
            <w:tcW w:w="3040" w:type="dxa"/>
            <w:vAlign w:val="bottom"/>
          </w:tcPr>
          <w:p>
            <w:pPr>
              <w:spacing w:after="0"/>
              <w:rPr>
                <w:sz w:val="12"/>
                <w:szCs w:val="12"/>
                <w:color w:val="auto"/>
              </w:rPr>
            </w:pPr>
          </w:p>
        </w:tc>
        <w:tc>
          <w:tcPr>
            <w:tcW w:w="8440" w:type="dxa"/>
            <w:vAlign w:val="bottom"/>
          </w:tcPr>
          <w:p>
            <w:pPr>
              <w:ind w:left="1560"/>
              <w:spacing w:after="0"/>
              <w:rPr>
                <w:sz w:val="20"/>
                <w:szCs w:val="20"/>
                <w:color w:val="auto"/>
              </w:rPr>
            </w:pPr>
            <w:r>
              <w:rPr>
                <w:rFonts w:ascii="Arial" w:cs="Arial" w:eastAsia="Arial" w:hAnsi="Arial"/>
                <w:sz w:val="12"/>
                <w:szCs w:val="12"/>
                <w:color w:val="auto"/>
                <w:w w:val="95"/>
              </w:rPr>
              <w:t>is not utilized by the holder). Any proceeds will be used for general corporate and working capital or for other purposes that the Board of</w:t>
            </w:r>
          </w:p>
        </w:tc>
        <w:tc>
          <w:tcPr>
            <w:tcW w:w="0" w:type="dxa"/>
            <w:vAlign w:val="bottom"/>
          </w:tcPr>
          <w:p>
            <w:pPr>
              <w:spacing w:after="0"/>
              <w:rPr>
                <w:sz w:val="1"/>
                <w:szCs w:val="1"/>
                <w:color w:val="auto"/>
              </w:rPr>
            </w:pPr>
          </w:p>
        </w:tc>
      </w:tr>
      <w:tr>
        <w:trPr>
          <w:trHeight w:val="145"/>
        </w:trPr>
        <w:tc>
          <w:tcPr>
            <w:tcW w:w="3040" w:type="dxa"/>
            <w:vAlign w:val="bottom"/>
          </w:tcPr>
          <w:p>
            <w:pPr>
              <w:spacing w:after="0"/>
              <w:rPr>
                <w:sz w:val="12"/>
                <w:szCs w:val="12"/>
                <w:color w:val="auto"/>
              </w:rPr>
            </w:pPr>
          </w:p>
        </w:tc>
        <w:tc>
          <w:tcPr>
            <w:tcW w:w="8440" w:type="dxa"/>
            <w:vAlign w:val="bottom"/>
          </w:tcPr>
          <w:p>
            <w:pPr>
              <w:ind w:left="1560"/>
              <w:spacing w:after="0"/>
              <w:rPr>
                <w:sz w:val="20"/>
                <w:szCs w:val="20"/>
                <w:color w:val="auto"/>
              </w:rPr>
            </w:pPr>
            <w:r>
              <w:rPr>
                <w:rFonts w:ascii="Arial" w:cs="Arial" w:eastAsia="Arial" w:hAnsi="Arial"/>
                <w:sz w:val="12"/>
                <w:szCs w:val="12"/>
                <w:color w:val="auto"/>
                <w:w w:val="92"/>
              </w:rPr>
              <w:t>Directors, in their good faith, deems to be in the best interest of the Company. No assurances can be given that any of such warrants will be</w:t>
            </w:r>
          </w:p>
        </w:tc>
        <w:tc>
          <w:tcPr>
            <w:tcW w:w="0" w:type="dxa"/>
            <w:vAlign w:val="bottom"/>
          </w:tcPr>
          <w:p>
            <w:pPr>
              <w:spacing w:after="0"/>
              <w:rPr>
                <w:sz w:val="1"/>
                <w:szCs w:val="1"/>
                <w:color w:val="auto"/>
              </w:rPr>
            </w:pPr>
          </w:p>
        </w:tc>
      </w:tr>
      <w:tr>
        <w:trPr>
          <w:trHeight w:val="145"/>
        </w:trPr>
        <w:tc>
          <w:tcPr>
            <w:tcW w:w="3040" w:type="dxa"/>
            <w:vAlign w:val="bottom"/>
            <w:vMerge w:val="restart"/>
          </w:tcPr>
          <w:p>
            <w:pPr>
              <w:spacing w:after="0"/>
              <w:rPr>
                <w:sz w:val="20"/>
                <w:szCs w:val="20"/>
                <w:color w:val="auto"/>
              </w:rPr>
            </w:pPr>
            <w:r>
              <w:rPr>
                <w:rFonts w:ascii="Arial" w:cs="Arial" w:eastAsia="Arial" w:hAnsi="Arial"/>
                <w:sz w:val="12"/>
                <w:szCs w:val="12"/>
                <w:b w:val="1"/>
                <w:bCs w:val="1"/>
                <w:color w:val="auto"/>
              </w:rPr>
              <w:t>Quotation of common stock:</w:t>
            </w:r>
          </w:p>
        </w:tc>
        <w:tc>
          <w:tcPr>
            <w:tcW w:w="8440" w:type="dxa"/>
            <w:vAlign w:val="bottom"/>
          </w:tcPr>
          <w:p>
            <w:pPr>
              <w:ind w:left="1560"/>
              <w:spacing w:after="0"/>
              <w:rPr>
                <w:sz w:val="20"/>
                <w:szCs w:val="20"/>
                <w:color w:val="auto"/>
              </w:rPr>
            </w:pPr>
            <w:r>
              <w:rPr>
                <w:rFonts w:ascii="Arial" w:cs="Arial" w:eastAsia="Arial" w:hAnsi="Arial"/>
                <w:sz w:val="12"/>
                <w:szCs w:val="12"/>
                <w:color w:val="auto"/>
              </w:rPr>
              <w:t>exercised. See “Use of Proceeds.”</w:t>
            </w:r>
          </w:p>
        </w:tc>
        <w:tc>
          <w:tcPr>
            <w:tcW w:w="0" w:type="dxa"/>
            <w:vAlign w:val="bottom"/>
          </w:tcPr>
          <w:p>
            <w:pPr>
              <w:spacing w:after="0"/>
              <w:rPr>
                <w:sz w:val="1"/>
                <w:szCs w:val="1"/>
                <w:color w:val="auto"/>
              </w:rPr>
            </w:pPr>
          </w:p>
        </w:tc>
      </w:tr>
      <w:tr>
        <w:trPr>
          <w:trHeight w:val="141"/>
        </w:trPr>
        <w:tc>
          <w:tcPr>
            <w:tcW w:w="3040" w:type="dxa"/>
            <w:vAlign w:val="bottom"/>
            <w:vMerge w:val="continue"/>
          </w:tcPr>
          <w:p>
            <w:pPr>
              <w:spacing w:after="0"/>
              <w:rPr>
                <w:sz w:val="12"/>
                <w:szCs w:val="12"/>
                <w:color w:val="auto"/>
              </w:rPr>
            </w:pPr>
          </w:p>
        </w:tc>
        <w:tc>
          <w:tcPr>
            <w:tcW w:w="8440" w:type="dxa"/>
            <w:vAlign w:val="bottom"/>
          </w:tcPr>
          <w:p>
            <w:pPr>
              <w:ind w:left="1560"/>
              <w:spacing w:after="0"/>
              <w:rPr>
                <w:sz w:val="20"/>
                <w:szCs w:val="20"/>
                <w:color w:val="auto"/>
              </w:rPr>
            </w:pPr>
            <w:r>
              <w:rPr>
                <w:rFonts w:ascii="Arial" w:cs="Arial" w:eastAsia="Arial" w:hAnsi="Arial"/>
                <w:sz w:val="12"/>
                <w:szCs w:val="12"/>
                <w:color w:val="auto"/>
              </w:rPr>
              <w:t>Our common stock is listed for quotation on the OTCQB market under the symbol “TPIV.”</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b w:val="1"/>
                <w:bCs w:val="1"/>
                <w:color w:val="auto"/>
              </w:rPr>
              <w:t>Dividend policy:</w:t>
            </w:r>
          </w:p>
        </w:tc>
        <w:tc>
          <w:tcPr>
            <w:tcW w:w="8440" w:type="dxa"/>
            <w:vAlign w:val="bottom"/>
          </w:tcPr>
          <w:p>
            <w:pPr>
              <w:ind w:left="1560"/>
              <w:spacing w:after="0"/>
              <w:rPr>
                <w:sz w:val="20"/>
                <w:szCs w:val="20"/>
                <w:color w:val="auto"/>
              </w:rPr>
            </w:pPr>
            <w:r>
              <w:rPr>
                <w:rFonts w:ascii="Arial" w:cs="Arial" w:eastAsia="Arial" w:hAnsi="Arial"/>
                <w:sz w:val="12"/>
                <w:szCs w:val="12"/>
                <w:color w:val="auto"/>
                <w:w w:val="97"/>
              </w:rPr>
              <w:t>We currently intend to retain any future earnings to fund the development and growth of our business. Therefore, we do not currently</w:t>
            </w:r>
          </w:p>
        </w:tc>
        <w:tc>
          <w:tcPr>
            <w:tcW w:w="0" w:type="dxa"/>
            <w:vAlign w:val="bottom"/>
          </w:tcPr>
          <w:p>
            <w:pPr>
              <w:spacing w:after="0"/>
              <w:rPr>
                <w:sz w:val="1"/>
                <w:szCs w:val="1"/>
                <w:color w:val="auto"/>
              </w:rPr>
            </w:pPr>
          </w:p>
        </w:tc>
      </w:tr>
      <w:tr>
        <w:trPr>
          <w:trHeight w:val="145"/>
        </w:trPr>
        <w:tc>
          <w:tcPr>
            <w:tcW w:w="3040" w:type="dxa"/>
            <w:vAlign w:val="bottom"/>
            <w:vMerge w:val="restart"/>
          </w:tcPr>
          <w:p>
            <w:pPr>
              <w:spacing w:after="0"/>
              <w:rPr>
                <w:sz w:val="20"/>
                <w:szCs w:val="20"/>
                <w:color w:val="auto"/>
              </w:rPr>
            </w:pPr>
            <w:r>
              <w:rPr>
                <w:rFonts w:ascii="Arial" w:cs="Arial" w:eastAsia="Arial" w:hAnsi="Arial"/>
                <w:sz w:val="12"/>
                <w:szCs w:val="12"/>
                <w:b w:val="1"/>
                <w:bCs w:val="1"/>
                <w:color w:val="auto"/>
              </w:rPr>
              <w:t>Risk factors:</w:t>
            </w:r>
          </w:p>
        </w:tc>
        <w:tc>
          <w:tcPr>
            <w:tcW w:w="8440" w:type="dxa"/>
            <w:vAlign w:val="bottom"/>
          </w:tcPr>
          <w:p>
            <w:pPr>
              <w:ind w:left="1560"/>
              <w:spacing w:after="0"/>
              <w:rPr>
                <w:sz w:val="20"/>
                <w:szCs w:val="20"/>
                <w:color w:val="auto"/>
              </w:rPr>
            </w:pPr>
            <w:r>
              <w:rPr>
                <w:rFonts w:ascii="Arial" w:cs="Arial" w:eastAsia="Arial" w:hAnsi="Arial"/>
                <w:sz w:val="12"/>
                <w:szCs w:val="12"/>
                <w:color w:val="auto"/>
              </w:rPr>
              <w:t>anticipate paying cash dividends on our common stock.</w:t>
            </w:r>
          </w:p>
        </w:tc>
        <w:tc>
          <w:tcPr>
            <w:tcW w:w="0" w:type="dxa"/>
            <w:vAlign w:val="bottom"/>
          </w:tcPr>
          <w:p>
            <w:pPr>
              <w:spacing w:after="0"/>
              <w:rPr>
                <w:sz w:val="1"/>
                <w:szCs w:val="1"/>
                <w:color w:val="auto"/>
              </w:rPr>
            </w:pPr>
          </w:p>
        </w:tc>
      </w:tr>
      <w:tr>
        <w:trPr>
          <w:trHeight w:val="145"/>
        </w:trPr>
        <w:tc>
          <w:tcPr>
            <w:tcW w:w="3040" w:type="dxa"/>
            <w:vAlign w:val="bottom"/>
            <w:vMerge w:val="continue"/>
          </w:tcPr>
          <w:p>
            <w:pPr>
              <w:spacing w:after="0"/>
              <w:rPr>
                <w:sz w:val="12"/>
                <w:szCs w:val="12"/>
                <w:color w:val="auto"/>
              </w:rPr>
            </w:pPr>
          </w:p>
        </w:tc>
        <w:tc>
          <w:tcPr>
            <w:tcW w:w="8440" w:type="dxa"/>
            <w:vAlign w:val="bottom"/>
          </w:tcPr>
          <w:p>
            <w:pPr>
              <w:ind w:left="1560"/>
              <w:spacing w:after="0"/>
              <w:rPr>
                <w:sz w:val="20"/>
                <w:szCs w:val="20"/>
                <w:color w:val="auto"/>
              </w:rPr>
            </w:pPr>
            <w:r>
              <w:rPr>
                <w:rFonts w:ascii="Arial" w:cs="Arial" w:eastAsia="Arial" w:hAnsi="Arial"/>
                <w:sz w:val="12"/>
                <w:szCs w:val="12"/>
                <w:color w:val="auto"/>
                <w:w w:val="97"/>
              </w:rPr>
              <w:t>An investment in our company is highly speculative and involves a significant degree of risk. See “Risk Factors” and other information</w:t>
            </w:r>
          </w:p>
        </w:tc>
        <w:tc>
          <w:tcPr>
            <w:tcW w:w="0" w:type="dxa"/>
            <w:vAlign w:val="bottom"/>
          </w:tcPr>
          <w:p>
            <w:pPr>
              <w:spacing w:after="0"/>
              <w:rPr>
                <w:sz w:val="1"/>
                <w:szCs w:val="1"/>
                <w:color w:val="auto"/>
              </w:rPr>
            </w:pPr>
          </w:p>
        </w:tc>
      </w:tr>
      <w:tr>
        <w:trPr>
          <w:trHeight w:val="154"/>
        </w:trPr>
        <w:tc>
          <w:tcPr>
            <w:tcW w:w="3040" w:type="dxa"/>
            <w:vAlign w:val="bottom"/>
            <w:vMerge w:val="restart"/>
          </w:tcPr>
          <w:p>
            <w:pPr>
              <w:spacing w:after="0"/>
              <w:rPr>
                <w:sz w:val="20"/>
                <w:szCs w:val="20"/>
                <w:color w:val="auto"/>
              </w:rPr>
            </w:pPr>
            <w:r>
              <w:rPr>
                <w:rFonts w:ascii="Arial" w:cs="Arial" w:eastAsia="Arial" w:hAnsi="Arial"/>
                <w:sz w:val="12"/>
                <w:szCs w:val="12"/>
                <w:color w:val="auto"/>
              </w:rPr>
              <w:t>________</w:t>
            </w:r>
          </w:p>
        </w:tc>
        <w:tc>
          <w:tcPr>
            <w:tcW w:w="8440" w:type="dxa"/>
            <w:vAlign w:val="bottom"/>
          </w:tcPr>
          <w:p>
            <w:pPr>
              <w:ind w:left="1560"/>
              <w:spacing w:after="0"/>
              <w:rPr>
                <w:sz w:val="20"/>
                <w:szCs w:val="20"/>
                <w:color w:val="auto"/>
              </w:rPr>
            </w:pPr>
            <w:r>
              <w:rPr>
                <w:rFonts w:ascii="Arial" w:cs="Arial" w:eastAsia="Arial" w:hAnsi="Arial"/>
                <w:sz w:val="12"/>
                <w:szCs w:val="12"/>
                <w:color w:val="auto"/>
                <w:w w:val="92"/>
              </w:rPr>
              <w:t>included in this prospectus for a discussion of factors you should carefully consider before deciding to invest in shares of our common stock.</w:t>
            </w:r>
          </w:p>
        </w:tc>
        <w:tc>
          <w:tcPr>
            <w:tcW w:w="0" w:type="dxa"/>
            <w:vAlign w:val="bottom"/>
          </w:tcPr>
          <w:p>
            <w:pPr>
              <w:spacing w:after="0"/>
              <w:rPr>
                <w:sz w:val="1"/>
                <w:szCs w:val="1"/>
                <w:color w:val="auto"/>
              </w:rPr>
            </w:pPr>
          </w:p>
        </w:tc>
      </w:tr>
      <w:tr>
        <w:trPr>
          <w:trHeight w:val="145"/>
        </w:trPr>
        <w:tc>
          <w:tcPr>
            <w:tcW w:w="3040" w:type="dxa"/>
            <w:vAlign w:val="bottom"/>
            <w:vMerge w:val="continue"/>
          </w:tcPr>
          <w:p>
            <w:pPr>
              <w:spacing w:after="0"/>
              <w:rPr>
                <w:sz w:val="12"/>
                <w:szCs w:val="12"/>
                <w:color w:val="auto"/>
              </w:rPr>
            </w:pPr>
          </w:p>
        </w:tc>
        <w:tc>
          <w:tcPr>
            <w:tcW w:w="8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7" w:hanging="467"/>
        <w:spacing w:after="0"/>
        <w:tabs>
          <w:tab w:leader="none" w:pos="467" w:val="left"/>
        </w:tabs>
        <w:numPr>
          <w:ilvl w:val="0"/>
          <w:numId w:val="5"/>
        </w:numPr>
        <w:rPr>
          <w:rFonts w:ascii="Arial" w:cs="Arial" w:eastAsia="Arial" w:hAnsi="Arial"/>
          <w:sz w:val="12"/>
          <w:szCs w:val="12"/>
          <w:color w:val="auto"/>
        </w:rPr>
      </w:pPr>
      <w:r>
        <w:rPr>
          <w:rFonts w:ascii="Arial" w:cs="Arial" w:eastAsia="Arial" w:hAnsi="Arial"/>
          <w:sz w:val="12"/>
          <w:szCs w:val="12"/>
          <w:color w:val="auto"/>
        </w:rPr>
        <w:t>Assumes the exercise of all warrants being resold pursuant to this prospectus and that none of the other outstanding warrants or options are exercised.</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77" w:lineRule="exact"/>
        <w:rPr>
          <w:rFonts w:ascii="Arial" w:cs="Arial" w:eastAsia="Arial" w:hAnsi="Arial"/>
          <w:sz w:val="12"/>
          <w:szCs w:val="12"/>
          <w:color w:val="auto"/>
        </w:rPr>
      </w:pPr>
    </w:p>
    <w:p>
      <w:pPr>
        <w:ind w:left="5687"/>
        <w:spacing w:after="0"/>
        <w:rPr>
          <w:rFonts w:ascii="Arial" w:cs="Arial" w:eastAsia="Arial" w:hAnsi="Arial"/>
          <w:sz w:val="12"/>
          <w:szCs w:val="12"/>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98690"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7"/>
          </w:cols>
          <w:pgMar w:left="213" w:top="534" w:right="19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t>RISK FACTORS</w:t>
      </w:r>
    </w:p>
    <w:p>
      <w:pPr>
        <w:spacing w:after="0" w:line="156" w:lineRule="exact"/>
        <w:rPr>
          <w:sz w:val="20"/>
          <w:szCs w:val="20"/>
          <w:color w:val="auto"/>
        </w:rPr>
      </w:pPr>
    </w:p>
    <w:p>
      <w:pPr>
        <w:jc w:val="both"/>
        <w:ind w:right="20"/>
        <w:spacing w:after="0" w:line="326" w:lineRule="auto"/>
        <w:rPr>
          <w:sz w:val="20"/>
          <w:szCs w:val="20"/>
          <w:color w:val="auto"/>
        </w:rPr>
      </w:pPr>
      <w:r>
        <w:rPr>
          <w:rFonts w:ascii="Arial" w:cs="Arial" w:eastAsia="Arial" w:hAnsi="Arial"/>
          <w:sz w:val="11"/>
          <w:szCs w:val="11"/>
          <w:color w:val="auto"/>
        </w:rPr>
        <w:t>Investing in our securities involves a high degree of risk. You should carefully consider and evaluate all of the information included and incorporated by reference or deemed to be incorporated by reference in this prospectus. Our business, results of operations or financial condition could be adversely affected by any of these risks or by additional risks and uncertainties not currently known to us or that we currently consider immaterial.</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Risks Related to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are a development stage company with a history of operating losses.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sustained losses from operations in each fiscal year since our inception, and we expect losses to continue for the indefinite future due to the substantial investment in research and development. As of March 31, 2015, we had an accumulated deficit of $87,291,000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have not yet sold any products or received regulatory approval to sell our products.</w:t>
      </w:r>
    </w:p>
    <w:p>
      <w:pPr>
        <w:spacing w:after="0" w:line="174" w:lineRule="exact"/>
        <w:rPr>
          <w:sz w:val="20"/>
          <w:szCs w:val="20"/>
          <w:color w:val="auto"/>
        </w:rPr>
      </w:pPr>
    </w:p>
    <w:p>
      <w:pPr>
        <w:jc w:val="both"/>
        <w:spacing w:after="0" w:line="326" w:lineRule="auto"/>
        <w:rPr>
          <w:sz w:val="20"/>
          <w:szCs w:val="20"/>
          <w:color w:val="auto"/>
        </w:rPr>
      </w:pPr>
      <w:r>
        <w:rPr>
          <w:rFonts w:ascii="Arial" w:cs="Arial" w:eastAsia="Arial" w:hAnsi="Arial"/>
          <w:sz w:val="11"/>
          <w:szCs w:val="11"/>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not be able to develop products successfully or develop them on a timely basis.</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3" w:right="199" w:bottom="1440" w:gutter="0" w:footer="0" w:header="0"/>
        </w:sectPr>
      </w:pPr>
    </w:p>
    <w:bookmarkStart w:id="10" w:name="page11"/>
    <w:bookmarkEnd w:id="10"/>
    <w:p>
      <w:pPr>
        <w:jc w:val="both"/>
        <w:spacing w:after="0" w:line="261" w:lineRule="auto"/>
        <w:rPr>
          <w:sz w:val="20"/>
          <w:szCs w:val="20"/>
          <w:color w:val="auto"/>
        </w:rPr>
      </w:pPr>
      <w:r>
        <w:rPr>
          <w:rFonts w:ascii="Arial" w:cs="Arial" w:eastAsia="Arial" w:hAnsi="Arial"/>
          <w:sz w:val="12"/>
          <w:szCs w:val="12"/>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not achieve commercial success even if our product candidates are approved for sale.</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Even if we obtain the required regulatory approvals to market our product candidates, there are many factors which may prevent us from ever successfully selling the products in commercial quantities. Some factors are beyond our control, such as:</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●acceptance of the formulation of immunotherapies by health care professionals and patients;</w:t>
      </w:r>
    </w:p>
    <w:p>
      <w:pPr>
        <w:spacing w:after="0" w:line="152" w:lineRule="exact"/>
        <w:rPr>
          <w:sz w:val="20"/>
          <w:szCs w:val="20"/>
          <w:color w:val="auto"/>
        </w:rPr>
      </w:pPr>
    </w:p>
    <w:p>
      <w:pPr>
        <w:ind w:left="220" w:right="3880" w:hanging="10"/>
        <w:spacing w:after="0" w:line="500" w:lineRule="auto"/>
        <w:tabs>
          <w:tab w:leader="none" w:pos="323" w:val="left"/>
        </w:tabs>
        <w:numPr>
          <w:ilvl w:val="0"/>
          <w:numId w:val="6"/>
        </w:numPr>
        <w:rPr>
          <w:rFonts w:ascii="Arial" w:cs="Arial" w:eastAsia="Arial" w:hAnsi="Arial"/>
          <w:sz w:val="12"/>
          <w:szCs w:val="12"/>
          <w:color w:val="auto"/>
        </w:rPr>
      </w:pPr>
      <w:r>
        <w:rPr>
          <w:rFonts w:ascii="Arial" w:cs="Arial" w:eastAsia="Arial" w:hAnsi="Arial"/>
          <w:sz w:val="12"/>
          <w:szCs w:val="12"/>
          <w:color w:val="auto"/>
        </w:rPr>
        <w:t>failure of third-parties that we may enter into collaboration agreements with for the manufacture, sales, marketing and distribution of our products; and ●the availability, effectiveness and relative cost of alternative treatments which may be developed by competitors.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face legal claims; Litigation is expensive and we may not be able to afford the costs.</w:t>
      </w:r>
    </w:p>
    <w:p>
      <w:pPr>
        <w:spacing w:after="0" w:line="156"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prospectus,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research and development programs are subject to uncertainty.</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Factors affecting our research and development programs include, but are not limited to:</w:t>
      </w:r>
    </w:p>
    <w:p>
      <w:pPr>
        <w:spacing w:after="0" w:line="152" w:lineRule="exact"/>
        <w:rPr>
          <w:sz w:val="20"/>
          <w:szCs w:val="20"/>
          <w:color w:val="auto"/>
        </w:rPr>
      </w:pPr>
    </w:p>
    <w:p>
      <w:pPr>
        <w:ind w:left="320" w:hanging="110"/>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competition from companies that are substantially and financially stronger than we are;</w:t>
      </w:r>
    </w:p>
    <w:p>
      <w:pPr>
        <w:spacing w:after="0" w:line="152" w:lineRule="exact"/>
        <w:rPr>
          <w:rFonts w:ascii="Arial" w:cs="Arial" w:eastAsia="Arial" w:hAnsi="Arial"/>
          <w:sz w:val="12"/>
          <w:szCs w:val="12"/>
          <w:color w:val="auto"/>
        </w:rPr>
      </w:pPr>
    </w:p>
    <w:p>
      <w:pPr>
        <w:ind w:left="320" w:hanging="110"/>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need for acceptance of our Immunotherapies;</w:t>
      </w:r>
    </w:p>
    <w:p>
      <w:pPr>
        <w:spacing w:after="0" w:line="152" w:lineRule="exact"/>
        <w:rPr>
          <w:rFonts w:ascii="Arial" w:cs="Arial" w:eastAsia="Arial" w:hAnsi="Arial"/>
          <w:sz w:val="12"/>
          <w:szCs w:val="12"/>
          <w:color w:val="auto"/>
        </w:rPr>
      </w:pPr>
    </w:p>
    <w:p>
      <w:pPr>
        <w:ind w:left="320" w:hanging="110"/>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ability to anticipate and adapt to a competitive market and rapid technological developments;</w:t>
      </w:r>
    </w:p>
    <w:p>
      <w:pPr>
        <w:spacing w:after="0" w:line="152" w:lineRule="exact"/>
        <w:rPr>
          <w:rFonts w:ascii="Arial" w:cs="Arial" w:eastAsia="Arial" w:hAnsi="Arial"/>
          <w:sz w:val="12"/>
          <w:szCs w:val="12"/>
          <w:color w:val="auto"/>
        </w:rPr>
      </w:pPr>
    </w:p>
    <w:p>
      <w:pPr>
        <w:ind w:left="320" w:hanging="110"/>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amount and timing of operating costs and capital expenditures relating to expansion of our business, operations and infrastructure;</w:t>
      </w:r>
    </w:p>
    <w:p>
      <w:pPr>
        <w:spacing w:after="0" w:line="152" w:lineRule="exact"/>
        <w:rPr>
          <w:rFonts w:ascii="Arial" w:cs="Arial" w:eastAsia="Arial" w:hAnsi="Arial"/>
          <w:sz w:val="12"/>
          <w:szCs w:val="12"/>
          <w:color w:val="auto"/>
        </w:rPr>
      </w:pPr>
    </w:p>
    <w:p>
      <w:pPr>
        <w:ind w:left="320" w:hanging="110"/>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need to rely on multiple levels of outside funding due to the length of drug development cycles and governmental approved protocols associated with the pharmaceutical industry; and</w:t>
      </w:r>
    </w:p>
    <w:p>
      <w:pPr>
        <w:spacing w:after="0" w:line="152" w:lineRule="exact"/>
        <w:rPr>
          <w:rFonts w:ascii="Arial" w:cs="Arial" w:eastAsia="Arial" w:hAnsi="Arial"/>
          <w:sz w:val="12"/>
          <w:szCs w:val="12"/>
          <w:color w:val="auto"/>
        </w:rPr>
      </w:pPr>
    </w:p>
    <w:p>
      <w:pPr>
        <w:ind w:left="320" w:hanging="110"/>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dependence upon key personnel including key independent consultants and advisors.</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Certain of our technologies are in-licensed from third parties, and the protection of those technologies is not entirely within our control.</w:t>
      </w:r>
    </w:p>
    <w:p>
      <w:pPr>
        <w:spacing w:after="0" w:line="156" w:lineRule="exact"/>
        <w:rPr>
          <w:sz w:val="20"/>
          <w:szCs w:val="20"/>
          <w:color w:val="auto"/>
        </w:rPr>
      </w:pPr>
    </w:p>
    <w:p>
      <w:pPr>
        <w:ind w:right="20"/>
        <w:spacing w:after="0" w:line="326" w:lineRule="auto"/>
        <w:rPr>
          <w:sz w:val="20"/>
          <w:szCs w:val="20"/>
          <w:color w:val="auto"/>
        </w:rPr>
      </w:pPr>
      <w:r>
        <w:rPr>
          <w:rFonts w:ascii="Arial" w:cs="Arial" w:eastAsia="Arial" w:hAnsi="Arial"/>
          <w:sz w:val="11"/>
          <w:szCs w:val="11"/>
          <w:color w:val="auto"/>
        </w:rPr>
        <w:t>We license technologies from a third party, the Mayo Clinic, for: (i) the Her2/neu peptide epitopes, (ii) 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7" w:right="199" w:bottom="1440" w:gutter="0" w:footer="0" w:header="0"/>
        </w:sectPr>
      </w:pPr>
    </w:p>
    <w:bookmarkStart w:id="11" w:name="page12"/>
    <w:bookmarkEnd w:id="11"/>
    <w:p>
      <w:pPr>
        <w:ind w:left="220"/>
        <w:spacing w:after="0"/>
        <w:rPr>
          <w:sz w:val="20"/>
          <w:szCs w:val="20"/>
          <w:color w:val="auto"/>
        </w:rPr>
      </w:pPr>
      <w:r>
        <w:rPr>
          <w:rFonts w:ascii="Arial" w:cs="Arial" w:eastAsia="Arial" w:hAnsi="Arial"/>
          <w:sz w:val="12"/>
          <w:szCs w:val="12"/>
          <w:color w:val="auto"/>
        </w:rPr>
        <w:t>●the owners of the patent rights underlying the technologies that we license do not properly maintain or enforce the patents and intellectual property underlying those properties,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Mayo Clinic seeks to terminate our license in contravention of the license agreements,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fail to make all payments due and owing under any of the licenses or,</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fail to obtain on commercially reasonable terms, if at all, in-licenses from the Mayo Clinic or other for other rights that are necessary to develop the technology that we have already in-licensed.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have an option to acquire an exclusive in-license technology from a third party, and if that party does not protect its license, we could lose the opportunity to develop that technology.</w:t>
      </w:r>
    </w:p>
    <w:p>
      <w:pPr>
        <w:spacing w:after="0" w:line="156"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rely upon patents to protect our technology. We may be unable to protect our intellectual property rights, and we may be liable for infringing the intellectual property rights of others.</w:t>
      </w:r>
    </w:p>
    <w:p>
      <w:pPr>
        <w:spacing w:after="0" w:line="174"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25"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7" w:right="199" w:bottom="1440" w:gutter="0" w:footer="0" w:header="0"/>
        </w:sectPr>
      </w:pPr>
    </w:p>
    <w:bookmarkStart w:id="12" w:name="page13"/>
    <w:bookmarkEnd w:id="12"/>
    <w:p>
      <w:pPr>
        <w:jc w:val="both"/>
        <w:spacing w:after="0" w:line="279" w:lineRule="auto"/>
        <w:rPr>
          <w:sz w:val="20"/>
          <w:szCs w:val="20"/>
          <w:color w:val="auto"/>
        </w:rPr>
      </w:pPr>
      <w:r>
        <w:rPr>
          <w:rFonts w:ascii="Arial" w:cs="Arial" w:eastAsia="Arial" w:hAnsi="Arial"/>
          <w:sz w:val="12"/>
          <w:szCs w:val="12"/>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be unable to adequately prevent disclosure of trade secrets and other proprietary information.</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not obtain or maintain the benefits associated with orphan drug designation, including market exclusivity.</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We plan to present Phase II advancement plans in late 2014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have no manufacturing, sales, marketing or distribution capability and we must rely upon third parties for such.</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We do not intend to create facilities to manufacture our products and therefore will depend upon third parties to do so. We currently have no agreements with any commercial manufacturers.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t>If we are unable to establish or manage strategic collaborations in the future, our revenue and drug development may be limited.</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Management of our relationships with our collaborators will require:</w:t>
      </w:r>
    </w:p>
    <w:p>
      <w:pPr>
        <w:spacing w:after="0" w:line="152" w:lineRule="exact"/>
        <w:rPr>
          <w:sz w:val="20"/>
          <w:szCs w:val="20"/>
          <w:color w:val="auto"/>
        </w:rPr>
      </w:pPr>
    </w:p>
    <w:p>
      <w:pPr>
        <w:ind w:left="320" w:hanging="110"/>
        <w:spacing w:after="0"/>
        <w:tabs>
          <w:tab w:leader="none" w:pos="3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significant time and effort from our management team;</w:t>
      </w:r>
    </w:p>
    <w:p>
      <w:pPr>
        <w:spacing w:after="0" w:line="152" w:lineRule="exact"/>
        <w:rPr>
          <w:rFonts w:ascii="Arial" w:cs="Arial" w:eastAsia="Arial" w:hAnsi="Arial"/>
          <w:sz w:val="12"/>
          <w:szCs w:val="12"/>
          <w:color w:val="auto"/>
        </w:rPr>
      </w:pPr>
    </w:p>
    <w:p>
      <w:pPr>
        <w:ind w:left="320" w:hanging="110"/>
        <w:spacing w:after="0"/>
        <w:tabs>
          <w:tab w:leader="none" w:pos="32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coordination of our research and development programs with the research and development priorities of our collaborators; and</w:t>
      </w:r>
    </w:p>
    <w:p>
      <w:pPr>
        <w:spacing w:after="0" w:line="152" w:lineRule="exact"/>
        <w:rPr>
          <w:rFonts w:ascii="Arial" w:cs="Arial" w:eastAsia="Arial" w:hAnsi="Arial"/>
          <w:sz w:val="12"/>
          <w:szCs w:val="12"/>
          <w:color w:val="auto"/>
        </w:rPr>
      </w:pPr>
    </w:p>
    <w:p>
      <w:pPr>
        <w:ind w:left="320" w:hanging="110"/>
        <w:spacing w:after="0"/>
        <w:tabs>
          <w:tab w:leader="none" w:pos="320" w:val="left"/>
        </w:tabs>
        <w:numPr>
          <w:ilvl w:val="0"/>
          <w:numId w:val="8"/>
        </w:numPr>
        <w:rPr>
          <w:rFonts w:ascii="Arial" w:cs="Arial" w:eastAsia="Arial" w:hAnsi="Arial"/>
          <w:sz w:val="12"/>
          <w:szCs w:val="12"/>
          <w:color w:val="auto"/>
        </w:rPr>
      </w:pPr>
      <w:r>
        <w:rPr>
          <w:rFonts w:ascii="Arial" w:cs="Arial" w:eastAsia="Arial" w:hAnsi="Arial"/>
          <w:sz w:val="12"/>
          <w:szCs w:val="12"/>
          <w:color w:val="auto"/>
        </w:rPr>
        <w:t>effective allocation of our resources to multiple projects.</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need to attract and retain highly skilled personnel; we may be unable to effectively manage growth with our limited resources.</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of July 1, 2015, we had one full-time employee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depend upon our senior management and key consultants and their loss or unavailability could put us at a competitive disadvantage.</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We depend upon the efforts and abilities of our senior executives, as well as the services of several key consultants, including Dr. Glynn Wilson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Risks Related to our Industry</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The biotechnology and immunotherapy industries are characterized by rapid technological developments and a high degree of competition. We may be unable to compete with more substantial enterprises.</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89" w:right="199" w:bottom="1440" w:gutter="0" w:footer="0" w:header="0"/>
        </w:sectPr>
      </w:pPr>
    </w:p>
    <w:bookmarkStart w:id="14" w:name="page15"/>
    <w:bookmarkEnd w:id="14"/>
    <w:p>
      <w:pPr>
        <w:jc w:val="both"/>
        <w:spacing w:after="0" w:line="292" w:lineRule="auto"/>
        <w:rPr>
          <w:sz w:val="20"/>
          <w:szCs w:val="20"/>
          <w:color w:val="auto"/>
        </w:rPr>
      </w:pPr>
      <w:r>
        <w:rPr>
          <w:rFonts w:ascii="Arial" w:cs="Arial" w:eastAsia="Arial" w:hAnsi="Arial"/>
          <w:sz w:val="11"/>
          <w:szCs w:val="11"/>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In addition, certain of our Immunotherapies may be subject to competition from investigational new drugs and/or products developed using other technologies, some of which have completed numerous clinical trials.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are subject to numerous risks inherent in conducting clinical trials.</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late 2014.</w:t>
      </w:r>
    </w:p>
    <w:p>
      <w:pPr>
        <w:spacing w:after="0" w:line="147"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23"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09"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successful development of immunotherapies is highly uncertain.</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Successful development of biopharmaceuticals is highly uncertain and depends on numerous factors, many of which are beyond our control. Immunotherapies that appear promising in the early phases of development may fail to reach the market for several reasons including:</w:t>
      </w:r>
    </w:p>
    <w:p>
      <w:pPr>
        <w:spacing w:after="0" w:line="114" w:lineRule="exact"/>
        <w:rPr>
          <w:sz w:val="20"/>
          <w:szCs w:val="20"/>
          <w:color w:val="auto"/>
        </w:rPr>
      </w:pPr>
    </w:p>
    <w:p>
      <w:pPr>
        <w:ind w:left="220" w:right="1940" w:hanging="10"/>
        <w:spacing w:after="0" w:line="550" w:lineRule="auto"/>
        <w:tabs>
          <w:tab w:leader="none" w:pos="323" w:val="left"/>
        </w:tabs>
        <w:numPr>
          <w:ilvl w:val="0"/>
          <w:numId w:val="9"/>
        </w:numPr>
        <w:rPr>
          <w:rFonts w:ascii="Arial" w:cs="Arial" w:eastAsia="Arial" w:hAnsi="Arial"/>
          <w:sz w:val="11"/>
          <w:szCs w:val="11"/>
          <w:color w:val="auto"/>
        </w:rPr>
      </w:pPr>
      <w:r>
        <w:rPr>
          <w:rFonts w:ascii="Arial" w:cs="Arial" w:eastAsia="Arial" w:hAnsi="Arial"/>
          <w:sz w:val="11"/>
          <w:szCs w:val="11"/>
          <w:color w:val="auto"/>
        </w:rPr>
        <w:t>preclinical study results that may show the immunotherapy to be less effective than desired (e.g., the study failed to meet its primary objectives) or to have harmful or problematic side effects; ●clinical study results that may show the immunotherapy to be less effective than expected (e.g., the study failed to meet its primary endpoint) or to have unacceptable side effects;</w:t>
      </w:r>
    </w:p>
    <w:p>
      <w:pPr>
        <w:ind w:left="540" w:hanging="325"/>
        <w:spacing w:after="0" w:line="326" w:lineRule="auto"/>
        <w:rPr>
          <w:sz w:val="20"/>
          <w:szCs w:val="20"/>
          <w:color w:val="auto"/>
        </w:rPr>
      </w:pPr>
      <w:r>
        <w:rPr>
          <w:rFonts w:ascii="Arial" w:cs="Arial" w:eastAsia="Arial" w:hAnsi="Arial"/>
          <w:sz w:val="11"/>
          <w:szCs w:val="11"/>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●manufacturing costs, formulation issues, pricing or reimbursement issues, or other factors that make the immunotherapy uneconomical; and</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proprietary rights of others and their competing products and technologies that may prevent the immunotherapy from being commercialized.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7" w:right="199" w:bottom="1440" w:gutter="0" w:footer="0" w:header="0"/>
        </w:sectPr>
      </w:pPr>
    </w:p>
    <w:bookmarkStart w:id="15" w:name="page16"/>
    <w:bookmarkEnd w:id="15"/>
    <w:p>
      <w:pPr>
        <w:jc w:val="both"/>
        <w:spacing w:after="0" w:line="265" w:lineRule="auto"/>
        <w:rPr>
          <w:sz w:val="20"/>
          <w:szCs w:val="20"/>
          <w:color w:val="auto"/>
        </w:rPr>
      </w:pPr>
      <w:r>
        <w:rPr>
          <w:rFonts w:ascii="Arial" w:cs="Arial" w:eastAsia="Arial" w:hAnsi="Arial"/>
          <w:sz w:val="12"/>
          <w:szCs w:val="12"/>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23"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09"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must comply with significant government regulations.</w:t>
      </w:r>
    </w:p>
    <w:p>
      <w:pPr>
        <w:spacing w:after="0" w:line="156"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color w:val="auto"/>
        </w:rPr>
        <w:t>Our success depends in part on our ability to operate without infringing the proprietary rights of third parties. The pharmaceutical industry is characterized by extensive litigation regarding patents and other intellectual property rights.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Other parties may obtain patents in the future and allege that the products or use of our technologies infringe these patent claims or that we are employing their proprietary technology without authorization.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sectPr>
      </w:pPr>
    </w:p>
    <w:bookmarkStart w:id="16" w:name="page17"/>
    <w:bookmarkEnd w:id="16"/>
    <w:p>
      <w:pPr>
        <w:spacing w:after="0"/>
        <w:rPr>
          <w:sz w:val="20"/>
          <w:szCs w:val="20"/>
          <w:color w:val="auto"/>
        </w:rPr>
      </w:pPr>
      <w:r>
        <w:rPr>
          <w:rFonts w:ascii="Arial" w:cs="Arial" w:eastAsia="Arial" w:hAnsi="Arial"/>
          <w:sz w:val="12"/>
          <w:szCs w:val="12"/>
          <w:color w:val="auto"/>
        </w:rPr>
        <w:t>In addition, third parties may challenge or infringe upon our existing or future patents. Proceedings involving our patents or patent applications or those of others could result in adverse decisions regarding:</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patentability of our inventions relating to our product candidates; and/or</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enforceability, validity or scope of protection offered by our patents relating to our product candidates.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●incur substantial monetary damages;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●encounter significant delays in bringing our product candidates to market; and/or</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●be precluded from participating in the manufacture, use or sale of our product candidates or methods of treatment requiring licenses.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incur substantial liabilities from any product liability claims if our insurance coverage for those claims is inadequate.</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●decreased demand for our Immunotherapies;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●damage to our reputation;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●withdrawal of clinical trial participants;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●costs of related litigation;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●substantial monetary awards to patients or other claimants;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●loss of revenues;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inability to commercialize Immunotherapies; and</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●increased difficulty in raising required additional funds in the private and public capital markets.</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Risks Related to our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price of our common stock may be volatile.</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trading price of our common stock may fluctuate substantially. The price of our common stock that will prevail in the market may be higher or lower than the price at which our shares of common stock being registered by the registration statement of which this prospectus forms a part are resold,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sectPr>
      </w:pPr>
    </w:p>
    <w:bookmarkStart w:id="17" w:name="page18"/>
    <w:bookmarkEnd w:id="17"/>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price and volume of fluctuations in the overall stock market from time to time;</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fluctuations in stock market prices and trading volumes of similar companies;</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actual or anticipated changes in our net loss or fluctuations in our operating results or in the expectations of securities analysts;</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issuance of new equity securities pursuant to a future offering, including issuances of preferred stock;</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general economic conditions and trends;</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positive and negative events relating to healthcare and the overall pharmaceutical and biotech sector;</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major catastrophic events;</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sales of large blocks of our stock;</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significant dilution caused by the anti-dilutive clauses in our financial agreements;</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departures of key personnel;</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changes in the regulatory status of our Immunotherapies, including results of our clinical trials;</w:t>
      </w:r>
    </w:p>
    <w:p>
      <w:pPr>
        <w:spacing w:after="0" w:line="152"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events affecting Mayo Clinic, Mayo Foundation for Medical Education and Research or any future collaborators;</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announcements of new products or technologies, commercial relationships or other events by us or our competitors;</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regulatory developments in the United States and other countries;</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failure of our common stock to be listed or quoted on the OTCQB, the NASDAQ Capital Market, NYSE Amex Equities or other national market system;</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changes in accounting principles; and</w:t>
      </w:r>
    </w:p>
    <w:p>
      <w:pPr>
        <w:spacing w:after="0" w:line="170" w:lineRule="exact"/>
        <w:rPr>
          <w:rFonts w:ascii="Arial" w:cs="Arial" w:eastAsia="Arial" w:hAnsi="Arial"/>
          <w:sz w:val="12"/>
          <w:szCs w:val="12"/>
          <w:color w:val="auto"/>
        </w:rPr>
      </w:pPr>
    </w:p>
    <w:p>
      <w:pPr>
        <w:ind w:left="540" w:hanging="33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discussion of us or our stock price by the financial and scientific press and in online investor communities.</w:t>
      </w:r>
    </w:p>
    <w:p>
      <w:pPr>
        <w:spacing w:after="0" w:line="170"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DTC “Chill” on the electronic clearing of trades in our securities in the future may affect the liquidity of our stock and our ability to raise capital.</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720" w:right="19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t>You may have difficulty selling our shares because they may be deemed “penny stocks.”</w:t>
      </w:r>
    </w:p>
    <w:p>
      <w:pPr>
        <w:spacing w:after="0" w:line="156"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with a price of less than $5.00 per share;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●that are neither traded on a “recognized” national exchange nor listed on an automated quotation system sponsored by a registered national securities association meeting certain minimum initial listing standards; and</w:t>
      </w:r>
    </w:p>
    <w:p>
      <w:pPr>
        <w:spacing w:after="0" w:line="182" w:lineRule="exact"/>
        <w:rPr>
          <w:sz w:val="20"/>
          <w:szCs w:val="20"/>
          <w:color w:val="auto"/>
        </w:rPr>
      </w:pPr>
    </w:p>
    <w:p>
      <w:pPr>
        <w:ind w:left="540" w:hanging="325"/>
        <w:spacing w:after="0" w:line="279" w:lineRule="auto"/>
        <w:rPr>
          <w:sz w:val="20"/>
          <w:szCs w:val="20"/>
          <w:color w:val="auto"/>
        </w:rPr>
      </w:pPr>
      <w:r>
        <w:rPr>
          <w:rFonts w:ascii="Arial" w:cs="Arial" w:eastAsia="Arial" w:hAnsi="Arial"/>
          <w:sz w:val="12"/>
          <w:szCs w:val="12"/>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●obtain from the investor information about his or her financial situation, investment experience and investment objectives;</w:t>
      </w:r>
    </w:p>
    <w:p>
      <w:pPr>
        <w:spacing w:after="0" w:line="170" w:lineRule="exact"/>
        <w:rPr>
          <w:sz w:val="20"/>
          <w:szCs w:val="20"/>
          <w:color w:val="auto"/>
        </w:rPr>
      </w:pPr>
    </w:p>
    <w:p>
      <w:pPr>
        <w:ind w:left="540" w:hanging="330"/>
        <w:spacing w:after="0" w:line="279" w:lineRule="auto"/>
        <w:tabs>
          <w:tab w:leader="none" w:pos="305"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●provide the investor with a written statement setting forth the basis on which the broker-dealer made his or her determination; and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●receive a signed and dated copy of the statement from the investor, confirming that it accurately reflects the investor’s financial situation, investment experience and investment objectives.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Our stock closed at $1.02 per share on July 2, 2015 and the per share price of our common stock might not obtain or maintain the necessary levels to prevent our stock being subject to these rules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limited public trading market may cause volatility in the price of our common stock.</w:t>
      </w:r>
    </w:p>
    <w:p>
      <w:pPr>
        <w:spacing w:after="0" w:line="156"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The quotation of our common stock on the OTCQB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shareholders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89" w:right="19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color w:val="auto"/>
        </w:rPr>
        <w:t>The market prices for our common stock may be adversely impacted by future events.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Our common stock began trades on the over-the-counter-markets and is currently quoted on the OTCQB under the symbol “TPIV.OB” and on the Frankfurt and Berlin Stock Exchanges under the symbol “GX1A.” The listing on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Berlin Stock Exchange was done without the Company’s knowledge and consent. Market prices for our common stock and warrants will be influenced by a number of factors, including:</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issuance of new equity securities pursuant to a future offering, including issuances of preferred stock;</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●changes in interest rates;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●significant dilution caused by the anti-dilutive clauses in our financial agreements;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●competitive developments, including announcements by competitors of new products or services or significant contracts, acquisitions, strategic partnerships, joint ventures or capital commitments;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●variations in quarterly operating results;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●change in financial estimates by securities analysts;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depth and liquidity of the market for our common stock and warrants;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●investor perceptions of our company and the pharmaceutical and biotech industries generally; and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●general economic and other national conditions.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If we fail to remain current with our listing requirements, we could be removed from the OTCQB which would limit the ability of broker-dealers to sell our securities and the ability of shareholders to sell their securities in the secondary market.</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Companies trading on the OTCQB must be reporting issuers under Section 12 of the Securities Exchange Act, as amended. If we fail to file such reports in a timely manner, the shares of our common stock would eventually cease to be quoted on the OTCQB, and the market liquidity for our securities could be severely adversely affected by limiting the ability of broker-dealers to sell our securities and the ability of shareholders to sell their securities in the secondary market.</w:t>
      </w:r>
    </w:p>
    <w:p>
      <w:pPr>
        <w:spacing w:after="0" w:line="119" w:lineRule="exact"/>
        <w:rPr>
          <w:sz w:val="20"/>
          <w:szCs w:val="20"/>
          <w:color w:val="auto"/>
        </w:rPr>
      </w:pPr>
    </w:p>
    <w:p>
      <w:pPr>
        <w:jc w:val="both"/>
        <w:spacing w:after="0" w:line="334" w:lineRule="auto"/>
        <w:rPr>
          <w:sz w:val="20"/>
          <w:szCs w:val="20"/>
          <w:color w:val="auto"/>
        </w:rPr>
      </w:pPr>
      <w:r>
        <w:rPr>
          <w:rFonts w:ascii="Arial" w:cs="Arial" w:eastAsia="Arial" w:hAnsi="Arial"/>
          <w:sz w:val="11"/>
          <w:szCs w:val="11"/>
          <w:b w:val="1"/>
          <w:b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87"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of additional equity securities may adversely affect the market price of our common stock and your rights may be reduced.</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shareholders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89" w:right="19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color w:val="auto"/>
        </w:rPr>
        <w:t>Additional authorized shares of common stock available for issuance may adversely affect the market price of our securities.</w:t>
      </w:r>
    </w:p>
    <w:p>
      <w:pPr>
        <w:spacing w:after="0" w:line="174"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We are currently authorized to issue 500,000,000 shares of our common stock. As of July 2, 2015, we had 38,038,920 shares of our common stock issued and outstanding, excluding shares issuable upon exercise of our outstanding warrants, options and shares of common stock earned but not yet issued under Omnibus Stock Option Plan. Those outstanding shares represent 6.5% of our authorized shares, meaning that the ownership position of the current shareholders could be diluted significantly were we to issue a large number of additional shares. Fear of such ownership dilution could reduce the desirability of our shares and reduce the price at which you are able to resell your shares.</w:t>
      </w:r>
    </w:p>
    <w:p>
      <w:pPr>
        <w:spacing w:after="0" w:line="10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earnings and make our financial results unpredictable.</w:t>
      </w:r>
    </w:p>
    <w:p>
      <w:pPr>
        <w:spacing w:after="0" w:line="12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American Binomial Option Pricing Model and are subject to revaluation at each reporting date. Any change in fair value between reporting periods is reported on our statement of operations. At March 31, 2015, the fair value of the derivative liability – warrants was $2,052,975.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do not intend to pay cash dividends.</w:t>
      </w:r>
    </w:p>
    <w:p>
      <w:pPr>
        <w:spacing w:after="0" w:line="156" w:lineRule="exact"/>
        <w:rPr>
          <w:sz w:val="20"/>
          <w:szCs w:val="20"/>
          <w:color w:val="auto"/>
        </w:rPr>
      </w:pPr>
    </w:p>
    <w:p>
      <w:pPr>
        <w:jc w:val="both"/>
        <w:spacing w:after="0" w:line="326" w:lineRule="auto"/>
        <w:rPr>
          <w:sz w:val="20"/>
          <w:szCs w:val="20"/>
          <w:color w:val="auto"/>
        </w:rPr>
      </w:pPr>
      <w:r>
        <w:rPr>
          <w:rFonts w:ascii="Arial" w:cs="Arial" w:eastAsia="Arial" w:hAnsi="Arial"/>
          <w:sz w:val="11"/>
          <w:szCs w:val="11"/>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Nevada law has anti-takeover provisions that could discourage, delay or prevent a change in control, which may cause our stock price to decline.</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Nevada law contains provisions which could make it more difficult for a third party to acquire us, even if closing such a transaction would be beneficial to our shareholders. We are authorized to issue up to 5,000,000 shares of preferred stock. This preferred stock may be issued in one or more series, the terms of which may be determined at the time of issuance by our Board of Directors without further action by shareholders.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Provisions of Nevada law also could have the effect of discouraging potential acquisition proposals or making a tender offer or delaying or preventing a change in control, including changes a shareholder might consider favorable. Such provisions may also prevent or frustrate attempts by our shareholders to replace or remove our management. In particular, Nevada law, among other things, provides the Board of Directors with the ability to alter the Bylaws without shareholder approval, and provide that vacancies on the Board of Directors may be filled by a majority of directors in office, although less than a quorum.</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We are also subject to Section78.378 and78.379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143"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89" w:right="19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auto"/>
        </w:rPr>
        <w:t>Properties.</w:t>
      </w:r>
    </w:p>
    <w:p>
      <w:pPr>
        <w:spacing w:after="0" w:line="156" w:lineRule="exact"/>
        <w:rPr>
          <w:sz w:val="20"/>
          <w:szCs w:val="20"/>
          <w:color w:val="auto"/>
        </w:rPr>
      </w:pPr>
    </w:p>
    <w:p>
      <w:pPr>
        <w:ind w:right="240"/>
        <w:spacing w:after="0" w:line="279" w:lineRule="auto"/>
        <w:rPr>
          <w:sz w:val="20"/>
          <w:szCs w:val="20"/>
          <w:color w:val="auto"/>
        </w:rPr>
      </w:pPr>
      <w:r>
        <w:rPr>
          <w:rFonts w:ascii="Arial" w:cs="Arial" w:eastAsia="Arial" w:hAnsi="Arial"/>
          <w:sz w:val="12"/>
          <w:szCs w:val="12"/>
          <w:color w:val="auto"/>
        </w:rPr>
        <w:t>Our corporate offices are currently located at 1551 Eastlake Avenue East, Suite 100, Seattle, Washington, 98102.We are on a month-to-month basis with our landlord for our current facility which is approximately 2,682 square feet in Seattle, Washington.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USE OF PROCEEDS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We will not receive any proceeds from the sale of shares by the selling stockholders. The shares being resold by the selling stockholders will only be issued if the warrants are exercised, and we may receive proceeds of up to $36,703,547 if all of those warrants are exercised (to the extent the registration statement of which this prospectus is a part is then effective and, if applicable, the “cashless exercise” provision is not utilized by the holder). Any net proceeds we receive will be used for general corporate and working capital or other purposes that our Board of Directors deems to be in our best interest. As of the date of this prospectus, we cannot specify with certainty the particular uses for the net proceeds we may receive. Accordingly, we will retain broad discretion over the use of these proceeds, if 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DETERMINATION OF OFFERING PRICE</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selling stockholders will offer common stock at the prevailing market prices or privately negotiated price. The offering price of our common stock does not necessarily bear any relationship to our book value, assets, past operating results, financial condition or any other established criteria of value. Our common stock may not trade at market prices in excess of the offering price as prices for common stock in any public market will be determined in the marketplace and may be influenced by many factors, including the depth and liquidity.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SELLING STOCKHOLDERS</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shares of common stock being offered by the selling stockholders are those issuable to the selling stockholders upon the warrants as described in this prospectus. Upon the effectiveness of the registration statement of which this prospectus forms a part, the selling stockholders may offer the shares underlying those warrants for resale from time to time. Except as otherwise set out in this prospectus, the selling stockholders have not had any material relationship with us within the past three years.</w:t>
      </w:r>
    </w:p>
    <w:p>
      <w:pPr>
        <w:spacing w:after="0" w:line="141" w:lineRule="exact"/>
        <w:rPr>
          <w:sz w:val="20"/>
          <w:szCs w:val="20"/>
          <w:color w:val="auto"/>
        </w:rPr>
      </w:pPr>
    </w:p>
    <w:p>
      <w:pPr>
        <w:jc w:val="both"/>
        <w:spacing w:after="0" w:line="326" w:lineRule="auto"/>
        <w:rPr>
          <w:sz w:val="20"/>
          <w:szCs w:val="20"/>
          <w:color w:val="auto"/>
        </w:rPr>
      </w:pPr>
      <w:r>
        <w:rPr>
          <w:rFonts w:ascii="Arial" w:cs="Arial" w:eastAsia="Arial" w:hAnsi="Arial"/>
          <w:sz w:val="11"/>
          <w:szCs w:val="11"/>
          <w:color w:val="auto"/>
        </w:rPr>
        <w:t>The table below lists the selling stockholders and other information regarding the ownership of shares of common stock by each of the selling stockholders. The second column lists the number of shares of common stock owned by the selling stockholders as of July 2, 2015, assuming exercise of the warrants held by each such selling stockholder on that date and not taking account of any limitations on conversion and exercise set forth therein.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The third column lists the shares of common stock being offered by this Prospectus by the selling stockholders and does not take in account any limitations on exercise of the warrants set forth therein.</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fourth column assumes the sale of all of the shares offered by the selling stockholders pursuant to this Prospectus.</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Under the terms of the warrants, a selling stockholder may not (i) exercise the warrants issued in August 2014, the Series A Warrants, the Series D Warrants or the Series E Warrants to the extent (but only to the extent) such selling stockholder or any of its affiliates would beneficially own a number of shares of our common stock which would exceed 4.9%, (ii) exercise the Series B or the Series C Warrants to the extent (but only to the extent) such selling stockholder or any of its affiliates would beneficially own a number of shares of our common stock which would exceed 9.9% and (iii) exercise the Series A-1 Warrants, the Series B-1 Warrants, the Series C-1 Warrants, the Series D-1 Warrants or the Series E-1 Warrants to the extent (but only to the extent) such selling stockholder or any of its affiliates would beneficially own a number of shares of our common stock which would exceed 49.9%. The number of shares in the second column and the third column do not reflect these limitations. The selling stockholders may sell all, some or none of their shares in this offering. See “Plan of Distribution”.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89" w:right="199" w:bottom="1440" w:gutter="0" w:footer="0" w:header="0"/>
        </w:sectPr>
      </w:pPr>
    </w:p>
    <w:bookmarkStart w:id="22" w:name="page23"/>
    <w:bookmarkEnd w:id="22"/>
    <w:tbl>
      <w:tblPr>
        <w:tblLayout w:type="fixed"/>
        <w:tblInd w:w="7" w:type="dxa"/>
        <w:tblCellMar>
          <w:top w:w="0" w:type="dxa"/>
          <w:left w:w="0" w:type="dxa"/>
          <w:bottom w:w="0" w:type="dxa"/>
          <w:right w:w="0" w:type="dxa"/>
        </w:tblCellMar>
      </w:tblPr>
      <w:tr>
        <w:trPr>
          <w:trHeight w:val="141"/>
        </w:trPr>
        <w:tc>
          <w:tcPr>
            <w:tcW w:w="5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120"/>
              <w:spacing w:after="0"/>
              <w:rPr>
                <w:sz w:val="20"/>
                <w:szCs w:val="20"/>
                <w:color w:val="auto"/>
              </w:rPr>
            </w:pPr>
            <w:r>
              <w:rPr>
                <w:rFonts w:ascii="Arial" w:cs="Arial" w:eastAsia="Arial" w:hAnsi="Arial"/>
                <w:sz w:val="12"/>
                <w:szCs w:val="12"/>
                <w:b w:val="1"/>
                <w:bCs w:val="1"/>
                <w:color w:val="auto"/>
              </w:rPr>
              <w:t>Maximum Number of</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r>
      <w:tr>
        <w:trPr>
          <w:trHeight w:val="145"/>
        </w:trPr>
        <w:tc>
          <w:tcPr>
            <w:tcW w:w="5780" w:type="dxa"/>
            <w:vAlign w:val="bottom"/>
          </w:tcPr>
          <w:p>
            <w:pPr>
              <w:spacing w:after="0"/>
              <w:rPr>
                <w:sz w:val="12"/>
                <w:szCs w:val="12"/>
                <w:color w:val="auto"/>
              </w:rPr>
            </w:pPr>
          </w:p>
        </w:tc>
        <w:tc>
          <w:tcPr>
            <w:tcW w:w="1380" w:type="dxa"/>
            <w:vAlign w:val="bottom"/>
            <w:gridSpan w:val="3"/>
          </w:tcPr>
          <w:p>
            <w:pPr>
              <w:ind w:left="120"/>
              <w:spacing w:after="0"/>
              <w:rPr>
                <w:sz w:val="20"/>
                <w:szCs w:val="20"/>
                <w:color w:val="auto"/>
              </w:rPr>
            </w:pPr>
            <w:r>
              <w:rPr>
                <w:rFonts w:ascii="Arial" w:cs="Arial" w:eastAsia="Arial" w:hAnsi="Arial"/>
                <w:sz w:val="12"/>
                <w:szCs w:val="12"/>
                <w:b w:val="1"/>
                <w:bCs w:val="1"/>
                <w:color w:val="auto"/>
              </w:rPr>
              <w:t>Number of Shares of</w:t>
            </w:r>
          </w:p>
        </w:tc>
        <w:tc>
          <w:tcPr>
            <w:tcW w:w="148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 of Common</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spacing w:after="0"/>
              <w:rPr>
                <w:sz w:val="20"/>
                <w:szCs w:val="20"/>
                <w:color w:val="auto"/>
              </w:rPr>
            </w:pPr>
            <w:r>
              <w:rPr>
                <w:rFonts w:ascii="Arial" w:cs="Arial" w:eastAsia="Arial" w:hAnsi="Arial"/>
                <w:sz w:val="12"/>
                <w:szCs w:val="12"/>
                <w:b w:val="1"/>
                <w:bCs w:val="1"/>
                <w:color w:val="auto"/>
              </w:rPr>
              <w:t>Percentage of Shares</w:t>
            </w:r>
          </w:p>
        </w:tc>
      </w:tr>
      <w:tr>
        <w:trPr>
          <w:trHeight w:val="145"/>
        </w:trPr>
        <w:tc>
          <w:tcPr>
            <w:tcW w:w="5780" w:type="dxa"/>
            <w:vAlign w:val="bottom"/>
          </w:tcPr>
          <w:p>
            <w:pPr>
              <w:spacing w:after="0"/>
              <w:rPr>
                <w:sz w:val="12"/>
                <w:szCs w:val="12"/>
                <w:color w:val="auto"/>
              </w:rPr>
            </w:pPr>
          </w:p>
        </w:tc>
        <w:tc>
          <w:tcPr>
            <w:tcW w:w="1380" w:type="dxa"/>
            <w:vAlign w:val="bottom"/>
            <w:gridSpan w:val="3"/>
          </w:tcPr>
          <w:p>
            <w:pPr>
              <w:ind w:left="120"/>
              <w:spacing w:after="0"/>
              <w:rPr>
                <w:sz w:val="20"/>
                <w:szCs w:val="20"/>
                <w:color w:val="auto"/>
              </w:rPr>
            </w:pPr>
            <w:r>
              <w:rPr>
                <w:rFonts w:ascii="Arial" w:cs="Arial" w:eastAsia="Arial" w:hAnsi="Arial"/>
                <w:sz w:val="12"/>
                <w:szCs w:val="12"/>
                <w:b w:val="1"/>
                <w:bCs w:val="1"/>
                <w:color w:val="auto"/>
              </w:rPr>
              <w:t>Common Stock</w:t>
            </w:r>
          </w:p>
        </w:tc>
        <w:tc>
          <w:tcPr>
            <w:tcW w:w="1480" w:type="dxa"/>
            <w:vAlign w:val="bottom"/>
            <w:gridSpan w:val="3"/>
          </w:tcPr>
          <w:p>
            <w:pPr>
              <w:ind w:left="120"/>
              <w:spacing w:after="0"/>
              <w:rPr>
                <w:sz w:val="20"/>
                <w:szCs w:val="20"/>
                <w:color w:val="auto"/>
              </w:rPr>
            </w:pPr>
            <w:r>
              <w:rPr>
                <w:rFonts w:ascii="Arial" w:cs="Arial" w:eastAsia="Arial" w:hAnsi="Arial"/>
                <w:sz w:val="12"/>
                <w:szCs w:val="12"/>
                <w:b w:val="1"/>
                <w:bCs w:val="1"/>
                <w:color w:val="auto"/>
              </w:rPr>
              <w:t>Stock to be Sold</w:t>
            </w: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Number of Shares of</w:t>
            </w:r>
          </w:p>
        </w:tc>
        <w:tc>
          <w:tcPr>
            <w:tcW w:w="1320" w:type="dxa"/>
            <w:vAlign w:val="bottom"/>
            <w:gridSpan w:val="2"/>
          </w:tcPr>
          <w:p>
            <w:pPr>
              <w:spacing w:after="0"/>
              <w:rPr>
                <w:sz w:val="20"/>
                <w:szCs w:val="20"/>
                <w:color w:val="auto"/>
              </w:rPr>
            </w:pPr>
            <w:r>
              <w:rPr>
                <w:rFonts w:ascii="Arial" w:cs="Arial" w:eastAsia="Arial" w:hAnsi="Arial"/>
                <w:sz w:val="12"/>
                <w:szCs w:val="12"/>
                <w:b w:val="1"/>
                <w:bCs w:val="1"/>
                <w:color w:val="auto"/>
              </w:rPr>
              <w:t>of Common Stock</w:t>
            </w:r>
          </w:p>
        </w:tc>
      </w:tr>
      <w:tr>
        <w:trPr>
          <w:trHeight w:val="145"/>
        </w:trPr>
        <w:tc>
          <w:tcPr>
            <w:tcW w:w="5780" w:type="dxa"/>
            <w:vAlign w:val="bottom"/>
          </w:tcPr>
          <w:p>
            <w:pPr>
              <w:spacing w:after="0"/>
              <w:rPr>
                <w:sz w:val="12"/>
                <w:szCs w:val="12"/>
                <w:color w:val="auto"/>
              </w:rPr>
            </w:pPr>
          </w:p>
        </w:tc>
        <w:tc>
          <w:tcPr>
            <w:tcW w:w="1380" w:type="dxa"/>
            <w:vAlign w:val="bottom"/>
            <w:gridSpan w:val="3"/>
          </w:tcPr>
          <w:p>
            <w:pPr>
              <w:ind w:left="120"/>
              <w:spacing w:after="0"/>
              <w:rPr>
                <w:sz w:val="20"/>
                <w:szCs w:val="20"/>
                <w:color w:val="auto"/>
              </w:rPr>
            </w:pPr>
            <w:r>
              <w:rPr>
                <w:rFonts w:ascii="Arial" w:cs="Arial" w:eastAsia="Arial" w:hAnsi="Arial"/>
                <w:sz w:val="12"/>
                <w:szCs w:val="12"/>
                <w:b w:val="1"/>
                <w:bCs w:val="1"/>
                <w:color w:val="auto"/>
              </w:rPr>
              <w:t>Owned Prior to</w:t>
            </w:r>
          </w:p>
        </w:tc>
        <w:tc>
          <w:tcPr>
            <w:tcW w:w="1480" w:type="dxa"/>
            <w:vAlign w:val="bottom"/>
            <w:gridSpan w:val="3"/>
          </w:tcPr>
          <w:p>
            <w:pPr>
              <w:ind w:left="120"/>
              <w:spacing w:after="0"/>
              <w:rPr>
                <w:sz w:val="20"/>
                <w:szCs w:val="20"/>
                <w:color w:val="auto"/>
              </w:rPr>
            </w:pPr>
            <w:r>
              <w:rPr>
                <w:rFonts w:ascii="Arial" w:cs="Arial" w:eastAsia="Arial" w:hAnsi="Arial"/>
                <w:sz w:val="12"/>
                <w:szCs w:val="12"/>
                <w:b w:val="1"/>
                <w:bCs w:val="1"/>
                <w:color w:val="auto"/>
              </w:rPr>
              <w:t>Pursuant to this</w:t>
            </w: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Common Stock</w:t>
            </w:r>
          </w:p>
        </w:tc>
        <w:tc>
          <w:tcPr>
            <w:tcW w:w="1320" w:type="dxa"/>
            <w:vAlign w:val="bottom"/>
            <w:gridSpan w:val="2"/>
          </w:tcPr>
          <w:p>
            <w:pPr>
              <w:spacing w:after="0"/>
              <w:rPr>
                <w:sz w:val="20"/>
                <w:szCs w:val="20"/>
                <w:color w:val="auto"/>
              </w:rPr>
            </w:pPr>
            <w:r>
              <w:rPr>
                <w:rFonts w:ascii="Arial" w:cs="Arial" w:eastAsia="Arial" w:hAnsi="Arial"/>
                <w:sz w:val="12"/>
                <w:szCs w:val="12"/>
                <w:b w:val="1"/>
                <w:bCs w:val="1"/>
                <w:color w:val="auto"/>
              </w:rPr>
              <w:t>Owned After the</w:t>
            </w:r>
          </w:p>
        </w:tc>
      </w:tr>
      <w:tr>
        <w:trPr>
          <w:trHeight w:val="158"/>
        </w:trPr>
        <w:tc>
          <w:tcPr>
            <w:tcW w:w="5780" w:type="dxa"/>
            <w:vAlign w:val="bottom"/>
          </w:tcPr>
          <w:p>
            <w:pPr>
              <w:spacing w:after="0"/>
              <w:rPr>
                <w:sz w:val="20"/>
                <w:szCs w:val="20"/>
                <w:color w:val="auto"/>
              </w:rPr>
            </w:pPr>
            <w:r>
              <w:rPr>
                <w:rFonts w:ascii="Arial" w:cs="Arial" w:eastAsia="Arial" w:hAnsi="Arial"/>
                <w:sz w:val="12"/>
                <w:szCs w:val="12"/>
                <w:b w:val="1"/>
                <w:bCs w:val="1"/>
                <w:color w:val="auto"/>
              </w:rPr>
              <w:t>Name of Selling Stockholder</w:t>
            </w:r>
          </w:p>
        </w:tc>
        <w:tc>
          <w:tcPr>
            <w:tcW w:w="1380" w:type="dxa"/>
            <w:vAlign w:val="bottom"/>
            <w:gridSpan w:val="3"/>
          </w:tcPr>
          <w:p>
            <w:pPr>
              <w:ind w:left="120"/>
              <w:spacing w:after="0"/>
              <w:rPr>
                <w:sz w:val="20"/>
                <w:szCs w:val="20"/>
                <w:color w:val="auto"/>
              </w:rPr>
            </w:pPr>
            <w:r>
              <w:rPr>
                <w:rFonts w:ascii="Arial" w:cs="Arial" w:eastAsia="Arial" w:hAnsi="Arial"/>
                <w:sz w:val="12"/>
                <w:szCs w:val="12"/>
                <w:b w:val="1"/>
                <w:bCs w:val="1"/>
                <w:color w:val="auto"/>
              </w:rPr>
              <w:t>Offering</w:t>
            </w:r>
          </w:p>
        </w:tc>
        <w:tc>
          <w:tcPr>
            <w:tcW w:w="1480" w:type="dxa"/>
            <w:vAlign w:val="bottom"/>
            <w:gridSpan w:val="3"/>
          </w:tcPr>
          <w:p>
            <w:pPr>
              <w:ind w:left="120"/>
              <w:spacing w:after="0"/>
              <w:rPr>
                <w:sz w:val="20"/>
                <w:szCs w:val="20"/>
                <w:color w:val="auto"/>
              </w:rPr>
            </w:pPr>
            <w:r>
              <w:rPr>
                <w:rFonts w:ascii="Arial" w:cs="Arial" w:eastAsia="Arial" w:hAnsi="Arial"/>
                <w:sz w:val="12"/>
                <w:szCs w:val="12"/>
                <w:b w:val="1"/>
                <w:bCs w:val="1"/>
                <w:color w:val="auto"/>
              </w:rPr>
              <w:t>Prospectus (1)</w:t>
            </w: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Owned After Offering</w:t>
            </w:r>
          </w:p>
        </w:tc>
        <w:tc>
          <w:tcPr>
            <w:tcW w:w="1320" w:type="dxa"/>
            <w:vAlign w:val="bottom"/>
            <w:gridSpan w:val="2"/>
          </w:tcPr>
          <w:p>
            <w:pPr>
              <w:spacing w:after="0"/>
              <w:rPr>
                <w:sz w:val="20"/>
                <w:szCs w:val="20"/>
                <w:color w:val="auto"/>
              </w:rPr>
            </w:pPr>
            <w:r>
              <w:rPr>
                <w:rFonts w:ascii="Arial" w:cs="Arial" w:eastAsia="Arial" w:hAnsi="Arial"/>
                <w:sz w:val="12"/>
                <w:szCs w:val="12"/>
                <w:b w:val="1"/>
                <w:bCs w:val="1"/>
                <w:color w:val="auto"/>
              </w:rPr>
              <w:t>Offering (2)</w:t>
            </w:r>
          </w:p>
        </w:tc>
      </w:tr>
      <w:tr>
        <w:trPr>
          <w:trHeight w:val="143"/>
        </w:trPr>
        <w:tc>
          <w:tcPr>
            <w:tcW w:w="5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Empery Asset Master, LTD (3)</w:t>
            </w:r>
          </w:p>
        </w:tc>
        <w:tc>
          <w:tcPr>
            <w:tcW w:w="1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6,590,156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5,160,836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1,429,320</w:t>
            </w:r>
          </w:p>
        </w:tc>
        <w:tc>
          <w:tcPr>
            <w:tcW w:w="2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143"/>
        </w:trPr>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Empery Tax Efficient, LP (4)</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1,495,465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1,153,691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341,774</w:t>
            </w:r>
          </w:p>
        </w:tc>
        <w:tc>
          <w:tcPr>
            <w:tcW w:w="240" w:type="dxa"/>
            <w:vAlign w:val="bottom"/>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143"/>
        </w:trPr>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Empery Tax Efficient II, LP (5)</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10,041,171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7,172,265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2,868,906</w:t>
            </w:r>
          </w:p>
        </w:tc>
        <w:tc>
          <w:tcPr>
            <w:tcW w:w="240" w:type="dxa"/>
            <w:vAlign w:val="bottom"/>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143"/>
        </w:trPr>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Iroquois Master Fund Ltd. (6)</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8,750,000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6,250,000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143"/>
        </w:trPr>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American Capital Management LLC (7)</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2,250,000</w:t>
            </w:r>
          </w:p>
        </w:tc>
        <w:tc>
          <w:tcPr>
            <w:tcW w:w="240" w:type="dxa"/>
            <w:vAlign w:val="bottom"/>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&lt;1%</w:t>
            </w:r>
          </w:p>
        </w:tc>
        <w:tc>
          <w:tcPr>
            <w:tcW w:w="140" w:type="dxa"/>
            <w:vAlign w:val="bottom"/>
          </w:tcPr>
          <w:p>
            <w:pPr>
              <w:spacing w:after="0"/>
              <w:rPr>
                <w:sz w:val="12"/>
                <w:szCs w:val="12"/>
                <w:color w:val="auto"/>
              </w:rPr>
            </w:pPr>
          </w:p>
        </w:tc>
      </w:tr>
      <w:tr>
        <w:trPr>
          <w:trHeight w:val="143"/>
        </w:trPr>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The Merav Abbe Irrevocable Trust (8)</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750,000</w:t>
            </w:r>
          </w:p>
        </w:tc>
        <w:tc>
          <w:tcPr>
            <w:tcW w:w="240" w:type="dxa"/>
            <w:vAlign w:val="bottom"/>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&lt;1%</w:t>
            </w:r>
          </w:p>
        </w:tc>
        <w:tc>
          <w:tcPr>
            <w:tcW w:w="140" w:type="dxa"/>
            <w:vAlign w:val="bottom"/>
          </w:tcPr>
          <w:p>
            <w:pPr>
              <w:spacing w:after="0"/>
              <w:rPr>
                <w:sz w:val="12"/>
                <w:szCs w:val="12"/>
                <w:color w:val="auto"/>
              </w:rPr>
            </w:pPr>
          </w:p>
        </w:tc>
      </w:tr>
      <w:tr>
        <w:trPr>
          <w:trHeight w:val="143"/>
        </w:trPr>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The Samantha Abbe Irrevocable Trust (9)</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666,680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416,675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250,005</w:t>
            </w:r>
          </w:p>
        </w:tc>
        <w:tc>
          <w:tcPr>
            <w:tcW w:w="240" w:type="dxa"/>
            <w:vAlign w:val="bottom"/>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&lt;1%</w:t>
            </w:r>
          </w:p>
        </w:tc>
        <w:tc>
          <w:tcPr>
            <w:tcW w:w="140" w:type="dxa"/>
            <w:vAlign w:val="bottom"/>
          </w:tcPr>
          <w:p>
            <w:pPr>
              <w:spacing w:after="0"/>
              <w:rPr>
                <w:sz w:val="12"/>
                <w:szCs w:val="12"/>
                <w:color w:val="auto"/>
              </w:rPr>
            </w:pPr>
          </w:p>
        </w:tc>
      </w:tr>
      <w:tr>
        <w:trPr>
          <w:trHeight w:val="143"/>
        </w:trPr>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The Talia Abbe Irrevocable Trust (10)</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666,640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416,650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249,990</w:t>
            </w:r>
          </w:p>
        </w:tc>
        <w:tc>
          <w:tcPr>
            <w:tcW w:w="240" w:type="dxa"/>
            <w:vAlign w:val="bottom"/>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&lt;1%</w:t>
            </w:r>
          </w:p>
        </w:tc>
        <w:tc>
          <w:tcPr>
            <w:tcW w:w="140" w:type="dxa"/>
            <w:vAlign w:val="bottom"/>
          </w:tcPr>
          <w:p>
            <w:pPr>
              <w:spacing w:after="0"/>
              <w:rPr>
                <w:sz w:val="12"/>
                <w:szCs w:val="12"/>
                <w:color w:val="auto"/>
              </w:rPr>
            </w:pPr>
          </w:p>
        </w:tc>
      </w:tr>
      <w:tr>
        <w:trPr>
          <w:trHeight w:val="143"/>
        </w:trPr>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The Bennett Abbe Irrevocable Trust (11)</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666,640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416,650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249,990</w:t>
            </w:r>
          </w:p>
        </w:tc>
        <w:tc>
          <w:tcPr>
            <w:tcW w:w="240" w:type="dxa"/>
            <w:vAlign w:val="bottom"/>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&lt;1%</w:t>
            </w:r>
          </w:p>
        </w:tc>
        <w:tc>
          <w:tcPr>
            <w:tcW w:w="140" w:type="dxa"/>
            <w:vAlign w:val="bottom"/>
          </w:tcPr>
          <w:p>
            <w:pPr>
              <w:spacing w:after="0"/>
              <w:rPr>
                <w:sz w:val="12"/>
                <w:szCs w:val="12"/>
                <w:color w:val="auto"/>
              </w:rPr>
            </w:pPr>
          </w:p>
        </w:tc>
      </w:tr>
      <w:tr>
        <w:trPr>
          <w:trHeight w:val="143"/>
        </w:trPr>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Brio Capital Master Fund, Ltd. (12)</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143"/>
        </w:trPr>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Eastern Capital Limited (13)</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10,000,000</w:t>
            </w:r>
          </w:p>
        </w:tc>
        <w:tc>
          <w:tcPr>
            <w:tcW w:w="240" w:type="dxa"/>
            <w:vAlign w:val="bottom"/>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r>
    </w:tbl>
    <w:p>
      <w:pPr>
        <w:spacing w:after="0" w:line="136" w:lineRule="exact"/>
        <w:rPr>
          <w:sz w:val="20"/>
          <w:szCs w:val="20"/>
          <w:color w:val="auto"/>
        </w:rPr>
      </w:pPr>
    </w:p>
    <w:p>
      <w:pPr>
        <w:ind w:left="647" w:hanging="647"/>
        <w:spacing w:after="0" w:line="259" w:lineRule="auto"/>
        <w:tabs>
          <w:tab w:leader="none" w:pos="647"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shares of Common Stock underlying warrants held by the Selling Stockholder that are covered by this Prospectus, including any convertible securities that, due to contractual restrictions, may not be exercisable if such exercise would result in beneficial ownership greater than 4.9%, 9.9% and 49.9%, as applicable.</w:t>
      </w:r>
    </w:p>
    <w:p>
      <w:pPr>
        <w:jc w:val="both"/>
        <w:ind w:left="647" w:hanging="647"/>
        <w:spacing w:after="0" w:line="252" w:lineRule="auto"/>
        <w:tabs>
          <w:tab w:leader="none" w:pos="647" w:val="left"/>
        </w:tabs>
        <w:numPr>
          <w:ilvl w:val="0"/>
          <w:numId w:val="12"/>
        </w:numPr>
        <w:rPr>
          <w:rFonts w:ascii="Arial" w:cs="Arial" w:eastAsia="Arial" w:hAnsi="Arial"/>
          <w:sz w:val="12"/>
          <w:szCs w:val="12"/>
          <w:color w:val="auto"/>
        </w:rPr>
      </w:pPr>
      <w:r>
        <w:rPr>
          <w:rFonts w:ascii="Arial" w:cs="Arial" w:eastAsia="Arial" w:hAnsi="Arial"/>
          <w:sz w:val="12"/>
          <w:szCs w:val="12"/>
          <w:color w:val="auto"/>
        </w:rPr>
        <w:t>Based on 101,525,712 shares of common stock, which includes 38,038,920 shares of common stock issued and outstanding on July 2, 2015 and all 63,486,792 shares of common stock being offered in this Prospectus that may be issued upon exercise of the warrants. In determining this amount, we assumed that all 63,486,792 shares of common stock being offered in this Prospectus that may be issued upon exercise of the warrants will be sold. If this assumption is incorrect, the number of shares and percentages included in this column will differ from what we have provided.</w:t>
      </w:r>
    </w:p>
    <w:p>
      <w:pPr>
        <w:jc w:val="both"/>
        <w:ind w:left="647" w:hanging="647"/>
        <w:spacing w:after="0" w:line="258" w:lineRule="auto"/>
        <w:tabs>
          <w:tab w:leader="none" w:pos="647" w:val="left"/>
        </w:tabs>
        <w:numPr>
          <w:ilvl w:val="0"/>
          <w:numId w:val="12"/>
        </w:numPr>
        <w:rPr>
          <w:rFonts w:ascii="Arial" w:cs="Arial" w:eastAsia="Arial" w:hAnsi="Arial"/>
          <w:sz w:val="12"/>
          <w:szCs w:val="12"/>
          <w:color w:val="auto"/>
        </w:rPr>
      </w:pPr>
      <w:r>
        <w:rPr>
          <w:rFonts w:ascii="Arial" w:cs="Arial" w:eastAsia="Arial" w:hAnsi="Arial"/>
          <w:sz w:val="12"/>
          <w:szCs w:val="12"/>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126" w:lineRule="exact"/>
        <w:rPr>
          <w:rFonts w:ascii="Arial" w:cs="Arial" w:eastAsia="Arial" w:hAnsi="Arial"/>
          <w:sz w:val="12"/>
          <w:szCs w:val="12"/>
          <w:color w:val="auto"/>
        </w:rPr>
      </w:pPr>
    </w:p>
    <w:p>
      <w:pPr>
        <w:jc w:val="both"/>
        <w:ind w:left="647"/>
        <w:spacing w:after="0" w:line="265" w:lineRule="auto"/>
        <w:rPr>
          <w:rFonts w:ascii="Arial" w:cs="Arial" w:eastAsia="Arial" w:hAnsi="Arial"/>
          <w:sz w:val="12"/>
          <w:szCs w:val="12"/>
          <w:color w:val="auto"/>
        </w:rPr>
      </w:pPr>
      <w:r>
        <w:rPr>
          <w:rFonts w:ascii="Arial" w:cs="Arial" w:eastAsia="Arial" w:hAnsi="Arial"/>
          <w:sz w:val="12"/>
          <w:szCs w:val="12"/>
          <w:color w:val="auto"/>
        </w:rPr>
        <w:t>“Number of Shares of Common Stock Owned Prior to Offering” includes this shareholder’s “Shares of Common Stock to be Sold Pursuant to this Prospectus” and 1,429,320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22" w:lineRule="exact"/>
        <w:rPr>
          <w:rFonts w:ascii="Arial" w:cs="Arial" w:eastAsia="Arial" w:hAnsi="Arial"/>
          <w:sz w:val="12"/>
          <w:szCs w:val="12"/>
          <w:color w:val="auto"/>
        </w:rPr>
      </w:pPr>
    </w:p>
    <w:p>
      <w:pPr>
        <w:jc w:val="both"/>
        <w:ind w:left="647"/>
        <w:spacing w:after="0" w:line="280" w:lineRule="auto"/>
        <w:rPr>
          <w:rFonts w:ascii="Arial" w:cs="Arial" w:eastAsia="Arial" w:hAnsi="Arial"/>
          <w:sz w:val="12"/>
          <w:szCs w:val="12"/>
          <w:color w:val="auto"/>
        </w:rPr>
      </w:pPr>
      <w:r>
        <w:rPr>
          <w:rFonts w:ascii="Arial" w:cs="Arial" w:eastAsia="Arial" w:hAnsi="Arial"/>
          <w:sz w:val="11"/>
          <w:szCs w:val="11"/>
          <w:color w:val="auto"/>
        </w:rPr>
        <w:t>“Shares of Common Stock to be Sold Pursuant to this Prospectus” includes (i) 1,587,536 shares of common stock issuable upon exercise of the warrants sold in August 2014, (ii) 714,660 shares of common stock issuable upon exercise of the Series A Warrants, (iii) 714,660 shares of common stock issuable upon exercise of the Series B Warrants, (iv) 714,660 shares of common stock issuable upon exercise of the Series C Warrants, (v) 714,660 shares of common stock issuable upon exercise of the Series D Warrants and (vi) 714,660 shares of common stock issuable upon exercise of the Series E Warrants.</w:t>
      </w:r>
    </w:p>
    <w:p>
      <w:pPr>
        <w:jc w:val="both"/>
        <w:ind w:left="647" w:hanging="617"/>
        <w:spacing w:after="0" w:line="258" w:lineRule="auto"/>
        <w:tabs>
          <w:tab w:leader="none" w:pos="647" w:val="left"/>
        </w:tabs>
        <w:numPr>
          <w:ilvl w:val="1"/>
          <w:numId w:val="12"/>
        </w:numPr>
        <w:rPr>
          <w:rFonts w:ascii="Arial" w:cs="Arial" w:eastAsia="Arial" w:hAnsi="Arial"/>
          <w:sz w:val="12"/>
          <w:szCs w:val="12"/>
          <w:color w:val="auto"/>
        </w:rPr>
      </w:pPr>
      <w:r>
        <w:rPr>
          <w:rFonts w:ascii="Arial" w:cs="Arial" w:eastAsia="Arial" w:hAnsi="Arial"/>
          <w:sz w:val="12"/>
          <w:szCs w:val="12"/>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126" w:lineRule="exact"/>
        <w:rPr>
          <w:rFonts w:ascii="Arial" w:cs="Arial" w:eastAsia="Arial" w:hAnsi="Arial"/>
          <w:sz w:val="12"/>
          <w:szCs w:val="12"/>
          <w:color w:val="auto"/>
        </w:rPr>
      </w:pPr>
    </w:p>
    <w:p>
      <w:pPr>
        <w:jc w:val="both"/>
        <w:ind w:left="647"/>
        <w:spacing w:after="0" w:line="265" w:lineRule="auto"/>
        <w:rPr>
          <w:rFonts w:ascii="Arial" w:cs="Arial" w:eastAsia="Arial" w:hAnsi="Arial"/>
          <w:sz w:val="12"/>
          <w:szCs w:val="12"/>
          <w:color w:val="auto"/>
        </w:rPr>
      </w:pPr>
      <w:r>
        <w:rPr>
          <w:rFonts w:ascii="Arial" w:cs="Arial" w:eastAsia="Arial" w:hAnsi="Arial"/>
          <w:sz w:val="12"/>
          <w:szCs w:val="12"/>
          <w:color w:val="auto"/>
        </w:rPr>
        <w:t>“Number of Shares of Common Stock Owned Prior to Offering” includes this shareholder’s “Shares of Common Stock to be Sold Pursuant to this Prospectus” and 341,774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22" w:lineRule="exact"/>
        <w:rPr>
          <w:rFonts w:ascii="Arial" w:cs="Arial" w:eastAsia="Arial" w:hAnsi="Arial"/>
          <w:sz w:val="12"/>
          <w:szCs w:val="12"/>
          <w:color w:val="auto"/>
        </w:rPr>
      </w:pPr>
    </w:p>
    <w:p>
      <w:pPr>
        <w:jc w:val="both"/>
        <w:ind w:left="647"/>
        <w:spacing w:after="0" w:line="265" w:lineRule="auto"/>
        <w:rPr>
          <w:rFonts w:ascii="Arial" w:cs="Arial" w:eastAsia="Arial" w:hAnsi="Arial"/>
          <w:sz w:val="12"/>
          <w:szCs w:val="12"/>
          <w:color w:val="auto"/>
        </w:rPr>
      </w:pPr>
      <w:r>
        <w:rPr>
          <w:rFonts w:ascii="Arial" w:cs="Arial" w:eastAsia="Arial" w:hAnsi="Arial"/>
          <w:sz w:val="12"/>
          <w:szCs w:val="12"/>
          <w:color w:val="auto"/>
        </w:rPr>
        <w:t>“Shares of Common Stock to be Sold Pursuant to this Prospectus” includes (i) 299,256 shares of common stock issuable upon exercise of the warrants sold in August 2014, (ii) 170,887 shares of common stock issuable upon exercise of the Series A Warrants, (iii) 170,887 shares of common stock issuable upon exercise of the Series B Warrants, (iv) 170,887 shares of common stock issuable upon exercise of the Series C Warrants, (v) 170,887 shares of common stock issuable upon exercise of the Series D Warrants and (vi) 170,887 shares of common stock issuable upon exercise of the Series E Warrants.</w:t>
      </w:r>
    </w:p>
    <w:p>
      <w:pPr>
        <w:spacing w:after="0" w:line="200" w:lineRule="exact"/>
        <w:rPr>
          <w:sz w:val="20"/>
          <w:szCs w:val="20"/>
          <w:color w:val="auto"/>
        </w:rPr>
      </w:pP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98690"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7"/>
          </w:cols>
          <w:pgMar w:left="213" w:top="690" w:right="199" w:bottom="1440" w:gutter="0" w:footer="0" w:header="0"/>
        </w:sectPr>
      </w:pPr>
    </w:p>
    <w:bookmarkStart w:id="23" w:name="page24"/>
    <w:bookmarkEnd w:id="23"/>
    <w:p>
      <w:pPr>
        <w:jc w:val="both"/>
        <w:ind w:left="647" w:hanging="647"/>
        <w:spacing w:after="0" w:line="265" w:lineRule="auto"/>
        <w:tabs>
          <w:tab w:leader="none" w:pos="647" w:val="left"/>
        </w:tabs>
        <w:numPr>
          <w:ilvl w:val="0"/>
          <w:numId w:val="13"/>
        </w:numPr>
        <w:rPr>
          <w:rFonts w:ascii="Arial" w:cs="Arial" w:eastAsia="Arial" w:hAnsi="Arial"/>
          <w:sz w:val="12"/>
          <w:szCs w:val="12"/>
          <w:color w:val="auto"/>
        </w:rPr>
      </w:pPr>
      <w:r>
        <w:rPr>
          <w:rFonts w:ascii="Arial" w:cs="Arial" w:eastAsia="Arial" w:hAnsi="Arial"/>
          <w:sz w:val="12"/>
          <w:szCs w:val="12"/>
          <w:color w:val="auto"/>
        </w:rPr>
        <w:t>Empery Asset Management LP, the authorized agent of Empery Tax Efficient,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w:t>
      </w:r>
    </w:p>
    <w:p>
      <w:pPr>
        <w:spacing w:after="0" w:line="122" w:lineRule="exact"/>
        <w:rPr>
          <w:rFonts w:ascii="Arial" w:cs="Arial" w:eastAsia="Arial" w:hAnsi="Arial"/>
          <w:sz w:val="12"/>
          <w:szCs w:val="12"/>
          <w:color w:val="auto"/>
        </w:rPr>
      </w:pPr>
    </w:p>
    <w:p>
      <w:pPr>
        <w:jc w:val="both"/>
        <w:ind w:left="647"/>
        <w:spacing w:after="0" w:line="265" w:lineRule="auto"/>
        <w:rPr>
          <w:rFonts w:ascii="Arial" w:cs="Arial" w:eastAsia="Arial" w:hAnsi="Arial"/>
          <w:sz w:val="12"/>
          <w:szCs w:val="12"/>
          <w:color w:val="auto"/>
        </w:rPr>
      </w:pPr>
      <w:r>
        <w:rPr>
          <w:rFonts w:ascii="Arial" w:cs="Arial" w:eastAsia="Arial" w:hAnsi="Arial"/>
          <w:sz w:val="12"/>
          <w:szCs w:val="12"/>
          <w:color w:val="auto"/>
        </w:rPr>
        <w:t>“Number of Shares of Common Stock Owned Prior to Offering” includes this shareholder’s “Shares of Common Stock to be Sold Pursuant to this Prospectus” and 2,868,906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22" w:lineRule="exact"/>
        <w:rPr>
          <w:rFonts w:ascii="Arial" w:cs="Arial" w:eastAsia="Arial" w:hAnsi="Arial"/>
          <w:sz w:val="12"/>
          <w:szCs w:val="12"/>
          <w:color w:val="auto"/>
        </w:rPr>
      </w:pPr>
    </w:p>
    <w:p>
      <w:pPr>
        <w:jc w:val="both"/>
        <w:ind w:left="647"/>
        <w:spacing w:after="0" w:line="257" w:lineRule="auto"/>
        <w:rPr>
          <w:rFonts w:ascii="Arial" w:cs="Arial" w:eastAsia="Arial" w:hAnsi="Arial"/>
          <w:sz w:val="12"/>
          <w:szCs w:val="12"/>
          <w:color w:val="auto"/>
        </w:rPr>
      </w:pPr>
      <w:r>
        <w:rPr>
          <w:rFonts w:ascii="Arial" w:cs="Arial" w:eastAsia="Arial" w:hAnsi="Arial"/>
          <w:sz w:val="12"/>
          <w:szCs w:val="12"/>
          <w:color w:val="auto"/>
        </w:rPr>
        <w:t>“Shares of Common Stock to be Sold Pursuant to this Prospectus” includes (i) 1,434,453 shares of common stock issuable upon exercise of the Series A Warrants, (ii) 1,434,453 shares of common stock issuable upon exercise of the Series B Warrants, (iii) 1,434,453 shares of common stock issuable upon exercise of the Series C Warrants, (iv) 1,434,453 shares of common stock issuable upon exercise of the Series D Warrants and (v) 1,434,453 shares of common stock issuable upon exercise of the Series E Warrants.</w:t>
      </w:r>
    </w:p>
    <w:p>
      <w:pPr>
        <w:jc w:val="both"/>
        <w:ind w:left="647" w:hanging="647"/>
        <w:spacing w:after="0" w:line="256" w:lineRule="auto"/>
        <w:tabs>
          <w:tab w:leader="none" w:pos="647" w:val="left"/>
        </w:tabs>
        <w:numPr>
          <w:ilvl w:val="0"/>
          <w:numId w:val="13"/>
        </w:numPr>
        <w:rPr>
          <w:rFonts w:ascii="Arial" w:cs="Arial" w:eastAsia="Arial" w:hAnsi="Arial"/>
          <w:sz w:val="12"/>
          <w:szCs w:val="12"/>
          <w:color w:val="auto"/>
        </w:rPr>
      </w:pPr>
      <w:r>
        <w:rPr>
          <w:rFonts w:ascii="Arial" w:cs="Arial" w:eastAsia="Arial" w:hAnsi="Arial"/>
          <w:sz w:val="12"/>
          <w:szCs w:val="12"/>
          <w:color w:val="auto"/>
        </w:rPr>
        <w:t>Iroquois Capital Management L.L.C. (“Iroquois Capital”) is the investment manager of Iroquois Master Fund Ltd. (“Iroquois Master Fund”) and consequently has voting control and investment discretion over securities held by Iroquois Master Fund. Each of Joshua Silverman and Richard Abbe may be deemed to have voting control and investment discretion over securities held by Iroquois Master Fund. As a result of the foregoing, each of Iroquois Capital, Mr. Silverman and Mr. Abbe may be deemed to have beneficial ownership (as determined under Section 13(d) of the Securities Exchange Act of 1934, as amended) of the securities being registered hereunder.</w:t>
      </w:r>
    </w:p>
    <w:p>
      <w:pPr>
        <w:spacing w:after="0" w:line="127" w:lineRule="exact"/>
        <w:rPr>
          <w:rFonts w:ascii="Arial" w:cs="Arial" w:eastAsia="Arial" w:hAnsi="Arial"/>
          <w:sz w:val="12"/>
          <w:szCs w:val="12"/>
          <w:color w:val="auto"/>
        </w:rPr>
      </w:pPr>
    </w:p>
    <w:p>
      <w:pPr>
        <w:jc w:val="both"/>
        <w:ind w:left="647"/>
        <w:spacing w:after="0" w:line="265" w:lineRule="auto"/>
        <w:rPr>
          <w:rFonts w:ascii="Arial" w:cs="Arial" w:eastAsia="Arial" w:hAnsi="Arial"/>
          <w:sz w:val="12"/>
          <w:szCs w:val="12"/>
          <w:color w:val="auto"/>
        </w:rPr>
      </w:pPr>
      <w:r>
        <w:rPr>
          <w:rFonts w:ascii="Arial" w:cs="Arial" w:eastAsia="Arial" w:hAnsi="Arial"/>
          <w:sz w:val="12"/>
          <w:szCs w:val="12"/>
          <w:color w:val="auto"/>
        </w:rPr>
        <w:t>“Number of Shares of Common Stock Owned Prior to Offering” includes this shareholder’s “Shares of Common Stock to be Sold Pursuant to this Prospectus” and 2,500,000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22" w:lineRule="exact"/>
        <w:rPr>
          <w:rFonts w:ascii="Arial" w:cs="Arial" w:eastAsia="Arial" w:hAnsi="Arial"/>
          <w:sz w:val="12"/>
          <w:szCs w:val="12"/>
          <w:color w:val="auto"/>
        </w:rPr>
      </w:pPr>
    </w:p>
    <w:p>
      <w:pPr>
        <w:jc w:val="both"/>
        <w:ind w:left="647"/>
        <w:spacing w:after="0" w:line="257" w:lineRule="auto"/>
        <w:rPr>
          <w:rFonts w:ascii="Arial" w:cs="Arial" w:eastAsia="Arial" w:hAnsi="Arial"/>
          <w:sz w:val="12"/>
          <w:szCs w:val="12"/>
          <w:color w:val="auto"/>
        </w:rPr>
      </w:pPr>
      <w:r>
        <w:rPr>
          <w:rFonts w:ascii="Arial" w:cs="Arial" w:eastAsia="Arial" w:hAnsi="Arial"/>
          <w:sz w:val="12"/>
          <w:szCs w:val="12"/>
          <w:color w:val="auto"/>
        </w:rPr>
        <w:t>“Shares of Common Stock to be Sold Pursuant to this Prospectus” includes (i) 1,250,000 shares of common stock issuable upon exercise of the Series A Warrants, (ii) 1,250,000 shares of common stock issuable upon exercise of the Series B Warrants, (iii) 1,250,000 shares of common stock issuable upon exercise of the Series C Warrants, (iv) 1,250,000 shares of common stock issuable upon exercise of the Series D Warrants and (v) 1,250,000 shares of common stock issuable upon exercise of the Series E Warrants.</w:t>
      </w:r>
    </w:p>
    <w:p>
      <w:pPr>
        <w:ind w:left="647" w:hanging="647"/>
        <w:spacing w:after="0"/>
        <w:tabs>
          <w:tab w:leader="none" w:pos="647" w:val="left"/>
        </w:tabs>
        <w:numPr>
          <w:ilvl w:val="0"/>
          <w:numId w:val="13"/>
        </w:numPr>
        <w:rPr>
          <w:rFonts w:ascii="Arial" w:cs="Arial" w:eastAsia="Arial" w:hAnsi="Arial"/>
          <w:sz w:val="11"/>
          <w:szCs w:val="11"/>
          <w:color w:val="auto"/>
        </w:rPr>
      </w:pPr>
      <w:r>
        <w:rPr>
          <w:rFonts w:ascii="Arial" w:cs="Arial" w:eastAsia="Arial" w:hAnsi="Arial"/>
          <w:sz w:val="11"/>
          <w:szCs w:val="11"/>
          <w:color w:val="auto"/>
        </w:rPr>
        <w:t>Kimberly Page has the authority and responsibility for the investments made on behalf of American Capital Management LLC (“ACM”) and accordingly, has voting and dispositive power over the securities held by ACM.</w:t>
      </w:r>
    </w:p>
    <w:p>
      <w:pPr>
        <w:spacing w:after="0" w:line="155" w:lineRule="exact"/>
        <w:rPr>
          <w:sz w:val="20"/>
          <w:szCs w:val="20"/>
          <w:color w:val="auto"/>
        </w:rPr>
      </w:pPr>
    </w:p>
    <w:p>
      <w:pPr>
        <w:ind w:left="647"/>
        <w:spacing w:after="0"/>
        <w:rPr>
          <w:sz w:val="20"/>
          <w:szCs w:val="20"/>
          <w:color w:val="auto"/>
        </w:rPr>
      </w:pPr>
      <w:r>
        <w:rPr>
          <w:rFonts w:ascii="Arial" w:cs="Arial" w:eastAsia="Arial" w:hAnsi="Arial"/>
          <w:sz w:val="11"/>
          <w:szCs w:val="11"/>
          <w:color w:val="auto"/>
        </w:rPr>
        <w:t>“Number of Shares of Common Stock Owned Prior to Offering” includes (i) 750,000 shares of common stock issued to the shareholder in January 2015 (we have not verified that this shareholder still holds these shares),</w:t>
      </w:r>
    </w:p>
    <w:p>
      <w:pPr>
        <w:spacing w:after="0" w:line="27" w:lineRule="exact"/>
        <w:rPr>
          <w:sz w:val="20"/>
          <w:szCs w:val="20"/>
          <w:color w:val="auto"/>
        </w:rPr>
      </w:pPr>
    </w:p>
    <w:p>
      <w:pPr>
        <w:ind w:left="647" w:right="20" w:firstLine="5"/>
        <w:spacing w:after="0" w:line="264" w:lineRule="auto"/>
        <w:tabs>
          <w:tab w:leader="none" w:pos="825"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this shareholder’s “Shares of Common Stock to be Sold Pursuant to this Prospectus” and (iii) 1,500,000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23" w:lineRule="exact"/>
        <w:rPr>
          <w:sz w:val="20"/>
          <w:szCs w:val="20"/>
          <w:color w:val="auto"/>
        </w:rPr>
      </w:pPr>
    </w:p>
    <w:p>
      <w:pPr>
        <w:jc w:val="both"/>
        <w:ind w:left="647"/>
        <w:spacing w:after="0" w:line="257" w:lineRule="auto"/>
        <w:rPr>
          <w:sz w:val="20"/>
          <w:szCs w:val="20"/>
          <w:color w:val="auto"/>
        </w:rPr>
      </w:pPr>
      <w:r>
        <w:rPr>
          <w:rFonts w:ascii="Arial" w:cs="Arial" w:eastAsia="Arial" w:hAnsi="Arial"/>
          <w:sz w:val="12"/>
          <w:szCs w:val="12"/>
          <w:color w:val="auto"/>
        </w:rPr>
        <w:t>“Shares of Common Stock to be Sold Pursuant to this Prospectus” includes (i) 750,000 shares of common stock issuable upon exercise of the Series A Warrants, (ii) 750,000 shares of common stock issuable upon exercise of the Series B Warrants, (iii) 750,000 shares of common stock issuable upon exercise of the Series C Warrants, (iv) 750,000 shares of common stock issuable upon exercise of the Series D Warrants and (v) 750,000 shares of common stock issuable upon exercise of the Series E Warrants.</w:t>
      </w:r>
    </w:p>
    <w:p>
      <w:pPr>
        <w:ind w:left="647" w:hanging="647"/>
        <w:spacing w:after="0"/>
        <w:tabs>
          <w:tab w:leader="none" w:pos="647" w:val="left"/>
        </w:tabs>
        <w:numPr>
          <w:ilvl w:val="0"/>
          <w:numId w:val="15"/>
        </w:numPr>
        <w:rPr>
          <w:rFonts w:ascii="Arial" w:cs="Arial" w:eastAsia="Arial" w:hAnsi="Arial"/>
          <w:sz w:val="12"/>
          <w:szCs w:val="12"/>
          <w:color w:val="auto"/>
        </w:rPr>
      </w:pPr>
      <w:r>
        <w:rPr>
          <w:rFonts w:ascii="Arial" w:cs="Arial" w:eastAsia="Arial" w:hAnsi="Arial"/>
          <w:sz w:val="12"/>
          <w:szCs w:val="12"/>
          <w:color w:val="auto"/>
        </w:rPr>
        <w:t>By virtue of his position as trustee, Leo Abbe has voting and dispositive power over the securities held by The Merav Abbe Irrevocable Trust.</w:t>
      </w:r>
    </w:p>
    <w:p>
      <w:pPr>
        <w:spacing w:after="0" w:line="143" w:lineRule="exact"/>
        <w:rPr>
          <w:sz w:val="20"/>
          <w:szCs w:val="20"/>
          <w:color w:val="auto"/>
        </w:rPr>
      </w:pPr>
    </w:p>
    <w:p>
      <w:pPr>
        <w:ind w:left="647"/>
        <w:spacing w:after="0"/>
        <w:rPr>
          <w:sz w:val="20"/>
          <w:szCs w:val="20"/>
          <w:color w:val="auto"/>
        </w:rPr>
      </w:pPr>
      <w:r>
        <w:rPr>
          <w:rFonts w:ascii="Arial" w:cs="Arial" w:eastAsia="Arial" w:hAnsi="Arial"/>
          <w:sz w:val="11"/>
          <w:szCs w:val="11"/>
          <w:color w:val="auto"/>
        </w:rPr>
        <w:t>“Number of Shares of Common Stock Owned Prior to Offering” includes (i) 250,000 shares of common stock issued to the shareholder in January 2015 (we have not verified that this shareholder still holds these shares),</w:t>
      </w:r>
    </w:p>
    <w:p>
      <w:pPr>
        <w:spacing w:after="0" w:line="27" w:lineRule="exact"/>
        <w:rPr>
          <w:sz w:val="20"/>
          <w:szCs w:val="20"/>
          <w:color w:val="auto"/>
        </w:rPr>
      </w:pPr>
    </w:p>
    <w:p>
      <w:pPr>
        <w:ind w:left="647" w:right="20" w:firstLine="5"/>
        <w:spacing w:after="0" w:line="264" w:lineRule="auto"/>
        <w:tabs>
          <w:tab w:leader="none" w:pos="8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this shareholder’s “Shares of Common Stock to be Sold Pursuant to this Prospectus” and (iii) 500,000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23" w:lineRule="exact"/>
        <w:rPr>
          <w:sz w:val="20"/>
          <w:szCs w:val="20"/>
          <w:color w:val="auto"/>
        </w:rPr>
      </w:pPr>
    </w:p>
    <w:p>
      <w:pPr>
        <w:jc w:val="both"/>
        <w:ind w:left="647"/>
        <w:spacing w:after="0" w:line="265" w:lineRule="auto"/>
        <w:rPr>
          <w:sz w:val="20"/>
          <w:szCs w:val="20"/>
          <w:color w:val="auto"/>
        </w:rPr>
      </w:pPr>
      <w:r>
        <w:rPr>
          <w:rFonts w:ascii="Arial" w:cs="Arial" w:eastAsia="Arial" w:hAnsi="Arial"/>
          <w:sz w:val="12"/>
          <w:szCs w:val="12"/>
          <w:color w:val="auto"/>
        </w:rPr>
        <w:t>“Shares of Common Stock to be Sold Pursuant to this Prospectus” includes (i) 250,000 shares of common stock issuable upon exercise of the Series A Warrants, (ii) 250,000 shares of common stock issuable upon exercise of the Series B Warrants, (iii) 250,000 shares of common stock issuable upon exercise of the Series C Warrants, (iv) 250,000 shares of common stock issuable upon exercise of the Series D Warrants and (v) 250,000 shares of common stock issuable upon exercise of the Series E Warrants.</w:t>
      </w:r>
    </w:p>
    <w:p>
      <w:pPr>
        <w:spacing w:after="0" w:line="200" w:lineRule="exact"/>
        <w:rPr>
          <w:sz w:val="20"/>
          <w:szCs w:val="20"/>
          <w:color w:val="auto"/>
        </w:rPr>
      </w:pP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98690"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7"/>
          </w:cols>
          <w:pgMar w:left="213" w:top="557" w:right="199" w:bottom="1440" w:gutter="0" w:footer="0" w:header="0"/>
        </w:sectPr>
      </w:pPr>
    </w:p>
    <w:bookmarkStart w:id="24" w:name="page25"/>
    <w:bookmarkEnd w:id="24"/>
    <w:p>
      <w:pPr>
        <w:ind w:left="647" w:hanging="647"/>
        <w:spacing w:after="0"/>
        <w:tabs>
          <w:tab w:leader="none" w:pos="647" w:val="left"/>
        </w:tabs>
        <w:numPr>
          <w:ilvl w:val="0"/>
          <w:numId w:val="17"/>
        </w:numPr>
        <w:rPr>
          <w:rFonts w:ascii="Arial" w:cs="Arial" w:eastAsia="Arial" w:hAnsi="Arial"/>
          <w:sz w:val="12"/>
          <w:szCs w:val="12"/>
          <w:color w:val="auto"/>
        </w:rPr>
      </w:pPr>
      <w:r>
        <w:rPr>
          <w:rFonts w:ascii="Arial" w:cs="Arial" w:eastAsia="Arial" w:hAnsi="Arial"/>
          <w:sz w:val="12"/>
          <w:szCs w:val="12"/>
          <w:color w:val="auto"/>
        </w:rPr>
        <w:t>By virtue of his position as trustee, Richard Abbe has voting and dispositive power over the securities held by The Samantha Abbe Irrevocable Trust.</w:t>
      </w:r>
    </w:p>
    <w:p>
      <w:pPr>
        <w:spacing w:after="0" w:line="152" w:lineRule="exact"/>
        <w:rPr>
          <w:rFonts w:ascii="Arial" w:cs="Arial" w:eastAsia="Arial" w:hAnsi="Arial"/>
          <w:sz w:val="12"/>
          <w:szCs w:val="12"/>
          <w:color w:val="auto"/>
        </w:rPr>
      </w:pPr>
    </w:p>
    <w:p>
      <w:pPr>
        <w:ind w:left="647"/>
        <w:spacing w:after="0"/>
        <w:rPr>
          <w:rFonts w:ascii="Arial" w:cs="Arial" w:eastAsia="Arial" w:hAnsi="Arial"/>
          <w:sz w:val="12"/>
          <w:szCs w:val="12"/>
          <w:color w:val="auto"/>
        </w:rPr>
      </w:pPr>
      <w:r>
        <w:rPr>
          <w:rFonts w:ascii="Arial" w:cs="Arial" w:eastAsia="Arial" w:hAnsi="Arial"/>
          <w:sz w:val="11"/>
          <w:szCs w:val="11"/>
          <w:color w:val="auto"/>
        </w:rPr>
        <w:t>“Number of Shares of Common Stock Owned Prior to Offering” includes (i) 83,335 shares of common stock issued to the shareholder in January 2015 (we have not verified that this shareholder still holds these shares),</w:t>
      </w:r>
    </w:p>
    <w:p>
      <w:pPr>
        <w:spacing w:after="0" w:line="27" w:lineRule="exact"/>
        <w:rPr>
          <w:rFonts w:ascii="Arial" w:cs="Arial" w:eastAsia="Arial" w:hAnsi="Arial"/>
          <w:sz w:val="12"/>
          <w:szCs w:val="12"/>
          <w:color w:val="auto"/>
        </w:rPr>
      </w:pPr>
    </w:p>
    <w:p>
      <w:pPr>
        <w:ind w:left="647" w:right="20" w:firstLine="5"/>
        <w:spacing w:after="0" w:line="264" w:lineRule="auto"/>
        <w:tabs>
          <w:tab w:leader="none" w:pos="828" w:val="left"/>
        </w:tabs>
        <w:numPr>
          <w:ilvl w:val="1"/>
          <w:numId w:val="17"/>
        </w:numPr>
        <w:rPr>
          <w:rFonts w:ascii="Arial" w:cs="Arial" w:eastAsia="Arial" w:hAnsi="Arial"/>
          <w:sz w:val="12"/>
          <w:szCs w:val="12"/>
          <w:color w:val="auto"/>
        </w:rPr>
      </w:pPr>
      <w:r>
        <w:rPr>
          <w:rFonts w:ascii="Arial" w:cs="Arial" w:eastAsia="Arial" w:hAnsi="Arial"/>
          <w:sz w:val="12"/>
          <w:szCs w:val="12"/>
          <w:color w:val="auto"/>
        </w:rPr>
        <w:t>this shareholder’s “Shares of Common Stock to be Sold Pursuant to this Prospectus” and (iii) 166,670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23" w:lineRule="exact"/>
        <w:rPr>
          <w:sz w:val="20"/>
          <w:szCs w:val="20"/>
          <w:color w:val="auto"/>
        </w:rPr>
      </w:pPr>
    </w:p>
    <w:p>
      <w:pPr>
        <w:jc w:val="both"/>
        <w:ind w:left="647"/>
        <w:spacing w:after="0" w:line="257" w:lineRule="auto"/>
        <w:rPr>
          <w:sz w:val="20"/>
          <w:szCs w:val="20"/>
          <w:color w:val="auto"/>
        </w:rPr>
      </w:pPr>
      <w:r>
        <w:rPr>
          <w:rFonts w:ascii="Arial" w:cs="Arial" w:eastAsia="Arial" w:hAnsi="Arial"/>
          <w:sz w:val="12"/>
          <w:szCs w:val="12"/>
          <w:color w:val="auto"/>
        </w:rPr>
        <w:t>“Shares of Common Stock to be Sold Pursuant to this Prospectus” includes (i) 83,335 shares of common stock issuable upon exercise of the Series A Warrants, (ii) 83,335 shares of common stock issuable upon exercise of the Series B Warrants, (iii) 83,335 shares of common stock issuable upon exercise of the Series C Warrants, (iv) 83,335 shares of common stock issuable upon exercise of the Series D Warrants and (v) 83,335 shares of common stock issuable upon exercise of the Series E Warrants.</w:t>
      </w:r>
    </w:p>
    <w:p>
      <w:pPr>
        <w:ind w:left="647" w:hanging="647"/>
        <w:spacing w:after="0"/>
        <w:tabs>
          <w:tab w:leader="none" w:pos="647" w:val="left"/>
        </w:tabs>
        <w:numPr>
          <w:ilvl w:val="0"/>
          <w:numId w:val="18"/>
        </w:numPr>
        <w:rPr>
          <w:rFonts w:ascii="Arial" w:cs="Arial" w:eastAsia="Arial" w:hAnsi="Arial"/>
          <w:sz w:val="12"/>
          <w:szCs w:val="12"/>
          <w:color w:val="auto"/>
        </w:rPr>
      </w:pPr>
      <w:r>
        <w:rPr>
          <w:rFonts w:ascii="Arial" w:cs="Arial" w:eastAsia="Arial" w:hAnsi="Arial"/>
          <w:sz w:val="12"/>
          <w:szCs w:val="12"/>
          <w:color w:val="auto"/>
        </w:rPr>
        <w:t>By virtue of his position as trustee, Richard Abbe has voting and dispositive power over the securities held by The Talia Abbe Irrevocable Trust.</w:t>
      </w:r>
    </w:p>
    <w:p>
      <w:pPr>
        <w:spacing w:after="0" w:line="143" w:lineRule="exact"/>
        <w:rPr>
          <w:sz w:val="20"/>
          <w:szCs w:val="20"/>
          <w:color w:val="auto"/>
        </w:rPr>
      </w:pPr>
    </w:p>
    <w:p>
      <w:pPr>
        <w:ind w:left="647"/>
        <w:spacing w:after="0"/>
        <w:rPr>
          <w:sz w:val="20"/>
          <w:szCs w:val="20"/>
          <w:color w:val="auto"/>
        </w:rPr>
      </w:pPr>
      <w:r>
        <w:rPr>
          <w:rFonts w:ascii="Arial" w:cs="Arial" w:eastAsia="Arial" w:hAnsi="Arial"/>
          <w:sz w:val="11"/>
          <w:szCs w:val="11"/>
          <w:color w:val="auto"/>
        </w:rPr>
        <w:t>“Number of Shares of Common Stock Owned Prior to Offering” includes (i) 83,330 shares of common stock issued to the shareholder in January 2015 (we have not verified that this shareholder still holds these shares),</w:t>
      </w:r>
    </w:p>
    <w:p>
      <w:pPr>
        <w:spacing w:after="0" w:line="27" w:lineRule="exact"/>
        <w:rPr>
          <w:sz w:val="20"/>
          <w:szCs w:val="20"/>
          <w:color w:val="auto"/>
        </w:rPr>
      </w:pPr>
    </w:p>
    <w:p>
      <w:pPr>
        <w:ind w:left="647" w:right="20" w:firstLine="5"/>
        <w:spacing w:after="0" w:line="264" w:lineRule="auto"/>
        <w:tabs>
          <w:tab w:leader="none" w:pos="825"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this shareholder’s “Shares of Common Stock to be Sold Pursuant to this Prospectus” and (iii) and 166,660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23" w:lineRule="exact"/>
        <w:rPr>
          <w:sz w:val="20"/>
          <w:szCs w:val="20"/>
          <w:color w:val="auto"/>
        </w:rPr>
      </w:pPr>
    </w:p>
    <w:p>
      <w:pPr>
        <w:jc w:val="both"/>
        <w:ind w:left="647"/>
        <w:spacing w:after="0" w:line="257" w:lineRule="auto"/>
        <w:rPr>
          <w:sz w:val="20"/>
          <w:szCs w:val="20"/>
          <w:color w:val="auto"/>
        </w:rPr>
      </w:pPr>
      <w:r>
        <w:rPr>
          <w:rFonts w:ascii="Arial" w:cs="Arial" w:eastAsia="Arial" w:hAnsi="Arial"/>
          <w:sz w:val="12"/>
          <w:szCs w:val="12"/>
          <w:color w:val="auto"/>
        </w:rPr>
        <w:t>“Shares of Common Stock to be Sold Pursuant to this Prospectus” includes (i) 83,330 shares of common stock issuable upon exercise of the Series A Warrants, (ii) 83,330 shares of common stock issuable upon exercise of the Series B Warrants, (iii) 83,330 shares of common stock issuable upon exercise of the Series C Warrants, (iv) 83,330 shares of common stock issuable upon exercise of the Series D Warrants and (v) 83,330 shares of common stock issuable upon exercise of the Series E Warrants.</w:t>
      </w:r>
    </w:p>
    <w:p>
      <w:pPr>
        <w:ind w:left="647" w:hanging="647"/>
        <w:spacing w:after="0"/>
        <w:tabs>
          <w:tab w:leader="none" w:pos="647" w:val="left"/>
        </w:tabs>
        <w:numPr>
          <w:ilvl w:val="0"/>
          <w:numId w:val="20"/>
        </w:numPr>
        <w:rPr>
          <w:rFonts w:ascii="Arial" w:cs="Arial" w:eastAsia="Arial" w:hAnsi="Arial"/>
          <w:sz w:val="12"/>
          <w:szCs w:val="12"/>
          <w:color w:val="auto"/>
        </w:rPr>
      </w:pPr>
      <w:r>
        <w:rPr>
          <w:rFonts w:ascii="Arial" w:cs="Arial" w:eastAsia="Arial" w:hAnsi="Arial"/>
          <w:sz w:val="12"/>
          <w:szCs w:val="12"/>
          <w:color w:val="auto"/>
        </w:rPr>
        <w:t>By virtue of his position as trustee, Richard Abbe has voting and dispositive power over the securities held by The Bennett Abbe Irrevocable Trust.</w:t>
      </w:r>
    </w:p>
    <w:p>
      <w:pPr>
        <w:spacing w:after="0" w:line="143" w:lineRule="exact"/>
        <w:rPr>
          <w:rFonts w:ascii="Arial" w:cs="Arial" w:eastAsia="Arial" w:hAnsi="Arial"/>
          <w:sz w:val="12"/>
          <w:szCs w:val="12"/>
          <w:color w:val="auto"/>
        </w:rPr>
      </w:pPr>
    </w:p>
    <w:p>
      <w:pPr>
        <w:jc w:val="both"/>
        <w:ind w:left="647"/>
        <w:spacing w:after="0" w:line="265" w:lineRule="auto"/>
        <w:rPr>
          <w:rFonts w:ascii="Arial" w:cs="Arial" w:eastAsia="Arial" w:hAnsi="Arial"/>
          <w:sz w:val="12"/>
          <w:szCs w:val="12"/>
          <w:color w:val="auto"/>
        </w:rPr>
      </w:pPr>
      <w:r>
        <w:rPr>
          <w:rFonts w:ascii="Arial" w:cs="Arial" w:eastAsia="Arial" w:hAnsi="Arial"/>
          <w:sz w:val="12"/>
          <w:szCs w:val="12"/>
          <w:color w:val="auto"/>
        </w:rPr>
        <w:t>“Number of Shares of Common Stock Owned Prior to Offering” includes (i) 83,330 shares of common stock issued to the shareholder in January 2015 (we have not verified that this shareholder still holds these shares), (ii) this shareholder’s “Shares of Common Stock to be Sold Pursuant to this Prospectus” and (iii) and 166,660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23" w:lineRule="exact"/>
        <w:rPr>
          <w:sz w:val="20"/>
          <w:szCs w:val="20"/>
          <w:color w:val="auto"/>
        </w:rPr>
      </w:pPr>
    </w:p>
    <w:p>
      <w:pPr>
        <w:jc w:val="both"/>
        <w:ind w:left="647"/>
        <w:spacing w:after="0" w:line="257" w:lineRule="auto"/>
        <w:rPr>
          <w:sz w:val="20"/>
          <w:szCs w:val="20"/>
          <w:color w:val="auto"/>
        </w:rPr>
      </w:pPr>
      <w:r>
        <w:rPr>
          <w:rFonts w:ascii="Arial" w:cs="Arial" w:eastAsia="Arial" w:hAnsi="Arial"/>
          <w:sz w:val="12"/>
          <w:szCs w:val="12"/>
          <w:color w:val="auto"/>
        </w:rPr>
        <w:t>“Shares of Common Stock to be Sold Pursuant to this Prospectus” includes (i) 83,330 shares of common stock issuable upon exercise of the Series A Warrants, (ii) 83,330 shares of common stock issuable upon exercise of the Series B Warrants, (iii) 83,330 shares of common stock issuable upon exercise of the Series C Warrants, (iv) 83,330 shares of common stock issuable upon exercise of the Series D Warrants and (v) 83,330 shares of common stock issuable upon exercise of the Series E Warrants.</w:t>
      </w:r>
    </w:p>
    <w:p>
      <w:pPr>
        <w:ind w:left="647" w:hanging="647"/>
        <w:spacing w:after="0"/>
        <w:tabs>
          <w:tab w:leader="none" w:pos="647" w:val="left"/>
        </w:tabs>
        <w:numPr>
          <w:ilvl w:val="0"/>
          <w:numId w:val="21"/>
        </w:numPr>
        <w:rPr>
          <w:rFonts w:ascii="Arial" w:cs="Arial" w:eastAsia="Arial" w:hAnsi="Arial"/>
          <w:sz w:val="12"/>
          <w:szCs w:val="12"/>
          <w:color w:val="auto"/>
        </w:rPr>
      </w:pPr>
      <w:r>
        <w:rPr>
          <w:rFonts w:ascii="Arial" w:cs="Arial" w:eastAsia="Arial" w:hAnsi="Arial"/>
          <w:sz w:val="12"/>
          <w:szCs w:val="12"/>
          <w:color w:val="auto"/>
        </w:rPr>
        <w:t>Shaye Hirsch has voting and dispositive power over the securities owned by the selling stockholder.</w:t>
      </w:r>
    </w:p>
    <w:p>
      <w:pPr>
        <w:spacing w:after="0" w:line="7" w:lineRule="exact"/>
        <w:rPr>
          <w:rFonts w:ascii="Arial" w:cs="Arial" w:eastAsia="Arial" w:hAnsi="Arial"/>
          <w:sz w:val="12"/>
          <w:szCs w:val="12"/>
          <w:color w:val="auto"/>
        </w:rPr>
      </w:pPr>
    </w:p>
    <w:p>
      <w:pPr>
        <w:jc w:val="both"/>
        <w:ind w:left="647"/>
        <w:spacing w:after="0" w:line="258" w:lineRule="auto"/>
        <w:rPr>
          <w:rFonts w:ascii="Arial" w:cs="Arial" w:eastAsia="Arial" w:hAnsi="Arial"/>
          <w:sz w:val="12"/>
          <w:szCs w:val="12"/>
          <w:color w:val="auto"/>
        </w:rPr>
      </w:pPr>
      <w:r>
        <w:rPr>
          <w:rFonts w:ascii="Arial" w:cs="Arial" w:eastAsia="Arial" w:hAnsi="Arial"/>
          <w:sz w:val="12"/>
          <w:szCs w:val="12"/>
          <w:color w:val="auto"/>
        </w:rPr>
        <w:t>“Number of Shares of Common Stock Owned Prior to Offering” includes this shareholder’s “Shares of Common Stock to be Sold Pursuant to this Prospectus” and 5,000,000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26" w:lineRule="exact"/>
        <w:rPr>
          <w:rFonts w:ascii="Arial" w:cs="Arial" w:eastAsia="Arial" w:hAnsi="Arial"/>
          <w:sz w:val="12"/>
          <w:szCs w:val="12"/>
          <w:color w:val="auto"/>
        </w:rPr>
      </w:pPr>
    </w:p>
    <w:p>
      <w:pPr>
        <w:jc w:val="both"/>
        <w:ind w:left="647"/>
        <w:spacing w:after="0" w:line="257" w:lineRule="auto"/>
        <w:rPr>
          <w:rFonts w:ascii="Arial" w:cs="Arial" w:eastAsia="Arial" w:hAnsi="Arial"/>
          <w:sz w:val="12"/>
          <w:szCs w:val="12"/>
          <w:color w:val="auto"/>
        </w:rPr>
      </w:pPr>
      <w:r>
        <w:rPr>
          <w:rFonts w:ascii="Arial" w:cs="Arial" w:eastAsia="Arial" w:hAnsi="Arial"/>
          <w:sz w:val="12"/>
          <w:szCs w:val="12"/>
          <w:color w:val="auto"/>
        </w:rPr>
        <w:t>“Shares of Common Stock to be Sold Pursuant to this Prospectus” includes (i) 2,500,000 shares of common stock issuable upon exercise of the Series A Warrants, (ii) 2,500,000 shares of common stock issuable upon exercise of the Series B Warrants, (iii) 2,500,000 shares of common stock issuable upon exercise of the Series C Warrants, (iv) 2,500,000 shares of common stock issuable upon exercise of the Series D Warrants and (v) 2,500,000 shares of common stock issuable upon exercise of the Series E Warrants.</w:t>
      </w:r>
    </w:p>
    <w:p>
      <w:pPr>
        <w:ind w:left="647" w:hanging="647"/>
        <w:spacing w:after="0" w:line="264" w:lineRule="auto"/>
        <w:tabs>
          <w:tab w:leader="none" w:pos="647" w:val="left"/>
        </w:tabs>
        <w:numPr>
          <w:ilvl w:val="0"/>
          <w:numId w:val="21"/>
        </w:numPr>
        <w:rPr>
          <w:rFonts w:ascii="Arial" w:cs="Arial" w:eastAsia="Arial" w:hAnsi="Arial"/>
          <w:sz w:val="12"/>
          <w:szCs w:val="12"/>
          <w:color w:val="auto"/>
        </w:rPr>
      </w:pPr>
      <w:r>
        <w:rPr>
          <w:rFonts w:ascii="Arial" w:cs="Arial" w:eastAsia="Arial" w:hAnsi="Arial"/>
          <w:sz w:val="12"/>
          <w:szCs w:val="12"/>
          <w:color w:val="auto"/>
        </w:rPr>
        <w:t>Eastern Capital Limited is a direct wholly-owned subsidiary of Portfolio Services Ltd. Kenneth B. Dart is the beneficial owner of all of the outstanding shares of Portfolio Services Ltd. Eastern Capital Limited, Portfolio Services Ltd. and Mr. Dart have shared voting and dispositive powers with respect to the shares of common stock referenced above.”</w:t>
      </w:r>
    </w:p>
    <w:p>
      <w:pPr>
        <w:spacing w:after="0" w:line="122" w:lineRule="exact"/>
        <w:rPr>
          <w:rFonts w:ascii="Arial" w:cs="Arial" w:eastAsia="Arial" w:hAnsi="Arial"/>
          <w:sz w:val="12"/>
          <w:szCs w:val="12"/>
          <w:color w:val="auto"/>
        </w:rPr>
      </w:pPr>
    </w:p>
    <w:p>
      <w:pPr>
        <w:jc w:val="both"/>
        <w:ind w:left="647"/>
        <w:spacing w:after="0" w:line="265" w:lineRule="auto"/>
        <w:rPr>
          <w:rFonts w:ascii="Arial" w:cs="Arial" w:eastAsia="Arial" w:hAnsi="Arial"/>
          <w:sz w:val="12"/>
          <w:szCs w:val="12"/>
          <w:color w:val="auto"/>
        </w:rPr>
      </w:pPr>
      <w:r>
        <w:rPr>
          <w:rFonts w:ascii="Arial" w:cs="Arial" w:eastAsia="Arial" w:hAnsi="Arial"/>
          <w:sz w:val="12"/>
          <w:szCs w:val="12"/>
          <w:color w:val="auto"/>
        </w:rPr>
        <w:t>“Number of Shares of Common Stock Owned Prior to Offering” includes (i) 5,000,000 shares of common stock issuable to the shareholder upon the exercise of certain B-1 warrants, (ii) 5,000,000 shares of common stock issued in June 2015 upon exercise of 5,000,000 Series C-1 Warrants and (iii) this shareholder’s “Shares of Common Stock to be Sold Pursuant to this Prospectus”. This amount does not (i) give effect to limitations on ownership set out in any of the warrants that may be exercised into such shares or (ii) include any shares that may be beneficially owned by an affiliate.</w:t>
      </w:r>
    </w:p>
    <w:p>
      <w:pPr>
        <w:spacing w:after="0" w:line="122" w:lineRule="exact"/>
        <w:rPr>
          <w:rFonts w:ascii="Arial" w:cs="Arial" w:eastAsia="Arial" w:hAnsi="Arial"/>
          <w:sz w:val="12"/>
          <w:szCs w:val="12"/>
          <w:color w:val="auto"/>
        </w:rPr>
      </w:pPr>
    </w:p>
    <w:p>
      <w:pPr>
        <w:jc w:val="both"/>
        <w:ind w:left="647"/>
        <w:spacing w:after="0" w:line="265" w:lineRule="auto"/>
        <w:rPr>
          <w:rFonts w:ascii="Arial" w:cs="Arial" w:eastAsia="Arial" w:hAnsi="Arial"/>
          <w:sz w:val="12"/>
          <w:szCs w:val="12"/>
          <w:color w:val="auto"/>
        </w:rPr>
      </w:pPr>
      <w:r>
        <w:rPr>
          <w:rFonts w:ascii="Arial" w:cs="Arial" w:eastAsia="Arial" w:hAnsi="Arial"/>
          <w:sz w:val="12"/>
          <w:szCs w:val="12"/>
          <w:color w:val="auto"/>
        </w:rPr>
        <w:t>“Shares of Common Stock to be Sold Pursuant to this Prospectus” includes (i) 5,000,000 shares of common stock issuable upon exercise of the Series A-1 Warrants, (ii) 5,000,000 shares of common stock issuable upon exercise of the Series B-1 Warrants, (iii) 5,000,000 shares of common stock issuable upon exercise of the Series C -1Warrants, (iv) 5,000,000 shares of common stock issuable upon exercise of the Series D-1 Warrants, (v) 5,000,000 shares of common stock issuable upon exercise of the Series E-1 Warrants and (vi) 5,000,000 shares issued in March 2015.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98690"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7"/>
          </w:cols>
          <w:pgMar w:left="213" w:top="557" w:right="199" w:bottom="1440" w:gutter="0" w:footer="0" w:header="0"/>
        </w:sectPr>
      </w:pPr>
    </w:p>
    <w:bookmarkStart w:id="25" w:name="page26"/>
    <w:bookmarkEnd w:id="25"/>
    <w:p>
      <w:pPr>
        <w:jc w:val="center"/>
        <w:ind w:right="-6"/>
        <w:spacing w:after="0"/>
        <w:rPr>
          <w:sz w:val="20"/>
          <w:szCs w:val="20"/>
          <w:color w:val="auto"/>
        </w:rPr>
      </w:pPr>
      <w:r>
        <w:rPr>
          <w:rFonts w:ascii="Arial" w:cs="Arial" w:eastAsia="Arial" w:hAnsi="Arial"/>
          <w:sz w:val="12"/>
          <w:szCs w:val="12"/>
          <w:b w:val="1"/>
          <w:bCs w:val="1"/>
          <w:color w:val="auto"/>
        </w:rPr>
        <w:t>PLAN OF DISTRIBUTION</w:t>
      </w:r>
    </w:p>
    <w:p>
      <w:pPr>
        <w:spacing w:after="0" w:line="156" w:lineRule="exact"/>
        <w:rPr>
          <w:sz w:val="20"/>
          <w:szCs w:val="20"/>
          <w:color w:val="auto"/>
        </w:rPr>
      </w:pPr>
    </w:p>
    <w:p>
      <w:pPr>
        <w:ind w:left="7"/>
        <w:spacing w:after="0" w:line="265" w:lineRule="auto"/>
        <w:rPr>
          <w:sz w:val="20"/>
          <w:szCs w:val="20"/>
          <w:color w:val="auto"/>
        </w:rPr>
      </w:pPr>
      <w:r>
        <w:rPr>
          <w:rFonts w:ascii="Arial" w:cs="Arial" w:eastAsia="Arial" w:hAnsi="Arial"/>
          <w:sz w:val="12"/>
          <w:szCs w:val="12"/>
          <w:color w:val="auto"/>
        </w:rPr>
        <w:t>The common stock held by the selling stockholders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on any stock exchange, market or trading facility on which the shares are traded or in private transactions. The sale of the selling stockholders’ common stock offered by this prospectus may be effected in one or more of the following methods:</w:t>
      </w:r>
    </w:p>
    <w:p>
      <w:pPr>
        <w:spacing w:after="0" w:line="123" w:lineRule="exact"/>
        <w:rPr>
          <w:sz w:val="20"/>
          <w:szCs w:val="20"/>
          <w:color w:val="auto"/>
        </w:rPr>
      </w:pPr>
    </w:p>
    <w:p>
      <w:pPr>
        <w:ind w:left="647" w:hanging="647"/>
        <w:spacing w:after="0"/>
        <w:tabs>
          <w:tab w:leader="none" w:pos="6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ordinary brokerage transactions and transactions in which the broker-dealer solicits purchasers;</w:t>
      </w:r>
    </w:p>
    <w:p>
      <w:pPr>
        <w:spacing w:after="0" w:line="152" w:lineRule="exact"/>
        <w:rPr>
          <w:rFonts w:ascii="Arial" w:cs="Arial" w:eastAsia="Arial" w:hAnsi="Arial"/>
          <w:sz w:val="12"/>
          <w:szCs w:val="12"/>
          <w:color w:val="auto"/>
        </w:rPr>
      </w:pPr>
    </w:p>
    <w:p>
      <w:pPr>
        <w:ind w:left="647" w:hanging="647"/>
        <w:spacing w:after="0"/>
        <w:tabs>
          <w:tab w:leader="none" w:pos="6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transactions involving cross or block trades;</w:t>
      </w:r>
    </w:p>
    <w:p>
      <w:pPr>
        <w:spacing w:after="0" w:line="152" w:lineRule="exact"/>
        <w:rPr>
          <w:rFonts w:ascii="Arial" w:cs="Arial" w:eastAsia="Arial" w:hAnsi="Arial"/>
          <w:sz w:val="12"/>
          <w:szCs w:val="12"/>
          <w:color w:val="auto"/>
        </w:rPr>
      </w:pPr>
    </w:p>
    <w:p>
      <w:pPr>
        <w:ind w:left="647" w:hanging="647"/>
        <w:spacing w:after="0"/>
        <w:tabs>
          <w:tab w:leader="none" w:pos="6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purchases by a broker-dealer as principal and resale by the broker-dealer for its account;</w:t>
      </w:r>
    </w:p>
    <w:p>
      <w:pPr>
        <w:spacing w:after="0" w:line="152" w:lineRule="exact"/>
        <w:rPr>
          <w:rFonts w:ascii="Arial" w:cs="Arial" w:eastAsia="Arial" w:hAnsi="Arial"/>
          <w:sz w:val="12"/>
          <w:szCs w:val="12"/>
          <w:color w:val="auto"/>
        </w:rPr>
      </w:pPr>
    </w:p>
    <w:p>
      <w:pPr>
        <w:ind w:left="647" w:hanging="647"/>
        <w:spacing w:after="0"/>
        <w:tabs>
          <w:tab w:leader="none" w:pos="6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an exchange distribution in accordance with the rules of the applicable exchange;</w:t>
      </w:r>
    </w:p>
    <w:p>
      <w:pPr>
        <w:spacing w:after="0" w:line="152" w:lineRule="exact"/>
        <w:rPr>
          <w:rFonts w:ascii="Arial" w:cs="Arial" w:eastAsia="Arial" w:hAnsi="Arial"/>
          <w:sz w:val="12"/>
          <w:szCs w:val="12"/>
          <w:color w:val="auto"/>
        </w:rPr>
      </w:pPr>
    </w:p>
    <w:p>
      <w:pPr>
        <w:ind w:left="647" w:hanging="647"/>
        <w:spacing w:after="0"/>
        <w:tabs>
          <w:tab w:leader="none" w:pos="6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 privately negotiated transactions;</w:t>
      </w:r>
    </w:p>
    <w:p>
      <w:pPr>
        <w:spacing w:after="0" w:line="152" w:lineRule="exact"/>
        <w:rPr>
          <w:rFonts w:ascii="Arial" w:cs="Arial" w:eastAsia="Arial" w:hAnsi="Arial"/>
          <w:sz w:val="12"/>
          <w:szCs w:val="12"/>
          <w:color w:val="auto"/>
        </w:rPr>
      </w:pPr>
    </w:p>
    <w:p>
      <w:pPr>
        <w:ind w:left="647" w:hanging="647"/>
        <w:spacing w:after="0"/>
        <w:tabs>
          <w:tab w:leader="none" w:pos="6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short sales after the registration statement, of which this prospectus forms a part, becomes effective;</w:t>
      </w:r>
    </w:p>
    <w:p>
      <w:pPr>
        <w:spacing w:after="0" w:line="152" w:lineRule="exact"/>
        <w:rPr>
          <w:rFonts w:ascii="Arial" w:cs="Arial" w:eastAsia="Arial" w:hAnsi="Arial"/>
          <w:sz w:val="12"/>
          <w:szCs w:val="12"/>
          <w:color w:val="auto"/>
        </w:rPr>
      </w:pPr>
    </w:p>
    <w:p>
      <w:pPr>
        <w:ind w:left="647" w:hanging="647"/>
        <w:spacing w:after="0"/>
        <w:tabs>
          <w:tab w:leader="none" w:pos="6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broker-dealers may agree with the selling stockholders to sell a specified number of such shares at a stipulated price per share;</w:t>
      </w:r>
    </w:p>
    <w:p>
      <w:pPr>
        <w:spacing w:after="0" w:line="152" w:lineRule="exact"/>
        <w:rPr>
          <w:rFonts w:ascii="Arial" w:cs="Arial" w:eastAsia="Arial" w:hAnsi="Arial"/>
          <w:sz w:val="12"/>
          <w:szCs w:val="12"/>
          <w:color w:val="auto"/>
        </w:rPr>
      </w:pPr>
    </w:p>
    <w:p>
      <w:pPr>
        <w:ind w:left="647" w:hanging="647"/>
        <w:spacing w:after="0"/>
        <w:tabs>
          <w:tab w:leader="none" w:pos="6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“at the market” into an existing market for the common stock;</w:t>
      </w:r>
    </w:p>
    <w:p>
      <w:pPr>
        <w:spacing w:after="0" w:line="152" w:lineRule="exact"/>
        <w:rPr>
          <w:rFonts w:ascii="Arial" w:cs="Arial" w:eastAsia="Arial" w:hAnsi="Arial"/>
          <w:sz w:val="12"/>
          <w:szCs w:val="12"/>
          <w:color w:val="auto"/>
        </w:rPr>
      </w:pPr>
    </w:p>
    <w:p>
      <w:pPr>
        <w:ind w:left="647" w:hanging="647"/>
        <w:spacing w:after="0"/>
        <w:tabs>
          <w:tab w:leader="none" w:pos="6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through the writing of options on the shares;</w:t>
      </w:r>
    </w:p>
    <w:p>
      <w:pPr>
        <w:spacing w:after="0" w:line="152" w:lineRule="exact"/>
        <w:rPr>
          <w:rFonts w:ascii="Arial" w:cs="Arial" w:eastAsia="Arial" w:hAnsi="Arial"/>
          <w:sz w:val="12"/>
          <w:szCs w:val="12"/>
          <w:color w:val="auto"/>
        </w:rPr>
      </w:pPr>
    </w:p>
    <w:p>
      <w:pPr>
        <w:ind w:left="647" w:hanging="647"/>
        <w:spacing w:after="0"/>
        <w:tabs>
          <w:tab w:leader="none" w:pos="6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a combination of any such methods of sale; and</w:t>
      </w:r>
    </w:p>
    <w:p>
      <w:pPr>
        <w:spacing w:after="0" w:line="152" w:lineRule="exact"/>
        <w:rPr>
          <w:rFonts w:ascii="Arial" w:cs="Arial" w:eastAsia="Arial" w:hAnsi="Arial"/>
          <w:sz w:val="12"/>
          <w:szCs w:val="12"/>
          <w:color w:val="auto"/>
        </w:rPr>
      </w:pPr>
    </w:p>
    <w:p>
      <w:pPr>
        <w:ind w:left="647" w:hanging="647"/>
        <w:spacing w:after="0"/>
        <w:tabs>
          <w:tab w:leader="none" w:pos="6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any other method permitted pursuant to applicable law.</w:t>
      </w:r>
    </w:p>
    <w:p>
      <w:pPr>
        <w:spacing w:after="0" w:line="152" w:lineRule="exact"/>
        <w:rPr>
          <w:sz w:val="20"/>
          <w:szCs w:val="20"/>
          <w:color w:val="auto"/>
        </w:rPr>
      </w:pPr>
    </w:p>
    <w:p>
      <w:pPr>
        <w:ind w:left="7"/>
        <w:spacing w:after="0" w:line="279" w:lineRule="auto"/>
        <w:rPr>
          <w:sz w:val="20"/>
          <w:szCs w:val="20"/>
          <w:color w:val="auto"/>
        </w:rPr>
      </w:pPr>
      <w:r>
        <w:rPr>
          <w:rFonts w:ascii="Arial" w:cs="Arial" w:eastAsia="Arial" w:hAnsi="Arial"/>
          <w:sz w:val="12"/>
          <w:szCs w:val="12"/>
          <w:color w:val="auto"/>
        </w:rPr>
        <w:t>In order to comply with the securities laws of certain states, if applicable, the shares of each of the selling stockholders may be sold only through registered or licensed brokers or dealers. In addition, in certain states, such shares may not be sold unless they have been registered or qualified for sale in the state or an exemption from the registration or qualification requirement is available and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98690"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67"/>
          </w:cols>
          <w:pgMar w:left="213" w:top="389" w:right="219" w:bottom="1440" w:gutter="0" w:footer="0" w:header="0"/>
        </w:sectPr>
      </w:pPr>
    </w:p>
    <w:bookmarkStart w:id="26" w:name="page27"/>
    <w:bookmarkEnd w:id="26"/>
    <w:p>
      <w:pPr>
        <w:jc w:val="both"/>
        <w:ind w:right="20"/>
        <w:spacing w:after="0" w:line="279" w:lineRule="auto"/>
        <w:rPr>
          <w:sz w:val="20"/>
          <w:szCs w:val="20"/>
          <w:color w:val="auto"/>
        </w:rPr>
      </w:pPr>
      <w:r>
        <w:rPr>
          <w:rFonts w:ascii="Arial" w:cs="Arial" w:eastAsia="Arial" w:hAnsi="Arial"/>
          <w:sz w:val="12"/>
          <w:szCs w:val="12"/>
          <w:color w:val="auto"/>
        </w:rPr>
        <w:t>The selling stockholders may also sell shares of common stock under Rule 144 promulgated under the Securities Act, if available, or any other exemption available under the Securities Act rather than under this prospectus. In addition, the selling stockholders may transfer the shares of common stock by other means not described in this prospectus.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selling stockholders may also sell the shares directly to market makers acting as principals and/or broker-dealers acting as agents for themselves or their customers. Such broker-dealers may receive compensation in the form of discounts, concessions or commissions from the selling stockholders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stockholder will attempt to sell shares of common stock in block transactions to market makers or other purchasers at a price per share which may be below the then market price. The selling stockholders cannot assure that all or any of the shares offered in this prospectus will be issued to, or sold by, such selling stockholder.</w:t>
      </w:r>
    </w:p>
    <w:p>
      <w:pPr>
        <w:spacing w:after="0" w:line="125"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Brokers, dealers, underwriters, or agents participating in the distribution of the shares held by the selling stockholders as agents may receive compensation in the form of commissions, discounts, or concessions from the selling stockholders and/or purchasers of the common stock for whom the broker-dealers may act as agent. The selling stockholders may agree to indemnify any agent, dealer or broker-dealer that participates in transactions involving sales of the shares if liabilities are imposed on that person under the Securities Act.</w:t>
      </w:r>
    </w:p>
    <w:p>
      <w:pPr>
        <w:spacing w:after="0" w:line="123"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Each of the selling stockholders acquired the securities offered hereby in the ordinary course of business and has advised us that they have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we are notified by any selling stockholder that any material arrangement has been entered into with a broker-dealer for the sale of shares of common stock, if required, we will file a supplement to this prospectus.</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If any of the selling stockholders use this prospectus for any sale of the shares of common stock, such selling stockholder will be subject to the prospectus delivery requirements of the Securities Act.</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Regulation M</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anti-manipulation rules of Regulation M under the Exchange Act of 1934, as amended (the “Exchange Act”) may apply to sales of our common stock and activities of the selling stockholder.</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683" w:right="199" w:bottom="1440" w:gutter="0" w:footer="0" w:header="0"/>
        </w:sectPr>
      </w:pPr>
    </w:p>
    <w:bookmarkStart w:id="27" w:name="page28"/>
    <w:bookmarkEnd w:id="27"/>
    <w:p>
      <w:pPr>
        <w:jc w:val="center"/>
        <w:spacing w:after="0"/>
        <w:rPr>
          <w:sz w:val="20"/>
          <w:szCs w:val="20"/>
          <w:color w:val="auto"/>
        </w:rPr>
      </w:pPr>
      <w:r>
        <w:rPr>
          <w:rFonts w:ascii="Arial" w:cs="Arial" w:eastAsia="Arial" w:hAnsi="Arial"/>
          <w:sz w:val="12"/>
          <w:szCs w:val="12"/>
          <w:b w:val="1"/>
          <w:bCs w:val="1"/>
          <w:color w:val="auto"/>
        </w:rPr>
        <w:t>DESCRIPTION OF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At the date hereof, we are authorized by our certificate of incorporation to issue an aggregate of 500,000,000 shares of common stock, par value $0.001 per share and 5,000,000 shares as blank check preferred shares, no par value.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color w:val="auto"/>
        </w:rPr>
        <w:t>This prospectus contains only a summary of the common stock the selling stockholders are offering</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56"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Holders of our common stock are entitled to one vote for each share held of record on each matter submitted to a vote of stockholders. In this event, the holders of the remaining shares of common stock would not be able to elect any directors. Except as otherwise required by Nevada law, and subject to the rights of the holders of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the preferred stock,</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Anti-Takeover Provisions</w:t>
      </w:r>
    </w:p>
    <w:p>
      <w:pPr>
        <w:spacing w:after="0" w:line="174"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The provisions of Nevada law and our bylaws may have the effect of delaying, deferring or preventing another party from acquiring control of the company. These provisions may discourage and prevent coercive takeover practices and inadequate takeover bids.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Nevada Law</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shareholders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43"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A “control share acquisition” is generally defined as the direct or indirect acquisition of either ownership or voting power associated with issued and outstanding control shares. The shareholders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control share acquisition act is applicable only to shares of “Issuing Corporations” as defined by the Nevada law. An Issuing Corporation is a Nevada corporation which (i) has 200 or more shareholders, with at least 100 of such shareholders being both shareholders of record and residents of Nevada, and (ii) does business in Nevada directly or through an affiliated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3" w:right="199" w:bottom="1440" w:gutter="0" w:footer="0" w:header="0"/>
        </w:sectPr>
      </w:pPr>
    </w:p>
    <w:bookmarkStart w:id="28" w:name="page29"/>
    <w:bookmarkEnd w:id="28"/>
    <w:p>
      <w:pPr>
        <w:jc w:val="both"/>
        <w:spacing w:after="0" w:line="265" w:lineRule="auto"/>
        <w:rPr>
          <w:sz w:val="20"/>
          <w:szCs w:val="20"/>
          <w:color w:val="auto"/>
        </w:rPr>
      </w:pPr>
      <w:r>
        <w:rPr>
          <w:rFonts w:ascii="Arial" w:cs="Arial" w:eastAsia="Arial" w:hAnsi="Arial"/>
          <w:sz w:val="12"/>
          <w:szCs w:val="12"/>
          <w:color w:val="auto"/>
        </w:rPr>
        <w:t>At this time, we do not believe we have 100 shareholders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shareholders.</w:t>
      </w:r>
    </w:p>
    <w:p>
      <w:pPr>
        <w:spacing w:after="0" w:line="141"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Articles of Incorporation and Bylaws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 and Registrar</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transfer agent and registrar for our common stock is Island Stock Transfer, 1550 Roosevelt Blvd Suite 301, Clearwater, FL 33760.</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Listing</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shares of our common stock are quoted on the OTCQB under the symbol TPIV.OB. On July 2, 2015, the last reported sale price per share for our common stock on the OTCQB as reported was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7" w:right="199" w:bottom="1440" w:gutter="0" w:footer="0" w:header="0"/>
        </w:sectPr>
      </w:pPr>
    </w:p>
    <w:bookmarkStart w:id="29" w:name="page30"/>
    <w:bookmarkEnd w:id="29"/>
    <w:p>
      <w:pPr>
        <w:jc w:val="center"/>
        <w:spacing w:after="0"/>
        <w:rPr>
          <w:sz w:val="20"/>
          <w:szCs w:val="20"/>
          <w:color w:val="auto"/>
        </w:rPr>
      </w:pPr>
      <w:r>
        <w:rPr>
          <w:rFonts w:ascii="Arial" w:cs="Arial" w:eastAsia="Arial" w:hAnsi="Arial"/>
          <w:sz w:val="12"/>
          <w:szCs w:val="12"/>
          <w:b w:val="1"/>
          <w:bCs w:val="1"/>
          <w:color w:val="auto"/>
        </w:rPr>
        <w:t>BUSINESS</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Cancer Vaccines</w:t>
      </w:r>
    </w:p>
    <w:p>
      <w:pPr>
        <w:spacing w:after="0" w:line="156" w:lineRule="exact"/>
        <w:rPr>
          <w:sz w:val="20"/>
          <w:szCs w:val="20"/>
          <w:color w:val="auto"/>
        </w:rPr>
      </w:pPr>
    </w:p>
    <w:p>
      <w:pPr>
        <w:jc w:val="both"/>
        <w:ind w:right="20"/>
        <w:spacing w:after="0" w:line="326" w:lineRule="auto"/>
        <w:rPr>
          <w:sz w:val="20"/>
          <w:szCs w:val="20"/>
          <w:color w:val="auto"/>
        </w:rPr>
      </w:pPr>
      <w:r>
        <w:rPr>
          <w:rFonts w:ascii="Arial" w:cs="Arial" w:eastAsia="Arial" w:hAnsi="Arial"/>
          <w:sz w:val="11"/>
          <w:szCs w:val="11"/>
          <w:color w:val="auto"/>
        </w:rPr>
        <w:t>TapImmune is a biotechnology Company focusing on immunotherapy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w:t>
      </w:r>
    </w:p>
    <w:p>
      <w:pPr>
        <w:spacing w:after="0" w:line="91" w:lineRule="exact"/>
        <w:rPr>
          <w:sz w:val="20"/>
          <w:szCs w:val="20"/>
          <w:color w:val="auto"/>
        </w:rPr>
      </w:pPr>
    </w:p>
    <w:p>
      <w:pPr>
        <w:jc w:val="both"/>
        <w:spacing w:after="0" w:line="326" w:lineRule="auto"/>
        <w:rPr>
          <w:sz w:val="20"/>
          <w:szCs w:val="20"/>
          <w:color w:val="auto"/>
        </w:rPr>
      </w:pPr>
      <w:r>
        <w:rPr>
          <w:rFonts w:ascii="Arial" w:cs="Arial" w:eastAsia="Arial" w:hAnsi="Arial"/>
          <w:sz w:val="11"/>
          <w:szCs w:val="11"/>
          <w:color w:val="auto"/>
        </w:rPr>
        <w:t>To enhance shareholder value and taking into account development timelines, the Company plans to focus on advancing its clinical programs including our HER2/neu peptide antigen program and our Folate Alpha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91"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Unlike other vaccine technologies that narrowly address the initiation of an immune response, TapImmune's ("Prime" 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Our nucleic acid-based systems can also incorporate “TAP” which stands for Transporter associated with Antigen Presentation.</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are currently focusing on the clinical development and testing of our product candidates. In this regard, we have two Phase I studies being concluded at the Mayo Clinic (Rochester, MN) which are designed to evaluate the safety and immune response(s) of a set of proprietary HER2/neu antigens for a HER2/neu breast cancer vaccine and Folate Receptor Alpha for triple negative breast and ovarian cancer respectively. TapImmune has the exclusive option to license each of these technologies upon the completion of each Phase I. In addition, we plan to initiate Phase II studies in 2015. The first of which will likely include the novel folate alpha antigens in a Phase II study, providing a vaccine for triple negative breast cancer that can stimulate a T-cell response. The unmet demand for a promising therapeutic in this indication, we believe, will allow us to proceed with an orphan drug and FDA fast track applications pending discussion and approval from the FDA. The second Phase II trial is expected to include our HER2/neu epitopes and will likely focus on Her2 positive breast cancer. Interim data from both phase I trials has provided the technical rational for progressing these programs to phase II trials.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The Company plans to incorporate the pre-clinical development of Polystart™ as a boost strategy for HER2/neu breast cancer, colorectal cancer, ovarian cancer and triple negative breast cancer.</w:t>
      </w:r>
    </w:p>
    <w:p>
      <w:pPr>
        <w:spacing w:after="0" w:line="152"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candidate breast cancer, colorectal cancer and ovarian cancer immunotherapeutic vaccines are being developed for use in this setting as an adjuvant treatment to prevent recurrent disease.</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Management strongly believes that the comprehensive scientific underpinnings of our overall approach, to elicit the production of both helper T- cells and killer T- cells, will provide the Company with highly competitive product candidates for the treatment of HER2/neu positive breast cancer, colorectal cancer, ovarian cancer and triple negative breast cancer.</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Infectious Disease Program</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Regarding our programs for the development of vaccines aimed at viral pandemics/biodefense, our collaborations with the Mayo Clinic progressed to a point where the immunogenicity of novel smallpox antigens in mice treated with both antigens and TAP expression vectors was shown to be encouraging. However, due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the Company to focus the majority of its internal resources on HER2/neu breast, ovarian and triple negative cancers.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3" w:right="1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color w:val="auto"/>
        </w:rPr>
        <w:t>General</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The facilities at 1551 Eastlake Avenue, Seattle have exceeded our expectations and allowed us to continue to recruit top-class scientific staff while at the same time effectively leverage world-class resources made available to us and manage our cash flow. Our technical staff has proven experience and relevant expertise in the areas of molecular biology, cellular biology and immunology/oncology. Our small core team has allowed us to establish in-house technical expertise in molecular biology (expression vector development) and immunology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our core TAP IP and antigen specific IP from the Mayo Clinic for which we have either licensed outright or have exclusive options to license.</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Over the past two quarters, we have, in a challenging financing climate, raised working capital to fund and progress our operations and significantly restructured our balance sheet and capital structure. We believe that we continue to make good progress with the resources available to us. With the start of clinical programs and our focus on securing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25"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 History</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We currently trade on the OTC Bulletin Board (“OTCQB”) under the symbol “TPIV” and on the Frankfurt and Berlin Stock Exchanges under the symbol “GX1A.” The listing on the Berlin Stock Exchange was done without the Company’s knowledge and consent.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We were incorporated under the laws of the State of Nevada in 1991. We have one wholly owned subsidiary named GeneMax Pharmaceuticals Inc. (“GeneMax Pharmaceuticals”).</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On July 23, 2014, the US Securities and Exchange Commission declared our registration statement on Form S-3, as amended, effective. We conducted the following three placements under that registration statement:</w:t>
      </w:r>
    </w:p>
    <w:p>
      <w:pPr>
        <w:spacing w:after="0" w:line="182" w:lineRule="exact"/>
        <w:rPr>
          <w:sz w:val="20"/>
          <w:szCs w:val="20"/>
          <w:color w:val="auto"/>
        </w:rPr>
      </w:pPr>
    </w:p>
    <w:p>
      <w:pPr>
        <w:ind w:left="320" w:hanging="110"/>
        <w:spacing w:after="0"/>
        <w:tabs>
          <w:tab w:leader="none" w:pos="3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sale of 1,886,792 units in exchange for $2,00,000, with each unit consisting of one share of common stock and a warrant to purchase a share of common stock at an exercise price of $1.06;</w:t>
      </w:r>
    </w:p>
    <w:p>
      <w:pPr>
        <w:spacing w:after="0" w:line="170" w:lineRule="exact"/>
        <w:rPr>
          <w:rFonts w:ascii="Arial" w:cs="Arial" w:eastAsia="Arial" w:hAnsi="Arial"/>
          <w:sz w:val="12"/>
          <w:szCs w:val="12"/>
          <w:color w:val="auto"/>
        </w:rPr>
      </w:pPr>
    </w:p>
    <w:p>
      <w:pPr>
        <w:ind w:left="320" w:right="120" w:hanging="110"/>
        <w:spacing w:after="0" w:line="300" w:lineRule="auto"/>
        <w:tabs>
          <w:tab w:leader="none" w:pos="3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sale of 7,320,000 units in exchange for $1,464,000, with each unit consisting of a share of common stock as well as (i) a Series A Warrant to purchase a share of common stock at an exercise price (as adjusted) of $0.10, (ii) a Series B Warrant to purchase a share of common stock at an exercise price (as adjusted) of $0.20, (iii) a Series C Warrant to purchase a share of common stock at an exercise price (as adjusted) of $0.50, (iv) a Series D Warrant to purchase a share of common stock at an exercise price of $.75 and (v) a Series E Warrant to purchase a share of common stock at an exercise price of $1.25; and</w:t>
      </w:r>
    </w:p>
    <w:p>
      <w:pPr>
        <w:spacing w:after="0" w:line="105" w:lineRule="exact"/>
        <w:rPr>
          <w:rFonts w:ascii="Arial" w:cs="Arial" w:eastAsia="Arial" w:hAnsi="Arial"/>
          <w:sz w:val="11"/>
          <w:szCs w:val="11"/>
          <w:color w:val="auto"/>
        </w:rPr>
      </w:pPr>
    </w:p>
    <w:p>
      <w:pPr>
        <w:ind w:left="320" w:right="60" w:hanging="110"/>
        <w:spacing w:after="0" w:line="265" w:lineRule="auto"/>
        <w:tabs>
          <w:tab w:leader="none" w:pos="3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sale of 5,000,000 units in exchange for $1,000,000, with each unit consisting of a share of common stock as well as (i) a Series A-1 Warrant to purchase a share of common stock at an exercise price (as adjusted) of $0.10, (ii) a Series B-1 Warrant to purchase a share of common stock at an exercise price (as adjusted) of $0.20, (iii) a Series C-1 Warrants to purchase a share of common stock at an exercise price of $0.50, (iv) a Series D-1 Warrant to purchase a share of common stock at an exercise price of $0.75 and (v) a Series E-1 Warrant to purchase a share of common stock at an exercise price of $1.25.</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shares underlying the warrants sold in each of those placements as well the shares sold in the March 2015 placement are being registered with the US Securities and Exchange Commission pursuant to a registration statement of which this prospectus forms a part.</w:t>
      </w:r>
    </w:p>
    <w:p>
      <w:pPr>
        <w:spacing w:after="0" w:line="132" w:lineRule="exact"/>
        <w:rPr>
          <w:sz w:val="20"/>
          <w:szCs w:val="20"/>
          <w:color w:val="auto"/>
        </w:rPr>
      </w:pPr>
    </w:p>
    <w:p>
      <w:pPr>
        <w:ind w:right="320"/>
        <w:spacing w:after="0" w:line="279" w:lineRule="auto"/>
        <w:rPr>
          <w:sz w:val="20"/>
          <w:szCs w:val="20"/>
          <w:color w:val="auto"/>
        </w:rPr>
      </w:pPr>
      <w:r>
        <w:rPr>
          <w:rFonts w:ascii="Arial" w:cs="Arial" w:eastAsia="Arial" w:hAnsi="Arial"/>
          <w:sz w:val="12"/>
          <w:szCs w:val="12"/>
          <w:color w:val="auto"/>
        </w:rPr>
        <w:t>In June 2015, we entered into a series of Restructuring Agreements, as amended where applicable, that adjusted the exercise prices of the Series A, Series B, Series C, Series A-1, Series B-1, and Series C-1 warrants and doubled the amount of Series B, Series C, Series B-1 and Series C-1 warrants. Such issuances were made pursuant to Section 3(a)(9) of the Securities Act.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Immunotherapy Industry for Cancer</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Management believes that there is a critical need for more effective cancer therapies. Given the massive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and T-helper cells together with the use of our PolyStart™ expression vector as a “boost” strategy can give us a competitive edge in the in vivo T-cell vaccine sector.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3" w:right="199" w:bottom="1440" w:gutter="0" w:footer="0" w:header="0"/>
        </w:sectPr>
      </w:pPr>
    </w:p>
    <w:bookmarkStart w:id="31" w:name="page32"/>
    <w:bookmarkEnd w:id="31"/>
    <w:p>
      <w:pPr>
        <w:jc w:val="both"/>
        <w:spacing w:after="0" w:line="261" w:lineRule="auto"/>
        <w:rPr>
          <w:sz w:val="20"/>
          <w:szCs w:val="20"/>
          <w:color w:val="auto"/>
        </w:rPr>
      </w:pPr>
      <w:r>
        <w:rPr>
          <w:rFonts w:ascii="Arial" w:cs="Arial" w:eastAsia="Arial" w:hAnsi="Arial"/>
          <w:sz w:val="12"/>
          <w:szCs w:val="12"/>
          <w:color w:val="auto"/>
        </w:rPr>
        <w:t>In addition, we continue to pursue the development of an approach which can allow the cellular immune system to make tumor cells more visible to the immune system. Many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143" w:lineRule="exact"/>
        <w:rPr>
          <w:sz w:val="20"/>
          <w:szCs w:val="20"/>
          <w:color w:val="auto"/>
        </w:rPr>
      </w:pPr>
    </w:p>
    <w:p>
      <w:pPr>
        <w:jc w:val="both"/>
        <w:spacing w:after="0" w:line="326" w:lineRule="auto"/>
        <w:rPr>
          <w:sz w:val="20"/>
          <w:szCs w:val="20"/>
          <w:color w:val="auto"/>
        </w:rPr>
      </w:pPr>
      <w:r>
        <w:rPr>
          <w:rFonts w:ascii="Arial" w:cs="Arial" w:eastAsia="Arial" w:hAnsi="Arial"/>
          <w:sz w:val="11"/>
          <w:szCs w:val="11"/>
          <w:color w:val="auto"/>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By restoring TAP expression to TAP-deficient cells, the MHC Class I protein peptide complexes could signal the immune system to attack the cancer. A strategic vision of TapImmune is to restore the TAP function within cancerous cells, thus making them immunogenic, or more “visible” to cancer fighting immune cells. Management believes that with further development and improvement of selectivity, this cancer vaccine strategy could provide a commercially viable therapeutic approach that addresses this problem of “non-immunogenicity” of cancer.</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TapImmune’s Target Market and Strategy</w:t>
      </w:r>
    </w:p>
    <w:p>
      <w:pPr>
        <w:spacing w:after="0" w:line="156" w:lineRule="exact"/>
        <w:rPr>
          <w:sz w:val="20"/>
          <w:szCs w:val="20"/>
          <w:color w:val="auto"/>
        </w:rPr>
      </w:pPr>
    </w:p>
    <w:p>
      <w:pPr>
        <w:jc w:val="both"/>
        <w:ind w:right="20"/>
        <w:spacing w:after="0" w:line="300" w:lineRule="auto"/>
        <w:rPr>
          <w:sz w:val="20"/>
          <w:szCs w:val="20"/>
          <w:color w:val="auto"/>
        </w:rPr>
      </w:pPr>
      <w:r>
        <w:rPr>
          <w:rFonts w:ascii="Arial" w:cs="Arial" w:eastAsia="Arial" w:hAnsi="Arial"/>
          <w:sz w:val="11"/>
          <w:szCs w:val="11"/>
          <w:color w:val="auto"/>
        </w:rPr>
        <w:t>We will focus our product development in oncology, both, alone and with corporate partners and/or collaborators including the Mayo Clinic for HER2/neu positive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TapImmune management is to ultimately have the FDA approve our cancer vaccines so that we can secure a portion of this market.</w:t>
      </w:r>
    </w:p>
    <w:p>
      <w:pPr>
        <w:spacing w:after="0" w:line="106"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11"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global market for infectious disease based vaccines is dominated by five companies—Merck, GlaxoSmithKline, Sanofi Pasteur (the vaccines division of Sanofi SA), Pfizer Inc.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will have the potential to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Efforts</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We direct our research and development efforts towards the advancement of immunotherapeutic and prophylactic vaccine products for the treatment of cancer and protection against pathogenic microbes respectively, using our combined proprietary technologies, (1) relevant killer plus helper T-cell peptide antigens, (2) Polystart™ nucleic acid-based expression system(s), and (3)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sectPr>
      </w:pPr>
    </w:p>
    <w:bookmarkStart w:id="32" w:name="page33"/>
    <w:bookmarkEnd w:id="32"/>
    <w:p>
      <w:pPr>
        <w:jc w:val="both"/>
        <w:spacing w:after="0" w:line="261" w:lineRule="auto"/>
        <w:rPr>
          <w:sz w:val="20"/>
          <w:szCs w:val="20"/>
          <w:color w:val="auto"/>
        </w:rPr>
      </w:pPr>
      <w:r>
        <w:rPr>
          <w:rFonts w:ascii="Arial" w:cs="Arial" w:eastAsia="Arial" w:hAnsi="Arial"/>
          <w:sz w:val="12"/>
          <w:szCs w:val="12"/>
          <w:color w:val="auto"/>
        </w:rPr>
        <w:t>(Co-linear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Products and Technology in Development</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Clinical</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For perspective, the Company notes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1"/>
          <w:szCs w:val="11"/>
          <w:i w:val="1"/>
          <w:iCs w:val="1"/>
          <w:color w:val="auto"/>
        </w:rPr>
        <w:t>i.e</w:t>
      </w:r>
      <w:r>
        <w:rPr>
          <w:rFonts w:ascii="Arial" w:cs="Arial" w:eastAsia="Arial" w:hAnsi="Arial"/>
          <w:sz w:val="11"/>
          <w:szCs w:val="11"/>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Phase I Human Clinical Trials – </w:t>
      </w:r>
      <w:r>
        <w:rPr>
          <w:rFonts w:ascii="Arial" w:cs="Arial" w:eastAsia="Arial" w:hAnsi="Arial"/>
          <w:sz w:val="12"/>
          <w:szCs w:val="12"/>
          <w:b w:val="1"/>
          <w:bCs w:val="1"/>
          <w:color w:val="auto"/>
        </w:rPr>
        <w:t>HER2/neu+ Breast Cancer – Mayo Clinic</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 xml:space="preserve">On June 1, 2010, we signed an exclusive licensing option agreement with the Mayo Clinic, Rochester MN for clinical development of a new HER2/neu breast cancer vaccine technology. An IND for Phase I human clinical trial on the HER2/neu cancer vaccine in collaboration with the Mayo Clinic was allowed by the FDA in July, 2011 and the Mayo IRB approved the trial on May 4, 2012. This trial is fully enrolled and closed, and patient dosing has been completed. All patients have received the Company’s vaccine composition, and </w:t>
      </w:r>
      <w:r>
        <w:rPr>
          <w:rFonts w:ascii="Arial" w:cs="Arial" w:eastAsia="Arial" w:hAnsi="Arial"/>
          <w:sz w:val="11"/>
          <w:szCs w:val="11"/>
          <w:u w:val="single" w:color="auto"/>
          <w:color w:val="auto"/>
        </w:rPr>
        <w:t>interim safety analysis</w:t>
      </w:r>
      <w:r>
        <w:rPr>
          <w:rFonts w:ascii="Arial" w:cs="Arial" w:eastAsia="Arial" w:hAnsi="Arial"/>
          <w:sz w:val="11"/>
          <w:szCs w:val="11"/>
          <w:color w:val="auto"/>
        </w:rPr>
        <w:t xml:space="preserve"> on the first six patients is complete and shown to be safe. In addition, each of the first six patients treated, developed specific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 The assessment of vaccine safety (primary endpoint) and evaluation of immunogenicity (secondary endpoint) for this trial are currently scheduled for review and determination of progression into Phase II, in 2015. Patients enrolled in the Phase I study will be followed for up to two years after completion of trials.</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Therefore a key goal in 2015 is to progress the HER2/neu vaccine towards the above mentioned Phase 1(b)/II Clinical Trial.</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Phase I Human Clinical Trials – </w:t>
      </w:r>
      <w:r>
        <w:rPr>
          <w:rFonts w:ascii="Arial" w:cs="Arial" w:eastAsia="Arial" w:hAnsi="Arial"/>
          <w:sz w:val="12"/>
          <w:szCs w:val="12"/>
          <w:b w:val="1"/>
          <w:bCs w:val="1"/>
          <w:color w:val="auto"/>
        </w:rPr>
        <w:t>Folate Alpha Breast and Ovarian Cancer – Mayo Clinic</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On March 19, 2014, the Company announced the signing of an exclusive option agreement for a set of unique peptide epitopes targeting Folate Receptor Alpha in both breast cancer and ovarian cancer.</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Folate Receptor Alpha is expressed in over 80%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 negative breast cancer patients newly diagnosed every year.</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 24 patient Phase I clinical trial is currently underway. The trial is fully enrolled and closed, and will be evaluated for Phase II advancement in 2015 when all Phase I data has been evaluated.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sectPr>
      </w:pPr>
    </w:p>
    <w:bookmarkStart w:id="33" w:name="page34"/>
    <w:bookmarkEnd w:id="33"/>
    <w:p>
      <w:pPr>
        <w:spacing w:after="0"/>
        <w:rPr>
          <w:sz w:val="20"/>
          <w:szCs w:val="20"/>
          <w:color w:val="auto"/>
        </w:rPr>
      </w:pPr>
      <w:r>
        <w:rPr>
          <w:rFonts w:ascii="Arial" w:cs="Arial" w:eastAsia="Arial" w:hAnsi="Arial"/>
          <w:sz w:val="11"/>
          <w:szCs w:val="11"/>
          <w:color w:val="auto"/>
        </w:rPr>
        <w:t>No serious adverse events have occurred to date and 20 out of 21 evaluable patients showed positive immune responses providing a strong rationale rational for progressing to phase 2 trials. More information can be seen at: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http://clinicaltrials.gov/ct2/show/NCT01606241?term=folate+receptor+alpha&amp;rank=1</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Preclinical</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Polystart™</w:t>
      </w:r>
    </w:p>
    <w:p>
      <w:pPr>
        <w:spacing w:after="0" w:line="15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TapImmune is initiating the development of a nucleic acid-based expression system that can be aligned as a prime and boost strategy with our peptide-based vaccine compositions. The nucleic acid-based platform may also represent a second stand-alone vaccine technology. The nucleic acid–based technology is termed “Polystart™. The Company’s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The Company has filed a U.S. Provisional Patent Application around the Polystart™ technology.</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We plan to develop or out-license our technologies for the creation of enhanced anti-viral vaccines, such as for smallpox and other viral diseases. We anticipate that we will complete these studies with a strategic partner involved in the vaccine and Biodefense space. We intend to progress our infectious disease programs with non-dilutive grant funding as well and to expand the use of our TAP platform to emerging pathogens that could be either pandemic or bioterrorist threats.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Relationships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Mayo Foundation for Medical Education and Research</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Following approval of the IND by the FDA in July, 2011, TapImmune and the Mayo Foundation executed a Sponsored Research Agreement for the clinical trial.</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On May 4, 2012, Mayo IRB approval was confirmed and patient dosing started in August 2012. Interim safety analysis on the first five patients was completed successfully allowing continuation of the trial.</w:t>
      </w:r>
    </w:p>
    <w:p>
      <w:pPr>
        <w:spacing w:after="0" w:line="152"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 This project was completed in Q4, 2014 and while the project successfully identified several peptide antigens as the potential components for a new vaccine, TapImmune decided not to proceed into primate studies to devote resources to its oncology clinical programs.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MA, June 26, 2012. A peer-reviewed manuscript from the Knutson lab, which describes the science in detail, has been accepted for publication in Journal of Immunology.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7" w:right="199" w:bottom="1440" w:gutter="0" w:footer="0" w:header="0"/>
        </w:sectPr>
      </w:pPr>
    </w:p>
    <w:bookmarkStart w:id="34" w:name="page35"/>
    <w:bookmarkEnd w:id="34"/>
    <w:p>
      <w:pPr>
        <w:ind w:left="7"/>
        <w:spacing w:after="0"/>
        <w:rPr>
          <w:sz w:val="20"/>
          <w:szCs w:val="20"/>
          <w:color w:val="auto"/>
        </w:rPr>
      </w:pPr>
      <w:r>
        <w:rPr>
          <w:rFonts w:ascii="Arial" w:cs="Arial" w:eastAsia="Arial" w:hAnsi="Arial"/>
          <w:sz w:val="12"/>
          <w:szCs w:val="12"/>
          <w:b w:val="1"/>
          <w:bCs w:val="1"/>
          <w:color w:val="auto"/>
        </w:rPr>
        <w:t>Intellectual Property, Patents and Trademarks</w:t>
      </w:r>
    </w:p>
    <w:p>
      <w:pPr>
        <w:spacing w:after="0" w:line="156" w:lineRule="exact"/>
        <w:rPr>
          <w:sz w:val="20"/>
          <w:szCs w:val="20"/>
          <w:color w:val="auto"/>
        </w:rPr>
      </w:pPr>
    </w:p>
    <w:p>
      <w:pPr>
        <w:jc w:val="both"/>
        <w:ind w:left="7"/>
        <w:spacing w:after="0" w:line="292" w:lineRule="auto"/>
        <w:rPr>
          <w:sz w:val="20"/>
          <w:szCs w:val="20"/>
          <w:color w:val="auto"/>
        </w:rPr>
      </w:pPr>
      <w:r>
        <w:rPr>
          <w:rFonts w:ascii="Arial" w:cs="Arial" w:eastAsia="Arial" w:hAnsi="Arial"/>
          <w:sz w:val="11"/>
          <w:szCs w:val="11"/>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09" w:lineRule="exact"/>
        <w:rPr>
          <w:sz w:val="20"/>
          <w:szCs w:val="20"/>
          <w:color w:val="auto"/>
        </w:rPr>
      </w:pPr>
    </w:p>
    <w:p>
      <w:pPr>
        <w:jc w:val="both"/>
        <w:ind w:left="7"/>
        <w:spacing w:after="0" w:line="300" w:lineRule="auto"/>
        <w:rPr>
          <w:sz w:val="20"/>
          <w:szCs w:val="20"/>
          <w:color w:val="auto"/>
        </w:rPr>
      </w:pPr>
      <w:r>
        <w:rPr>
          <w:rFonts w:ascii="Arial" w:cs="Arial" w:eastAsia="Arial" w:hAnsi="Arial"/>
          <w:sz w:val="11"/>
          <w:szCs w:val="11"/>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spacing w:after="0" w:line="106" w:lineRule="exact"/>
        <w:rPr>
          <w:sz w:val="20"/>
          <w:szCs w:val="20"/>
          <w:color w:val="auto"/>
        </w:rPr>
      </w:pPr>
    </w:p>
    <w:p>
      <w:pPr>
        <w:jc w:val="both"/>
        <w:ind w:left="7"/>
        <w:spacing w:after="0" w:line="279" w:lineRule="auto"/>
        <w:rPr>
          <w:sz w:val="20"/>
          <w:szCs w:val="20"/>
          <w:color w:val="auto"/>
        </w:rPr>
      </w:pPr>
      <w:r>
        <w:rPr>
          <w:rFonts w:ascii="Arial" w:cs="Arial" w:eastAsia="Arial" w:hAnsi="Arial"/>
          <w:sz w:val="12"/>
          <w:szCs w:val="12"/>
          <w:color w:val="auto"/>
        </w:rPr>
        <w:t>TapImmune currently owns a number of issued and pending patents covering composition of matter and use of TAP and PolyStart. In addition, a number of issued and pending patents cover the HER2/neu and Folate Receptor Alpha peptides in our Option to License or License Agreements from the Mayo Foundation for Education and Research.</w:t>
      </w:r>
    </w:p>
    <w:p>
      <w:pPr>
        <w:spacing w:after="0" w:line="110"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Competition</w:t>
      </w:r>
    </w:p>
    <w:p>
      <w:pPr>
        <w:spacing w:after="0" w:line="156" w:lineRule="exact"/>
        <w:rPr>
          <w:sz w:val="20"/>
          <w:szCs w:val="20"/>
          <w:color w:val="auto"/>
        </w:rPr>
      </w:pPr>
    </w:p>
    <w:p>
      <w:pPr>
        <w:jc w:val="both"/>
        <w:ind w:left="7"/>
        <w:spacing w:after="0" w:line="261" w:lineRule="auto"/>
        <w:rPr>
          <w:sz w:val="20"/>
          <w:szCs w:val="20"/>
          <w:color w:val="auto"/>
        </w:rPr>
      </w:pPr>
      <w:r>
        <w:rPr>
          <w:rFonts w:ascii="Arial" w:cs="Arial" w:eastAsia="Arial" w:hAnsi="Arial"/>
          <w:sz w:val="12"/>
          <w:szCs w:val="12"/>
          <w:color w:val="auto"/>
        </w:rPr>
        <w:t>Management believes that a number of companies, which are developing various types of similar in vivo T-cell immunotherapies and therapeutic cancer vaccines to treat cancer, could be our major competitors including: Advaxis, Genzyme Molecular Oncology, Immune Design, Oncothyreon, Celldex, BN Immunotherapeutics, Immunocellular, Galena, Antigen Express, Transgene S.A., and Bavarian Nordic. Other immunotherapy approaches including adoptive T-cell therapies, monoclonal antibodies and checkpoint inhibitors also provide competition in the oncology space. In these areas competitors include, Lion Biotechnology, Juno, Kite, Roche, Merck, Bristol Myers Squibb, Astra Zeneca, Medimmune. We believe that our in vivo T-cell therapy approaches will be synergistic with these approaches and might even improve them.</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Government Regulation</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United States</w:t>
      </w:r>
    </w:p>
    <w:p>
      <w:pPr>
        <w:spacing w:after="0" w:line="152" w:lineRule="exact"/>
        <w:rPr>
          <w:sz w:val="20"/>
          <w:szCs w:val="20"/>
          <w:color w:val="auto"/>
        </w:rPr>
      </w:pPr>
    </w:p>
    <w:p>
      <w:pPr>
        <w:jc w:val="both"/>
        <w:ind w:left="7"/>
        <w:spacing w:after="0" w:line="283" w:lineRule="auto"/>
        <w:rPr>
          <w:sz w:val="20"/>
          <w:szCs w:val="20"/>
          <w:color w:val="auto"/>
        </w:rPr>
      </w:pPr>
      <w:r>
        <w:rPr>
          <w:rFonts w:ascii="Arial" w:cs="Arial" w:eastAsia="Arial" w:hAnsi="Arial"/>
          <w:sz w:val="11"/>
          <w:szCs w:val="11"/>
          <w:color w:val="auto"/>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NDA. The steps ordinarily required before a new drug may be marketed in the United States, which are similar to steps required in most other countries, include:</w:t>
      </w:r>
    </w:p>
    <w:p>
      <w:pPr>
        <w:ind w:left="7" w:hanging="7"/>
        <w:spacing w:after="0" w:line="264" w:lineRule="auto"/>
        <w:tabs>
          <w:tab w:leader="none" w:pos="155" w:val="left"/>
        </w:tabs>
        <w:numPr>
          <w:ilvl w:val="0"/>
          <w:numId w:val="24"/>
        </w:numPr>
        <w:rPr>
          <w:rFonts w:ascii="Arial" w:cs="Arial" w:eastAsia="Arial" w:hAnsi="Arial"/>
          <w:sz w:val="12"/>
          <w:szCs w:val="12"/>
          <w:color w:val="auto"/>
        </w:rPr>
      </w:pPr>
      <w:r>
        <w:rPr>
          <w:rFonts w:ascii="Arial" w:cs="Arial" w:eastAsia="Arial" w:hAnsi="Arial"/>
          <w:sz w:val="12"/>
          <w:szCs w:val="12"/>
          <w:color w:val="auto"/>
        </w:rPr>
        <w:t>pre-clinical laboratory tests, pre-clinical studies in animals, formulation studies and the submission to the FDA of an initial NDA; (ii) adequate and well-controlled clinical trials to establish the safety and effectiveness of the drug for each indication; (iii) the submission of the NDA to the FDA; and (iv) review by an FDA advisory committee and approval by the FDA.</w:t>
      </w:r>
    </w:p>
    <w:p>
      <w:pPr>
        <w:spacing w:after="0" w:line="123" w:lineRule="exact"/>
        <w:rPr>
          <w:sz w:val="20"/>
          <w:szCs w:val="20"/>
          <w:color w:val="auto"/>
        </w:rPr>
      </w:pPr>
    </w:p>
    <w:p>
      <w:pPr>
        <w:jc w:val="both"/>
        <w:ind w:left="7"/>
        <w:spacing w:after="0" w:line="292" w:lineRule="auto"/>
        <w:rPr>
          <w:sz w:val="20"/>
          <w:szCs w:val="20"/>
          <w:color w:val="auto"/>
        </w:rPr>
      </w:pPr>
      <w:r>
        <w:rPr>
          <w:rFonts w:ascii="Arial" w:cs="Arial" w:eastAsia="Arial" w:hAnsi="Arial"/>
          <w:sz w:val="11"/>
          <w:szCs w:val="11"/>
          <w:color w:val="auto"/>
        </w:rPr>
        <w:t>Pre-clinical tests include laboratory evaluation of product chemistry, preparation of consistent test batches of product to what is known as GLP, toxicology studies, animal pre-clinical efficacy studies and manufacturing pursuant to what is known as GMP. The results of pre-clinical testing are submitted to the FDA as part of an initial NDA. After the filing of each initial NDA,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NDA process may be extremely costly and substantially delay development of products. Moreover, positive results of pre-clinical tests will not necessarily indicate positive results in subsequent clinical trials.</w:t>
      </w:r>
    </w:p>
    <w:p>
      <w:pPr>
        <w:spacing w:after="0" w:line="109" w:lineRule="exact"/>
        <w:rPr>
          <w:sz w:val="20"/>
          <w:szCs w:val="20"/>
          <w:color w:val="auto"/>
        </w:rPr>
      </w:pPr>
    </w:p>
    <w:p>
      <w:pPr>
        <w:jc w:val="both"/>
        <w:ind w:left="7"/>
        <w:spacing w:after="0" w:line="292" w:lineRule="auto"/>
        <w:rPr>
          <w:sz w:val="20"/>
          <w:szCs w:val="20"/>
          <w:color w:val="auto"/>
        </w:rPr>
      </w:pPr>
      <w:r>
        <w:rPr>
          <w:rFonts w:ascii="Arial" w:cs="Arial" w:eastAsia="Arial" w:hAnsi="Arial"/>
          <w:sz w:val="11"/>
          <w:szCs w:val="11"/>
          <w:color w:val="auto"/>
        </w:rPr>
        <w:t>After successful completion of the required clinical trials, a NDA is generally submitted. The NDA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NDA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months as the median time for NDA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98690"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7"/>
          </w:cols>
          <w:pgMar w:left="213" w:top="553" w:right="199" w:bottom="1440" w:gutter="0" w:footer="0" w:header="0"/>
        </w:sectPr>
      </w:pPr>
    </w:p>
    <w:bookmarkStart w:id="35" w:name="page36"/>
    <w:bookmarkEnd w:id="35"/>
    <w:p>
      <w:pPr>
        <w:jc w:val="both"/>
        <w:spacing w:after="0" w:line="265" w:lineRule="auto"/>
        <w:rPr>
          <w:sz w:val="20"/>
          <w:szCs w:val="20"/>
          <w:color w:val="auto"/>
        </w:rPr>
      </w:pPr>
      <w:r>
        <w:rPr>
          <w:rFonts w:ascii="Arial" w:cs="Arial" w:eastAsia="Arial" w:hAnsi="Arial"/>
          <w:sz w:val="12"/>
          <w:szCs w:val="12"/>
          <w:color w:val="auto"/>
        </w:rPr>
        <w:t>If the FDA evaluations of the NDA and the manufacturing facilities are favorable, the FDA may issue an approval letter. An approval letter will usually contain a number of conditions that must be met in order to secure final approval of the NDA and authorization of commercial marketing of the drug for certain indications. The FDA may also refuse to approve the NDA or issue a not approval letter, outlining the deficiencies in the submission and often requiring either additional testing or information or withdrawal of the submission.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manufacturers of approved products and their manufacturing facilities are subject to continual review and periodic inspections.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Canada</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23"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2"/>
          <w:szCs w:val="12"/>
          <w:u w:val="single" w:color="auto"/>
          <w:color w:val="auto"/>
        </w:rPr>
        <w:t>www.hc-sc.gc.ca</w:t>
      </w:r>
      <w:r>
        <w:rPr>
          <w:rFonts w:ascii="Arial" w:cs="Arial" w:eastAsia="Arial" w:hAnsi="Arial"/>
          <w:sz w:val="12"/>
          <w:szCs w:val="12"/>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Jurisdictions</w:t>
      </w:r>
    </w:p>
    <w:p>
      <w:pPr>
        <w:spacing w:after="0" w:line="152"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Outside the United States and Canada, the Company’s ability to market drug products is contingent upon receiving marketing authorization from the appropriate regulatory authorities. Management believes that the foreign 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Liability and Insurance</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TapImmune currently has one full-time employee. The management team is comprised of Dr. Glynn Wilson (Chief Executive Officer, Principal Executive Officer and Acting Principal Accounting Officer), and Dr. Robert Florkiewicz (Consulting, Head of Research) together with a number of consultants, corporate advisors and scientific collaborators.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One of our suppliers, Fischer Scientific was awarded a judgment against us for $51,000 which is equal to the amount owed to them. We intend to settle that matter.</w:t>
      </w:r>
    </w:p>
    <w:p>
      <w:pPr>
        <w:spacing w:after="0" w:line="170" w:lineRule="exact"/>
        <w:rPr>
          <w:sz w:val="20"/>
          <w:szCs w:val="20"/>
          <w:color w:val="auto"/>
        </w:rPr>
      </w:pPr>
    </w:p>
    <w:p>
      <w:pPr>
        <w:ind w:right="480"/>
        <w:spacing w:after="0" w:line="279" w:lineRule="auto"/>
        <w:rPr>
          <w:sz w:val="20"/>
          <w:szCs w:val="20"/>
          <w:color w:val="auto"/>
        </w:rPr>
      </w:pPr>
      <w:r>
        <w:rPr>
          <w:rFonts w:ascii="Arial" w:cs="Arial" w:eastAsia="Arial" w:hAnsi="Arial"/>
          <w:sz w:val="12"/>
          <w:szCs w:val="12"/>
          <w:color w:val="auto"/>
        </w:rPr>
        <w:t>We are not aware of any legal proceedings contemplated by any government authority or any other party involving the Company. As of the date of this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7" w:right="199" w:bottom="1440" w:gutter="0" w:footer="0" w:header="0"/>
        </w:sectPr>
      </w:pPr>
    </w:p>
    <w:bookmarkStart w:id="36" w:name="page37"/>
    <w:bookmarkEnd w:id="36"/>
    <w:p>
      <w:pPr>
        <w:ind w:right="60"/>
        <w:spacing w:after="0" w:line="279" w:lineRule="auto"/>
        <w:rPr>
          <w:sz w:val="20"/>
          <w:szCs w:val="20"/>
          <w:color w:val="auto"/>
        </w:rPr>
      </w:pPr>
      <w:r>
        <w:rPr>
          <w:rFonts w:ascii="Arial" w:cs="Arial" w:eastAsia="Arial" w:hAnsi="Arial"/>
          <w:sz w:val="12"/>
          <w:szCs w:val="12"/>
          <w:color w:val="auto"/>
        </w:rPr>
        <w:t>In addition to the foregoing, we may from time to time get involved in legal proceedings in the ordinary course of our business. We do not believe that any of these claims and proceedings against us is likely to have, individually or in the aggregate, a material adverse effect on our financial condition or results of operations.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MARKET FOR REGISTRANT’S COMMON EQUITY, RELATED STOCKHOLDER MATTERS AND ISSUER PURCHASES OF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56" w:lineRule="exact"/>
        <w:rPr>
          <w:sz w:val="20"/>
          <w:szCs w:val="20"/>
          <w:color w:val="auto"/>
        </w:rPr>
      </w:pPr>
    </w:p>
    <w:p>
      <w:pPr>
        <w:ind w:right="140"/>
        <w:spacing w:after="0" w:line="279" w:lineRule="auto"/>
        <w:rPr>
          <w:sz w:val="20"/>
          <w:szCs w:val="20"/>
          <w:color w:val="auto"/>
        </w:rPr>
      </w:pPr>
      <w:r>
        <w:rPr>
          <w:rFonts w:ascii="Arial" w:cs="Arial" w:eastAsia="Arial" w:hAnsi="Arial"/>
          <w:sz w:val="12"/>
          <w:szCs w:val="12"/>
          <w:color w:val="auto"/>
        </w:rPr>
        <w:t>Our common stock is traded on the Over the Counter Bulletin Board (“OTCQB”) under the symbol “TPIV” and previously on the Frankfurt and subsequently on the Berlin and Munich Stock Exchanges under the symbol “GX1A.” The listing on the Frankfurt exchange is no longer valid however the Berlin and Munich Stock Exchange listing done without the Company’s knowledge and consent appear to still be active.</w:t>
      </w:r>
    </w:p>
    <w:p>
      <w:pPr>
        <w:spacing w:after="0" w:line="114" w:lineRule="exact"/>
        <w:rPr>
          <w:sz w:val="20"/>
          <w:szCs w:val="20"/>
          <w:color w:val="auto"/>
        </w:rPr>
      </w:pPr>
    </w:p>
    <w:p>
      <w:pPr>
        <w:ind w:right="180"/>
        <w:spacing w:after="0" w:line="279" w:lineRule="auto"/>
        <w:rPr>
          <w:sz w:val="20"/>
          <w:szCs w:val="20"/>
          <w:color w:val="auto"/>
        </w:rPr>
      </w:pPr>
      <w:r>
        <w:rPr>
          <w:rFonts w:ascii="Arial" w:cs="Arial" w:eastAsia="Arial" w:hAnsi="Arial"/>
          <w:sz w:val="12"/>
          <w:szCs w:val="12"/>
          <w:color w:val="auto"/>
        </w:rPr>
        <w:t>The market for our common stock is limited, volatile and sporadic. The following table sets forth, for the periods indicated, the high and low bid prices of our common stock as reported on the OTCQB. The following quotations reflect inter-dealer prices, without retail mark-up, markdown, or commissions, and may not reflect actual transactions.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High Bid</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2"/>
                <w:szCs w:val="12"/>
                <w:b w:val="1"/>
                <w:bCs w:val="1"/>
                <w:color w:val="auto"/>
              </w:rPr>
              <w:t>Low Bid</w:t>
            </w:r>
          </w:p>
        </w:tc>
      </w:tr>
      <w:tr>
        <w:trPr>
          <w:trHeight w:val="20"/>
        </w:trPr>
        <w:tc>
          <w:tcPr>
            <w:tcW w:w="8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8620" w:type="dxa"/>
            <w:vAlign w:val="bottom"/>
          </w:tcPr>
          <w:p>
            <w:pPr>
              <w:spacing w:after="0"/>
              <w:rPr>
                <w:sz w:val="20"/>
                <w:szCs w:val="20"/>
                <w:color w:val="auto"/>
              </w:rPr>
            </w:pPr>
            <w:r>
              <w:rPr>
                <w:rFonts w:ascii="Arial" w:cs="Arial" w:eastAsia="Arial" w:hAnsi="Arial"/>
                <w:sz w:val="12"/>
                <w:szCs w:val="12"/>
                <w:b w:val="1"/>
                <w:bCs w:val="1"/>
                <w:color w:val="auto"/>
              </w:rPr>
              <w:t>Fiscal Year 2015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45"/>
        </w:trPr>
        <w:tc>
          <w:tcPr>
            <w:tcW w:w="8620" w:type="dxa"/>
            <w:vAlign w:val="bottom"/>
          </w:tcPr>
          <w:p>
            <w:pPr>
              <w:ind w:left="60"/>
              <w:spacing w:after="0"/>
              <w:rPr>
                <w:sz w:val="20"/>
                <w:szCs w:val="20"/>
                <w:color w:val="auto"/>
              </w:rPr>
            </w:pPr>
            <w:r>
              <w:rPr>
                <w:rFonts w:ascii="Arial" w:cs="Arial" w:eastAsia="Arial" w:hAnsi="Arial"/>
                <w:sz w:val="12"/>
                <w:szCs w:val="12"/>
                <w:color w:val="auto"/>
              </w:rPr>
              <w:t>June 30, 2015</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1.71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0.17</w:t>
            </w:r>
          </w:p>
        </w:tc>
      </w:tr>
      <w:tr>
        <w:trPr>
          <w:trHeight w:val="154"/>
        </w:trPr>
        <w:tc>
          <w:tcPr>
            <w:tcW w:w="8620" w:type="dxa"/>
            <w:vAlign w:val="bottom"/>
          </w:tcPr>
          <w:p>
            <w:pPr>
              <w:ind w:left="100"/>
              <w:spacing w:after="0"/>
              <w:rPr>
                <w:sz w:val="20"/>
                <w:szCs w:val="20"/>
                <w:color w:val="auto"/>
              </w:rPr>
            </w:pPr>
            <w:r>
              <w:rPr>
                <w:rFonts w:ascii="Arial" w:cs="Arial" w:eastAsia="Arial" w:hAnsi="Arial"/>
                <w:sz w:val="12"/>
                <w:szCs w:val="12"/>
                <w:color w:val="auto"/>
              </w:rPr>
              <w:t>March 31, 2015</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0.36</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0.12</w:t>
            </w:r>
          </w:p>
        </w:tc>
      </w:tr>
      <w:tr>
        <w:trPr>
          <w:trHeight w:val="281"/>
        </w:trPr>
        <w:tc>
          <w:tcPr>
            <w:tcW w:w="8620" w:type="dxa"/>
            <w:vAlign w:val="bottom"/>
          </w:tcPr>
          <w:p>
            <w:pPr>
              <w:spacing w:after="0"/>
              <w:rPr>
                <w:sz w:val="20"/>
                <w:szCs w:val="20"/>
                <w:color w:val="auto"/>
              </w:rPr>
            </w:pPr>
            <w:r>
              <w:rPr>
                <w:rFonts w:ascii="Arial" w:cs="Arial" w:eastAsia="Arial" w:hAnsi="Arial"/>
                <w:sz w:val="12"/>
                <w:szCs w:val="12"/>
                <w:b w:val="1"/>
                <w:bCs w:val="1"/>
                <w:color w:val="auto"/>
              </w:rPr>
              <w:t>Fiscal Year 2014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5"/>
        </w:trPr>
        <w:tc>
          <w:tcPr>
            <w:tcW w:w="8620" w:type="dxa"/>
            <w:vAlign w:val="bottom"/>
          </w:tcPr>
          <w:p>
            <w:pPr>
              <w:ind w:left="60"/>
              <w:spacing w:after="0"/>
              <w:rPr>
                <w:sz w:val="20"/>
                <w:szCs w:val="20"/>
                <w:color w:val="auto"/>
              </w:rPr>
            </w:pPr>
            <w:r>
              <w:rPr>
                <w:rFonts w:ascii="Arial" w:cs="Arial" w:eastAsia="Arial" w:hAnsi="Arial"/>
                <w:sz w:val="12"/>
                <w:szCs w:val="12"/>
                <w:color w:val="auto"/>
              </w:rPr>
              <w:t>December 31, 2014</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0.32</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0.28</w:t>
            </w:r>
          </w:p>
        </w:tc>
      </w:tr>
      <w:tr>
        <w:trPr>
          <w:trHeight w:val="145"/>
        </w:trPr>
        <w:tc>
          <w:tcPr>
            <w:tcW w:w="8620" w:type="dxa"/>
            <w:vAlign w:val="bottom"/>
          </w:tcPr>
          <w:p>
            <w:pPr>
              <w:ind w:left="60"/>
              <w:spacing w:after="0"/>
              <w:rPr>
                <w:sz w:val="20"/>
                <w:szCs w:val="20"/>
                <w:color w:val="auto"/>
              </w:rPr>
            </w:pPr>
            <w:r>
              <w:rPr>
                <w:rFonts w:ascii="Arial" w:cs="Arial" w:eastAsia="Arial" w:hAnsi="Arial"/>
                <w:sz w:val="12"/>
                <w:szCs w:val="12"/>
                <w:color w:val="auto"/>
              </w:rPr>
              <w:t>September 30, 2014</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0.66</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0.62</w:t>
            </w:r>
          </w:p>
        </w:tc>
      </w:tr>
      <w:tr>
        <w:trPr>
          <w:trHeight w:val="145"/>
        </w:trPr>
        <w:tc>
          <w:tcPr>
            <w:tcW w:w="8620" w:type="dxa"/>
            <w:vAlign w:val="bottom"/>
          </w:tcPr>
          <w:p>
            <w:pPr>
              <w:ind w:left="60"/>
              <w:spacing w:after="0"/>
              <w:rPr>
                <w:sz w:val="20"/>
                <w:szCs w:val="20"/>
                <w:color w:val="auto"/>
              </w:rPr>
            </w:pPr>
            <w:r>
              <w:rPr>
                <w:rFonts w:ascii="Arial" w:cs="Arial" w:eastAsia="Arial" w:hAnsi="Arial"/>
                <w:sz w:val="12"/>
                <w:szCs w:val="12"/>
                <w:color w:val="auto"/>
              </w:rPr>
              <w:t>June 28, 2014</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1.93</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1.80</w:t>
            </w:r>
          </w:p>
        </w:tc>
      </w:tr>
      <w:tr>
        <w:trPr>
          <w:trHeight w:val="154"/>
        </w:trPr>
        <w:tc>
          <w:tcPr>
            <w:tcW w:w="8620" w:type="dxa"/>
            <w:vAlign w:val="bottom"/>
          </w:tcPr>
          <w:p>
            <w:pPr>
              <w:ind w:left="60"/>
              <w:spacing w:after="0"/>
              <w:rPr>
                <w:sz w:val="20"/>
                <w:szCs w:val="20"/>
                <w:color w:val="auto"/>
              </w:rPr>
            </w:pPr>
            <w:r>
              <w:rPr>
                <w:rFonts w:ascii="Arial" w:cs="Arial" w:eastAsia="Arial" w:hAnsi="Arial"/>
                <w:sz w:val="12"/>
                <w:szCs w:val="12"/>
                <w:color w:val="auto"/>
              </w:rPr>
              <w:t>March 31, 2014</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4.09</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3.50</w:t>
            </w:r>
          </w:p>
        </w:tc>
      </w:tr>
      <w:tr>
        <w:trPr>
          <w:trHeight w:val="281"/>
        </w:trPr>
        <w:tc>
          <w:tcPr>
            <w:tcW w:w="8620" w:type="dxa"/>
            <w:vAlign w:val="bottom"/>
          </w:tcPr>
          <w:p>
            <w:pPr>
              <w:spacing w:after="0"/>
              <w:rPr>
                <w:sz w:val="20"/>
                <w:szCs w:val="20"/>
                <w:color w:val="auto"/>
              </w:rPr>
            </w:pPr>
            <w:r>
              <w:rPr>
                <w:rFonts w:ascii="Arial" w:cs="Arial" w:eastAsia="Arial" w:hAnsi="Arial"/>
                <w:sz w:val="12"/>
                <w:szCs w:val="12"/>
                <w:b w:val="1"/>
                <w:bCs w:val="1"/>
                <w:color w:val="auto"/>
              </w:rPr>
              <w:t>Fiscal Year 2013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5"/>
        </w:trPr>
        <w:tc>
          <w:tcPr>
            <w:tcW w:w="8620" w:type="dxa"/>
            <w:vAlign w:val="bottom"/>
          </w:tcPr>
          <w:p>
            <w:pPr>
              <w:ind w:left="60"/>
              <w:spacing w:after="0"/>
              <w:rPr>
                <w:sz w:val="20"/>
                <w:szCs w:val="20"/>
                <w:color w:val="auto"/>
              </w:rPr>
            </w:pPr>
            <w:r>
              <w:rPr>
                <w:rFonts w:ascii="Arial" w:cs="Arial" w:eastAsia="Arial" w:hAnsi="Arial"/>
                <w:sz w:val="12"/>
                <w:szCs w:val="12"/>
                <w:color w:val="auto"/>
              </w:rPr>
              <w:t>December 31, 2013</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1.91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1.60</w:t>
            </w:r>
          </w:p>
        </w:tc>
      </w:tr>
      <w:tr>
        <w:trPr>
          <w:trHeight w:val="145"/>
        </w:trPr>
        <w:tc>
          <w:tcPr>
            <w:tcW w:w="8620" w:type="dxa"/>
            <w:vAlign w:val="bottom"/>
          </w:tcPr>
          <w:p>
            <w:pPr>
              <w:ind w:left="60"/>
              <w:spacing w:after="0"/>
              <w:rPr>
                <w:sz w:val="20"/>
                <w:szCs w:val="20"/>
                <w:color w:val="auto"/>
              </w:rPr>
            </w:pPr>
            <w:r>
              <w:rPr>
                <w:rFonts w:ascii="Arial" w:cs="Arial" w:eastAsia="Arial" w:hAnsi="Arial"/>
                <w:sz w:val="12"/>
                <w:szCs w:val="12"/>
                <w:color w:val="auto"/>
              </w:rPr>
              <w:t>September 30, 2013</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1.24</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1.00</w:t>
            </w:r>
          </w:p>
        </w:tc>
      </w:tr>
      <w:tr>
        <w:trPr>
          <w:trHeight w:val="145"/>
        </w:trPr>
        <w:tc>
          <w:tcPr>
            <w:tcW w:w="8620" w:type="dxa"/>
            <w:vAlign w:val="bottom"/>
          </w:tcPr>
          <w:p>
            <w:pPr>
              <w:ind w:left="60"/>
              <w:spacing w:after="0"/>
              <w:rPr>
                <w:sz w:val="20"/>
                <w:szCs w:val="20"/>
                <w:color w:val="auto"/>
              </w:rPr>
            </w:pPr>
            <w:r>
              <w:rPr>
                <w:rFonts w:ascii="Arial" w:cs="Arial" w:eastAsia="Arial" w:hAnsi="Arial"/>
                <w:sz w:val="12"/>
                <w:szCs w:val="12"/>
                <w:color w:val="auto"/>
              </w:rPr>
              <w:t>June 28, 2013</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3.20</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2.35</w:t>
            </w:r>
          </w:p>
        </w:tc>
      </w:tr>
      <w:tr>
        <w:trPr>
          <w:trHeight w:val="154"/>
        </w:trPr>
        <w:tc>
          <w:tcPr>
            <w:tcW w:w="8620" w:type="dxa"/>
            <w:vAlign w:val="bottom"/>
          </w:tcPr>
          <w:p>
            <w:pPr>
              <w:ind w:left="60"/>
              <w:spacing w:after="0"/>
              <w:rPr>
                <w:sz w:val="20"/>
                <w:szCs w:val="20"/>
                <w:color w:val="auto"/>
              </w:rPr>
            </w:pPr>
            <w:r>
              <w:rPr>
                <w:rFonts w:ascii="Arial" w:cs="Arial" w:eastAsia="Arial" w:hAnsi="Arial"/>
                <w:sz w:val="12"/>
                <w:szCs w:val="12"/>
                <w:color w:val="auto"/>
              </w:rPr>
              <w:t>March 28, 2013</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10.20</w:t>
            </w:r>
          </w:p>
        </w:tc>
        <w:tc>
          <w:tcPr>
            <w:tcW w:w="24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9.22</w:t>
            </w:r>
          </w:p>
        </w:tc>
      </w:tr>
      <w:tr>
        <w:trPr>
          <w:trHeight w:val="20"/>
        </w:trPr>
        <w:tc>
          <w:tcPr>
            <w:tcW w:w="8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last reported sales price for our shares on the OTCQB as of July 2, 2015, was $1.02 per share. As of July 2, 2015, we had 416 shareholders of record.</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No dividends have been declared or paid on our common stock. We have incurred recurring losses and do not currently intend to pay any cash dividends in the foreseeable future.</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Compensation Plans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information as of December 31, 2014: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sectPr>
      </w:pPr>
    </w:p>
    <w:bookmarkStart w:id="37" w:name="page38"/>
    <w:bookmarkEnd w:id="37"/>
    <w:p>
      <w:pPr>
        <w:jc w:val="center"/>
        <w:spacing w:after="0"/>
        <w:rPr>
          <w:sz w:val="20"/>
          <w:szCs w:val="20"/>
          <w:color w:val="auto"/>
        </w:rPr>
      </w:pPr>
      <w:r>
        <w:rPr>
          <w:rFonts w:ascii="Arial" w:cs="Arial" w:eastAsia="Arial" w:hAnsi="Arial"/>
          <w:sz w:val="12"/>
          <w:szCs w:val="12"/>
          <w:b w:val="1"/>
          <w:bCs w:val="1"/>
          <w:color w:val="auto"/>
        </w:rPr>
        <w:t>Equity Compensation Plan Information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2"/>
                <w:szCs w:val="12"/>
                <w:color w:val="auto"/>
                <w:w w:val="92"/>
              </w:rPr>
              <w:t>Number of securities</w:t>
            </w:r>
          </w:p>
        </w:tc>
      </w:tr>
      <w:tr>
        <w:trPr>
          <w:trHeight w:val="145"/>
        </w:trPr>
        <w:tc>
          <w:tcPr>
            <w:tcW w:w="7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remaining available for</w:t>
            </w:r>
          </w:p>
        </w:tc>
      </w:tr>
      <w:tr>
        <w:trPr>
          <w:trHeight w:val="145"/>
        </w:trPr>
        <w:tc>
          <w:tcPr>
            <w:tcW w:w="7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2"/>
                <w:szCs w:val="12"/>
                <w:color w:val="auto"/>
                <w:w w:val="90"/>
              </w:rPr>
              <w:t>Number of securities to</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future issuance under</w:t>
            </w:r>
          </w:p>
        </w:tc>
      </w:tr>
      <w:tr>
        <w:trPr>
          <w:trHeight w:val="145"/>
        </w:trPr>
        <w:tc>
          <w:tcPr>
            <w:tcW w:w="7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be issued upon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Weighted average</w:t>
            </w:r>
          </w:p>
        </w:tc>
        <w:tc>
          <w:tcPr>
            <w:tcW w:w="13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equity compensation</w:t>
            </w:r>
          </w:p>
        </w:tc>
      </w:tr>
      <w:tr>
        <w:trPr>
          <w:trHeight w:val="145"/>
        </w:trPr>
        <w:tc>
          <w:tcPr>
            <w:tcW w:w="7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2"/>
                <w:szCs w:val="12"/>
                <w:color w:val="auto"/>
                <w:w w:val="90"/>
              </w:rPr>
              <w:t>exercise of outstanding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2"/>
                <w:szCs w:val="12"/>
                <w:color w:val="auto"/>
                <w:w w:val="91"/>
              </w:rPr>
              <w:t>exercise price of</w:t>
            </w:r>
          </w:p>
        </w:tc>
        <w:tc>
          <w:tcPr>
            <w:tcW w:w="130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plans (excluding</w:t>
            </w:r>
          </w:p>
        </w:tc>
      </w:tr>
      <w:tr>
        <w:trPr>
          <w:trHeight w:val="145"/>
        </w:trPr>
        <w:tc>
          <w:tcPr>
            <w:tcW w:w="7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2"/>
                <w:szCs w:val="12"/>
                <w:color w:val="auto"/>
                <w:w w:val="90"/>
              </w:rPr>
              <w:t>options, warrants and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color w:val="auto"/>
                <w:w w:val="91"/>
              </w:rPr>
              <w:t>outstanding options,</w:t>
            </w:r>
          </w:p>
        </w:tc>
        <w:tc>
          <w:tcPr>
            <w:tcW w:w="130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securities reflected in</w:t>
            </w:r>
          </w:p>
        </w:tc>
      </w:tr>
      <w:tr>
        <w:trPr>
          <w:trHeight w:val="145"/>
        </w:trPr>
        <w:tc>
          <w:tcPr>
            <w:tcW w:w="7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2"/>
                <w:szCs w:val="12"/>
                <w:color w:val="auto"/>
                <w:w w:val="95"/>
              </w:rPr>
              <w:t>rights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warrants and rights</w:t>
            </w:r>
          </w:p>
        </w:tc>
        <w:tc>
          <w:tcPr>
            <w:tcW w:w="130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column (a)</w:t>
            </w:r>
          </w:p>
        </w:tc>
      </w:tr>
      <w:tr>
        <w:trPr>
          <w:trHeight w:val="154"/>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2"/>
                <w:szCs w:val="12"/>
                <w:color w:val="auto"/>
                <w:w w:val="81"/>
              </w:rPr>
              <w:t>(a)</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color w:val="auto"/>
                <w:w w:val="95"/>
              </w:rPr>
              <w:t>(b)</w:t>
            </w: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(c)</w:t>
            </w:r>
          </w:p>
        </w:tc>
      </w:tr>
      <w:tr>
        <w:trPr>
          <w:trHeight w:val="20"/>
        </w:trPr>
        <w:tc>
          <w:tcPr>
            <w:tcW w:w="7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3"/>
        </w:trPr>
        <w:tc>
          <w:tcPr>
            <w:tcW w:w="7180" w:type="dxa"/>
            <w:vAlign w:val="bottom"/>
          </w:tcPr>
          <w:p>
            <w:pPr>
              <w:spacing w:after="0" w:line="113" w:lineRule="exact"/>
              <w:rPr>
                <w:sz w:val="20"/>
                <w:szCs w:val="20"/>
                <w:color w:val="auto"/>
              </w:rPr>
            </w:pPr>
            <w:r>
              <w:rPr>
                <w:rFonts w:ascii="Arial" w:cs="Arial" w:eastAsia="Arial" w:hAnsi="Arial"/>
                <w:sz w:val="12"/>
                <w:szCs w:val="12"/>
                <w:color w:val="auto"/>
              </w:rPr>
              <w:t>(a)Equity compensation plans approved by security holders</w:t>
            </w:r>
          </w:p>
        </w:tc>
        <w:tc>
          <w:tcPr>
            <w:tcW w:w="100" w:type="dxa"/>
            <w:vAlign w:val="bottom"/>
          </w:tcPr>
          <w:p>
            <w:pPr>
              <w:spacing w:after="0"/>
              <w:rPr>
                <w:sz w:val="9"/>
                <w:szCs w:val="9"/>
                <w:color w:val="auto"/>
              </w:rPr>
            </w:pPr>
          </w:p>
        </w:tc>
        <w:tc>
          <w:tcPr>
            <w:tcW w:w="1400" w:type="dxa"/>
            <w:vAlign w:val="bottom"/>
            <w:gridSpan w:val="2"/>
          </w:tcPr>
          <w:p>
            <w:pPr>
              <w:jc w:val="right"/>
              <w:ind w:right="40"/>
              <w:spacing w:after="0" w:line="113" w:lineRule="exact"/>
              <w:rPr>
                <w:sz w:val="20"/>
                <w:szCs w:val="20"/>
                <w:color w:val="auto"/>
              </w:rPr>
            </w:pPr>
            <w:r>
              <w:rPr>
                <w:rFonts w:ascii="Arial" w:cs="Arial" w:eastAsia="Arial" w:hAnsi="Arial"/>
                <w:sz w:val="12"/>
                <w:szCs w:val="12"/>
                <w:color w:val="auto"/>
              </w:rPr>
              <w:t>65,430(1)</w:t>
            </w:r>
          </w:p>
        </w:tc>
        <w:tc>
          <w:tcPr>
            <w:tcW w:w="120" w:type="dxa"/>
            <w:vAlign w:val="bottom"/>
          </w:tcPr>
          <w:p>
            <w:pPr>
              <w:spacing w:after="0"/>
              <w:rPr>
                <w:sz w:val="9"/>
                <w:szCs w:val="9"/>
                <w:color w:val="auto"/>
              </w:rPr>
            </w:pPr>
          </w:p>
        </w:tc>
        <w:tc>
          <w:tcPr>
            <w:tcW w:w="80" w:type="dxa"/>
            <w:vAlign w:val="bottom"/>
          </w:tcPr>
          <w:p>
            <w:pPr>
              <w:jc w:val="right"/>
              <w:spacing w:after="0" w:line="113" w:lineRule="exact"/>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13" w:lineRule="exact"/>
              <w:rPr>
                <w:sz w:val="20"/>
                <w:szCs w:val="20"/>
                <w:color w:val="auto"/>
              </w:rPr>
            </w:pPr>
            <w:r>
              <w:rPr>
                <w:rFonts w:ascii="Arial" w:cs="Arial" w:eastAsia="Arial" w:hAnsi="Arial"/>
                <w:sz w:val="12"/>
                <w:szCs w:val="12"/>
                <w:color w:val="auto"/>
              </w:rPr>
              <w:t>18.00</w:t>
            </w:r>
          </w:p>
        </w:tc>
        <w:tc>
          <w:tcPr>
            <w:tcW w:w="240" w:type="dxa"/>
            <w:vAlign w:val="bottom"/>
          </w:tcPr>
          <w:p>
            <w:pPr>
              <w:spacing w:after="0"/>
              <w:rPr>
                <w:sz w:val="9"/>
                <w:szCs w:val="9"/>
                <w:color w:val="auto"/>
              </w:rPr>
            </w:pPr>
          </w:p>
        </w:tc>
        <w:tc>
          <w:tcPr>
            <w:tcW w:w="1160" w:type="dxa"/>
            <w:vAlign w:val="bottom"/>
          </w:tcPr>
          <w:p>
            <w:pPr>
              <w:jc w:val="right"/>
              <w:spacing w:after="0" w:line="113" w:lineRule="exact"/>
              <w:rPr>
                <w:sz w:val="20"/>
                <w:szCs w:val="20"/>
                <w:color w:val="auto"/>
              </w:rPr>
            </w:pPr>
            <w:r>
              <w:rPr>
                <w:rFonts w:ascii="Arial" w:cs="Arial" w:eastAsia="Arial" w:hAnsi="Arial"/>
                <w:sz w:val="12"/>
                <w:szCs w:val="12"/>
                <w:color w:val="auto"/>
              </w:rPr>
              <w:t>34,570</w:t>
            </w:r>
          </w:p>
        </w:tc>
        <w:tc>
          <w:tcPr>
            <w:tcW w:w="140" w:type="dxa"/>
            <w:vAlign w:val="bottom"/>
          </w:tcPr>
          <w:p>
            <w:pPr>
              <w:spacing w:after="0"/>
              <w:rPr>
                <w:sz w:val="9"/>
                <w:szCs w:val="9"/>
                <w:color w:val="auto"/>
              </w:rPr>
            </w:pPr>
          </w:p>
        </w:tc>
      </w:tr>
      <w:tr>
        <w:trPr>
          <w:trHeight w:val="154"/>
        </w:trPr>
        <w:tc>
          <w:tcPr>
            <w:tcW w:w="7180" w:type="dxa"/>
            <w:vAlign w:val="bottom"/>
          </w:tcPr>
          <w:p>
            <w:pPr>
              <w:spacing w:after="0"/>
              <w:rPr>
                <w:sz w:val="20"/>
                <w:szCs w:val="20"/>
                <w:color w:val="auto"/>
              </w:rPr>
            </w:pPr>
            <w:r>
              <w:rPr>
                <w:rFonts w:ascii="Arial" w:cs="Arial" w:eastAsia="Arial" w:hAnsi="Arial"/>
                <w:sz w:val="12"/>
                <w:szCs w:val="12"/>
                <w:color w:val="auto"/>
              </w:rPr>
              <w:t>(b)Equity compensation plans not approved by security holders</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Nil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Nil</w:t>
            </w:r>
          </w:p>
        </w:tc>
        <w:tc>
          <w:tcPr>
            <w:tcW w:w="1300" w:type="dxa"/>
            <w:vAlign w:val="bottom"/>
            <w:gridSpan w:val="2"/>
          </w:tcPr>
          <w:p>
            <w:pPr>
              <w:ind w:left="1020"/>
              <w:spacing w:after="0"/>
              <w:rPr>
                <w:sz w:val="20"/>
                <w:szCs w:val="20"/>
                <w:color w:val="auto"/>
              </w:rPr>
            </w:pPr>
            <w:r>
              <w:rPr>
                <w:rFonts w:ascii="Arial" w:cs="Arial" w:eastAsia="Arial" w:hAnsi="Arial"/>
                <w:sz w:val="12"/>
                <w:szCs w:val="12"/>
                <w:color w:val="auto"/>
              </w:rPr>
              <w:t>Nil</w:t>
            </w:r>
          </w:p>
        </w:tc>
      </w:tr>
      <w:tr>
        <w:trPr>
          <w:trHeight w:val="20"/>
        </w:trPr>
        <w:tc>
          <w:tcPr>
            <w:tcW w:w="7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7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65,430</w:t>
            </w:r>
          </w:p>
        </w:tc>
        <w:tc>
          <w:tcPr>
            <w:tcW w:w="240" w:type="dxa"/>
            <w:vAlign w:val="bottom"/>
          </w:tcPr>
          <w:p>
            <w:pPr>
              <w:jc w:val="right"/>
              <w:ind w:right="40"/>
              <w:spacing w:after="0" w:line="114" w:lineRule="exact"/>
              <w:rPr>
                <w:sz w:val="20"/>
                <w:szCs w:val="20"/>
                <w:color w:val="auto"/>
              </w:rPr>
            </w:pPr>
            <w:r>
              <w:rPr>
                <w:rFonts w:ascii="Arial" w:cs="Arial" w:eastAsia="Arial" w:hAnsi="Arial"/>
                <w:sz w:val="12"/>
                <w:szCs w:val="12"/>
                <w:color w:val="auto"/>
                <w:w w:val="81"/>
              </w:rPr>
              <w:t>(1)</w:t>
            </w:r>
          </w:p>
        </w:tc>
        <w:tc>
          <w:tcPr>
            <w:tcW w:w="12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18.00</w:t>
            </w:r>
          </w:p>
        </w:tc>
        <w:tc>
          <w:tcPr>
            <w:tcW w:w="240" w:type="dxa"/>
            <w:vAlign w:val="bottom"/>
          </w:tcPr>
          <w:p>
            <w:pPr>
              <w:spacing w:after="0"/>
              <w:rPr>
                <w:sz w:val="10"/>
                <w:szCs w:val="10"/>
                <w:color w:val="auto"/>
              </w:rPr>
            </w:pPr>
          </w:p>
        </w:tc>
        <w:tc>
          <w:tcPr>
            <w:tcW w:w="11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34,570</w:t>
            </w:r>
          </w:p>
        </w:tc>
        <w:tc>
          <w:tcPr>
            <w:tcW w:w="140" w:type="dxa"/>
            <w:vAlign w:val="bottom"/>
          </w:tcPr>
          <w:p>
            <w:pPr>
              <w:spacing w:after="0"/>
              <w:rPr>
                <w:sz w:val="10"/>
                <w:szCs w:val="10"/>
                <w:color w:val="auto"/>
              </w:rPr>
            </w:pP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(1) The plan under which these shares were issued was approved by the Board of Directors and the shareholders in 2009 but did not come into effect until February 22, 2010.</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Incentive Plan</w:t>
      </w:r>
    </w:p>
    <w:p>
      <w:pPr>
        <w:spacing w:after="0" w:line="156"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On October 14, 2009, the Company adopted the 2009 Stock Incentive Plan (the “2009 Plan”). The 2009 Plan allows for the issuance of up to 100,000 common shares. Options granted under the Plan shall be at prices and for terms as determined by our Board of Directors, and may have vesting requirements as determined by our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foregoing summary of the 2009 Stock Incentive Plan is not complete and is qualified in its entirety by reference to the 2009 Stock Incentive Plan, a copy of which has been filed with the SEC.</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To date, 65,430 options have been issued under the 2009 Plan. Of those options, 42,500 were issued to members of our scientific advisory board, and our Chief Executive Officer.</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On March 19, 2014, we adopted the 2014 Omnibus Stock Option Plan (“2014 Plan”). The 2014 Plan allows for the issuance of 2,000,000 options to acquire common shares.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As of June 18, 2015, there are an aggregate of 84,382,892 common stock purchase warrants issued and outstanding</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The Company has previously reported all issuances of unregistered equity during the year ended December 31, 2014 through June 19,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 OF FINANCIAL CONDITION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In reviewing “Management’s Discussion and Analysis of Financial Condition and Results of Operations”, you should refer to our Consolidated Financial Statements and the notes related thereto.</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In this discussion of the Company’s results of operations and financial condition, amounts, other than per-share amounts, have been rounded to the nearest thousand dollars.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698" w:right="199" w:bottom="1440" w:gutter="0" w:footer="0" w:header="0"/>
        </w:sectPr>
      </w:pPr>
    </w:p>
    <w:bookmarkStart w:id="38" w:name="page39"/>
    <w:bookmarkEnd w:id="38"/>
    <w:p>
      <w:pPr>
        <w:ind w:left="7"/>
        <w:spacing w:after="0"/>
        <w:rPr>
          <w:sz w:val="20"/>
          <w:szCs w:val="20"/>
          <w:color w:val="auto"/>
        </w:rPr>
      </w:pPr>
      <w:r>
        <w:rPr>
          <w:rFonts w:ascii="Arial" w:cs="Arial" w:eastAsia="Arial" w:hAnsi="Arial"/>
          <w:sz w:val="12"/>
          <w:szCs w:val="12"/>
          <w:b w:val="1"/>
          <w:bCs w:val="1"/>
          <w:i w:val="1"/>
          <w:iCs w:val="1"/>
          <w:color w:val="auto"/>
        </w:rPr>
        <w:t>Three Months Ended March 31, 2015 Compared to Three Months Ended March 31, 2014</w:t>
      </w:r>
    </w:p>
    <w:p>
      <w:pPr>
        <w:spacing w:after="0" w:line="152" w:lineRule="exact"/>
        <w:rPr>
          <w:sz w:val="20"/>
          <w:szCs w:val="20"/>
          <w:color w:val="auto"/>
        </w:rPr>
      </w:pPr>
    </w:p>
    <w:p>
      <w:pPr>
        <w:jc w:val="both"/>
        <w:ind w:left="7"/>
        <w:spacing w:after="0" w:line="261" w:lineRule="auto"/>
        <w:rPr>
          <w:sz w:val="20"/>
          <w:szCs w:val="20"/>
          <w:color w:val="auto"/>
        </w:rPr>
      </w:pPr>
      <w:r>
        <w:rPr>
          <w:rFonts w:ascii="Arial" w:cs="Arial" w:eastAsia="Arial" w:hAnsi="Arial"/>
          <w:sz w:val="12"/>
          <w:szCs w:val="12"/>
          <w:color w:val="auto"/>
        </w:rPr>
        <w:t>We recorded a net loss of $982,000 or ($0.04) per share during the three months ended March 31, 2015 compared to $29,707,000 or ($3.89) per share for the three months ended March 31, 2014. $27,663,430 of the net loss in the three months ended March 31, 2014 resulted from the conversion in that quarter of approximately $5,231,950 of debt and all outstanding Preferred B shares into 14,211,684 shares of common stock. As required by US GAAP we recorded the value of these shares at fair value at the time of issuance. As a result of the debt settlements and conversions, the Company recorded a loss on settlement of debt of $27,663,430, which is the difference between the carrying value of the debt settled and the value of the common stock issued at the time of issuance.</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2"/>
          <w:szCs w:val="12"/>
          <w:color w:val="auto"/>
        </w:rPr>
        <w:t>Operating costs decreased to $1,028,000 during the three months ended March 31, 2015 compared to $1,187,000 in the prior period. Significant changes in operating expenses are outlined as follows:</w:t>
      </w:r>
    </w:p>
    <w:p>
      <w:pPr>
        <w:spacing w:after="0" w:line="152" w:lineRule="exact"/>
        <w:rPr>
          <w:sz w:val="20"/>
          <w:szCs w:val="20"/>
          <w:color w:val="auto"/>
        </w:rPr>
      </w:pPr>
    </w:p>
    <w:p>
      <w:pPr>
        <w:jc w:val="both"/>
        <w:ind w:left="387" w:hanging="387"/>
        <w:spacing w:after="0" w:line="265" w:lineRule="auto"/>
        <w:tabs>
          <w:tab w:leader="none" w:pos="387" w:val="left"/>
        </w:tabs>
        <w:numPr>
          <w:ilvl w:val="0"/>
          <w:numId w:val="25"/>
        </w:numPr>
        <w:rPr>
          <w:rFonts w:ascii="Arial" w:cs="Arial" w:eastAsia="Arial" w:hAnsi="Arial"/>
          <w:sz w:val="12"/>
          <w:szCs w:val="12"/>
          <w:color w:val="auto"/>
        </w:rPr>
      </w:pPr>
      <w:r>
        <w:rPr>
          <w:rFonts w:ascii="Arial" w:cs="Arial" w:eastAsia="Arial" w:hAnsi="Arial"/>
          <w:sz w:val="12"/>
          <w:szCs w:val="12"/>
          <w:color w:val="auto"/>
        </w:rPr>
        <w:t>General and administrative expenses decreased to $419,000 during the three months ended March 31, 2015 from $1,164,000 during the prior period. The decrease was primarily due to absence of non-cash consulting fees paid as stock-based compensation during the three months ended March 31, 2015 from $686,000 during the prior period. The decrease in non-cash consulting fees from the prior year was due to the Company curtailing its business development activities in the current year.</w:t>
      </w:r>
    </w:p>
    <w:p>
      <w:pPr>
        <w:spacing w:after="0" w:line="122" w:lineRule="exact"/>
        <w:rPr>
          <w:rFonts w:ascii="Arial" w:cs="Arial" w:eastAsia="Arial" w:hAnsi="Arial"/>
          <w:sz w:val="12"/>
          <w:szCs w:val="12"/>
          <w:color w:val="auto"/>
        </w:rPr>
      </w:pPr>
    </w:p>
    <w:p>
      <w:pPr>
        <w:ind w:left="387" w:right="20" w:hanging="387"/>
        <w:spacing w:after="0" w:line="279" w:lineRule="auto"/>
        <w:tabs>
          <w:tab w:leader="none" w:pos="387"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Research and development costs during the three months ended March 31, 2015 were $609,000 compared to $23,000 during the prior period. This was due to the Company exercising its option to acquire Mayo Clinic technology as part of an agreement entered into in March 2014 and increased in in-house research activity in the current period.</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weighted average number of shares outstanding was 27,611,255 for the three months ended March 31, 2015 compared to 7,631,669 for the prior year.</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Year Ended December 31, 2014 Compared to the Year Ended December 31, 2013</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2"/>
          <w:szCs w:val="12"/>
          <w:color w:val="auto"/>
        </w:rPr>
        <w:t>We recorded a net loss of $30,883,000 during the year ended December 31, 2014 compared to $5,533,000 for the year ended December 31, 2013.</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Operating Expenses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2"/>
          <w:szCs w:val="12"/>
          <w:color w:val="auto"/>
        </w:rPr>
        <w:t>Operating expenses incurred during the fiscal year ended December 31, 2014 were $3,425,000 compared to $2,664,000 in the prior year. Significant changes and expenditures are outlined as follows:</w:t>
      </w:r>
    </w:p>
    <w:p>
      <w:pPr>
        <w:spacing w:after="0" w:line="152" w:lineRule="exact"/>
        <w:rPr>
          <w:sz w:val="20"/>
          <w:szCs w:val="20"/>
          <w:color w:val="auto"/>
        </w:rPr>
      </w:pPr>
    </w:p>
    <w:p>
      <w:pPr>
        <w:jc w:val="both"/>
        <w:ind w:left="387" w:right="20" w:hanging="387"/>
        <w:spacing w:after="0" w:line="300" w:lineRule="auto"/>
        <w:tabs>
          <w:tab w:leader="none" w:pos="387" w:val="left"/>
        </w:tabs>
        <w:numPr>
          <w:ilvl w:val="0"/>
          <w:numId w:val="26"/>
        </w:numPr>
        <w:rPr>
          <w:rFonts w:ascii="Arial" w:cs="Arial" w:eastAsia="Arial" w:hAnsi="Arial"/>
          <w:sz w:val="11"/>
          <w:szCs w:val="11"/>
          <w:color w:val="auto"/>
        </w:rPr>
      </w:pPr>
      <w:r>
        <w:rPr>
          <w:rFonts w:ascii="Arial" w:cs="Arial" w:eastAsia="Arial" w:hAnsi="Arial"/>
          <w:sz w:val="11"/>
          <w:szCs w:val="11"/>
          <w:color w:val="auto"/>
        </w:rPr>
        <w:t>General and administrative expenses increased to $3,182,000 during the year ended December 31, 2014 from $1,967,000 during the prior period. The increase was primarily due to higher non-cash consulting fees paid as stock-based compensation of $1,391,000 during the year ended December 31, 2014 from $85,000 during the prior period offset by professional fees which were $474,000 in the year ended December 31, 2014 compared to $845,000 in the prior year. The decrease in professional fee from the prior year was due to lower legal fees incurred relating to debt issuance and settlements in the current year.</w:t>
      </w:r>
    </w:p>
    <w:p>
      <w:pPr>
        <w:spacing w:after="0" w:line="105" w:lineRule="exact"/>
        <w:rPr>
          <w:rFonts w:ascii="Arial" w:cs="Arial" w:eastAsia="Arial" w:hAnsi="Arial"/>
          <w:sz w:val="11"/>
          <w:szCs w:val="11"/>
          <w:color w:val="auto"/>
        </w:rPr>
      </w:pPr>
    </w:p>
    <w:p>
      <w:pPr>
        <w:ind w:left="387" w:right="20" w:hanging="387"/>
        <w:spacing w:after="0" w:line="279" w:lineRule="auto"/>
        <w:tabs>
          <w:tab w:leader="none" w:pos="387"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Research and development costs during the fiscal year ended December 31, 2014 were $189,000 compared to $698,000 during the prior fiscal year. This was due to lower technology licensing fee accrued for payment due to Mayo clinic and decreased in house research activity in the current year.</w:t>
      </w:r>
    </w:p>
    <w:p>
      <w:pPr>
        <w:spacing w:after="0" w:line="114" w:lineRule="exact"/>
        <w:rPr>
          <w:sz w:val="20"/>
          <w:szCs w:val="20"/>
          <w:color w:val="auto"/>
        </w:rPr>
      </w:pPr>
    </w:p>
    <w:p>
      <w:pPr>
        <w:ind w:left="7" w:right="20"/>
        <w:spacing w:after="0" w:line="279" w:lineRule="auto"/>
        <w:rPr>
          <w:sz w:val="20"/>
          <w:szCs w:val="20"/>
          <w:color w:val="auto"/>
        </w:rPr>
      </w:pPr>
      <w:r>
        <w:rPr>
          <w:rFonts w:ascii="Arial" w:cs="Arial" w:eastAsia="Arial" w:hAnsi="Arial"/>
          <w:sz w:val="12"/>
          <w:szCs w:val="12"/>
          <w:color w:val="auto"/>
        </w:rPr>
        <w:t>Our net loss for the year ended December 31, 2014 was $30,883,000 or ($2.00) per share, compared to a net loss of $5,533,000 or ($4.87) per share in the prior year. The weighted average number of shares outstanding was 15,465,213 for the year ended December 31, 2014 compared to 1,136,115 for the prior year.</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Liquidity and Capital Resources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following table sets forth our cash and working capital as of March 31, 2015 and December 31, 2014:</w:t>
      </w:r>
    </w:p>
    <w:p>
      <w:pPr>
        <w:spacing w:after="0" w:line="141" w:lineRule="exact"/>
        <w:rPr>
          <w:sz w:val="20"/>
          <w:szCs w:val="20"/>
          <w:color w:val="auto"/>
        </w:rPr>
      </w:pPr>
    </w:p>
    <w:tbl>
      <w:tblPr>
        <w:tblLayout w:type="fixed"/>
        <w:tblInd w:w="7" w:type="dxa"/>
        <w:tblCellMar>
          <w:top w:w="0" w:type="dxa"/>
          <w:left w:w="0" w:type="dxa"/>
          <w:bottom w:w="0" w:type="dxa"/>
          <w:right w:w="0" w:type="dxa"/>
        </w:tblCellMar>
      </w:tblPr>
      <w:tr>
        <w:trPr>
          <w:trHeight w:val="163"/>
        </w:trPr>
        <w:tc>
          <w:tcPr>
            <w:tcW w:w="8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w w:val="98"/>
              </w:rPr>
              <w:t>March 31, 2015</w:t>
            </w:r>
          </w:p>
        </w:tc>
        <w:tc>
          <w:tcPr>
            <w:tcW w:w="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w w:val="90"/>
              </w:rPr>
              <w:t>December 31, 2014</w:t>
            </w:r>
          </w:p>
        </w:tc>
      </w:tr>
      <w:tr>
        <w:trPr>
          <w:trHeight w:val="20"/>
        </w:trPr>
        <w:tc>
          <w:tcPr>
            <w:tcW w:w="8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8620" w:type="dxa"/>
            <w:vAlign w:val="bottom"/>
          </w:tcPr>
          <w:p>
            <w:pPr>
              <w:spacing w:after="0"/>
              <w:rPr>
                <w:sz w:val="20"/>
                <w:szCs w:val="20"/>
                <w:color w:val="auto"/>
              </w:rPr>
            </w:pPr>
            <w:r>
              <w:rPr>
                <w:rFonts w:ascii="Arial" w:cs="Arial" w:eastAsia="Arial" w:hAnsi="Arial"/>
                <w:sz w:val="12"/>
                <w:szCs w:val="12"/>
                <w:color w:val="auto"/>
              </w:rPr>
              <w:t>Cash reserves</w:t>
            </w: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1,454,000</w:t>
            </w:r>
          </w:p>
        </w:tc>
        <w:tc>
          <w:tcPr>
            <w:tcW w:w="2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142,000</w:t>
            </w:r>
          </w:p>
        </w:tc>
        <w:tc>
          <w:tcPr>
            <w:tcW w:w="140" w:type="dxa"/>
            <w:vAlign w:val="bottom"/>
          </w:tcPr>
          <w:p>
            <w:pPr>
              <w:spacing w:after="0"/>
              <w:rPr>
                <w:sz w:val="22"/>
                <w:szCs w:val="22"/>
                <w:color w:val="auto"/>
              </w:rPr>
            </w:pPr>
          </w:p>
        </w:tc>
      </w:tr>
      <w:tr>
        <w:trPr>
          <w:trHeight w:val="154"/>
        </w:trPr>
        <w:tc>
          <w:tcPr>
            <w:tcW w:w="8620" w:type="dxa"/>
            <w:vAlign w:val="bottom"/>
          </w:tcPr>
          <w:p>
            <w:pPr>
              <w:spacing w:after="0" w:line="134" w:lineRule="exact"/>
              <w:rPr>
                <w:sz w:val="20"/>
                <w:szCs w:val="20"/>
                <w:color w:val="auto"/>
              </w:rPr>
            </w:pPr>
            <w:r>
              <w:rPr>
                <w:rFonts w:ascii="Arial" w:cs="Arial" w:eastAsia="Arial" w:hAnsi="Arial"/>
                <w:sz w:val="12"/>
                <w:szCs w:val="12"/>
                <w:color w:val="auto"/>
              </w:rPr>
              <w:t>Working capital (deficit)</w:t>
            </w:r>
          </w:p>
        </w:tc>
        <w:tc>
          <w:tcPr>
            <w:tcW w:w="2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200"/>
              <w:spacing w:after="0" w:line="134" w:lineRule="exact"/>
              <w:rPr>
                <w:sz w:val="20"/>
                <w:szCs w:val="20"/>
                <w:color w:val="auto"/>
              </w:rPr>
            </w:pPr>
            <w:r>
              <w:rPr>
                <w:rFonts w:ascii="Arial" w:cs="Arial" w:eastAsia="Arial" w:hAnsi="Arial"/>
                <w:sz w:val="9"/>
                <w:szCs w:val="9"/>
                <w:color w:val="auto"/>
              </w:rPr>
              <w:t>(1,766,000</w:t>
            </w:r>
            <w:r>
              <w:rPr>
                <w:rFonts w:ascii="Arial" w:cs="Arial" w:eastAsia="Arial" w:hAnsi="Arial"/>
                <w:sz w:val="15"/>
                <w:szCs w:val="15"/>
                <w:color w:val="auto"/>
                <w:vertAlign w:val="subscript"/>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line="134" w:lineRule="exact"/>
              <w:rPr>
                <w:sz w:val="20"/>
                <w:szCs w:val="20"/>
                <w:color w:val="auto"/>
              </w:rPr>
            </w:pPr>
            <w:r>
              <w:rPr>
                <w:rFonts w:ascii="Arial" w:cs="Arial" w:eastAsia="Arial" w:hAnsi="Arial"/>
                <w:sz w:val="9"/>
                <w:szCs w:val="9"/>
                <w:color w:val="auto"/>
              </w:rPr>
              <w:t>(1,024,000</w:t>
            </w:r>
            <w:r>
              <w:rPr>
                <w:rFonts w:ascii="Arial" w:cs="Arial" w:eastAsia="Arial" w:hAnsi="Arial"/>
                <w:sz w:val="15"/>
                <w:szCs w:val="15"/>
                <w:color w:val="auto"/>
                <w:vertAlign w:val="subscript"/>
              </w:rPr>
              <w:t>)</w:t>
            </w:r>
          </w:p>
        </w:tc>
      </w:tr>
      <w:tr>
        <w:trPr>
          <w:trHeight w:val="20"/>
        </w:trPr>
        <w:tc>
          <w:tcPr>
            <w:tcW w:w="8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6" w:lineRule="exact"/>
        <w:rPr>
          <w:sz w:val="20"/>
          <w:szCs w:val="20"/>
          <w:color w:val="auto"/>
        </w:rPr>
      </w:pPr>
    </w:p>
    <w:p>
      <w:pPr>
        <w:jc w:val="both"/>
        <w:ind w:left="7"/>
        <w:spacing w:after="0" w:line="279" w:lineRule="auto"/>
        <w:rPr>
          <w:sz w:val="20"/>
          <w:szCs w:val="20"/>
          <w:color w:val="auto"/>
        </w:rPr>
      </w:pPr>
      <w:r>
        <w:rPr>
          <w:rFonts w:ascii="Arial" w:cs="Arial" w:eastAsia="Arial" w:hAnsi="Arial"/>
          <w:sz w:val="12"/>
          <w:szCs w:val="12"/>
          <w:color w:val="auto"/>
        </w:rPr>
        <w:t>Subject to the availability of additional financing, we intend to spend approximately $7,500,000 over the next twelve months in carrying out our plan of operations. At March 31, 2015, we had $1,454,000 of cash on hand and a working capital deficit of $1,766,000. In January and March 2015, we raised approximately $2.33 million in private and brokered placements.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98690"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7"/>
          </w:cols>
          <w:pgMar w:left="213" w:top="393" w:right="199" w:bottom="1440" w:gutter="0" w:footer="0" w:header="0"/>
        </w:sectPr>
      </w:pPr>
    </w:p>
    <w:bookmarkStart w:id="39" w:name="page40"/>
    <w:bookmarkEnd w:id="39"/>
    <w:p>
      <w:pPr>
        <w:jc w:val="both"/>
        <w:spacing w:after="0" w:line="265" w:lineRule="auto"/>
        <w:rPr>
          <w:sz w:val="20"/>
          <w:szCs w:val="20"/>
          <w:color w:val="auto"/>
        </w:rPr>
      </w:pPr>
      <w:r>
        <w:rPr>
          <w:rFonts w:ascii="Arial" w:cs="Arial" w:eastAsia="Arial" w:hAnsi="Arial"/>
          <w:sz w:val="12"/>
          <w:szCs w:val="12"/>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Cash Used in Operating Activities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Net cash used in operating activities during the three months ended March 31, 2015 was $1,014,000 compared to $373,000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Cash Provided by Financing Activities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Net cash provided by financing activities during the three months ended March 31, 2015 was $2,326,000 compared to $418,000 during the prior period. Current period financing consisted of proceeds from private placements while prior period financing relates to proceeds from convertible notes.</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As of March 31, 2015, we anticipate that we will need significant financing to enable us to meet our anticipated expenditures for the next twelve months, which are expected to be in the range of $7,500,000 assuming a single Phase 2 clinical trial.</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Going Concern</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We have no sources of revenue to provide incoming cash flows to sustain our future operations. As outlined above, our ability to pursue our planned business activities is dependent upon our successful efforts to raise additional financing.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As at March 31, 2015, we had accumulated losses of $87,291,000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6"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40" w:type="dxa"/>
            <w:vAlign w:val="bottom"/>
          </w:tcPr>
          <w:p>
            <w:pPr>
              <w:ind w:left="240"/>
              <w:spacing w:after="0"/>
              <w:rPr>
                <w:sz w:val="20"/>
                <w:szCs w:val="20"/>
                <w:color w:val="auto"/>
              </w:rPr>
            </w:pPr>
            <w:r>
              <w:rPr>
                <w:rFonts w:ascii="Arial" w:cs="Arial" w:eastAsia="Arial" w:hAnsi="Arial"/>
                <w:sz w:val="12"/>
                <w:szCs w:val="12"/>
                <w:b w:val="1"/>
                <w:bCs w:val="1"/>
                <w:color w:val="auto"/>
              </w:rPr>
              <w:t>MANAGEMENT</w:t>
            </w:r>
          </w:p>
        </w:tc>
      </w:tr>
      <w:tr>
        <w:trPr>
          <w:trHeight w:val="308"/>
        </w:trPr>
        <w:tc>
          <w:tcPr>
            <w:tcW w:w="11480" w:type="dxa"/>
            <w:vAlign w:val="bottom"/>
            <w:gridSpan w:val="5"/>
          </w:tcPr>
          <w:p>
            <w:pPr>
              <w:spacing w:after="0"/>
              <w:rPr>
                <w:sz w:val="20"/>
                <w:szCs w:val="20"/>
                <w:color w:val="auto"/>
              </w:rPr>
            </w:pPr>
            <w:r>
              <w:rPr>
                <w:rFonts w:ascii="Arial" w:cs="Arial" w:eastAsia="Arial" w:hAnsi="Arial"/>
                <w:sz w:val="12"/>
                <w:szCs w:val="12"/>
                <w:color w:val="auto"/>
              </w:rPr>
              <w:t>Our directors and executive officers and their respective ages as of the date of this annual report are as follows:</w:t>
            </w:r>
          </w:p>
        </w:tc>
      </w:tr>
      <w:tr>
        <w:trPr>
          <w:trHeight w:val="145"/>
        </w:trPr>
        <w:tc>
          <w:tcPr>
            <w:tcW w:w="3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560" w:type="dxa"/>
            <w:vAlign w:val="bottom"/>
            <w:tcBorders>
              <w:bottom w:val="single" w:sz="8" w:color="auto"/>
            </w:tcBorders>
            <w:gridSpan w:val="2"/>
          </w:tcPr>
          <w:p>
            <w:pPr>
              <w:spacing w:after="0"/>
              <w:rPr>
                <w:sz w:val="12"/>
                <w:szCs w:val="12"/>
                <w:color w:val="auto"/>
              </w:rPr>
            </w:pPr>
          </w:p>
        </w:tc>
      </w:tr>
      <w:tr>
        <w:trPr>
          <w:trHeight w:val="143"/>
        </w:trPr>
        <w:tc>
          <w:tcPr>
            <w:tcW w:w="390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2"/>
                <w:szCs w:val="12"/>
                <w:color w:val="auto"/>
              </w:rPr>
            </w:pPr>
          </w:p>
        </w:tc>
        <w:tc>
          <w:tcPr>
            <w:tcW w:w="900" w:type="dxa"/>
            <w:vAlign w:val="bottom"/>
          </w:tcPr>
          <w:p>
            <w:pPr>
              <w:jc w:val="right"/>
              <w:ind w:right="280"/>
              <w:spacing w:after="0"/>
              <w:rPr>
                <w:sz w:val="20"/>
                <w:szCs w:val="20"/>
                <w:color w:val="auto"/>
              </w:rPr>
            </w:pPr>
            <w:r>
              <w:rPr>
                <w:rFonts w:ascii="Arial" w:cs="Arial" w:eastAsia="Arial" w:hAnsi="Arial"/>
                <w:sz w:val="12"/>
                <w:szCs w:val="12"/>
                <w:b w:val="1"/>
                <w:bCs w:val="1"/>
                <w:color w:val="auto"/>
              </w:rPr>
              <w:t>Age</w:t>
            </w:r>
          </w:p>
        </w:tc>
        <w:tc>
          <w:tcPr>
            <w:tcW w:w="6560" w:type="dxa"/>
            <w:vAlign w:val="bottom"/>
            <w:gridSpan w:val="2"/>
          </w:tcPr>
          <w:p>
            <w:pPr>
              <w:ind w:left="120"/>
              <w:spacing w:after="0"/>
              <w:rPr>
                <w:sz w:val="20"/>
                <w:szCs w:val="20"/>
                <w:color w:val="auto"/>
              </w:rPr>
            </w:pPr>
            <w:r>
              <w:rPr>
                <w:rFonts w:ascii="Arial" w:cs="Arial" w:eastAsia="Arial" w:hAnsi="Arial"/>
                <w:sz w:val="12"/>
                <w:szCs w:val="12"/>
                <w:b w:val="1"/>
                <w:bCs w:val="1"/>
                <w:color w:val="auto"/>
              </w:rPr>
              <w:t>Position with the Company</w:t>
            </w:r>
          </w:p>
        </w:tc>
      </w:tr>
      <w:tr>
        <w:trPr>
          <w:trHeight w:val="20"/>
        </w:trPr>
        <w:tc>
          <w:tcPr>
            <w:tcW w:w="3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40" w:type="dxa"/>
            <w:vAlign w:val="bottom"/>
            <w:tcBorders>
              <w:top w:val="single" w:sz="8" w:color="auto"/>
              <w:bottom w:val="single" w:sz="8" w:color="auto"/>
            </w:tcBorders>
          </w:tcPr>
          <w:p>
            <w:pPr>
              <w:spacing w:after="0" w:line="20" w:lineRule="exact"/>
              <w:rPr>
                <w:sz w:val="1"/>
                <w:szCs w:val="1"/>
                <w:color w:val="auto"/>
              </w:rPr>
            </w:pPr>
          </w:p>
        </w:tc>
      </w:tr>
      <w:tr>
        <w:trPr>
          <w:trHeight w:val="112"/>
        </w:trPr>
        <w:tc>
          <w:tcPr>
            <w:tcW w:w="3900" w:type="dxa"/>
            <w:vAlign w:val="bottom"/>
          </w:tcPr>
          <w:p>
            <w:pPr>
              <w:spacing w:after="0" w:line="113" w:lineRule="exact"/>
              <w:rPr>
                <w:sz w:val="20"/>
                <w:szCs w:val="20"/>
                <w:color w:val="auto"/>
              </w:rPr>
            </w:pPr>
            <w:r>
              <w:rPr>
                <w:rFonts w:ascii="Arial" w:cs="Arial" w:eastAsia="Arial" w:hAnsi="Arial"/>
                <w:sz w:val="12"/>
                <w:szCs w:val="12"/>
                <w:color w:val="auto"/>
              </w:rPr>
              <w:t>Glynn Wilson</w:t>
            </w:r>
          </w:p>
        </w:tc>
        <w:tc>
          <w:tcPr>
            <w:tcW w:w="120" w:type="dxa"/>
            <w:vAlign w:val="bottom"/>
          </w:tcPr>
          <w:p>
            <w:pPr>
              <w:spacing w:after="0"/>
              <w:rPr>
                <w:sz w:val="9"/>
                <w:szCs w:val="9"/>
                <w:color w:val="auto"/>
              </w:rPr>
            </w:pPr>
          </w:p>
        </w:tc>
        <w:tc>
          <w:tcPr>
            <w:tcW w:w="900" w:type="dxa"/>
            <w:vAlign w:val="bottom"/>
          </w:tcPr>
          <w:p>
            <w:pPr>
              <w:jc w:val="right"/>
              <w:ind w:right="260"/>
              <w:spacing w:after="0" w:line="113" w:lineRule="exact"/>
              <w:rPr>
                <w:sz w:val="20"/>
                <w:szCs w:val="20"/>
                <w:color w:val="auto"/>
              </w:rPr>
            </w:pPr>
            <w:r>
              <w:rPr>
                <w:rFonts w:ascii="Arial" w:cs="Arial" w:eastAsia="Arial" w:hAnsi="Arial"/>
                <w:sz w:val="12"/>
                <w:szCs w:val="12"/>
                <w:color w:val="auto"/>
              </w:rPr>
              <w:t>68</w:t>
            </w:r>
          </w:p>
        </w:tc>
        <w:tc>
          <w:tcPr>
            <w:tcW w:w="120" w:type="dxa"/>
            <w:vAlign w:val="bottom"/>
          </w:tcPr>
          <w:p>
            <w:pPr>
              <w:spacing w:after="0"/>
              <w:rPr>
                <w:sz w:val="9"/>
                <w:szCs w:val="9"/>
                <w:color w:val="auto"/>
              </w:rPr>
            </w:pPr>
          </w:p>
        </w:tc>
        <w:tc>
          <w:tcPr>
            <w:tcW w:w="6440" w:type="dxa"/>
            <w:vAlign w:val="bottom"/>
          </w:tcPr>
          <w:p>
            <w:pPr>
              <w:spacing w:after="0" w:line="113" w:lineRule="exact"/>
              <w:rPr>
                <w:sz w:val="20"/>
                <w:szCs w:val="20"/>
                <w:color w:val="auto"/>
              </w:rPr>
            </w:pPr>
            <w:r>
              <w:rPr>
                <w:rFonts w:ascii="Arial" w:cs="Arial" w:eastAsia="Arial" w:hAnsi="Arial"/>
                <w:sz w:val="12"/>
                <w:szCs w:val="12"/>
                <w:color w:val="auto"/>
              </w:rPr>
              <w:t>Chairman, Chief Executive Officer, Principal Executive Officer and a Director</w:t>
            </w:r>
          </w:p>
        </w:tc>
      </w:tr>
      <w:tr>
        <w:trPr>
          <w:trHeight w:val="145"/>
        </w:trPr>
        <w:tc>
          <w:tcPr>
            <w:tcW w:w="3900" w:type="dxa"/>
            <w:vAlign w:val="bottom"/>
          </w:tcPr>
          <w:p>
            <w:pPr>
              <w:spacing w:after="0"/>
              <w:rPr>
                <w:sz w:val="20"/>
                <w:szCs w:val="20"/>
                <w:color w:val="auto"/>
              </w:rPr>
            </w:pPr>
            <w:r>
              <w:rPr>
                <w:rFonts w:ascii="Arial" w:cs="Arial" w:eastAsia="Arial" w:hAnsi="Arial"/>
                <w:sz w:val="12"/>
                <w:szCs w:val="12"/>
                <w:color w:val="auto"/>
              </w:rPr>
              <w:t>Mark Reddish</w:t>
            </w: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60</w:t>
            </w:r>
          </w:p>
        </w:tc>
        <w:tc>
          <w:tcPr>
            <w:tcW w:w="6560" w:type="dxa"/>
            <w:vAlign w:val="bottom"/>
            <w:gridSpan w:val="2"/>
          </w:tcPr>
          <w:p>
            <w:pPr>
              <w:ind w:left="120"/>
              <w:spacing w:after="0"/>
              <w:rPr>
                <w:sz w:val="20"/>
                <w:szCs w:val="20"/>
                <w:color w:val="auto"/>
              </w:rPr>
            </w:pPr>
            <w:r>
              <w:rPr>
                <w:rFonts w:ascii="Arial" w:cs="Arial" w:eastAsia="Arial" w:hAnsi="Arial"/>
                <w:sz w:val="12"/>
                <w:szCs w:val="12"/>
                <w:color w:val="auto"/>
              </w:rPr>
              <w:t>Vice President Development</w:t>
            </w:r>
          </w:p>
        </w:tc>
      </w:tr>
      <w:tr>
        <w:trPr>
          <w:trHeight w:val="145"/>
        </w:trPr>
        <w:tc>
          <w:tcPr>
            <w:tcW w:w="3900" w:type="dxa"/>
            <w:vAlign w:val="bottom"/>
          </w:tcPr>
          <w:p>
            <w:pPr>
              <w:spacing w:after="0"/>
              <w:rPr>
                <w:sz w:val="20"/>
                <w:szCs w:val="20"/>
                <w:color w:val="auto"/>
              </w:rPr>
            </w:pPr>
            <w:r>
              <w:rPr>
                <w:rFonts w:ascii="Arial" w:cs="Arial" w:eastAsia="Arial" w:hAnsi="Arial"/>
                <w:sz w:val="12"/>
                <w:szCs w:val="12"/>
                <w:color w:val="auto"/>
              </w:rPr>
              <w:t>Sherry Grisewood</w:t>
            </w: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62</w:t>
            </w:r>
          </w:p>
        </w:tc>
        <w:tc>
          <w:tcPr>
            <w:tcW w:w="6560" w:type="dxa"/>
            <w:vAlign w:val="bottom"/>
            <w:gridSpan w:val="2"/>
          </w:tcPr>
          <w:p>
            <w:pPr>
              <w:ind w:left="120"/>
              <w:spacing w:after="0"/>
              <w:rPr>
                <w:sz w:val="20"/>
                <w:szCs w:val="20"/>
                <w:color w:val="auto"/>
              </w:rPr>
            </w:pPr>
            <w:r>
              <w:rPr>
                <w:rFonts w:ascii="Arial" w:cs="Arial" w:eastAsia="Arial" w:hAnsi="Arial"/>
                <w:sz w:val="12"/>
                <w:szCs w:val="12"/>
                <w:color w:val="auto"/>
              </w:rPr>
              <w:t>Independent Board Member</w:t>
            </w:r>
          </w:p>
        </w:tc>
      </w:tr>
      <w:tr>
        <w:trPr>
          <w:trHeight w:val="154"/>
        </w:trPr>
        <w:tc>
          <w:tcPr>
            <w:tcW w:w="3900" w:type="dxa"/>
            <w:vAlign w:val="bottom"/>
          </w:tcPr>
          <w:p>
            <w:pPr>
              <w:spacing w:after="0"/>
              <w:rPr>
                <w:sz w:val="20"/>
                <w:szCs w:val="20"/>
                <w:color w:val="auto"/>
              </w:rPr>
            </w:pPr>
            <w:r>
              <w:rPr>
                <w:rFonts w:ascii="Arial" w:cs="Arial" w:eastAsia="Arial" w:hAnsi="Arial"/>
                <w:sz w:val="12"/>
                <w:szCs w:val="12"/>
                <w:color w:val="auto"/>
              </w:rPr>
              <w:t>David Laskow-Pooley</w:t>
            </w: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60</w:t>
            </w:r>
          </w:p>
        </w:tc>
        <w:tc>
          <w:tcPr>
            <w:tcW w:w="6560" w:type="dxa"/>
            <w:vAlign w:val="bottom"/>
            <w:gridSpan w:val="2"/>
          </w:tcPr>
          <w:p>
            <w:pPr>
              <w:ind w:left="120"/>
              <w:spacing w:after="0"/>
              <w:rPr>
                <w:sz w:val="20"/>
                <w:szCs w:val="20"/>
                <w:color w:val="auto"/>
              </w:rPr>
            </w:pPr>
            <w:r>
              <w:rPr>
                <w:rFonts w:ascii="Arial" w:cs="Arial" w:eastAsia="Arial" w:hAnsi="Arial"/>
                <w:sz w:val="12"/>
                <w:szCs w:val="12"/>
                <w:color w:val="auto"/>
              </w:rPr>
              <w:t>Independent Board Member</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describes the business experience of each of our directors and executive officers, including other directorships held in reporting companies: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Glynn Wilson, Ph.D., Chief Executive Officer and Chairman</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Dr. Wilson brings an extensive background of success in corporate management and product development with tenures in both major multinational pharmaceutical companies and start-up pharmaceutical/biotech organizations. Dr. Wilson's former positions include Head of Drug Delivery at SmithKline Beecham Pharmaceuticals, Research Area Head in Advanced Drug Delivery at Ciba-Geigy Pharmaceuticals, and President and co-founder of Auriga Pharmaceuticals. As Executive Vice President of R&amp;D at Tacora Corporation he was responsible for merging the Company with Access Pharmaceuticals. He is a recognized leader in the development of drug delivery systems and has been involved in taking lead products &amp; technologies from concept to commercialization. Glynn has a Ph.D. in Biochemistry and conducted medical research at The Rockefeller University, New York. He has been on the Board of TapImmune for 5 years.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auto"/>
        </w:rPr>
        <w:t>Mark Reddish, Director</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Mark was formerly Vice President of Product Development and Principal Investigator, Biodefense at ID Biomedical, Bothell, WA, prior to the acquisition of the company by Glaxo SmithKline for $1.6 billion. At Biomira Inc, (renamed Oncothyreon) he was responsible for preclinical development of their cancer vaccines program where he led the early research and clinical development of Stimuvax, which is currently in late Stage 3 clinical trials under a partnership with Merck KGa. Mark brings thirty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Sherry Grisewood, Director</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Sherry Grisewood, CFA, has over 25 years securities industry experience in a range of investment banking, advisory and research-related activities. She is currently associated with Dawson James Securities Inc in a senior banking analytical role. Prior to joining Dawson James, she most recently inaugurated a Lifesciences specialty practice as Managing Director, Lifesciences and Technology Banking for Tripoint Global Equities. Prior to Tripoint, Ms. Grisewood served as Senior Life Sciences Banker at Jesup &amp; Lamont Securities Corp. and as an independent strategic advisor and consultant for several investment banks over the prior 12 year period. She has participated in over 50 transaction-related projects involving initial public offerings, secondary offerings, PIPE’s, private equity, M&amp;A and licensing transactions. These deals and projects represented US, Canadian, Scandinavian, UK, Chinese and Australian clients with advanced technologies and the development of nucleic acid therapeutics and delivery systems in the life sciences such as those addressing nucleic acid therapeutics, regenerative medicine, CNS diseases, or leading edge technologies for lifescience special situations. Prior to consulting for investment banks, Ms. Grisewood served as Director of Research for several mid-tier brokerage companies and a leading independent investment research company. Ms. Grisewood holds a Bachelor of Science degree (Highest Honors, 4.0GPA) in Life Science from Ramapo College of New Jersey. She is a member of the American Society of Gene and Cell Therapy, the Tissue Engineering and Regenerative Medicine Society International, the Society of Biomaterials, the CFA Institute and the NY Society of Security Analysts.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David Laskow-Pooley</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Mr. Laskow-Pooley is currently CEO of LondonPharma Ltd, a clinical stage company re-purposing approved drugs through novel drug delivery technologies and is the Co-founder of Pharmafor Ltd. He was formerly Managing Director (UK) of Nasdaq- listed drug discovery platform company, OSI, and was part of the corporate team that developed and launched Tarceva for the treatment of lung cancer with marketing partners Roche and Genentech. He has had a distinguished career in multinational pharmaceutical companies including Glaxo SmithKline and Abbott, in addition to InVitrogen (Biotech Life Sciences) and Amersham, now GE Healthcare (Diagnostic Imaging). He currently serves as a non-executive director and Chairman of OBN Ltd, an industry representative for small to medium enterprises (SME's) in the UK.</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Term of Office</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Significant Employees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On December 31, 2014 we had one full-time employee and a number of management and scientific consultants.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 Committee</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Our Board of Directors has established an Audit Committee which functions pursuant to a written charter adopted by our Board of Directors in March 2004. The members of our Audit Committee as of December 31, 2014 were Dr.</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Wilson, Mr. Reddish and Ms. Grisewood.</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Our Board of Directors has determined that our Audit Committee does not have a member that qualifies as an “audit committee financial expert” as defined in Item 407(d)(5)(ii) of Regulation S-K. Our Board of Directors believes that it is capable of analyzing and evaluating our financial statements and understanding internal controls and procedures for financial reporting and that retaining an independent director who would qualify as an “audit committee financial expert” would be overly costly and burdensome at this time. In March 2013, the Company appointed Sherry Grisewood to the Board of Directors. Ms. Grisewood has over 25 years of securities industry experience in a range of investment banking, advisory and research-related activities. Ms. Grisewood is leading the audit committee.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89" w:right="19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t>Compensation Committee</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Dr. Wilson and Ms. Grisewood serve on our compensation committee, which is now led by Ms. Grisewood.</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Scientific Advisory Board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On March 19, 2014, we established the scientific advisory board. Also, on that date, Dr. Keith Knutson was appointed as chairman of the Scientific Advisory Board.</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Involvement in Certain Legal Proceedings</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None of our directors, executive officers or control persons has been involved in any of the following events during the past five years: (i) any bankruptcy petition filed by or against any business of which such person was a general partner or executive officer either at the time of the bankruptcy or within two years prior to that time; (ii) any conviction in a criminal proceeding or being subject to a pending criminal proceeding (excluding traffic violations and other minor offences); (iii) 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 or (iv) 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Conduct</w:t>
      </w:r>
    </w:p>
    <w:p>
      <w:pPr>
        <w:spacing w:after="0" w:line="156" w:lineRule="exact"/>
        <w:rPr>
          <w:sz w:val="20"/>
          <w:szCs w:val="20"/>
          <w:color w:val="auto"/>
        </w:rPr>
      </w:pPr>
    </w:p>
    <w:p>
      <w:pPr>
        <w:jc w:val="both"/>
        <w:ind w:right="20"/>
        <w:spacing w:after="0" w:line="326" w:lineRule="auto"/>
        <w:rPr>
          <w:sz w:val="20"/>
          <w:szCs w:val="20"/>
          <w:color w:val="auto"/>
        </w:rPr>
      </w:pPr>
      <w:r>
        <w:rPr>
          <w:rFonts w:ascii="Arial" w:cs="Arial" w:eastAsia="Arial" w:hAnsi="Arial"/>
          <w:sz w:val="11"/>
          <w:szCs w:val="11"/>
          <w:color w:val="auto"/>
        </w:rPr>
        <w:t>We have adopted a Code of Conduct policy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of Conduct can be viewed on our website at the following URL: http://www.tapimmune.com/investors/corporate_info/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TRANSACTIONS WITH RELATED PERSONS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As of December 31, 2014, we had outstanding promissory notes in the amount of $52,942, of which $23,000 of promissory notes were from one of our officers and directors. The promissory notes bear no interest charges and have no fixed repayment terms.</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During the year ended December 31, 2014, a note holder converted outstanding principal of $210,000 and accrued interest of $12,000 into preferred stock which was immediately converted into common shares. During the year ended December 31, 2014, $15,000 of the promissory notes were repaid to one of our officers and directors.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compensation paid to our executive officers for their services as executive officers during our fiscal years ended December 31, 2014 and December 31, 2013:</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Summary Compensation Table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85"/>
              </w:rPr>
              <w:t>Stock</w:t>
            </w:r>
          </w:p>
        </w:tc>
        <w:tc>
          <w:tcPr>
            <w:tcW w:w="11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2"/>
              </w:rPr>
              <w:t>Option</w:t>
            </w:r>
          </w:p>
        </w:tc>
        <w:tc>
          <w:tcPr>
            <w:tcW w:w="14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8"/>
              </w:rPr>
              <w:t>All Other</w:t>
            </w: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180" w:type="dxa"/>
            <w:vAlign w:val="bottom"/>
          </w:tcPr>
          <w:p>
            <w:pPr>
              <w:spacing w:after="0"/>
              <w:rPr>
                <w:sz w:val="20"/>
                <w:szCs w:val="20"/>
                <w:color w:val="auto"/>
              </w:rPr>
            </w:pPr>
            <w:r>
              <w:rPr>
                <w:rFonts w:ascii="Arial" w:cs="Arial" w:eastAsia="Arial" w:hAnsi="Arial"/>
                <w:sz w:val="12"/>
                <w:szCs w:val="12"/>
                <w:b w:val="1"/>
                <w:bCs w:val="1"/>
                <w:color w:val="auto"/>
              </w:rPr>
              <w:t>Name and Principal</w:t>
            </w:r>
          </w:p>
        </w:tc>
        <w:tc>
          <w:tcPr>
            <w:tcW w:w="660" w:type="dxa"/>
            <w:vAlign w:val="bottom"/>
          </w:tcPr>
          <w:p>
            <w:pPr>
              <w:spacing w:after="0"/>
              <w:rPr>
                <w:sz w:val="12"/>
                <w:szCs w:val="12"/>
                <w:color w:val="auto"/>
              </w:rPr>
            </w:pPr>
          </w:p>
        </w:tc>
        <w:tc>
          <w:tcPr>
            <w:tcW w:w="940" w:type="dxa"/>
            <w:vAlign w:val="bottom"/>
          </w:tcPr>
          <w:p>
            <w:pPr>
              <w:ind w:left="260"/>
              <w:spacing w:after="0"/>
              <w:rPr>
                <w:sz w:val="20"/>
                <w:szCs w:val="20"/>
                <w:color w:val="auto"/>
              </w:rPr>
            </w:pPr>
            <w:r>
              <w:rPr>
                <w:rFonts w:ascii="Arial" w:cs="Arial" w:eastAsia="Arial" w:hAnsi="Arial"/>
                <w:sz w:val="12"/>
                <w:szCs w:val="12"/>
                <w:b w:val="1"/>
                <w:bCs w:val="1"/>
                <w:color w:val="auto"/>
              </w:rPr>
              <w:t>Salary</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85"/>
              </w:rPr>
              <w:t>Bonus</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92"/>
              </w:rPr>
              <w:t>Awards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2"/>
              </w:rPr>
              <w:t>Awards</w:t>
            </w:r>
          </w:p>
        </w:tc>
        <w:tc>
          <w:tcPr>
            <w:tcW w:w="1460" w:type="dxa"/>
            <w:vAlign w:val="bottom"/>
          </w:tcPr>
          <w:p>
            <w:pPr>
              <w:jc w:val="center"/>
              <w:spacing w:after="0"/>
              <w:rPr>
                <w:sz w:val="20"/>
                <w:szCs w:val="20"/>
                <w:color w:val="auto"/>
              </w:rPr>
            </w:pPr>
            <w:r>
              <w:rPr>
                <w:rFonts w:ascii="Arial" w:cs="Arial" w:eastAsia="Arial" w:hAnsi="Arial"/>
                <w:sz w:val="12"/>
                <w:szCs w:val="12"/>
                <w:b w:val="1"/>
                <w:bCs w:val="1"/>
                <w:color w:val="auto"/>
                <w:w w:val="89"/>
              </w:rPr>
              <w:t>Compen-sation</w:t>
            </w:r>
          </w:p>
        </w:tc>
        <w:tc>
          <w:tcPr>
            <w:tcW w:w="1060" w:type="dxa"/>
            <w:vAlign w:val="bottom"/>
          </w:tcPr>
          <w:p>
            <w:pPr>
              <w:ind w:left="4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8"/>
        </w:trPr>
        <w:tc>
          <w:tcPr>
            <w:tcW w:w="41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Position</w:t>
            </w: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Year</w:t>
            </w:r>
          </w:p>
        </w:tc>
        <w:tc>
          <w:tcPr>
            <w:tcW w:w="94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5"/>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0" w:type="dxa"/>
            <w:vAlign w:val="bottom"/>
          </w:tcPr>
          <w:p>
            <w:pPr>
              <w:spacing w:after="0"/>
              <w:rPr>
                <w:sz w:val="1"/>
                <w:szCs w:val="1"/>
                <w:color w:val="auto"/>
              </w:rPr>
            </w:pP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180" w:type="dxa"/>
            <w:vAlign w:val="bottom"/>
          </w:tcPr>
          <w:p>
            <w:pPr>
              <w:spacing w:after="0" w:line="113" w:lineRule="exact"/>
              <w:rPr>
                <w:sz w:val="20"/>
                <w:szCs w:val="20"/>
                <w:color w:val="auto"/>
              </w:rPr>
            </w:pPr>
            <w:r>
              <w:rPr>
                <w:rFonts w:ascii="Arial" w:cs="Arial" w:eastAsia="Arial" w:hAnsi="Arial"/>
                <w:sz w:val="12"/>
                <w:szCs w:val="12"/>
                <w:color w:val="auto"/>
              </w:rPr>
              <w:t>Glynn Wilson</w:t>
            </w: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rPr>
              <w:t>2014</w:t>
            </w:r>
          </w:p>
        </w:tc>
        <w:tc>
          <w:tcPr>
            <w:tcW w:w="940" w:type="dxa"/>
            <w:vAlign w:val="bottom"/>
            <w:vMerge w:val="restart"/>
          </w:tcPr>
          <w:p>
            <w:pPr>
              <w:jc w:val="center"/>
              <w:ind w:right="20"/>
              <w:spacing w:after="0"/>
              <w:rPr>
                <w:sz w:val="20"/>
                <w:szCs w:val="20"/>
                <w:color w:val="auto"/>
              </w:rPr>
            </w:pPr>
            <w:r>
              <w:rPr>
                <w:rFonts w:ascii="Arial" w:cs="Arial" w:eastAsia="Arial" w:hAnsi="Arial"/>
                <w:sz w:val="12"/>
                <w:szCs w:val="12"/>
                <w:color w:val="auto"/>
                <w:w w:val="87"/>
              </w:rPr>
              <w:t>180,000</w:t>
            </w: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rPr>
              <w:t>Nil</w:t>
            </w:r>
          </w:p>
        </w:tc>
        <w:tc>
          <w:tcPr>
            <w:tcW w:w="1100" w:type="dxa"/>
            <w:vAlign w:val="bottom"/>
            <w:vMerge w:val="restart"/>
          </w:tcPr>
          <w:p>
            <w:pPr>
              <w:jc w:val="center"/>
              <w:spacing w:after="0"/>
              <w:rPr>
                <w:sz w:val="20"/>
                <w:szCs w:val="20"/>
                <w:color w:val="auto"/>
              </w:rPr>
            </w:pPr>
            <w:r>
              <w:rPr>
                <w:rFonts w:ascii="Arial" w:cs="Arial" w:eastAsia="Arial" w:hAnsi="Arial"/>
                <w:sz w:val="12"/>
                <w:szCs w:val="12"/>
                <w:color w:val="auto"/>
              </w:rPr>
              <w:t>Nil</w:t>
            </w:r>
          </w:p>
        </w:tc>
        <w:tc>
          <w:tcPr>
            <w:tcW w:w="1120" w:type="dxa"/>
            <w:vAlign w:val="bottom"/>
            <w:vMerge w:val="restart"/>
          </w:tcPr>
          <w:p>
            <w:pPr>
              <w:jc w:val="center"/>
              <w:spacing w:after="0"/>
              <w:rPr>
                <w:sz w:val="20"/>
                <w:szCs w:val="20"/>
                <w:color w:val="auto"/>
              </w:rPr>
            </w:pPr>
            <w:r>
              <w:rPr>
                <w:rFonts w:ascii="Arial" w:cs="Arial" w:eastAsia="Arial" w:hAnsi="Arial"/>
                <w:sz w:val="12"/>
                <w:szCs w:val="12"/>
                <w:color w:val="auto"/>
              </w:rPr>
              <w:t>Nil</w:t>
            </w:r>
          </w:p>
        </w:tc>
        <w:tc>
          <w:tcPr>
            <w:tcW w:w="1460" w:type="dxa"/>
            <w:vAlign w:val="bottom"/>
            <w:vMerge w:val="restart"/>
          </w:tcPr>
          <w:p>
            <w:pPr>
              <w:jc w:val="center"/>
              <w:spacing w:after="0"/>
              <w:rPr>
                <w:sz w:val="20"/>
                <w:szCs w:val="20"/>
                <w:color w:val="auto"/>
              </w:rPr>
            </w:pPr>
            <w:r>
              <w:rPr>
                <w:rFonts w:ascii="Arial" w:cs="Arial" w:eastAsia="Arial" w:hAnsi="Arial"/>
                <w:sz w:val="12"/>
                <w:szCs w:val="12"/>
                <w:color w:val="auto"/>
              </w:rPr>
              <w:t>Nil</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auto"/>
                <w:w w:val="87"/>
              </w:rPr>
              <w:t>180,000</w:t>
            </w:r>
          </w:p>
        </w:tc>
        <w:tc>
          <w:tcPr>
            <w:tcW w:w="0" w:type="dxa"/>
            <w:vAlign w:val="bottom"/>
          </w:tcPr>
          <w:p>
            <w:pPr>
              <w:spacing w:after="0"/>
              <w:rPr>
                <w:sz w:val="1"/>
                <w:szCs w:val="1"/>
                <w:color w:val="auto"/>
              </w:rPr>
            </w:pPr>
          </w:p>
        </w:tc>
      </w:tr>
      <w:tr>
        <w:trPr>
          <w:trHeight w:val="73"/>
        </w:trPr>
        <w:tc>
          <w:tcPr>
            <w:tcW w:w="4180" w:type="dxa"/>
            <w:vAlign w:val="bottom"/>
            <w:vMerge w:val="restart"/>
          </w:tcPr>
          <w:p>
            <w:pPr>
              <w:spacing w:after="0"/>
              <w:rPr>
                <w:sz w:val="20"/>
                <w:szCs w:val="20"/>
                <w:color w:val="auto"/>
              </w:rPr>
            </w:pPr>
            <w:r>
              <w:rPr>
                <w:rFonts w:ascii="Arial" w:cs="Arial" w:eastAsia="Arial" w:hAnsi="Arial"/>
                <w:sz w:val="12"/>
                <w:szCs w:val="12"/>
                <w:i w:val="1"/>
                <w:iCs w:val="1"/>
                <w:color w:val="auto"/>
                <w:w w:val="98"/>
              </w:rPr>
              <w:t>Chairman, CEO and Principal Executive Officer and Acting Principal Accounting</w:t>
            </w:r>
          </w:p>
        </w:tc>
        <w:tc>
          <w:tcPr>
            <w:tcW w:w="6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4180" w:type="dxa"/>
            <w:vAlign w:val="bottom"/>
            <w:vMerge w:val="continue"/>
          </w:tcPr>
          <w:p>
            <w:pPr>
              <w:spacing w:after="0"/>
              <w:rPr>
                <w:sz w:val="6"/>
                <w:szCs w:val="6"/>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rPr>
              <w:t>2013</w:t>
            </w:r>
          </w:p>
        </w:tc>
        <w:tc>
          <w:tcPr>
            <w:tcW w:w="940" w:type="dxa"/>
            <w:vAlign w:val="bottom"/>
            <w:vMerge w:val="restart"/>
          </w:tcPr>
          <w:p>
            <w:pPr>
              <w:jc w:val="center"/>
              <w:ind w:right="20"/>
              <w:spacing w:after="0"/>
              <w:rPr>
                <w:sz w:val="20"/>
                <w:szCs w:val="20"/>
                <w:color w:val="auto"/>
              </w:rPr>
            </w:pPr>
            <w:r>
              <w:rPr>
                <w:rFonts w:ascii="Arial" w:cs="Arial" w:eastAsia="Arial" w:hAnsi="Arial"/>
                <w:sz w:val="12"/>
                <w:szCs w:val="12"/>
                <w:color w:val="auto"/>
                <w:w w:val="87"/>
              </w:rPr>
              <w:t>180,000</w:t>
            </w: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rPr>
              <w:t>Nil</w:t>
            </w:r>
          </w:p>
        </w:tc>
        <w:tc>
          <w:tcPr>
            <w:tcW w:w="1100" w:type="dxa"/>
            <w:vAlign w:val="bottom"/>
            <w:vMerge w:val="restart"/>
          </w:tcPr>
          <w:p>
            <w:pPr>
              <w:jc w:val="center"/>
              <w:spacing w:after="0"/>
              <w:rPr>
                <w:sz w:val="20"/>
                <w:szCs w:val="20"/>
                <w:color w:val="auto"/>
              </w:rPr>
            </w:pPr>
            <w:r>
              <w:rPr>
                <w:rFonts w:ascii="Arial" w:cs="Arial" w:eastAsia="Arial" w:hAnsi="Arial"/>
                <w:sz w:val="12"/>
                <w:szCs w:val="12"/>
                <w:color w:val="auto"/>
              </w:rPr>
              <w:t>Nil</w:t>
            </w:r>
          </w:p>
        </w:tc>
        <w:tc>
          <w:tcPr>
            <w:tcW w:w="1120" w:type="dxa"/>
            <w:vAlign w:val="bottom"/>
            <w:vMerge w:val="restart"/>
          </w:tcPr>
          <w:p>
            <w:pPr>
              <w:jc w:val="center"/>
              <w:spacing w:after="0"/>
              <w:rPr>
                <w:sz w:val="20"/>
                <w:szCs w:val="20"/>
                <w:color w:val="auto"/>
              </w:rPr>
            </w:pPr>
            <w:r>
              <w:rPr>
                <w:rFonts w:ascii="Arial" w:cs="Arial" w:eastAsia="Arial" w:hAnsi="Arial"/>
                <w:sz w:val="12"/>
                <w:szCs w:val="12"/>
                <w:color w:val="auto"/>
              </w:rPr>
              <w:t>Nil</w:t>
            </w:r>
          </w:p>
        </w:tc>
        <w:tc>
          <w:tcPr>
            <w:tcW w:w="1460" w:type="dxa"/>
            <w:vAlign w:val="bottom"/>
            <w:vMerge w:val="restart"/>
          </w:tcPr>
          <w:p>
            <w:pPr>
              <w:jc w:val="center"/>
              <w:spacing w:after="0"/>
              <w:rPr>
                <w:sz w:val="20"/>
                <w:szCs w:val="20"/>
                <w:color w:val="auto"/>
              </w:rPr>
            </w:pPr>
            <w:r>
              <w:rPr>
                <w:rFonts w:ascii="Arial" w:cs="Arial" w:eastAsia="Arial" w:hAnsi="Arial"/>
                <w:sz w:val="12"/>
                <w:szCs w:val="12"/>
                <w:color w:val="auto"/>
              </w:rPr>
              <w:t>Nil</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auto"/>
                <w:w w:val="87"/>
              </w:rPr>
              <w:t>180,000</w:t>
            </w:r>
          </w:p>
        </w:tc>
        <w:tc>
          <w:tcPr>
            <w:tcW w:w="0" w:type="dxa"/>
            <w:vAlign w:val="bottom"/>
          </w:tcPr>
          <w:p>
            <w:pPr>
              <w:spacing w:after="0"/>
              <w:rPr>
                <w:sz w:val="1"/>
                <w:szCs w:val="1"/>
                <w:color w:val="auto"/>
              </w:rPr>
            </w:pPr>
          </w:p>
        </w:tc>
      </w:tr>
      <w:tr>
        <w:trPr>
          <w:trHeight w:val="81"/>
        </w:trPr>
        <w:tc>
          <w:tcPr>
            <w:tcW w:w="4180" w:type="dxa"/>
            <w:vAlign w:val="bottom"/>
            <w:vMerge w:val="restart"/>
          </w:tcPr>
          <w:p>
            <w:pPr>
              <w:spacing w:after="0"/>
              <w:rPr>
                <w:sz w:val="20"/>
                <w:szCs w:val="20"/>
                <w:color w:val="auto"/>
              </w:rPr>
            </w:pPr>
            <w:r>
              <w:rPr>
                <w:rFonts w:ascii="Arial" w:cs="Arial" w:eastAsia="Arial" w:hAnsi="Arial"/>
                <w:sz w:val="12"/>
                <w:szCs w:val="12"/>
                <w:i w:val="1"/>
                <w:iCs w:val="1"/>
                <w:color w:val="auto"/>
              </w:rPr>
              <w:t>Officer</w:t>
            </w:r>
          </w:p>
        </w:tc>
        <w:tc>
          <w:tcPr>
            <w:tcW w:w="6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1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180" w:type="dxa"/>
            <w:vAlign w:val="bottom"/>
          </w:tcPr>
          <w:p>
            <w:pPr>
              <w:spacing w:after="0"/>
              <w:rPr>
                <w:sz w:val="20"/>
                <w:szCs w:val="20"/>
                <w:color w:val="auto"/>
              </w:rPr>
            </w:pPr>
            <w:r>
              <w:rPr>
                <w:rFonts w:ascii="Arial" w:cs="Arial" w:eastAsia="Arial" w:hAnsi="Arial"/>
                <w:sz w:val="12"/>
                <w:szCs w:val="12"/>
                <w:color w:val="auto"/>
              </w:rPr>
              <w:t>Mark Reddish</w:t>
            </w:r>
          </w:p>
        </w:tc>
        <w:tc>
          <w:tcPr>
            <w:tcW w:w="660" w:type="dxa"/>
            <w:vAlign w:val="bottom"/>
          </w:tcPr>
          <w:p>
            <w:pPr>
              <w:ind w:left="200"/>
              <w:spacing w:after="0"/>
              <w:rPr>
                <w:sz w:val="20"/>
                <w:szCs w:val="20"/>
                <w:color w:val="auto"/>
              </w:rPr>
            </w:pPr>
            <w:r>
              <w:rPr>
                <w:rFonts w:ascii="Arial" w:cs="Arial" w:eastAsia="Arial" w:hAnsi="Arial"/>
                <w:sz w:val="12"/>
                <w:szCs w:val="12"/>
                <w:color w:val="auto"/>
              </w:rPr>
              <w:t>2014</w:t>
            </w:r>
          </w:p>
        </w:tc>
        <w:tc>
          <w:tcPr>
            <w:tcW w:w="940" w:type="dxa"/>
            <w:vAlign w:val="bottom"/>
          </w:tcPr>
          <w:p>
            <w:pPr>
              <w:jc w:val="center"/>
              <w:ind w:right="20"/>
              <w:spacing w:after="0"/>
              <w:rPr>
                <w:sz w:val="20"/>
                <w:szCs w:val="20"/>
                <w:color w:val="auto"/>
              </w:rPr>
            </w:pPr>
            <w:r>
              <w:rPr>
                <w:rFonts w:ascii="Arial" w:cs="Arial" w:eastAsia="Arial" w:hAnsi="Arial"/>
                <w:sz w:val="12"/>
                <w:szCs w:val="12"/>
                <w:color w:val="auto"/>
                <w:w w:val="92"/>
              </w:rPr>
              <w:t>15,000</w:t>
            </w:r>
          </w:p>
        </w:tc>
        <w:tc>
          <w:tcPr>
            <w:tcW w:w="960" w:type="dxa"/>
            <w:vAlign w:val="bottom"/>
          </w:tcPr>
          <w:p>
            <w:pPr>
              <w:jc w:val="center"/>
              <w:spacing w:after="0"/>
              <w:rPr>
                <w:sz w:val="20"/>
                <w:szCs w:val="20"/>
                <w:color w:val="auto"/>
              </w:rPr>
            </w:pPr>
            <w:r>
              <w:rPr>
                <w:rFonts w:ascii="Arial" w:cs="Arial" w:eastAsia="Arial" w:hAnsi="Arial"/>
                <w:sz w:val="12"/>
                <w:szCs w:val="12"/>
                <w:color w:val="auto"/>
              </w:rPr>
              <w:t>Nil</w:t>
            </w:r>
          </w:p>
        </w:tc>
        <w:tc>
          <w:tcPr>
            <w:tcW w:w="1100" w:type="dxa"/>
            <w:vAlign w:val="bottom"/>
          </w:tcPr>
          <w:p>
            <w:pPr>
              <w:jc w:val="center"/>
              <w:spacing w:after="0"/>
              <w:rPr>
                <w:sz w:val="20"/>
                <w:szCs w:val="20"/>
                <w:color w:val="auto"/>
              </w:rPr>
            </w:pPr>
            <w:r>
              <w:rPr>
                <w:rFonts w:ascii="Arial" w:cs="Arial" w:eastAsia="Arial" w:hAnsi="Arial"/>
                <w:sz w:val="12"/>
                <w:szCs w:val="12"/>
                <w:color w:val="auto"/>
              </w:rPr>
              <w:t>Nil</w:t>
            </w:r>
          </w:p>
        </w:tc>
        <w:tc>
          <w:tcPr>
            <w:tcW w:w="1120" w:type="dxa"/>
            <w:vAlign w:val="bottom"/>
          </w:tcPr>
          <w:p>
            <w:pPr>
              <w:jc w:val="center"/>
              <w:spacing w:after="0"/>
              <w:rPr>
                <w:sz w:val="20"/>
                <w:szCs w:val="20"/>
                <w:color w:val="auto"/>
              </w:rPr>
            </w:pPr>
            <w:r>
              <w:rPr>
                <w:rFonts w:ascii="Arial" w:cs="Arial" w:eastAsia="Arial" w:hAnsi="Arial"/>
                <w:sz w:val="12"/>
                <w:szCs w:val="12"/>
                <w:color w:val="auto"/>
              </w:rPr>
              <w:t>Nil</w:t>
            </w:r>
          </w:p>
        </w:tc>
        <w:tc>
          <w:tcPr>
            <w:tcW w:w="1460" w:type="dxa"/>
            <w:vAlign w:val="bottom"/>
          </w:tcPr>
          <w:p>
            <w:pPr>
              <w:jc w:val="center"/>
              <w:spacing w:after="0"/>
              <w:rPr>
                <w:sz w:val="20"/>
                <w:szCs w:val="20"/>
                <w:color w:val="auto"/>
              </w:rPr>
            </w:pPr>
            <w:r>
              <w:rPr>
                <w:rFonts w:ascii="Arial" w:cs="Arial" w:eastAsia="Arial" w:hAnsi="Arial"/>
                <w:sz w:val="12"/>
                <w:szCs w:val="12"/>
                <w:color w:val="auto"/>
              </w:rPr>
              <w:t>Nil</w:t>
            </w:r>
          </w:p>
        </w:tc>
        <w:tc>
          <w:tcPr>
            <w:tcW w:w="1060" w:type="dxa"/>
            <w:vAlign w:val="bottom"/>
          </w:tcPr>
          <w:p>
            <w:pPr>
              <w:jc w:val="center"/>
              <w:spacing w:after="0"/>
              <w:rPr>
                <w:sz w:val="20"/>
                <w:szCs w:val="20"/>
                <w:color w:val="auto"/>
              </w:rPr>
            </w:pPr>
            <w:r>
              <w:rPr>
                <w:rFonts w:ascii="Arial" w:cs="Arial" w:eastAsia="Arial" w:hAnsi="Arial"/>
                <w:sz w:val="12"/>
                <w:szCs w:val="12"/>
                <w:color w:val="auto"/>
                <w:w w:val="92"/>
              </w:rPr>
              <w:t>15,000</w:t>
            </w:r>
          </w:p>
        </w:tc>
        <w:tc>
          <w:tcPr>
            <w:tcW w:w="0" w:type="dxa"/>
            <w:vAlign w:val="bottom"/>
          </w:tcPr>
          <w:p>
            <w:pPr>
              <w:spacing w:after="0"/>
              <w:rPr>
                <w:sz w:val="1"/>
                <w:szCs w:val="1"/>
                <w:color w:val="auto"/>
              </w:rPr>
            </w:pPr>
          </w:p>
        </w:tc>
      </w:tr>
      <w:tr>
        <w:trPr>
          <w:trHeight w:val="154"/>
        </w:trPr>
        <w:tc>
          <w:tcPr>
            <w:tcW w:w="4180" w:type="dxa"/>
            <w:vAlign w:val="bottom"/>
          </w:tcPr>
          <w:p>
            <w:pPr>
              <w:spacing w:after="0"/>
              <w:rPr>
                <w:sz w:val="20"/>
                <w:szCs w:val="20"/>
                <w:color w:val="auto"/>
              </w:rPr>
            </w:pPr>
            <w:r>
              <w:rPr>
                <w:rFonts w:ascii="Arial" w:cs="Arial" w:eastAsia="Arial" w:hAnsi="Arial"/>
                <w:sz w:val="12"/>
                <w:szCs w:val="12"/>
                <w:i w:val="1"/>
                <w:iCs w:val="1"/>
                <w:color w:val="auto"/>
              </w:rPr>
              <w:t>VP Development</w:t>
            </w:r>
          </w:p>
        </w:tc>
        <w:tc>
          <w:tcPr>
            <w:tcW w:w="660" w:type="dxa"/>
            <w:vAlign w:val="bottom"/>
          </w:tcPr>
          <w:p>
            <w:pPr>
              <w:ind w:left="200"/>
              <w:spacing w:after="0"/>
              <w:rPr>
                <w:sz w:val="20"/>
                <w:szCs w:val="20"/>
                <w:color w:val="auto"/>
              </w:rPr>
            </w:pPr>
            <w:r>
              <w:rPr>
                <w:rFonts w:ascii="Arial" w:cs="Arial" w:eastAsia="Arial" w:hAnsi="Arial"/>
                <w:sz w:val="12"/>
                <w:szCs w:val="12"/>
                <w:color w:val="auto"/>
              </w:rPr>
              <w:t>2013</w:t>
            </w:r>
          </w:p>
        </w:tc>
        <w:tc>
          <w:tcPr>
            <w:tcW w:w="940" w:type="dxa"/>
            <w:vAlign w:val="bottom"/>
          </w:tcPr>
          <w:p>
            <w:pPr>
              <w:jc w:val="center"/>
              <w:ind w:right="20"/>
              <w:spacing w:after="0"/>
              <w:rPr>
                <w:sz w:val="20"/>
                <w:szCs w:val="20"/>
                <w:color w:val="auto"/>
              </w:rPr>
            </w:pPr>
            <w:r>
              <w:rPr>
                <w:rFonts w:ascii="Arial" w:cs="Arial" w:eastAsia="Arial" w:hAnsi="Arial"/>
                <w:sz w:val="12"/>
                <w:szCs w:val="12"/>
                <w:color w:val="auto"/>
                <w:w w:val="92"/>
              </w:rPr>
              <w:t>60,000</w:t>
            </w:r>
          </w:p>
        </w:tc>
        <w:tc>
          <w:tcPr>
            <w:tcW w:w="960" w:type="dxa"/>
            <w:vAlign w:val="bottom"/>
          </w:tcPr>
          <w:p>
            <w:pPr>
              <w:jc w:val="center"/>
              <w:spacing w:after="0"/>
              <w:rPr>
                <w:sz w:val="20"/>
                <w:szCs w:val="20"/>
                <w:color w:val="auto"/>
              </w:rPr>
            </w:pPr>
            <w:r>
              <w:rPr>
                <w:rFonts w:ascii="Arial" w:cs="Arial" w:eastAsia="Arial" w:hAnsi="Arial"/>
                <w:sz w:val="12"/>
                <w:szCs w:val="12"/>
                <w:color w:val="auto"/>
              </w:rPr>
              <w:t>Nil</w:t>
            </w:r>
          </w:p>
        </w:tc>
        <w:tc>
          <w:tcPr>
            <w:tcW w:w="1100" w:type="dxa"/>
            <w:vAlign w:val="bottom"/>
          </w:tcPr>
          <w:p>
            <w:pPr>
              <w:jc w:val="center"/>
              <w:spacing w:after="0"/>
              <w:rPr>
                <w:sz w:val="20"/>
                <w:szCs w:val="20"/>
                <w:color w:val="auto"/>
              </w:rPr>
            </w:pPr>
            <w:r>
              <w:rPr>
                <w:rFonts w:ascii="Arial" w:cs="Arial" w:eastAsia="Arial" w:hAnsi="Arial"/>
                <w:sz w:val="12"/>
                <w:szCs w:val="12"/>
                <w:color w:val="auto"/>
              </w:rPr>
              <w:t>Nil</w:t>
            </w:r>
          </w:p>
        </w:tc>
        <w:tc>
          <w:tcPr>
            <w:tcW w:w="1120" w:type="dxa"/>
            <w:vAlign w:val="bottom"/>
          </w:tcPr>
          <w:p>
            <w:pPr>
              <w:jc w:val="center"/>
              <w:spacing w:after="0"/>
              <w:rPr>
                <w:sz w:val="20"/>
                <w:szCs w:val="20"/>
                <w:color w:val="auto"/>
              </w:rPr>
            </w:pPr>
            <w:r>
              <w:rPr>
                <w:rFonts w:ascii="Arial" w:cs="Arial" w:eastAsia="Arial" w:hAnsi="Arial"/>
                <w:sz w:val="12"/>
                <w:szCs w:val="12"/>
                <w:color w:val="auto"/>
              </w:rPr>
              <w:t>Nil</w:t>
            </w:r>
          </w:p>
        </w:tc>
        <w:tc>
          <w:tcPr>
            <w:tcW w:w="1460" w:type="dxa"/>
            <w:vAlign w:val="bottom"/>
          </w:tcPr>
          <w:p>
            <w:pPr>
              <w:jc w:val="center"/>
              <w:spacing w:after="0"/>
              <w:rPr>
                <w:sz w:val="20"/>
                <w:szCs w:val="20"/>
                <w:color w:val="auto"/>
              </w:rPr>
            </w:pPr>
            <w:r>
              <w:rPr>
                <w:rFonts w:ascii="Arial" w:cs="Arial" w:eastAsia="Arial" w:hAnsi="Arial"/>
                <w:sz w:val="12"/>
                <w:szCs w:val="12"/>
                <w:color w:val="auto"/>
              </w:rPr>
              <w:t>Nil</w:t>
            </w:r>
          </w:p>
        </w:tc>
        <w:tc>
          <w:tcPr>
            <w:tcW w:w="1060" w:type="dxa"/>
            <w:vAlign w:val="bottom"/>
          </w:tcPr>
          <w:p>
            <w:pPr>
              <w:jc w:val="center"/>
              <w:spacing w:after="0"/>
              <w:rPr>
                <w:sz w:val="20"/>
                <w:szCs w:val="20"/>
                <w:color w:val="auto"/>
              </w:rPr>
            </w:pPr>
            <w:r>
              <w:rPr>
                <w:rFonts w:ascii="Arial" w:cs="Arial" w:eastAsia="Arial" w:hAnsi="Arial"/>
                <w:sz w:val="12"/>
                <w:szCs w:val="12"/>
                <w:color w:val="auto"/>
                <w:w w:val="92"/>
              </w:rPr>
              <w:t>60,000</w:t>
            </w:r>
          </w:p>
        </w:tc>
        <w:tc>
          <w:tcPr>
            <w:tcW w:w="0" w:type="dxa"/>
            <w:vAlign w:val="bottom"/>
          </w:tcPr>
          <w:p>
            <w:pPr>
              <w:spacing w:after="0"/>
              <w:rPr>
                <w:sz w:val="1"/>
                <w:szCs w:val="1"/>
                <w:color w:val="auto"/>
              </w:rPr>
            </w:pPr>
          </w:p>
        </w:tc>
      </w:tr>
      <w:tr>
        <w:trPr>
          <w:trHeight w:val="145"/>
        </w:trPr>
        <w:tc>
          <w:tcPr>
            <w:tcW w:w="4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The amounts represent fees paid or accrued by us to the executive officers during the past year pursuant to various employment and consulting services agreements, as between us and the executive officers, which are described below.</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Our executive officers are also reimbursed for any out-of-pocket expenses incurred in connection with corporate duties. We presently have no pension, health, annuity, insurance, profit sharing or similar benefit plans.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information as at December 31, 2014 relating to outstanding equity awards for each Named Executive Officer: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89" w:right="199" w:bottom="1440" w:gutter="0" w:footer="0" w:header="0"/>
        </w:sectPr>
      </w:pPr>
    </w:p>
    <w:bookmarkStart w:id="42" w:name="page43"/>
    <w:bookmarkEnd w:id="42"/>
    <w:p>
      <w:pPr>
        <w:jc w:val="center"/>
        <w:ind w:right="-6"/>
        <w:spacing w:after="0"/>
        <w:rPr>
          <w:sz w:val="20"/>
          <w:szCs w:val="20"/>
          <w:color w:val="auto"/>
        </w:rPr>
      </w:pPr>
      <w:r>
        <w:rPr>
          <w:rFonts w:ascii="Arial" w:cs="Arial" w:eastAsia="Arial" w:hAnsi="Arial"/>
          <w:sz w:val="12"/>
          <w:szCs w:val="12"/>
          <w:b w:val="1"/>
          <w:bCs w:val="1"/>
          <w:color w:val="auto"/>
        </w:rPr>
        <w:t>Outstanding Equity Awards at Year End Table</w:t>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131"/>
        </w:trPr>
        <w:tc>
          <w:tcPr>
            <w:tcW w:w="3240" w:type="dxa"/>
            <w:vAlign w:val="bottom"/>
            <w:tcBorders>
              <w:top w:val="single" w:sz="8" w:color="auto"/>
            </w:tcBorders>
          </w:tcPr>
          <w:p>
            <w:pPr>
              <w:spacing w:after="0"/>
              <w:rPr>
                <w:sz w:val="11"/>
                <w:szCs w:val="11"/>
                <w:color w:val="auto"/>
              </w:rPr>
            </w:pPr>
          </w:p>
        </w:tc>
        <w:tc>
          <w:tcPr>
            <w:tcW w:w="2060" w:type="dxa"/>
            <w:vAlign w:val="bottom"/>
            <w:tcBorders>
              <w:top w:val="single" w:sz="8" w:color="auto"/>
            </w:tcBorders>
          </w:tcPr>
          <w:p>
            <w:pPr>
              <w:jc w:val="center"/>
              <w:ind w:left="320"/>
              <w:spacing w:after="0" w:line="130" w:lineRule="exact"/>
              <w:rPr>
                <w:sz w:val="20"/>
                <w:szCs w:val="20"/>
                <w:color w:val="auto"/>
              </w:rPr>
            </w:pPr>
            <w:r>
              <w:rPr>
                <w:rFonts w:ascii="Arial" w:cs="Arial" w:eastAsia="Arial" w:hAnsi="Arial"/>
                <w:sz w:val="12"/>
                <w:szCs w:val="12"/>
                <w:b w:val="1"/>
                <w:bCs w:val="1"/>
                <w:color w:val="auto"/>
                <w:w w:val="93"/>
              </w:rPr>
              <w:t>Number of</w:t>
            </w:r>
          </w:p>
        </w:tc>
        <w:tc>
          <w:tcPr>
            <w:tcW w:w="18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3"/>
              </w:rPr>
              <w:t>Number of</w:t>
            </w:r>
          </w:p>
        </w:tc>
        <w:tc>
          <w:tcPr>
            <w:tcW w:w="16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3"/>
              </w:rPr>
              <w:t>Number of</w:t>
            </w:r>
          </w:p>
        </w:tc>
        <w:tc>
          <w:tcPr>
            <w:tcW w:w="13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r>
      <w:tr>
        <w:trPr>
          <w:trHeight w:val="145"/>
        </w:trPr>
        <w:tc>
          <w:tcPr>
            <w:tcW w:w="3240" w:type="dxa"/>
            <w:vAlign w:val="bottom"/>
          </w:tcPr>
          <w:p>
            <w:pPr>
              <w:spacing w:after="0"/>
              <w:rPr>
                <w:sz w:val="12"/>
                <w:szCs w:val="12"/>
                <w:color w:val="auto"/>
              </w:rPr>
            </w:pPr>
          </w:p>
        </w:tc>
        <w:tc>
          <w:tcPr>
            <w:tcW w:w="2060" w:type="dxa"/>
            <w:vAlign w:val="bottom"/>
          </w:tcPr>
          <w:p>
            <w:pPr>
              <w:jc w:val="center"/>
              <w:ind w:left="340"/>
              <w:spacing w:after="0"/>
              <w:rPr>
                <w:sz w:val="20"/>
                <w:szCs w:val="20"/>
                <w:color w:val="auto"/>
              </w:rPr>
            </w:pPr>
            <w:r>
              <w:rPr>
                <w:rFonts w:ascii="Arial" w:cs="Arial" w:eastAsia="Arial" w:hAnsi="Arial"/>
                <w:sz w:val="12"/>
                <w:szCs w:val="12"/>
                <w:b w:val="1"/>
                <w:bCs w:val="1"/>
                <w:color w:val="auto"/>
                <w:w w:val="87"/>
              </w:rPr>
              <w:t>Securities</w:t>
            </w:r>
          </w:p>
        </w:tc>
        <w:tc>
          <w:tcPr>
            <w:tcW w:w="1800" w:type="dxa"/>
            <w:vAlign w:val="bottom"/>
          </w:tcPr>
          <w:p>
            <w:pPr>
              <w:jc w:val="center"/>
              <w:spacing w:after="0"/>
              <w:rPr>
                <w:sz w:val="20"/>
                <w:szCs w:val="20"/>
                <w:color w:val="auto"/>
              </w:rPr>
            </w:pPr>
            <w:r>
              <w:rPr>
                <w:rFonts w:ascii="Arial" w:cs="Arial" w:eastAsia="Arial" w:hAnsi="Arial"/>
                <w:sz w:val="12"/>
                <w:szCs w:val="12"/>
                <w:b w:val="1"/>
                <w:bCs w:val="1"/>
                <w:color w:val="auto"/>
                <w:w w:val="87"/>
              </w:rPr>
              <w:t>Securities</w:t>
            </w:r>
          </w:p>
        </w:tc>
        <w:tc>
          <w:tcPr>
            <w:tcW w:w="1640" w:type="dxa"/>
            <w:vAlign w:val="bottom"/>
          </w:tcPr>
          <w:p>
            <w:pPr>
              <w:jc w:val="center"/>
              <w:spacing w:after="0"/>
              <w:rPr>
                <w:sz w:val="20"/>
                <w:szCs w:val="20"/>
                <w:color w:val="auto"/>
              </w:rPr>
            </w:pPr>
            <w:r>
              <w:rPr>
                <w:rFonts w:ascii="Arial" w:cs="Arial" w:eastAsia="Arial" w:hAnsi="Arial"/>
                <w:sz w:val="12"/>
                <w:szCs w:val="12"/>
                <w:b w:val="1"/>
                <w:bCs w:val="1"/>
                <w:color w:val="auto"/>
                <w:w w:val="87"/>
              </w:rPr>
              <w:t>Securities</w:t>
            </w:r>
          </w:p>
        </w:tc>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5"/>
        </w:trPr>
        <w:tc>
          <w:tcPr>
            <w:tcW w:w="3240" w:type="dxa"/>
            <w:vAlign w:val="bottom"/>
          </w:tcPr>
          <w:p>
            <w:pPr>
              <w:spacing w:after="0"/>
              <w:rPr>
                <w:sz w:val="12"/>
                <w:szCs w:val="12"/>
                <w:color w:val="auto"/>
              </w:rPr>
            </w:pPr>
          </w:p>
        </w:tc>
        <w:tc>
          <w:tcPr>
            <w:tcW w:w="2060" w:type="dxa"/>
            <w:vAlign w:val="bottom"/>
          </w:tcPr>
          <w:p>
            <w:pPr>
              <w:jc w:val="center"/>
              <w:ind w:left="340"/>
              <w:spacing w:after="0"/>
              <w:rPr>
                <w:sz w:val="20"/>
                <w:szCs w:val="20"/>
                <w:color w:val="auto"/>
              </w:rPr>
            </w:pPr>
            <w:r>
              <w:rPr>
                <w:rFonts w:ascii="Arial" w:cs="Arial" w:eastAsia="Arial" w:hAnsi="Arial"/>
                <w:sz w:val="12"/>
                <w:szCs w:val="12"/>
                <w:b w:val="1"/>
                <w:bCs w:val="1"/>
                <w:color w:val="auto"/>
                <w:w w:val="92"/>
              </w:rPr>
              <w:t>Underlying</w:t>
            </w:r>
          </w:p>
        </w:tc>
        <w:tc>
          <w:tcPr>
            <w:tcW w:w="1800" w:type="dxa"/>
            <w:vAlign w:val="bottom"/>
          </w:tcPr>
          <w:p>
            <w:pPr>
              <w:jc w:val="center"/>
              <w:spacing w:after="0"/>
              <w:rPr>
                <w:sz w:val="20"/>
                <w:szCs w:val="20"/>
                <w:color w:val="auto"/>
              </w:rPr>
            </w:pPr>
            <w:r>
              <w:rPr>
                <w:rFonts w:ascii="Arial" w:cs="Arial" w:eastAsia="Arial" w:hAnsi="Arial"/>
                <w:sz w:val="12"/>
                <w:szCs w:val="12"/>
                <w:b w:val="1"/>
                <w:bCs w:val="1"/>
                <w:color w:val="auto"/>
                <w:w w:val="92"/>
              </w:rPr>
              <w:t>Underlying</w:t>
            </w:r>
          </w:p>
        </w:tc>
        <w:tc>
          <w:tcPr>
            <w:tcW w:w="1640" w:type="dxa"/>
            <w:vAlign w:val="bottom"/>
          </w:tcPr>
          <w:p>
            <w:pPr>
              <w:jc w:val="center"/>
              <w:spacing w:after="0"/>
              <w:rPr>
                <w:sz w:val="20"/>
                <w:szCs w:val="20"/>
                <w:color w:val="auto"/>
              </w:rPr>
            </w:pPr>
            <w:r>
              <w:rPr>
                <w:rFonts w:ascii="Arial" w:cs="Arial" w:eastAsia="Arial" w:hAnsi="Arial"/>
                <w:sz w:val="12"/>
                <w:szCs w:val="12"/>
                <w:b w:val="1"/>
                <w:bCs w:val="1"/>
                <w:color w:val="auto"/>
                <w:w w:val="92"/>
              </w:rPr>
              <w:t>Underlying</w:t>
            </w:r>
          </w:p>
        </w:tc>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5"/>
        </w:trPr>
        <w:tc>
          <w:tcPr>
            <w:tcW w:w="3240" w:type="dxa"/>
            <w:vAlign w:val="bottom"/>
          </w:tcPr>
          <w:p>
            <w:pPr>
              <w:spacing w:after="0"/>
              <w:rPr>
                <w:sz w:val="12"/>
                <w:szCs w:val="12"/>
                <w:color w:val="auto"/>
              </w:rPr>
            </w:pPr>
          </w:p>
        </w:tc>
        <w:tc>
          <w:tcPr>
            <w:tcW w:w="2060" w:type="dxa"/>
            <w:vAlign w:val="bottom"/>
          </w:tcPr>
          <w:p>
            <w:pPr>
              <w:jc w:val="center"/>
              <w:ind w:left="340"/>
              <w:spacing w:after="0"/>
              <w:rPr>
                <w:sz w:val="20"/>
                <w:szCs w:val="20"/>
                <w:color w:val="auto"/>
              </w:rPr>
            </w:pPr>
            <w:r>
              <w:rPr>
                <w:rFonts w:ascii="Arial" w:cs="Arial" w:eastAsia="Arial" w:hAnsi="Arial"/>
                <w:sz w:val="12"/>
                <w:szCs w:val="12"/>
                <w:b w:val="1"/>
                <w:bCs w:val="1"/>
                <w:color w:val="auto"/>
                <w:w w:val="86"/>
              </w:rPr>
              <w:t>Unexercised</w:t>
            </w:r>
          </w:p>
        </w:tc>
        <w:tc>
          <w:tcPr>
            <w:tcW w:w="1800" w:type="dxa"/>
            <w:vAlign w:val="bottom"/>
          </w:tcPr>
          <w:p>
            <w:pPr>
              <w:jc w:val="center"/>
              <w:spacing w:after="0"/>
              <w:rPr>
                <w:sz w:val="20"/>
                <w:szCs w:val="20"/>
                <w:color w:val="auto"/>
              </w:rPr>
            </w:pPr>
            <w:r>
              <w:rPr>
                <w:rFonts w:ascii="Arial" w:cs="Arial" w:eastAsia="Arial" w:hAnsi="Arial"/>
                <w:sz w:val="12"/>
                <w:szCs w:val="12"/>
                <w:b w:val="1"/>
                <w:bCs w:val="1"/>
                <w:color w:val="auto"/>
                <w:w w:val="89"/>
              </w:rPr>
              <w:t>Unexercised</w:t>
            </w:r>
          </w:p>
        </w:tc>
        <w:tc>
          <w:tcPr>
            <w:tcW w:w="1640" w:type="dxa"/>
            <w:vAlign w:val="bottom"/>
          </w:tcPr>
          <w:p>
            <w:pPr>
              <w:jc w:val="center"/>
              <w:spacing w:after="0"/>
              <w:rPr>
                <w:sz w:val="20"/>
                <w:szCs w:val="20"/>
                <w:color w:val="auto"/>
              </w:rPr>
            </w:pPr>
            <w:r>
              <w:rPr>
                <w:rFonts w:ascii="Arial" w:cs="Arial" w:eastAsia="Arial" w:hAnsi="Arial"/>
                <w:sz w:val="12"/>
                <w:szCs w:val="12"/>
                <w:b w:val="1"/>
                <w:bCs w:val="1"/>
                <w:color w:val="auto"/>
                <w:w w:val="86"/>
              </w:rPr>
              <w:t>Unexercised</w:t>
            </w: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r>
      <w:tr>
        <w:trPr>
          <w:trHeight w:val="145"/>
        </w:trPr>
        <w:tc>
          <w:tcPr>
            <w:tcW w:w="3240" w:type="dxa"/>
            <w:vAlign w:val="bottom"/>
          </w:tcPr>
          <w:p>
            <w:pPr>
              <w:spacing w:after="0"/>
              <w:rPr>
                <w:sz w:val="12"/>
                <w:szCs w:val="12"/>
                <w:color w:val="auto"/>
              </w:rPr>
            </w:pPr>
          </w:p>
        </w:tc>
        <w:tc>
          <w:tcPr>
            <w:tcW w:w="2060" w:type="dxa"/>
            <w:vAlign w:val="bottom"/>
          </w:tcPr>
          <w:p>
            <w:pPr>
              <w:jc w:val="center"/>
              <w:ind w:left="320"/>
              <w:spacing w:after="0"/>
              <w:rPr>
                <w:sz w:val="20"/>
                <w:szCs w:val="20"/>
                <w:color w:val="auto"/>
              </w:rPr>
            </w:pPr>
            <w:r>
              <w:rPr>
                <w:rFonts w:ascii="Arial" w:cs="Arial" w:eastAsia="Arial" w:hAnsi="Arial"/>
                <w:sz w:val="12"/>
                <w:szCs w:val="12"/>
                <w:b w:val="1"/>
                <w:bCs w:val="1"/>
                <w:color w:val="auto"/>
                <w:w w:val="88"/>
              </w:rPr>
              <w:t>Options</w:t>
            </w:r>
          </w:p>
        </w:tc>
        <w:tc>
          <w:tcPr>
            <w:tcW w:w="1800" w:type="dxa"/>
            <w:vAlign w:val="bottom"/>
          </w:tcPr>
          <w:p>
            <w:pPr>
              <w:jc w:val="center"/>
              <w:spacing w:after="0"/>
              <w:rPr>
                <w:sz w:val="20"/>
                <w:szCs w:val="20"/>
                <w:color w:val="auto"/>
              </w:rPr>
            </w:pPr>
            <w:r>
              <w:rPr>
                <w:rFonts w:ascii="Arial" w:cs="Arial" w:eastAsia="Arial" w:hAnsi="Arial"/>
                <w:sz w:val="12"/>
                <w:szCs w:val="12"/>
                <w:b w:val="1"/>
                <w:bCs w:val="1"/>
                <w:color w:val="auto"/>
                <w:w w:val="88"/>
              </w:rPr>
              <w:t>Options</w:t>
            </w:r>
          </w:p>
        </w:tc>
        <w:tc>
          <w:tcPr>
            <w:tcW w:w="1640" w:type="dxa"/>
            <w:vAlign w:val="bottom"/>
          </w:tcPr>
          <w:p>
            <w:pPr>
              <w:jc w:val="center"/>
              <w:spacing w:after="0"/>
              <w:rPr>
                <w:sz w:val="20"/>
                <w:szCs w:val="20"/>
                <w:color w:val="auto"/>
              </w:rPr>
            </w:pPr>
            <w:r>
              <w:rPr>
                <w:rFonts w:ascii="Arial" w:cs="Arial" w:eastAsia="Arial" w:hAnsi="Arial"/>
                <w:sz w:val="12"/>
                <w:szCs w:val="12"/>
                <w:b w:val="1"/>
                <w:bCs w:val="1"/>
                <w:color w:val="auto"/>
                <w:w w:val="90"/>
              </w:rPr>
              <w:t>Unearned</w:t>
            </w: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89"/>
              </w:rPr>
              <w:t>Exercise</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r>
      <w:tr>
        <w:trPr>
          <w:trHeight w:val="158"/>
        </w:trPr>
        <w:tc>
          <w:tcPr>
            <w:tcW w:w="3240" w:type="dxa"/>
            <w:vAlign w:val="bottom"/>
            <w:tcBorders>
              <w:bottom w:val="single" w:sz="8" w:color="auto"/>
            </w:tcBorders>
          </w:tcPr>
          <w:p>
            <w:pPr>
              <w:ind w:left="1640"/>
              <w:spacing w:after="0"/>
              <w:rPr>
                <w:sz w:val="20"/>
                <w:szCs w:val="20"/>
                <w:color w:val="auto"/>
              </w:rPr>
            </w:pPr>
            <w:r>
              <w:rPr>
                <w:rFonts w:ascii="Arial" w:cs="Arial" w:eastAsia="Arial" w:hAnsi="Arial"/>
                <w:sz w:val="12"/>
                <w:szCs w:val="12"/>
                <w:b w:val="1"/>
                <w:bCs w:val="1"/>
                <w:color w:val="auto"/>
              </w:rPr>
              <w:t>Name</w:t>
            </w:r>
          </w:p>
        </w:tc>
        <w:tc>
          <w:tcPr>
            <w:tcW w:w="2060" w:type="dxa"/>
            <w:vAlign w:val="bottom"/>
            <w:tcBorders>
              <w:bottom w:val="single" w:sz="8" w:color="auto"/>
            </w:tcBorders>
          </w:tcPr>
          <w:p>
            <w:pPr>
              <w:jc w:val="center"/>
              <w:ind w:left="320"/>
              <w:spacing w:after="0"/>
              <w:rPr>
                <w:sz w:val="20"/>
                <w:szCs w:val="20"/>
                <w:color w:val="auto"/>
              </w:rPr>
            </w:pPr>
            <w:r>
              <w:rPr>
                <w:rFonts w:ascii="Arial" w:cs="Arial" w:eastAsia="Arial" w:hAnsi="Arial"/>
                <w:sz w:val="12"/>
                <w:szCs w:val="12"/>
                <w:b w:val="1"/>
                <w:bCs w:val="1"/>
                <w:color w:val="auto"/>
                <w:w w:val="87"/>
              </w:rPr>
              <w:t>(exercisable)</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(unexercisable)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Options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Price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13"/>
        </w:trPr>
        <w:tc>
          <w:tcPr>
            <w:tcW w:w="3240" w:type="dxa"/>
            <w:vAlign w:val="bottom"/>
          </w:tcPr>
          <w:p>
            <w:pPr>
              <w:spacing w:after="0"/>
              <w:rPr>
                <w:sz w:val="9"/>
                <w:szCs w:val="9"/>
                <w:color w:val="auto"/>
              </w:rPr>
            </w:pPr>
          </w:p>
        </w:tc>
        <w:tc>
          <w:tcPr>
            <w:tcW w:w="2060" w:type="dxa"/>
            <w:vAlign w:val="bottom"/>
          </w:tcPr>
          <w:p>
            <w:pPr>
              <w:jc w:val="right"/>
              <w:ind w:right="660"/>
              <w:spacing w:after="0" w:line="113" w:lineRule="exact"/>
              <w:rPr>
                <w:sz w:val="20"/>
                <w:szCs w:val="20"/>
                <w:color w:val="auto"/>
              </w:rPr>
            </w:pPr>
            <w:r>
              <w:rPr>
                <w:rFonts w:ascii="Arial" w:cs="Arial" w:eastAsia="Arial" w:hAnsi="Arial"/>
                <w:sz w:val="12"/>
                <w:szCs w:val="12"/>
                <w:color w:val="auto"/>
              </w:rPr>
              <w:t>400</w:t>
            </w:r>
          </w:p>
        </w:tc>
        <w:tc>
          <w:tcPr>
            <w:tcW w:w="1800" w:type="dxa"/>
            <w:vAlign w:val="bottom"/>
          </w:tcPr>
          <w:p>
            <w:pPr>
              <w:jc w:val="center"/>
              <w:spacing w:after="0" w:line="113" w:lineRule="exact"/>
              <w:rPr>
                <w:sz w:val="20"/>
                <w:szCs w:val="20"/>
                <w:color w:val="auto"/>
              </w:rPr>
            </w:pPr>
            <w:r>
              <w:rPr>
                <w:rFonts w:ascii="Arial" w:cs="Arial" w:eastAsia="Arial" w:hAnsi="Arial"/>
                <w:sz w:val="12"/>
                <w:szCs w:val="12"/>
                <w:color w:val="auto"/>
              </w:rPr>
              <w:t>Nil</w:t>
            </w:r>
          </w:p>
        </w:tc>
        <w:tc>
          <w:tcPr>
            <w:tcW w:w="1640" w:type="dxa"/>
            <w:vAlign w:val="bottom"/>
          </w:tcPr>
          <w:p>
            <w:pPr>
              <w:jc w:val="center"/>
              <w:spacing w:after="0" w:line="113" w:lineRule="exact"/>
              <w:rPr>
                <w:sz w:val="20"/>
                <w:szCs w:val="20"/>
                <w:color w:val="auto"/>
              </w:rPr>
            </w:pPr>
            <w:r>
              <w:rPr>
                <w:rFonts w:ascii="Arial" w:cs="Arial" w:eastAsia="Arial" w:hAnsi="Arial"/>
                <w:sz w:val="12"/>
                <w:szCs w:val="12"/>
                <w:color w:val="auto"/>
                <w:w w:val="99"/>
              </w:rPr>
              <w:t>Nil</w:t>
            </w:r>
          </w:p>
        </w:tc>
        <w:tc>
          <w:tcPr>
            <w:tcW w:w="1380" w:type="dxa"/>
            <w:vAlign w:val="bottom"/>
          </w:tcPr>
          <w:p>
            <w:pPr>
              <w:jc w:val="right"/>
              <w:ind w:right="320"/>
              <w:spacing w:after="0" w:line="113" w:lineRule="exact"/>
              <w:rPr>
                <w:sz w:val="20"/>
                <w:szCs w:val="20"/>
                <w:color w:val="auto"/>
              </w:rPr>
            </w:pPr>
            <w:r>
              <w:rPr>
                <w:rFonts w:ascii="Arial" w:cs="Arial" w:eastAsia="Arial" w:hAnsi="Arial"/>
                <w:sz w:val="12"/>
                <w:szCs w:val="12"/>
                <w:color w:val="auto"/>
              </w:rPr>
              <w:t>$17.00(2)</w:t>
            </w:r>
          </w:p>
        </w:tc>
        <w:tc>
          <w:tcPr>
            <w:tcW w:w="1360" w:type="dxa"/>
            <w:vAlign w:val="bottom"/>
          </w:tcPr>
          <w:p>
            <w:pPr>
              <w:jc w:val="center"/>
              <w:spacing w:after="0" w:line="113" w:lineRule="exact"/>
              <w:rPr>
                <w:sz w:val="20"/>
                <w:szCs w:val="20"/>
                <w:color w:val="auto"/>
              </w:rPr>
            </w:pPr>
            <w:r>
              <w:rPr>
                <w:rFonts w:ascii="Arial" w:cs="Arial" w:eastAsia="Arial" w:hAnsi="Arial"/>
                <w:sz w:val="12"/>
                <w:szCs w:val="12"/>
                <w:color w:val="auto"/>
                <w:w w:val="89"/>
              </w:rPr>
              <w:t>07/06/17</w:t>
            </w:r>
          </w:p>
        </w:tc>
      </w:tr>
      <w:tr>
        <w:trPr>
          <w:trHeight w:val="145"/>
        </w:trPr>
        <w:tc>
          <w:tcPr>
            <w:tcW w:w="3240" w:type="dxa"/>
            <w:vAlign w:val="bottom"/>
          </w:tcPr>
          <w:p>
            <w:pPr>
              <w:spacing w:after="0"/>
              <w:rPr>
                <w:sz w:val="12"/>
                <w:szCs w:val="12"/>
                <w:color w:val="auto"/>
              </w:rPr>
            </w:pPr>
          </w:p>
        </w:tc>
        <w:tc>
          <w:tcPr>
            <w:tcW w:w="2060" w:type="dxa"/>
            <w:vAlign w:val="bottom"/>
          </w:tcPr>
          <w:p>
            <w:pPr>
              <w:jc w:val="center"/>
              <w:ind w:left="320"/>
              <w:spacing w:after="0"/>
              <w:rPr>
                <w:sz w:val="20"/>
                <w:szCs w:val="20"/>
                <w:color w:val="auto"/>
              </w:rPr>
            </w:pPr>
            <w:r>
              <w:rPr>
                <w:rFonts w:ascii="Arial" w:cs="Arial" w:eastAsia="Arial" w:hAnsi="Arial"/>
                <w:sz w:val="12"/>
                <w:szCs w:val="12"/>
                <w:color w:val="auto"/>
                <w:w w:val="93"/>
              </w:rPr>
              <w:t>16,000(1)</w:t>
            </w:r>
          </w:p>
        </w:tc>
        <w:tc>
          <w:tcPr>
            <w:tcW w:w="1800" w:type="dxa"/>
            <w:vAlign w:val="bottom"/>
          </w:tcPr>
          <w:p>
            <w:pPr>
              <w:jc w:val="center"/>
              <w:spacing w:after="0"/>
              <w:rPr>
                <w:sz w:val="20"/>
                <w:szCs w:val="20"/>
                <w:color w:val="auto"/>
              </w:rPr>
            </w:pPr>
            <w:r>
              <w:rPr>
                <w:rFonts w:ascii="Arial" w:cs="Arial" w:eastAsia="Arial" w:hAnsi="Arial"/>
                <w:sz w:val="12"/>
                <w:szCs w:val="12"/>
                <w:color w:val="auto"/>
              </w:rPr>
              <w:t>Nil</w:t>
            </w:r>
          </w:p>
        </w:tc>
        <w:tc>
          <w:tcPr>
            <w:tcW w:w="1640" w:type="dxa"/>
            <w:vAlign w:val="bottom"/>
          </w:tcPr>
          <w:p>
            <w:pPr>
              <w:jc w:val="center"/>
              <w:spacing w:after="0"/>
              <w:rPr>
                <w:sz w:val="20"/>
                <w:szCs w:val="20"/>
                <w:color w:val="auto"/>
              </w:rPr>
            </w:pPr>
            <w:r>
              <w:rPr>
                <w:rFonts w:ascii="Arial" w:cs="Arial" w:eastAsia="Arial" w:hAnsi="Arial"/>
                <w:sz w:val="12"/>
                <w:szCs w:val="12"/>
                <w:color w:val="auto"/>
                <w:w w:val="99"/>
              </w:rPr>
              <w:t>Nil</w:t>
            </w:r>
          </w:p>
        </w:tc>
        <w:tc>
          <w:tcPr>
            <w:tcW w:w="1380" w:type="dxa"/>
            <w:vAlign w:val="bottom"/>
          </w:tcPr>
          <w:p>
            <w:pPr>
              <w:jc w:val="right"/>
              <w:ind w:right="320"/>
              <w:spacing w:after="0"/>
              <w:rPr>
                <w:sz w:val="20"/>
                <w:szCs w:val="20"/>
                <w:color w:val="auto"/>
              </w:rPr>
            </w:pPr>
            <w:r>
              <w:rPr>
                <w:rFonts w:ascii="Arial" w:cs="Arial" w:eastAsia="Arial" w:hAnsi="Arial"/>
                <w:sz w:val="12"/>
                <w:szCs w:val="12"/>
                <w:color w:val="auto"/>
              </w:rPr>
              <w:t>$17.00(2)</w:t>
            </w:r>
          </w:p>
        </w:tc>
        <w:tc>
          <w:tcPr>
            <w:tcW w:w="1360" w:type="dxa"/>
            <w:vAlign w:val="bottom"/>
          </w:tcPr>
          <w:p>
            <w:pPr>
              <w:jc w:val="center"/>
              <w:spacing w:after="0"/>
              <w:rPr>
                <w:sz w:val="20"/>
                <w:szCs w:val="20"/>
                <w:color w:val="auto"/>
              </w:rPr>
            </w:pPr>
            <w:r>
              <w:rPr>
                <w:rFonts w:ascii="Arial" w:cs="Arial" w:eastAsia="Arial" w:hAnsi="Arial"/>
                <w:sz w:val="12"/>
                <w:szCs w:val="12"/>
                <w:color w:val="auto"/>
                <w:w w:val="89"/>
              </w:rPr>
              <w:t>10/14/19</w:t>
            </w:r>
          </w:p>
        </w:tc>
      </w:tr>
      <w:tr>
        <w:trPr>
          <w:trHeight w:val="145"/>
        </w:trPr>
        <w:tc>
          <w:tcPr>
            <w:tcW w:w="3240" w:type="dxa"/>
            <w:vAlign w:val="bottom"/>
          </w:tcPr>
          <w:p>
            <w:pPr>
              <w:spacing w:after="0"/>
              <w:rPr>
                <w:sz w:val="20"/>
                <w:szCs w:val="20"/>
                <w:color w:val="auto"/>
              </w:rPr>
            </w:pPr>
            <w:r>
              <w:rPr>
                <w:rFonts w:ascii="Arial" w:cs="Arial" w:eastAsia="Arial" w:hAnsi="Arial"/>
                <w:sz w:val="12"/>
                <w:szCs w:val="12"/>
                <w:color w:val="auto"/>
              </w:rPr>
              <w:t>Glynn Wilson</w:t>
            </w:r>
          </w:p>
        </w:tc>
        <w:tc>
          <w:tcPr>
            <w:tcW w:w="2060" w:type="dxa"/>
            <w:vAlign w:val="bottom"/>
          </w:tcPr>
          <w:p>
            <w:pPr>
              <w:jc w:val="right"/>
              <w:ind w:right="520"/>
              <w:spacing w:after="0"/>
              <w:rPr>
                <w:sz w:val="20"/>
                <w:szCs w:val="20"/>
                <w:color w:val="auto"/>
              </w:rPr>
            </w:pPr>
            <w:r>
              <w:rPr>
                <w:rFonts w:ascii="Arial" w:cs="Arial" w:eastAsia="Arial" w:hAnsi="Arial"/>
                <w:sz w:val="12"/>
                <w:szCs w:val="12"/>
                <w:color w:val="auto"/>
              </w:rPr>
              <w:t>1,600(1)</w:t>
            </w:r>
          </w:p>
        </w:tc>
        <w:tc>
          <w:tcPr>
            <w:tcW w:w="1800" w:type="dxa"/>
            <w:vAlign w:val="bottom"/>
          </w:tcPr>
          <w:p>
            <w:pPr>
              <w:jc w:val="center"/>
              <w:spacing w:after="0"/>
              <w:rPr>
                <w:sz w:val="20"/>
                <w:szCs w:val="20"/>
                <w:color w:val="auto"/>
              </w:rPr>
            </w:pPr>
            <w:r>
              <w:rPr>
                <w:rFonts w:ascii="Arial" w:cs="Arial" w:eastAsia="Arial" w:hAnsi="Arial"/>
                <w:sz w:val="12"/>
                <w:szCs w:val="12"/>
                <w:color w:val="auto"/>
              </w:rPr>
              <w:t>Nil</w:t>
            </w:r>
          </w:p>
        </w:tc>
        <w:tc>
          <w:tcPr>
            <w:tcW w:w="1640" w:type="dxa"/>
            <w:vAlign w:val="bottom"/>
          </w:tcPr>
          <w:p>
            <w:pPr>
              <w:jc w:val="center"/>
              <w:spacing w:after="0"/>
              <w:rPr>
                <w:sz w:val="20"/>
                <w:szCs w:val="20"/>
                <w:color w:val="auto"/>
              </w:rPr>
            </w:pPr>
            <w:r>
              <w:rPr>
                <w:rFonts w:ascii="Arial" w:cs="Arial" w:eastAsia="Arial" w:hAnsi="Arial"/>
                <w:sz w:val="12"/>
                <w:szCs w:val="12"/>
                <w:color w:val="auto"/>
                <w:w w:val="99"/>
              </w:rPr>
              <w:t>Nil</w:t>
            </w:r>
          </w:p>
        </w:tc>
        <w:tc>
          <w:tcPr>
            <w:tcW w:w="1380" w:type="dxa"/>
            <w:vAlign w:val="bottom"/>
          </w:tcPr>
          <w:p>
            <w:pPr>
              <w:jc w:val="center"/>
              <w:spacing w:after="0"/>
              <w:rPr>
                <w:sz w:val="20"/>
                <w:szCs w:val="20"/>
                <w:color w:val="auto"/>
              </w:rPr>
            </w:pPr>
            <w:r>
              <w:rPr>
                <w:rFonts w:ascii="Arial" w:cs="Arial" w:eastAsia="Arial" w:hAnsi="Arial"/>
                <w:sz w:val="12"/>
                <w:szCs w:val="12"/>
                <w:color w:val="auto"/>
                <w:w w:val="87"/>
              </w:rPr>
              <w:t>$17.00</w:t>
            </w:r>
          </w:p>
        </w:tc>
        <w:tc>
          <w:tcPr>
            <w:tcW w:w="1360" w:type="dxa"/>
            <w:vAlign w:val="bottom"/>
          </w:tcPr>
          <w:p>
            <w:pPr>
              <w:jc w:val="center"/>
              <w:spacing w:after="0"/>
              <w:rPr>
                <w:sz w:val="20"/>
                <w:szCs w:val="20"/>
                <w:color w:val="auto"/>
              </w:rPr>
            </w:pPr>
            <w:r>
              <w:rPr>
                <w:rFonts w:ascii="Arial" w:cs="Arial" w:eastAsia="Arial" w:hAnsi="Arial"/>
                <w:sz w:val="12"/>
                <w:szCs w:val="12"/>
                <w:color w:val="auto"/>
                <w:w w:val="89"/>
              </w:rPr>
              <w:t>02/16/21</w:t>
            </w:r>
          </w:p>
        </w:tc>
      </w:tr>
      <w:tr>
        <w:trPr>
          <w:trHeight w:val="154"/>
        </w:trPr>
        <w:tc>
          <w:tcPr>
            <w:tcW w:w="3240" w:type="dxa"/>
            <w:vAlign w:val="bottom"/>
          </w:tcPr>
          <w:p>
            <w:pPr>
              <w:spacing w:after="0"/>
              <w:rPr>
                <w:sz w:val="20"/>
                <w:szCs w:val="20"/>
                <w:color w:val="auto"/>
              </w:rPr>
            </w:pPr>
            <w:r>
              <w:rPr>
                <w:rFonts w:ascii="Arial" w:cs="Arial" w:eastAsia="Arial" w:hAnsi="Arial"/>
                <w:sz w:val="12"/>
                <w:szCs w:val="12"/>
                <w:i w:val="1"/>
                <w:iCs w:val="1"/>
                <w:color w:val="auto"/>
              </w:rPr>
              <w:t>Chairman, CEO and Principal Executive Officer</w:t>
            </w:r>
          </w:p>
        </w:tc>
        <w:tc>
          <w:tcPr>
            <w:tcW w:w="2060" w:type="dxa"/>
            <w:vAlign w:val="bottom"/>
          </w:tcPr>
          <w:p>
            <w:pPr>
              <w:jc w:val="right"/>
              <w:ind w:right="520"/>
              <w:spacing w:after="0"/>
              <w:rPr>
                <w:sz w:val="20"/>
                <w:szCs w:val="20"/>
                <w:color w:val="auto"/>
              </w:rPr>
            </w:pPr>
            <w:r>
              <w:rPr>
                <w:rFonts w:ascii="Arial" w:cs="Arial" w:eastAsia="Arial" w:hAnsi="Arial"/>
                <w:sz w:val="12"/>
                <w:szCs w:val="12"/>
                <w:color w:val="auto"/>
              </w:rPr>
              <w:t>20,000(1)</w:t>
            </w:r>
          </w:p>
        </w:tc>
        <w:tc>
          <w:tcPr>
            <w:tcW w:w="1800" w:type="dxa"/>
            <w:vAlign w:val="bottom"/>
          </w:tcPr>
          <w:p>
            <w:pPr>
              <w:jc w:val="center"/>
              <w:spacing w:after="0"/>
              <w:rPr>
                <w:sz w:val="20"/>
                <w:szCs w:val="20"/>
                <w:color w:val="auto"/>
              </w:rPr>
            </w:pPr>
            <w:r>
              <w:rPr>
                <w:rFonts w:ascii="Arial" w:cs="Arial" w:eastAsia="Arial" w:hAnsi="Arial"/>
                <w:sz w:val="12"/>
                <w:szCs w:val="12"/>
                <w:color w:val="auto"/>
              </w:rPr>
              <w:t>Nil</w:t>
            </w:r>
          </w:p>
        </w:tc>
        <w:tc>
          <w:tcPr>
            <w:tcW w:w="1640" w:type="dxa"/>
            <w:vAlign w:val="bottom"/>
          </w:tcPr>
          <w:p>
            <w:pPr>
              <w:jc w:val="center"/>
              <w:spacing w:after="0"/>
              <w:rPr>
                <w:sz w:val="20"/>
                <w:szCs w:val="20"/>
                <w:color w:val="auto"/>
              </w:rPr>
            </w:pPr>
            <w:r>
              <w:rPr>
                <w:rFonts w:ascii="Arial" w:cs="Arial" w:eastAsia="Arial" w:hAnsi="Arial"/>
                <w:sz w:val="12"/>
                <w:szCs w:val="12"/>
                <w:color w:val="auto"/>
                <w:w w:val="99"/>
              </w:rPr>
              <w:t>Nil</w:t>
            </w:r>
          </w:p>
        </w:tc>
        <w:tc>
          <w:tcPr>
            <w:tcW w:w="1380" w:type="dxa"/>
            <w:vAlign w:val="bottom"/>
          </w:tcPr>
          <w:p>
            <w:pPr>
              <w:jc w:val="center"/>
              <w:spacing w:after="0"/>
              <w:rPr>
                <w:sz w:val="20"/>
                <w:szCs w:val="20"/>
                <w:color w:val="auto"/>
              </w:rPr>
            </w:pPr>
            <w:r>
              <w:rPr>
                <w:rFonts w:ascii="Arial" w:cs="Arial" w:eastAsia="Arial" w:hAnsi="Arial"/>
                <w:sz w:val="12"/>
                <w:szCs w:val="12"/>
                <w:color w:val="auto"/>
                <w:w w:val="87"/>
              </w:rPr>
              <w:t>$19.00</w:t>
            </w:r>
          </w:p>
        </w:tc>
        <w:tc>
          <w:tcPr>
            <w:tcW w:w="1360" w:type="dxa"/>
            <w:vAlign w:val="bottom"/>
          </w:tcPr>
          <w:p>
            <w:pPr>
              <w:jc w:val="center"/>
              <w:spacing w:after="0"/>
              <w:rPr>
                <w:sz w:val="20"/>
                <w:szCs w:val="20"/>
                <w:color w:val="auto"/>
              </w:rPr>
            </w:pPr>
            <w:r>
              <w:rPr>
                <w:rFonts w:ascii="Arial" w:cs="Arial" w:eastAsia="Arial" w:hAnsi="Arial"/>
                <w:sz w:val="12"/>
                <w:szCs w:val="12"/>
                <w:color w:val="auto"/>
                <w:w w:val="89"/>
              </w:rPr>
              <w:t>03/16/16</w:t>
            </w:r>
          </w:p>
        </w:tc>
      </w:tr>
      <w:tr>
        <w:trPr>
          <w:trHeight w:val="281"/>
        </w:trPr>
        <w:tc>
          <w:tcPr>
            <w:tcW w:w="3240" w:type="dxa"/>
            <w:vAlign w:val="bottom"/>
          </w:tcPr>
          <w:p>
            <w:pPr>
              <w:spacing w:after="0"/>
              <w:rPr>
                <w:sz w:val="20"/>
                <w:szCs w:val="20"/>
                <w:color w:val="auto"/>
              </w:rPr>
            </w:pPr>
            <w:r>
              <w:rPr>
                <w:rFonts w:ascii="Arial" w:cs="Arial" w:eastAsia="Arial" w:hAnsi="Arial"/>
                <w:sz w:val="12"/>
                <w:szCs w:val="12"/>
                <w:color w:val="auto"/>
              </w:rPr>
              <w:t>Mark Reddish</w:t>
            </w:r>
          </w:p>
        </w:tc>
        <w:tc>
          <w:tcPr>
            <w:tcW w:w="2060" w:type="dxa"/>
            <w:vAlign w:val="bottom"/>
          </w:tcPr>
          <w:p>
            <w:pPr>
              <w:jc w:val="center"/>
              <w:ind w:left="320"/>
              <w:spacing w:after="0"/>
              <w:rPr>
                <w:sz w:val="20"/>
                <w:szCs w:val="20"/>
                <w:color w:val="auto"/>
              </w:rPr>
            </w:pPr>
            <w:r>
              <w:rPr>
                <w:rFonts w:ascii="Arial" w:cs="Arial" w:eastAsia="Arial" w:hAnsi="Arial"/>
                <w:sz w:val="12"/>
                <w:szCs w:val="12"/>
                <w:color w:val="auto"/>
                <w:w w:val="93"/>
              </w:rPr>
              <w:t>2,000</w:t>
            </w:r>
          </w:p>
        </w:tc>
        <w:tc>
          <w:tcPr>
            <w:tcW w:w="1800" w:type="dxa"/>
            <w:vAlign w:val="bottom"/>
          </w:tcPr>
          <w:p>
            <w:pPr>
              <w:jc w:val="center"/>
              <w:spacing w:after="0"/>
              <w:rPr>
                <w:sz w:val="20"/>
                <w:szCs w:val="20"/>
                <w:color w:val="auto"/>
              </w:rPr>
            </w:pPr>
            <w:r>
              <w:rPr>
                <w:rFonts w:ascii="Arial" w:cs="Arial" w:eastAsia="Arial" w:hAnsi="Arial"/>
                <w:sz w:val="12"/>
                <w:szCs w:val="12"/>
                <w:color w:val="auto"/>
              </w:rPr>
              <w:t>Nil</w:t>
            </w:r>
          </w:p>
        </w:tc>
        <w:tc>
          <w:tcPr>
            <w:tcW w:w="1640" w:type="dxa"/>
            <w:vAlign w:val="bottom"/>
          </w:tcPr>
          <w:p>
            <w:pPr>
              <w:jc w:val="center"/>
              <w:spacing w:after="0"/>
              <w:rPr>
                <w:sz w:val="20"/>
                <w:szCs w:val="20"/>
                <w:color w:val="auto"/>
              </w:rPr>
            </w:pPr>
            <w:r>
              <w:rPr>
                <w:rFonts w:ascii="Arial" w:cs="Arial" w:eastAsia="Arial" w:hAnsi="Arial"/>
                <w:sz w:val="12"/>
                <w:szCs w:val="12"/>
                <w:color w:val="auto"/>
                <w:w w:val="99"/>
              </w:rPr>
              <w:t>Nil</w:t>
            </w:r>
          </w:p>
        </w:tc>
        <w:tc>
          <w:tcPr>
            <w:tcW w:w="1380" w:type="dxa"/>
            <w:vAlign w:val="bottom"/>
          </w:tcPr>
          <w:p>
            <w:pPr>
              <w:jc w:val="center"/>
              <w:spacing w:after="0"/>
              <w:rPr>
                <w:sz w:val="20"/>
                <w:szCs w:val="20"/>
                <w:color w:val="auto"/>
              </w:rPr>
            </w:pPr>
            <w:r>
              <w:rPr>
                <w:rFonts w:ascii="Arial" w:cs="Arial" w:eastAsia="Arial" w:hAnsi="Arial"/>
                <w:sz w:val="12"/>
                <w:szCs w:val="12"/>
                <w:color w:val="auto"/>
                <w:w w:val="87"/>
              </w:rPr>
              <w:t>$17.00</w:t>
            </w:r>
          </w:p>
        </w:tc>
        <w:tc>
          <w:tcPr>
            <w:tcW w:w="1360" w:type="dxa"/>
            <w:vAlign w:val="bottom"/>
          </w:tcPr>
          <w:p>
            <w:pPr>
              <w:jc w:val="center"/>
              <w:spacing w:after="0"/>
              <w:rPr>
                <w:sz w:val="20"/>
                <w:szCs w:val="20"/>
                <w:color w:val="auto"/>
              </w:rPr>
            </w:pPr>
            <w:r>
              <w:rPr>
                <w:rFonts w:ascii="Arial" w:cs="Arial" w:eastAsia="Arial" w:hAnsi="Arial"/>
                <w:sz w:val="12"/>
                <w:szCs w:val="12"/>
                <w:color w:val="auto"/>
                <w:w w:val="89"/>
              </w:rPr>
              <w:t>02/16/21</w:t>
            </w:r>
          </w:p>
        </w:tc>
      </w:tr>
      <w:tr>
        <w:trPr>
          <w:trHeight w:val="154"/>
        </w:trPr>
        <w:tc>
          <w:tcPr>
            <w:tcW w:w="324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VP Development</w:t>
            </w:r>
          </w:p>
        </w:tc>
        <w:tc>
          <w:tcPr>
            <w:tcW w:w="2060" w:type="dxa"/>
            <w:vAlign w:val="bottom"/>
            <w:tcBorders>
              <w:bottom w:val="single" w:sz="8" w:color="auto"/>
            </w:tcBorders>
          </w:tcPr>
          <w:p>
            <w:pPr>
              <w:jc w:val="center"/>
              <w:ind w:left="320"/>
              <w:spacing w:after="0"/>
              <w:rPr>
                <w:sz w:val="20"/>
                <w:szCs w:val="20"/>
                <w:color w:val="auto"/>
              </w:rPr>
            </w:pPr>
            <w:r>
              <w:rPr>
                <w:rFonts w:ascii="Arial" w:cs="Arial" w:eastAsia="Arial" w:hAnsi="Arial"/>
                <w:sz w:val="12"/>
                <w:szCs w:val="12"/>
                <w:color w:val="auto"/>
                <w:w w:val="93"/>
              </w:rPr>
              <w:t>2,500</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Nil</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Nil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$18.00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04/30/22</w:t>
            </w: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ind w:left="1327" w:hanging="1327"/>
        <w:spacing w:after="0"/>
        <w:tabs>
          <w:tab w:leader="none" w:pos="1327"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plan under which these shares were issued was approved by the Board of Directors and the shareholders in 2009 but did not come into effect until February 22, 2010.</w:t>
      </w:r>
    </w:p>
    <w:p>
      <w:pPr>
        <w:spacing w:after="0" w:line="161" w:lineRule="exact"/>
        <w:rPr>
          <w:rFonts w:ascii="Arial" w:cs="Arial" w:eastAsia="Arial" w:hAnsi="Arial"/>
          <w:sz w:val="12"/>
          <w:szCs w:val="12"/>
          <w:color w:val="auto"/>
        </w:rPr>
      </w:pPr>
    </w:p>
    <w:p>
      <w:pPr>
        <w:ind w:left="1307" w:hanging="1307"/>
        <w:spacing w:after="0"/>
        <w:tabs>
          <w:tab w:leader="none" w:pos="1307" w:val="left"/>
        </w:tabs>
        <w:numPr>
          <w:ilvl w:val="0"/>
          <w:numId w:val="27"/>
        </w:numPr>
        <w:rPr>
          <w:rFonts w:ascii="Arial" w:cs="Arial" w:eastAsia="Arial" w:hAnsi="Arial"/>
          <w:sz w:val="12"/>
          <w:szCs w:val="12"/>
          <w:color w:val="auto"/>
        </w:rPr>
      </w:pPr>
      <w:r>
        <w:rPr>
          <w:rFonts w:ascii="Arial" w:cs="Arial" w:eastAsia="Arial" w:hAnsi="Arial"/>
          <w:sz w:val="12"/>
          <w:szCs w:val="12"/>
          <w:color w:val="auto"/>
        </w:rPr>
        <w:t>Effective February 16, 2011, the option exercise price was reduced to $17.00.</w:t>
      </w:r>
    </w:p>
    <w:p>
      <w:pPr>
        <w:spacing w:after="0" w:line="170" w:lineRule="exact"/>
        <w:rPr>
          <w:sz w:val="20"/>
          <w:szCs w:val="20"/>
          <w:color w:val="auto"/>
        </w:rPr>
      </w:pPr>
    </w:p>
    <w:p>
      <w:pPr>
        <w:jc w:val="both"/>
        <w:ind w:left="7" w:right="20" w:firstLine="35"/>
        <w:spacing w:after="0" w:line="279" w:lineRule="auto"/>
        <w:rPr>
          <w:sz w:val="20"/>
          <w:szCs w:val="20"/>
          <w:color w:val="auto"/>
        </w:rPr>
      </w:pPr>
      <w:r>
        <w:rPr>
          <w:rFonts w:ascii="Arial" w:cs="Arial" w:eastAsia="Arial" w:hAnsi="Arial"/>
          <w:sz w:val="12"/>
          <w:szCs w:val="12"/>
          <w:color w:val="auto"/>
        </w:rPr>
        <w:t>The following table sets forth information relating to compensation paid to our directors for their services as directors in the fiscal year ended December 31, 2014, and excludes compensation paid to our directors for their services as executive officers:</w:t>
      </w:r>
    </w:p>
    <w:p>
      <w:pPr>
        <w:spacing w:after="0" w:line="11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Director Compensation Table</w:t>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131"/>
        </w:trPr>
        <w:tc>
          <w:tcPr>
            <w:tcW w:w="2660" w:type="dxa"/>
            <w:vAlign w:val="bottom"/>
            <w:tcBorders>
              <w:top w:val="single" w:sz="8" w:color="auto"/>
            </w:tcBorders>
          </w:tcPr>
          <w:p>
            <w:pPr>
              <w:spacing w:after="0"/>
              <w:rPr>
                <w:sz w:val="11"/>
                <w:szCs w:val="11"/>
                <w:color w:val="auto"/>
              </w:rPr>
            </w:pPr>
          </w:p>
        </w:tc>
        <w:tc>
          <w:tcPr>
            <w:tcW w:w="2440" w:type="dxa"/>
            <w:vAlign w:val="bottom"/>
            <w:tcBorders>
              <w:top w:val="single" w:sz="8" w:color="auto"/>
            </w:tcBorders>
          </w:tcPr>
          <w:p>
            <w:pPr>
              <w:jc w:val="center"/>
              <w:ind w:left="700"/>
              <w:spacing w:after="0" w:line="130" w:lineRule="exact"/>
              <w:rPr>
                <w:sz w:val="20"/>
                <w:szCs w:val="20"/>
                <w:color w:val="auto"/>
              </w:rPr>
            </w:pPr>
            <w:r>
              <w:rPr>
                <w:rFonts w:ascii="Arial" w:cs="Arial" w:eastAsia="Arial" w:hAnsi="Arial"/>
                <w:sz w:val="12"/>
                <w:szCs w:val="12"/>
                <w:b w:val="1"/>
                <w:bCs w:val="1"/>
                <w:color w:val="auto"/>
                <w:w w:val="87"/>
              </w:rPr>
              <w:t>Fees</w:t>
            </w:r>
          </w:p>
        </w:tc>
        <w:tc>
          <w:tcPr>
            <w:tcW w:w="15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r>
      <w:tr>
        <w:trPr>
          <w:trHeight w:val="145"/>
        </w:trPr>
        <w:tc>
          <w:tcPr>
            <w:tcW w:w="2660" w:type="dxa"/>
            <w:vAlign w:val="bottom"/>
          </w:tcPr>
          <w:p>
            <w:pPr>
              <w:spacing w:after="0"/>
              <w:rPr>
                <w:sz w:val="12"/>
                <w:szCs w:val="12"/>
                <w:color w:val="auto"/>
              </w:rPr>
            </w:pPr>
          </w:p>
        </w:tc>
        <w:tc>
          <w:tcPr>
            <w:tcW w:w="2440" w:type="dxa"/>
            <w:vAlign w:val="bottom"/>
          </w:tcPr>
          <w:p>
            <w:pPr>
              <w:jc w:val="center"/>
              <w:ind w:left="700"/>
              <w:spacing w:after="0"/>
              <w:rPr>
                <w:sz w:val="20"/>
                <w:szCs w:val="20"/>
                <w:color w:val="auto"/>
              </w:rPr>
            </w:pPr>
            <w:r>
              <w:rPr>
                <w:rFonts w:ascii="Arial" w:cs="Arial" w:eastAsia="Arial" w:hAnsi="Arial"/>
                <w:sz w:val="12"/>
                <w:szCs w:val="12"/>
                <w:b w:val="1"/>
                <w:bCs w:val="1"/>
                <w:color w:val="auto"/>
                <w:w w:val="92"/>
              </w:rPr>
              <w:t>Earned or</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85"/>
              </w:rPr>
              <w:t>Stock</w:t>
            </w:r>
          </w:p>
        </w:tc>
        <w:tc>
          <w:tcPr>
            <w:tcW w:w="1520" w:type="dxa"/>
            <w:vAlign w:val="bottom"/>
          </w:tcPr>
          <w:p>
            <w:pPr>
              <w:jc w:val="center"/>
              <w:ind w:left="20"/>
              <w:spacing w:after="0"/>
              <w:rPr>
                <w:sz w:val="20"/>
                <w:szCs w:val="20"/>
                <w:color w:val="auto"/>
              </w:rPr>
            </w:pPr>
            <w:r>
              <w:rPr>
                <w:rFonts w:ascii="Arial" w:cs="Arial" w:eastAsia="Arial" w:hAnsi="Arial"/>
                <w:sz w:val="12"/>
                <w:szCs w:val="12"/>
                <w:b w:val="1"/>
                <w:bCs w:val="1"/>
                <w:color w:val="auto"/>
                <w:w w:val="92"/>
              </w:rPr>
              <w:t>Option</w:t>
            </w:r>
          </w:p>
        </w:tc>
        <w:tc>
          <w:tcPr>
            <w:tcW w:w="182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1480" w:type="dxa"/>
            <w:vAlign w:val="bottom"/>
          </w:tcPr>
          <w:p>
            <w:pPr>
              <w:spacing w:after="0"/>
              <w:rPr>
                <w:sz w:val="12"/>
                <w:szCs w:val="12"/>
                <w:color w:val="auto"/>
              </w:rPr>
            </w:pPr>
          </w:p>
        </w:tc>
      </w:tr>
      <w:tr>
        <w:trPr>
          <w:trHeight w:val="145"/>
        </w:trPr>
        <w:tc>
          <w:tcPr>
            <w:tcW w:w="2660" w:type="dxa"/>
            <w:vAlign w:val="bottom"/>
          </w:tcPr>
          <w:p>
            <w:pPr>
              <w:spacing w:after="0"/>
              <w:rPr>
                <w:sz w:val="12"/>
                <w:szCs w:val="12"/>
                <w:color w:val="auto"/>
              </w:rPr>
            </w:pPr>
          </w:p>
        </w:tc>
        <w:tc>
          <w:tcPr>
            <w:tcW w:w="2440" w:type="dxa"/>
            <w:vAlign w:val="bottom"/>
          </w:tcPr>
          <w:p>
            <w:pPr>
              <w:jc w:val="center"/>
              <w:ind w:left="700"/>
              <w:spacing w:after="0"/>
              <w:rPr>
                <w:sz w:val="20"/>
                <w:szCs w:val="20"/>
                <w:color w:val="auto"/>
              </w:rPr>
            </w:pPr>
            <w:r>
              <w:rPr>
                <w:rFonts w:ascii="Arial" w:cs="Arial" w:eastAsia="Arial" w:hAnsi="Arial"/>
                <w:sz w:val="12"/>
                <w:szCs w:val="12"/>
                <w:b w:val="1"/>
                <w:bCs w:val="1"/>
                <w:color w:val="auto"/>
                <w:w w:val="91"/>
              </w:rPr>
              <w:t>Paid in</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92"/>
              </w:rPr>
              <w:t>Awards</w:t>
            </w:r>
          </w:p>
        </w:tc>
        <w:tc>
          <w:tcPr>
            <w:tcW w:w="1520" w:type="dxa"/>
            <w:vAlign w:val="bottom"/>
          </w:tcPr>
          <w:p>
            <w:pPr>
              <w:jc w:val="center"/>
              <w:ind w:left="20"/>
              <w:spacing w:after="0"/>
              <w:rPr>
                <w:sz w:val="20"/>
                <w:szCs w:val="20"/>
                <w:color w:val="auto"/>
              </w:rPr>
            </w:pPr>
            <w:r>
              <w:rPr>
                <w:rFonts w:ascii="Arial" w:cs="Arial" w:eastAsia="Arial" w:hAnsi="Arial"/>
                <w:sz w:val="12"/>
                <w:szCs w:val="12"/>
                <w:b w:val="1"/>
                <w:bCs w:val="1"/>
                <w:color w:val="auto"/>
                <w:w w:val="92"/>
              </w:rPr>
              <w:t>Awards</w:t>
            </w:r>
          </w:p>
        </w:tc>
        <w:tc>
          <w:tcPr>
            <w:tcW w:w="1820" w:type="dxa"/>
            <w:vAlign w:val="bottom"/>
          </w:tcPr>
          <w:p>
            <w:pPr>
              <w:jc w:val="center"/>
              <w:spacing w:after="0"/>
              <w:rPr>
                <w:sz w:val="20"/>
                <w:szCs w:val="20"/>
                <w:color w:val="auto"/>
              </w:rPr>
            </w:pPr>
            <w:r>
              <w:rPr>
                <w:rFonts w:ascii="Arial" w:cs="Arial" w:eastAsia="Arial" w:hAnsi="Arial"/>
                <w:sz w:val="12"/>
                <w:szCs w:val="12"/>
                <w:b w:val="1"/>
                <w:bCs w:val="1"/>
                <w:color w:val="auto"/>
                <w:w w:val="88"/>
              </w:rPr>
              <w:t>Compensation</w:t>
            </w:r>
          </w:p>
        </w:tc>
        <w:tc>
          <w:tcPr>
            <w:tcW w:w="1480" w:type="dxa"/>
            <w:vAlign w:val="bottom"/>
          </w:tcPr>
          <w:p>
            <w:pPr>
              <w:jc w:val="center"/>
              <w:ind w:right="80"/>
              <w:spacing w:after="0"/>
              <w:rPr>
                <w:sz w:val="20"/>
                <w:szCs w:val="20"/>
                <w:color w:val="auto"/>
              </w:rPr>
            </w:pPr>
            <w:r>
              <w:rPr>
                <w:rFonts w:ascii="Arial" w:cs="Arial" w:eastAsia="Arial" w:hAnsi="Arial"/>
                <w:sz w:val="12"/>
                <w:szCs w:val="12"/>
                <w:b w:val="1"/>
                <w:bCs w:val="1"/>
                <w:color w:val="auto"/>
                <w:w w:val="90"/>
              </w:rPr>
              <w:t>Total</w:t>
            </w:r>
          </w:p>
        </w:tc>
      </w:tr>
      <w:tr>
        <w:trPr>
          <w:trHeight w:val="158"/>
        </w:trPr>
        <w:tc>
          <w:tcPr>
            <w:tcW w:w="2660" w:type="dxa"/>
            <w:vAlign w:val="bottom"/>
            <w:tcBorders>
              <w:bottom w:val="single" w:sz="8" w:color="auto"/>
            </w:tcBorders>
          </w:tcPr>
          <w:p>
            <w:pPr>
              <w:ind w:left="1040"/>
              <w:spacing w:after="0"/>
              <w:rPr>
                <w:sz w:val="20"/>
                <w:szCs w:val="20"/>
                <w:color w:val="auto"/>
              </w:rPr>
            </w:pPr>
            <w:r>
              <w:rPr>
                <w:rFonts w:ascii="Arial" w:cs="Arial" w:eastAsia="Arial" w:hAnsi="Arial"/>
                <w:sz w:val="12"/>
                <w:szCs w:val="12"/>
                <w:b w:val="1"/>
                <w:bCs w:val="1"/>
                <w:color w:val="auto"/>
              </w:rPr>
              <w:t>Name</w:t>
            </w:r>
          </w:p>
        </w:tc>
        <w:tc>
          <w:tcPr>
            <w:tcW w:w="2440" w:type="dxa"/>
            <w:vAlign w:val="bottom"/>
            <w:tcBorders>
              <w:bottom w:val="single" w:sz="8" w:color="auto"/>
            </w:tcBorders>
          </w:tcPr>
          <w:p>
            <w:pPr>
              <w:jc w:val="center"/>
              <w:ind w:left="680"/>
              <w:spacing w:after="0"/>
              <w:rPr>
                <w:sz w:val="20"/>
                <w:szCs w:val="20"/>
                <w:color w:val="auto"/>
              </w:rPr>
            </w:pPr>
            <w:r>
              <w:rPr>
                <w:rFonts w:ascii="Arial" w:cs="Arial" w:eastAsia="Arial" w:hAnsi="Arial"/>
                <w:sz w:val="12"/>
                <w:szCs w:val="12"/>
                <w:b w:val="1"/>
                <w:bCs w:val="1"/>
                <w:color w:val="auto"/>
                <w:w w:val="88"/>
              </w:rPr>
              <w:t>Cash</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52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95"/>
              </w:rPr>
              <w:t>($)</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4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5"/>
              </w:rPr>
              <w:t>($)</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2"/>
                <w:szCs w:val="12"/>
                <w:color w:val="auto"/>
              </w:rPr>
              <w:t>Glynn Wilson</w:t>
            </w:r>
          </w:p>
        </w:tc>
        <w:tc>
          <w:tcPr>
            <w:tcW w:w="2440" w:type="dxa"/>
            <w:vAlign w:val="bottom"/>
          </w:tcPr>
          <w:p>
            <w:pPr>
              <w:jc w:val="center"/>
              <w:ind w:left="700"/>
              <w:spacing w:after="0" w:line="130" w:lineRule="exact"/>
              <w:rPr>
                <w:sz w:val="20"/>
                <w:szCs w:val="20"/>
                <w:color w:val="auto"/>
              </w:rPr>
            </w:pPr>
            <w:r>
              <w:rPr>
                <w:rFonts w:ascii="Arial" w:cs="Arial" w:eastAsia="Arial" w:hAnsi="Arial"/>
                <w:sz w:val="12"/>
                <w:szCs w:val="12"/>
                <w:color w:val="auto"/>
              </w:rPr>
              <w:t>Nil</w:t>
            </w:r>
          </w:p>
        </w:tc>
        <w:tc>
          <w:tcPr>
            <w:tcW w:w="1560" w:type="dxa"/>
            <w:vAlign w:val="bottom"/>
          </w:tcPr>
          <w:p>
            <w:pPr>
              <w:jc w:val="center"/>
              <w:spacing w:after="0" w:line="130" w:lineRule="exact"/>
              <w:rPr>
                <w:sz w:val="20"/>
                <w:szCs w:val="20"/>
                <w:color w:val="auto"/>
              </w:rPr>
            </w:pPr>
            <w:r>
              <w:rPr>
                <w:rFonts w:ascii="Arial" w:cs="Arial" w:eastAsia="Arial" w:hAnsi="Arial"/>
                <w:sz w:val="12"/>
                <w:szCs w:val="12"/>
                <w:color w:val="auto"/>
              </w:rPr>
              <w:t>Nil</w:t>
            </w:r>
          </w:p>
        </w:tc>
        <w:tc>
          <w:tcPr>
            <w:tcW w:w="1520" w:type="dxa"/>
            <w:vAlign w:val="bottom"/>
          </w:tcPr>
          <w:p>
            <w:pPr>
              <w:jc w:val="center"/>
              <w:ind w:left="20"/>
              <w:spacing w:after="0" w:line="130" w:lineRule="exact"/>
              <w:rPr>
                <w:sz w:val="20"/>
                <w:szCs w:val="20"/>
                <w:color w:val="auto"/>
              </w:rPr>
            </w:pPr>
            <w:r>
              <w:rPr>
                <w:rFonts w:ascii="Arial" w:cs="Arial" w:eastAsia="Arial" w:hAnsi="Arial"/>
                <w:sz w:val="12"/>
                <w:szCs w:val="12"/>
                <w:color w:val="auto"/>
              </w:rPr>
              <w:t>Nil</w:t>
            </w:r>
          </w:p>
        </w:tc>
        <w:tc>
          <w:tcPr>
            <w:tcW w:w="1820" w:type="dxa"/>
            <w:vAlign w:val="bottom"/>
          </w:tcPr>
          <w:p>
            <w:pPr>
              <w:jc w:val="center"/>
              <w:spacing w:after="0" w:line="130" w:lineRule="exact"/>
              <w:rPr>
                <w:sz w:val="20"/>
                <w:szCs w:val="20"/>
                <w:color w:val="auto"/>
              </w:rPr>
            </w:pPr>
            <w:r>
              <w:rPr>
                <w:rFonts w:ascii="Arial" w:cs="Arial" w:eastAsia="Arial" w:hAnsi="Arial"/>
                <w:sz w:val="12"/>
                <w:szCs w:val="12"/>
                <w:color w:val="auto"/>
                <w:w w:val="99"/>
              </w:rPr>
              <w:t>Nil</w:t>
            </w:r>
          </w:p>
        </w:tc>
        <w:tc>
          <w:tcPr>
            <w:tcW w:w="1480" w:type="dxa"/>
            <w:vAlign w:val="bottom"/>
          </w:tcPr>
          <w:p>
            <w:pPr>
              <w:jc w:val="center"/>
              <w:ind w:right="60"/>
              <w:spacing w:after="0" w:line="130" w:lineRule="exact"/>
              <w:rPr>
                <w:sz w:val="20"/>
                <w:szCs w:val="20"/>
                <w:color w:val="auto"/>
              </w:rPr>
            </w:pPr>
            <w:r>
              <w:rPr>
                <w:rFonts w:ascii="Arial" w:cs="Arial" w:eastAsia="Arial" w:hAnsi="Arial"/>
                <w:sz w:val="12"/>
                <w:szCs w:val="12"/>
                <w:color w:val="auto"/>
              </w:rPr>
              <w:t>Nil</w:t>
            </w:r>
          </w:p>
        </w:tc>
      </w:tr>
      <w:tr>
        <w:trPr>
          <w:trHeight w:val="281"/>
        </w:trPr>
        <w:tc>
          <w:tcPr>
            <w:tcW w:w="2660" w:type="dxa"/>
            <w:vAlign w:val="bottom"/>
          </w:tcPr>
          <w:p>
            <w:pPr>
              <w:spacing w:after="0"/>
              <w:rPr>
                <w:sz w:val="20"/>
                <w:szCs w:val="20"/>
                <w:color w:val="auto"/>
              </w:rPr>
            </w:pPr>
            <w:r>
              <w:rPr>
                <w:rFonts w:ascii="Arial" w:cs="Arial" w:eastAsia="Arial" w:hAnsi="Arial"/>
                <w:sz w:val="12"/>
                <w:szCs w:val="12"/>
                <w:color w:val="auto"/>
              </w:rPr>
              <w:t>Sherry Grisewood</w:t>
            </w:r>
          </w:p>
        </w:tc>
        <w:tc>
          <w:tcPr>
            <w:tcW w:w="2440" w:type="dxa"/>
            <w:vAlign w:val="bottom"/>
          </w:tcPr>
          <w:p>
            <w:pPr>
              <w:jc w:val="center"/>
              <w:ind w:left="700"/>
              <w:spacing w:after="0"/>
              <w:rPr>
                <w:sz w:val="20"/>
                <w:szCs w:val="20"/>
                <w:color w:val="auto"/>
              </w:rPr>
            </w:pPr>
            <w:r>
              <w:rPr>
                <w:rFonts w:ascii="Arial" w:cs="Arial" w:eastAsia="Arial" w:hAnsi="Arial"/>
                <w:sz w:val="12"/>
                <w:szCs w:val="12"/>
                <w:color w:val="auto"/>
              </w:rPr>
              <w:t>Nil</w:t>
            </w:r>
          </w:p>
        </w:tc>
        <w:tc>
          <w:tcPr>
            <w:tcW w:w="1560" w:type="dxa"/>
            <w:vAlign w:val="bottom"/>
          </w:tcPr>
          <w:p>
            <w:pPr>
              <w:jc w:val="center"/>
              <w:spacing w:after="0"/>
              <w:rPr>
                <w:sz w:val="20"/>
                <w:szCs w:val="20"/>
                <w:color w:val="auto"/>
              </w:rPr>
            </w:pPr>
            <w:r>
              <w:rPr>
                <w:rFonts w:ascii="Arial" w:cs="Arial" w:eastAsia="Arial" w:hAnsi="Arial"/>
                <w:sz w:val="12"/>
                <w:szCs w:val="12"/>
                <w:color w:val="auto"/>
              </w:rPr>
              <w:t>Nil</w:t>
            </w:r>
          </w:p>
        </w:tc>
        <w:tc>
          <w:tcPr>
            <w:tcW w:w="1520" w:type="dxa"/>
            <w:vAlign w:val="bottom"/>
          </w:tcPr>
          <w:p>
            <w:pPr>
              <w:jc w:val="center"/>
              <w:ind w:left="20"/>
              <w:spacing w:after="0"/>
              <w:rPr>
                <w:sz w:val="20"/>
                <w:szCs w:val="20"/>
                <w:color w:val="auto"/>
              </w:rPr>
            </w:pPr>
            <w:r>
              <w:rPr>
                <w:rFonts w:ascii="Arial" w:cs="Arial" w:eastAsia="Arial" w:hAnsi="Arial"/>
                <w:sz w:val="12"/>
                <w:szCs w:val="12"/>
                <w:color w:val="auto"/>
              </w:rPr>
              <w:t>Nil</w:t>
            </w:r>
          </w:p>
        </w:tc>
        <w:tc>
          <w:tcPr>
            <w:tcW w:w="1820" w:type="dxa"/>
            <w:vAlign w:val="bottom"/>
          </w:tcPr>
          <w:p>
            <w:pPr>
              <w:jc w:val="center"/>
              <w:spacing w:after="0"/>
              <w:rPr>
                <w:sz w:val="20"/>
                <w:szCs w:val="20"/>
                <w:color w:val="auto"/>
              </w:rPr>
            </w:pPr>
            <w:r>
              <w:rPr>
                <w:rFonts w:ascii="Arial" w:cs="Arial" w:eastAsia="Arial" w:hAnsi="Arial"/>
                <w:sz w:val="12"/>
                <w:szCs w:val="12"/>
                <w:color w:val="auto"/>
                <w:w w:val="99"/>
              </w:rPr>
              <w:t>Nil</w:t>
            </w:r>
          </w:p>
        </w:tc>
        <w:tc>
          <w:tcPr>
            <w:tcW w:w="1480" w:type="dxa"/>
            <w:vAlign w:val="bottom"/>
          </w:tcPr>
          <w:p>
            <w:pPr>
              <w:jc w:val="center"/>
              <w:ind w:right="60"/>
              <w:spacing w:after="0"/>
              <w:rPr>
                <w:sz w:val="20"/>
                <w:szCs w:val="20"/>
                <w:color w:val="auto"/>
              </w:rPr>
            </w:pPr>
            <w:r>
              <w:rPr>
                <w:rFonts w:ascii="Arial" w:cs="Arial" w:eastAsia="Arial" w:hAnsi="Arial"/>
                <w:sz w:val="12"/>
                <w:szCs w:val="12"/>
                <w:color w:val="auto"/>
              </w:rPr>
              <w:t>Nil</w:t>
            </w:r>
          </w:p>
        </w:tc>
      </w:tr>
      <w:tr>
        <w:trPr>
          <w:trHeight w:val="290"/>
        </w:trPr>
        <w:tc>
          <w:tcPr>
            <w:tcW w:w="2660" w:type="dxa"/>
            <w:vAlign w:val="bottom"/>
          </w:tcPr>
          <w:p>
            <w:pPr>
              <w:spacing w:after="0"/>
              <w:rPr>
                <w:sz w:val="20"/>
                <w:szCs w:val="20"/>
                <w:color w:val="auto"/>
              </w:rPr>
            </w:pPr>
            <w:r>
              <w:rPr>
                <w:rFonts w:ascii="Arial" w:cs="Arial" w:eastAsia="Arial" w:hAnsi="Arial"/>
                <w:sz w:val="12"/>
                <w:szCs w:val="12"/>
                <w:color w:val="auto"/>
              </w:rPr>
              <w:t>Mark Reddish</w:t>
            </w:r>
          </w:p>
        </w:tc>
        <w:tc>
          <w:tcPr>
            <w:tcW w:w="2440" w:type="dxa"/>
            <w:vAlign w:val="bottom"/>
          </w:tcPr>
          <w:p>
            <w:pPr>
              <w:jc w:val="center"/>
              <w:ind w:left="700"/>
              <w:spacing w:after="0"/>
              <w:rPr>
                <w:sz w:val="20"/>
                <w:szCs w:val="20"/>
                <w:color w:val="auto"/>
              </w:rPr>
            </w:pPr>
            <w:r>
              <w:rPr>
                <w:rFonts w:ascii="Arial" w:cs="Arial" w:eastAsia="Arial" w:hAnsi="Arial"/>
                <w:sz w:val="12"/>
                <w:szCs w:val="12"/>
                <w:color w:val="auto"/>
              </w:rPr>
              <w:t>Nil</w:t>
            </w:r>
          </w:p>
        </w:tc>
        <w:tc>
          <w:tcPr>
            <w:tcW w:w="1560" w:type="dxa"/>
            <w:vAlign w:val="bottom"/>
          </w:tcPr>
          <w:p>
            <w:pPr>
              <w:jc w:val="center"/>
              <w:spacing w:after="0"/>
              <w:rPr>
                <w:sz w:val="20"/>
                <w:szCs w:val="20"/>
                <w:color w:val="auto"/>
              </w:rPr>
            </w:pPr>
            <w:r>
              <w:rPr>
                <w:rFonts w:ascii="Arial" w:cs="Arial" w:eastAsia="Arial" w:hAnsi="Arial"/>
                <w:sz w:val="12"/>
                <w:szCs w:val="12"/>
                <w:color w:val="auto"/>
              </w:rPr>
              <w:t>Nil</w:t>
            </w:r>
          </w:p>
        </w:tc>
        <w:tc>
          <w:tcPr>
            <w:tcW w:w="1520" w:type="dxa"/>
            <w:vAlign w:val="bottom"/>
          </w:tcPr>
          <w:p>
            <w:pPr>
              <w:jc w:val="center"/>
              <w:ind w:left="20"/>
              <w:spacing w:after="0"/>
              <w:rPr>
                <w:sz w:val="20"/>
                <w:szCs w:val="20"/>
                <w:color w:val="auto"/>
              </w:rPr>
            </w:pPr>
            <w:r>
              <w:rPr>
                <w:rFonts w:ascii="Arial" w:cs="Arial" w:eastAsia="Arial" w:hAnsi="Arial"/>
                <w:sz w:val="12"/>
                <w:szCs w:val="12"/>
                <w:color w:val="auto"/>
              </w:rPr>
              <w:t>Nil</w:t>
            </w:r>
          </w:p>
        </w:tc>
        <w:tc>
          <w:tcPr>
            <w:tcW w:w="1820" w:type="dxa"/>
            <w:vAlign w:val="bottom"/>
          </w:tcPr>
          <w:p>
            <w:pPr>
              <w:jc w:val="center"/>
              <w:spacing w:after="0"/>
              <w:rPr>
                <w:sz w:val="20"/>
                <w:szCs w:val="20"/>
                <w:color w:val="auto"/>
              </w:rPr>
            </w:pPr>
            <w:r>
              <w:rPr>
                <w:rFonts w:ascii="Arial" w:cs="Arial" w:eastAsia="Arial" w:hAnsi="Arial"/>
                <w:sz w:val="12"/>
                <w:szCs w:val="12"/>
                <w:color w:val="auto"/>
                <w:w w:val="99"/>
              </w:rPr>
              <w:t>Nil</w:t>
            </w:r>
          </w:p>
        </w:tc>
        <w:tc>
          <w:tcPr>
            <w:tcW w:w="1480" w:type="dxa"/>
            <w:vAlign w:val="bottom"/>
          </w:tcPr>
          <w:p>
            <w:pPr>
              <w:jc w:val="center"/>
              <w:ind w:right="60"/>
              <w:spacing w:after="0"/>
              <w:rPr>
                <w:sz w:val="20"/>
                <w:szCs w:val="20"/>
                <w:color w:val="auto"/>
              </w:rPr>
            </w:pPr>
            <w:r>
              <w:rPr>
                <w:rFonts w:ascii="Arial" w:cs="Arial" w:eastAsia="Arial" w:hAnsi="Arial"/>
                <w:sz w:val="12"/>
                <w:szCs w:val="12"/>
                <w:color w:val="auto"/>
              </w:rPr>
              <w:t>Nil</w:t>
            </w:r>
          </w:p>
        </w:tc>
      </w:tr>
      <w:tr>
        <w:trPr>
          <w:trHeight w:val="145"/>
        </w:trPr>
        <w:tc>
          <w:tcPr>
            <w:tcW w:w="266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Employment, Consulting and Services Agreements</w:t>
      </w:r>
    </w:p>
    <w:p>
      <w:pPr>
        <w:spacing w:after="0" w:line="156" w:lineRule="exact"/>
        <w:rPr>
          <w:sz w:val="20"/>
          <w:szCs w:val="20"/>
          <w:color w:val="auto"/>
        </w:rPr>
      </w:pPr>
    </w:p>
    <w:p>
      <w:pPr>
        <w:jc w:val="both"/>
        <w:ind w:left="7"/>
        <w:spacing w:after="0" w:line="265" w:lineRule="auto"/>
        <w:rPr>
          <w:sz w:val="20"/>
          <w:szCs w:val="20"/>
          <w:color w:val="auto"/>
        </w:rPr>
      </w:pPr>
      <w:r>
        <w:rPr>
          <w:rFonts w:ascii="Arial" w:cs="Arial" w:eastAsia="Arial" w:hAnsi="Arial"/>
          <w:sz w:val="12"/>
          <w:szCs w:val="12"/>
          <w:color w:val="auto"/>
        </w:rPr>
        <w:t>In November 2013, the Company entered into an advisory agreement with a consultant to provide expertise in the areas of finance, corporate restructuring and corporate development to the management and board of TapImmune for a one year term. The advisory agreement provides for an advisory fee of $10,000 per month from November 2013 to May 2014 for six months, extended for additional six months. The advisory agreement has been renewed for another 12 months expiring December 31, 2015. The Company also granted 250,000 shares to the consultant (via his company).</w:t>
      </w:r>
    </w:p>
    <w:p>
      <w:pPr>
        <w:spacing w:after="0" w:line="123" w:lineRule="exact"/>
        <w:rPr>
          <w:sz w:val="20"/>
          <w:szCs w:val="20"/>
          <w:color w:val="auto"/>
        </w:rPr>
      </w:pPr>
    </w:p>
    <w:p>
      <w:pPr>
        <w:ind w:left="7"/>
        <w:spacing w:after="0"/>
        <w:rPr>
          <w:sz w:val="20"/>
          <w:szCs w:val="20"/>
          <w:color w:val="auto"/>
        </w:rPr>
      </w:pPr>
      <w:r>
        <w:rPr>
          <w:rFonts w:ascii="Arial" w:cs="Arial" w:eastAsia="Arial" w:hAnsi="Arial"/>
          <w:sz w:val="12"/>
          <w:szCs w:val="12"/>
          <w:color w:val="auto"/>
        </w:rPr>
        <w:t>We have a compensation committee that is comprised of Dr. Wilson and Ms. Grisewood. All compensation is recommended and resolved by the compensation committee and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98690"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7"/>
          </w:cols>
          <w:pgMar w:left="213" w:top="861" w:right="199" w:bottom="1440" w:gutter="0" w:footer="0" w:header="0"/>
        </w:sectPr>
      </w:pPr>
    </w:p>
    <w:bookmarkStart w:id="43" w:name="page44"/>
    <w:bookmarkEnd w:id="43"/>
    <w:p>
      <w:pPr>
        <w:jc w:val="center"/>
        <w:ind w:right="-6"/>
        <w:spacing w:after="0"/>
        <w:rPr>
          <w:sz w:val="20"/>
          <w:szCs w:val="20"/>
          <w:color w:val="auto"/>
        </w:rPr>
      </w:pPr>
      <w:r>
        <w:rPr>
          <w:rFonts w:ascii="Arial" w:cs="Arial" w:eastAsia="Arial" w:hAnsi="Arial"/>
          <w:sz w:val="12"/>
          <w:szCs w:val="12"/>
          <w:b w:val="1"/>
          <w:bCs w:val="1"/>
          <w:color w:val="auto"/>
        </w:rPr>
        <w:t>BENEFICIAL OWNERSHIP OF PRINCIPAL STOCKHOLDERS, OFFICERS AND DIRECTORS</w:t>
      </w:r>
    </w:p>
    <w:p>
      <w:pPr>
        <w:spacing w:after="0" w:line="156" w:lineRule="exact"/>
        <w:rPr>
          <w:sz w:val="20"/>
          <w:szCs w:val="20"/>
          <w:color w:val="auto"/>
        </w:rPr>
      </w:pPr>
    </w:p>
    <w:p>
      <w:pPr>
        <w:jc w:val="both"/>
        <w:ind w:left="7"/>
        <w:spacing w:after="0" w:line="261" w:lineRule="auto"/>
        <w:rPr>
          <w:sz w:val="20"/>
          <w:szCs w:val="20"/>
          <w:color w:val="auto"/>
        </w:rPr>
      </w:pPr>
      <w:r>
        <w:rPr>
          <w:rFonts w:ascii="Arial" w:cs="Arial" w:eastAsia="Arial" w:hAnsi="Arial"/>
          <w:sz w:val="12"/>
          <w:szCs w:val="12"/>
          <w:color w:val="auto"/>
        </w:rPr>
        <w:t>The following table sets forth, as of the date of this Annual Report certain information regarding the ownership of our common stock by (i) each person known by us to be the beneficial owner of more than 5% of our outstanding shares of common stock, (ii) each of our directors, (iii) our Principal Executive Officer and (iv) all of our executive officers and directors as a group. Unless otherwise indicated, the address of each person shown is c/o TapImmune Inc., 1551 Eastlake Avenue East, Suite 100, Seattle, Washington, 98102. Beneficial ownership, for purposes of this table, includes options to purchase common stock that are either currently exercisable or will be exercisable within 60 days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91705"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705" cy="11430"/>
                    </a:xfrm>
                    <a:prstGeom prst="rect">
                      <a:avLst/>
                    </a:prstGeom>
                    <a:noFill/>
                  </pic:spPr>
                </pic:pic>
              </a:graphicData>
            </a:graphic>
          </wp:anchor>
        </w:drawing>
      </w:r>
    </w:p>
    <w:p>
      <w:pPr>
        <w:sectPr>
          <w:pgSz w:w="11900" w:h="16838" w:orient="portrait"/>
          <w:cols w:equalWidth="0" w:num="1">
            <w:col w:w="11487"/>
          </w:cols>
          <w:pgMar w:left="213" w:top="553" w:right="19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540956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09565" cy="5715"/>
                    </a:xfrm>
                    <a:prstGeom prst="rect">
                      <a:avLst/>
                    </a:prstGeom>
                    <a:noFill/>
                  </pic:spPr>
                </pic:pic>
              </a:graphicData>
            </a:graphic>
          </wp:anchor>
        </w:drawing>
      </w:r>
    </w:p>
    <w:p>
      <w:pPr>
        <w:spacing w:after="0" w:line="23"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540956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09565" cy="5715"/>
                    </a:xfrm>
                    <a:prstGeom prst="rect">
                      <a:avLst/>
                    </a:prstGeom>
                    <a:noFill/>
                  </pic:spPr>
                </pic:pic>
              </a:graphicData>
            </a:graphic>
          </wp:anchor>
        </w:drawing>
      </w:r>
    </w:p>
    <w:p>
      <w:pPr>
        <w:ind w:left="7"/>
        <w:spacing w:after="0"/>
        <w:rPr>
          <w:sz w:val="20"/>
          <w:szCs w:val="20"/>
          <w:color w:val="auto"/>
        </w:rPr>
      </w:pPr>
      <w:r>
        <w:rPr>
          <w:rFonts w:ascii="Arial" w:cs="Arial" w:eastAsia="Arial" w:hAnsi="Arial"/>
          <w:sz w:val="12"/>
          <w:szCs w:val="12"/>
          <w:color w:val="auto"/>
        </w:rPr>
        <w:t>Glynn Wilson</w:t>
      </w:r>
    </w:p>
    <w:p>
      <w:pPr>
        <w:spacing w:after="0" w:line="7" w:lineRule="exact"/>
        <w:rPr>
          <w:sz w:val="20"/>
          <w:szCs w:val="20"/>
          <w:color w:val="auto"/>
        </w:rPr>
      </w:pPr>
    </w:p>
    <w:p>
      <w:pPr>
        <w:ind w:left="7"/>
        <w:spacing w:after="0"/>
        <w:rPr>
          <w:sz w:val="20"/>
          <w:szCs w:val="20"/>
          <w:color w:val="auto"/>
        </w:rPr>
      </w:pPr>
      <w:r>
        <w:rPr>
          <w:rFonts w:ascii="Arial" w:cs="Arial" w:eastAsia="Arial" w:hAnsi="Arial"/>
          <w:sz w:val="12"/>
          <w:szCs w:val="12"/>
          <w:color w:val="auto"/>
        </w:rPr>
        <w:t>Mark Reddish, VP Development</w:t>
      </w:r>
    </w:p>
    <w:p>
      <w:pPr>
        <w:spacing w:after="0" w:line="7" w:lineRule="exact"/>
        <w:rPr>
          <w:sz w:val="20"/>
          <w:szCs w:val="20"/>
          <w:color w:val="auto"/>
        </w:rPr>
      </w:pPr>
    </w:p>
    <w:p>
      <w:pPr>
        <w:ind w:left="7"/>
        <w:spacing w:after="0"/>
        <w:rPr>
          <w:sz w:val="20"/>
          <w:szCs w:val="20"/>
          <w:color w:val="auto"/>
        </w:rPr>
      </w:pPr>
      <w:r>
        <w:rPr>
          <w:rFonts w:ascii="Arial" w:cs="Arial" w:eastAsia="Arial" w:hAnsi="Arial"/>
          <w:sz w:val="12"/>
          <w:szCs w:val="12"/>
          <w:color w:val="auto"/>
        </w:rPr>
        <w:t>Sherry Grisewood</w:t>
      </w:r>
    </w:p>
    <w:p>
      <w:pPr>
        <w:spacing w:after="0" w:line="7" w:lineRule="exact"/>
        <w:rPr>
          <w:sz w:val="20"/>
          <w:szCs w:val="20"/>
          <w:color w:val="auto"/>
        </w:rPr>
      </w:pPr>
    </w:p>
    <w:p>
      <w:pPr>
        <w:ind w:left="27"/>
        <w:spacing w:after="0"/>
        <w:rPr>
          <w:sz w:val="20"/>
          <w:szCs w:val="20"/>
          <w:color w:val="auto"/>
        </w:rPr>
      </w:pPr>
      <w:r>
        <w:rPr>
          <w:rFonts w:ascii="Arial" w:cs="Arial" w:eastAsia="Arial" w:hAnsi="Arial"/>
          <w:sz w:val="12"/>
          <w:szCs w:val="12"/>
          <w:color w:val="auto"/>
        </w:rPr>
        <w:t>David Laskow-Pooley</w:t>
      </w:r>
    </w:p>
    <w:p>
      <w:pPr>
        <w:spacing w:after="0" w:line="7" w:lineRule="exact"/>
        <w:rPr>
          <w:sz w:val="20"/>
          <w:szCs w:val="20"/>
          <w:color w:val="auto"/>
        </w:rPr>
      </w:pPr>
    </w:p>
    <w:p>
      <w:pPr>
        <w:ind w:left="7"/>
        <w:spacing w:after="0"/>
        <w:rPr>
          <w:sz w:val="20"/>
          <w:szCs w:val="20"/>
          <w:color w:val="auto"/>
        </w:rPr>
      </w:pPr>
      <w:r>
        <w:rPr>
          <w:rFonts w:ascii="Arial" w:cs="Arial" w:eastAsia="Arial" w:hAnsi="Arial"/>
          <w:sz w:val="10"/>
          <w:szCs w:val="10"/>
          <w:color w:val="auto"/>
        </w:rPr>
        <w:t>All executive officers and directors as a group (3 persons)</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Major Stockholders:</w:t>
      </w:r>
    </w:p>
    <w:p>
      <w:pPr>
        <w:spacing w:after="0" w:line="20" w:lineRule="exact"/>
        <w:rPr>
          <w:sz w:val="20"/>
          <w:szCs w:val="20"/>
          <w:color w:val="auto"/>
        </w:rPr>
      </w:pPr>
    </w:p>
    <w:p>
      <w:pPr>
        <w:ind w:left="7"/>
        <w:spacing w:after="0"/>
        <w:rPr>
          <w:sz w:val="20"/>
          <w:szCs w:val="20"/>
          <w:color w:val="auto"/>
        </w:rPr>
      </w:pPr>
      <w:r>
        <w:rPr>
          <w:rFonts w:ascii="Arial" w:cs="Arial" w:eastAsia="Arial" w:hAnsi="Arial"/>
          <w:sz w:val="12"/>
          <w:szCs w:val="12"/>
          <w:color w:val="auto"/>
        </w:rPr>
        <w:t>Eastern Capital Limited</w:t>
      </w:r>
    </w:p>
    <w:p>
      <w:pPr>
        <w:spacing w:after="0" w:line="7" w:lineRule="exact"/>
        <w:rPr>
          <w:sz w:val="20"/>
          <w:szCs w:val="20"/>
          <w:color w:val="auto"/>
        </w:rPr>
      </w:pPr>
    </w:p>
    <w:p>
      <w:pPr>
        <w:ind w:left="7"/>
        <w:spacing w:after="0"/>
        <w:rPr>
          <w:sz w:val="20"/>
          <w:szCs w:val="20"/>
          <w:color w:val="auto"/>
        </w:rPr>
      </w:pPr>
      <w:r>
        <w:rPr>
          <w:rFonts w:ascii="Arial" w:cs="Arial" w:eastAsia="Arial" w:hAnsi="Arial"/>
          <w:sz w:val="12"/>
          <w:szCs w:val="12"/>
          <w:color w:val="auto"/>
        </w:rPr>
        <w:t>Empery Asset Master, Ltd</w:t>
      </w:r>
    </w:p>
    <w:p>
      <w:pPr>
        <w:spacing w:after="0" w:line="7" w:lineRule="exact"/>
        <w:rPr>
          <w:sz w:val="20"/>
          <w:szCs w:val="20"/>
          <w:color w:val="auto"/>
        </w:rPr>
      </w:pPr>
    </w:p>
    <w:p>
      <w:pPr>
        <w:ind w:left="7"/>
        <w:spacing w:after="0"/>
        <w:rPr>
          <w:sz w:val="20"/>
          <w:szCs w:val="20"/>
          <w:color w:val="auto"/>
        </w:rPr>
      </w:pPr>
      <w:r>
        <w:rPr>
          <w:rFonts w:ascii="Arial" w:cs="Arial" w:eastAsia="Arial" w:hAnsi="Arial"/>
          <w:sz w:val="12"/>
          <w:szCs w:val="12"/>
          <w:color w:val="auto"/>
        </w:rPr>
        <w:t>Empery Tax Efficient II, LP</w:t>
      </w:r>
    </w:p>
    <w:p>
      <w:pPr>
        <w:spacing w:after="0" w:line="7" w:lineRule="exact"/>
        <w:rPr>
          <w:sz w:val="20"/>
          <w:szCs w:val="20"/>
          <w:color w:val="auto"/>
        </w:rPr>
      </w:pPr>
    </w:p>
    <w:p>
      <w:pPr>
        <w:ind w:left="7"/>
        <w:spacing w:after="0"/>
        <w:rPr>
          <w:sz w:val="20"/>
          <w:szCs w:val="20"/>
          <w:color w:val="auto"/>
        </w:rPr>
      </w:pPr>
      <w:r>
        <w:rPr>
          <w:rFonts w:ascii="Arial" w:cs="Arial" w:eastAsia="Arial" w:hAnsi="Arial"/>
          <w:sz w:val="12"/>
          <w:szCs w:val="12"/>
          <w:color w:val="auto"/>
        </w:rPr>
        <w:t>Brio Capital Master Fund</w:t>
      </w:r>
    </w:p>
    <w:p>
      <w:pPr>
        <w:spacing w:after="0" w:line="7" w:lineRule="exact"/>
        <w:rPr>
          <w:sz w:val="20"/>
          <w:szCs w:val="20"/>
          <w:color w:val="auto"/>
        </w:rPr>
      </w:pPr>
    </w:p>
    <w:p>
      <w:pPr>
        <w:ind w:left="7"/>
        <w:spacing w:after="0"/>
        <w:rPr>
          <w:sz w:val="20"/>
          <w:szCs w:val="20"/>
          <w:color w:val="auto"/>
        </w:rPr>
      </w:pPr>
      <w:r>
        <w:rPr>
          <w:rFonts w:ascii="Arial" w:cs="Arial" w:eastAsia="Arial" w:hAnsi="Arial"/>
          <w:sz w:val="12"/>
          <w:szCs w:val="12"/>
          <w:color w:val="auto"/>
        </w:rPr>
        <w:t>Iroquois Capital Management</w:t>
      </w:r>
    </w:p>
    <w:p>
      <w:pPr>
        <w:spacing w:after="0" w:line="7" w:lineRule="exact"/>
        <w:rPr>
          <w:sz w:val="20"/>
          <w:szCs w:val="20"/>
          <w:color w:val="auto"/>
        </w:rPr>
      </w:pPr>
    </w:p>
    <w:p>
      <w:pPr>
        <w:ind w:left="7"/>
        <w:spacing w:after="0"/>
        <w:rPr>
          <w:sz w:val="20"/>
          <w:szCs w:val="20"/>
          <w:color w:val="auto"/>
        </w:rPr>
      </w:pPr>
      <w:r>
        <w:rPr>
          <w:rFonts w:ascii="Arial" w:cs="Arial" w:eastAsia="Arial" w:hAnsi="Arial"/>
          <w:sz w:val="12"/>
          <w:szCs w:val="12"/>
          <w:color w:val="auto"/>
        </w:rPr>
        <w:t>American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540956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095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wp:posOffset>
            </wp:positionV>
            <wp:extent cx="540956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0956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5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Amount and</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5"/>
        </w:trPr>
        <w:tc>
          <w:tcPr>
            <w:tcW w:w="15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Nature of</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8"/>
        </w:trPr>
        <w:tc>
          <w:tcPr>
            <w:tcW w:w="15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Beneficial Owner</w:t>
            </w:r>
            <w:r>
              <w:rPr>
                <w:rFonts w:ascii="Arial" w:cs="Arial" w:eastAsia="Arial" w:hAnsi="Arial"/>
                <w:sz w:val="12"/>
                <w:szCs w:val="12"/>
                <w:color w:val="auto"/>
                <w:w w:val="92"/>
              </w:rPr>
              <w:t>(1)</w:t>
            </w:r>
          </w:p>
        </w:tc>
        <w:tc>
          <w:tcPr>
            <w:tcW w:w="13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Percent of Class</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8"/>
        </w:trPr>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844,970(2)</w:t>
            </w: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2.59%</w:t>
            </w:r>
          </w:p>
        </w:tc>
      </w:tr>
      <w:tr>
        <w:trPr>
          <w:trHeight w:val="145"/>
        </w:trPr>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229,500(3)</w:t>
            </w: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&lt;1.00 %</w:t>
            </w:r>
          </w:p>
        </w:tc>
      </w:tr>
      <w:tr>
        <w:trPr>
          <w:trHeight w:val="145"/>
        </w:trPr>
        <w:tc>
          <w:tcPr>
            <w:tcW w:w="1540" w:type="dxa"/>
            <w:vAlign w:val="bottom"/>
            <w:gridSpan w:val="2"/>
          </w:tcPr>
          <w:p>
            <w:pPr>
              <w:jc w:val="right"/>
              <w:ind w:right="380"/>
              <w:spacing w:after="0"/>
              <w:rPr>
                <w:sz w:val="20"/>
                <w:szCs w:val="20"/>
                <w:color w:val="auto"/>
              </w:rPr>
            </w:pPr>
            <w:r>
              <w:rPr>
                <w:rFonts w:ascii="Arial" w:cs="Arial" w:eastAsia="Arial" w:hAnsi="Arial"/>
                <w:sz w:val="12"/>
                <w:szCs w:val="12"/>
                <w:color w:val="auto"/>
              </w:rPr>
              <w:t>28,329</w:t>
            </w: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&lt;1.0%</w:t>
            </w:r>
          </w:p>
        </w:tc>
      </w:tr>
      <w:tr>
        <w:trPr>
          <w:trHeight w:val="145"/>
        </w:trPr>
        <w:tc>
          <w:tcPr>
            <w:tcW w:w="15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54"/>
        </w:trPr>
        <w:tc>
          <w:tcPr>
            <w:tcW w:w="1160" w:type="dxa"/>
            <w:vAlign w:val="bottom"/>
          </w:tcPr>
          <w:p>
            <w:pPr>
              <w:jc w:val="right"/>
              <w:spacing w:after="0"/>
              <w:rPr>
                <w:sz w:val="20"/>
                <w:szCs w:val="20"/>
                <w:color w:val="auto"/>
              </w:rPr>
            </w:pPr>
            <w:r>
              <w:rPr>
                <w:rFonts w:ascii="Arial" w:cs="Arial" w:eastAsia="Arial" w:hAnsi="Arial"/>
                <w:sz w:val="12"/>
                <w:szCs w:val="12"/>
                <w:color w:val="auto"/>
              </w:rPr>
              <w:t>1,102,799</w:t>
            </w:r>
          </w:p>
        </w:tc>
        <w:tc>
          <w:tcPr>
            <w:tcW w:w="3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3.38%</w:t>
            </w:r>
          </w:p>
        </w:tc>
      </w:tr>
      <w:tr>
        <w:trPr>
          <w:trHeight w:val="426"/>
        </w:trPr>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27,528,476(4)</w:t>
            </w: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49.9%</w:t>
            </w:r>
          </w:p>
        </w:tc>
      </w:tr>
      <w:tr>
        <w:trPr>
          <w:trHeight w:val="145"/>
        </w:trPr>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4,057,149(5)</w:t>
            </w: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9.9%</w:t>
            </w:r>
          </w:p>
        </w:tc>
      </w:tr>
      <w:tr>
        <w:trPr>
          <w:trHeight w:val="145"/>
        </w:trPr>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3,978,059(6)</w:t>
            </w: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9.9%</w:t>
            </w:r>
          </w:p>
        </w:tc>
      </w:tr>
      <w:tr>
        <w:trPr>
          <w:trHeight w:val="145"/>
        </w:trPr>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3,860,979(7)</w:t>
            </w: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9.9%</w:t>
            </w:r>
          </w:p>
        </w:tc>
      </w:tr>
      <w:tr>
        <w:trPr>
          <w:trHeight w:val="145"/>
        </w:trPr>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4,135,674(8)</w:t>
            </w: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9.9%</w:t>
            </w:r>
          </w:p>
        </w:tc>
      </w:tr>
      <w:tr>
        <w:trPr>
          <w:trHeight w:val="154"/>
        </w:trPr>
        <w:tc>
          <w:tcPr>
            <w:tcW w:w="1540" w:type="dxa"/>
            <w:vAlign w:val="bottom"/>
            <w:gridSpan w:val="2"/>
          </w:tcPr>
          <w:p>
            <w:pPr>
              <w:jc w:val="right"/>
              <w:ind w:right="240"/>
              <w:spacing w:after="0" w:line="134" w:lineRule="exact"/>
              <w:rPr>
                <w:sz w:val="20"/>
                <w:szCs w:val="20"/>
                <w:color w:val="auto"/>
              </w:rPr>
            </w:pPr>
            <w:r>
              <w:rPr>
                <w:rFonts w:ascii="Arial" w:cs="Arial" w:eastAsia="Arial" w:hAnsi="Arial"/>
                <w:sz w:val="9"/>
                <w:szCs w:val="9"/>
                <w:color w:val="auto"/>
              </w:rPr>
              <w:t>4,053,266</w:t>
            </w:r>
            <w:r>
              <w:rPr>
                <w:rFonts w:ascii="Arial" w:cs="Arial" w:eastAsia="Arial" w:hAnsi="Arial"/>
                <w:sz w:val="15"/>
                <w:szCs w:val="15"/>
                <w:color w:val="auto"/>
                <w:vertAlign w:val="subscript"/>
              </w:rPr>
              <w:t>(9)</w:t>
            </w:r>
          </w:p>
        </w:tc>
        <w:tc>
          <w:tcPr>
            <w:tcW w:w="1300" w:type="dxa"/>
            <w:vAlign w:val="bottom"/>
            <w:gridSpan w:val="2"/>
          </w:tcPr>
          <w:p>
            <w:pPr>
              <w:jc w:val="right"/>
              <w:ind w:right="40"/>
              <w:spacing w:after="0" w:line="134" w:lineRule="exact"/>
              <w:rPr>
                <w:sz w:val="20"/>
                <w:szCs w:val="20"/>
                <w:color w:val="auto"/>
              </w:rPr>
            </w:pPr>
            <w:r>
              <w:rPr>
                <w:rFonts w:ascii="Arial" w:cs="Arial" w:eastAsia="Arial" w:hAnsi="Arial"/>
                <w:sz w:val="9"/>
                <w:szCs w:val="9"/>
                <w:color w:val="auto"/>
              </w:rPr>
              <w:t>9.9</w:t>
            </w:r>
            <w:r>
              <w:rPr>
                <w:rFonts w:ascii="Arial" w:cs="Arial" w:eastAsia="Arial" w:hAnsi="Arial"/>
                <w:sz w:val="15"/>
                <w:szCs w:val="15"/>
                <w:color w:val="auto"/>
                <w:vertAlign w:val="subscript"/>
              </w:rPr>
              <w:t>%</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6" w:lineRule="exact"/>
        <w:rPr>
          <w:sz w:val="20"/>
          <w:szCs w:val="20"/>
          <w:color w:val="auto"/>
        </w:rPr>
      </w:pPr>
    </w:p>
    <w:p>
      <w:pPr>
        <w:sectPr>
          <w:pgSz w:w="11900" w:h="16838" w:orient="portrait"/>
          <w:cols w:equalWidth="0" w:num="2">
            <w:col w:w="7907" w:space="720"/>
            <w:col w:w="2860"/>
          </w:cols>
          <w:pgMar w:left="213" w:top="553" w:right="199" w:bottom="1440" w:gutter="0" w:footer="0" w:header="0"/>
          <w:type w:val="continuous"/>
        </w:sectPr>
      </w:pPr>
    </w:p>
    <w:p>
      <w:pPr>
        <w:jc w:val="both"/>
        <w:ind w:left="247" w:hanging="247"/>
        <w:spacing w:after="0" w:line="277" w:lineRule="auto"/>
        <w:tabs>
          <w:tab w:leader="none" w:pos="247" w:val="left"/>
        </w:tabs>
        <w:numPr>
          <w:ilvl w:val="0"/>
          <w:numId w:val="28"/>
        </w:numPr>
        <w:rPr>
          <w:rFonts w:ascii="Arial" w:cs="Arial" w:eastAsia="Arial" w:hAnsi="Arial"/>
          <w:sz w:val="11"/>
          <w:szCs w:val="11"/>
          <w:color w:val="auto"/>
        </w:rPr>
      </w:pPr>
      <w:r>
        <w:rPr>
          <w:rFonts w:ascii="Arial" w:cs="Arial" w:eastAsia="Arial" w:hAnsi="Arial"/>
          <w:sz w:val="11"/>
          <w:szCs w:val="11"/>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July 2, 2015, there were 38,038,920 shares of common stock issued and outstanding.</w:t>
      </w:r>
    </w:p>
    <w:p>
      <w:pPr>
        <w:spacing w:after="0" w:line="2" w:lineRule="exact"/>
        <w:rPr>
          <w:rFonts w:ascii="Arial" w:cs="Arial" w:eastAsia="Arial" w:hAnsi="Arial"/>
          <w:sz w:val="11"/>
          <w:szCs w:val="11"/>
          <w:color w:val="auto"/>
        </w:rPr>
      </w:pPr>
    </w:p>
    <w:p>
      <w:pPr>
        <w:ind w:left="247" w:right="20" w:hanging="247"/>
        <w:spacing w:after="0" w:line="183" w:lineRule="auto"/>
        <w:tabs>
          <w:tab w:leader="none" w:pos="247" w:val="left"/>
        </w:tabs>
        <w:numPr>
          <w:ilvl w:val="0"/>
          <w:numId w:val="28"/>
        </w:numPr>
        <w:rPr>
          <w:rFonts w:ascii="Arial" w:cs="Arial" w:eastAsia="Arial" w:hAnsi="Arial"/>
          <w:sz w:val="22"/>
          <w:szCs w:val="22"/>
          <w:color w:val="auto"/>
          <w:vertAlign w:val="subscript"/>
        </w:rPr>
      </w:pPr>
      <w:r>
        <w:rPr>
          <w:rFonts w:ascii="Arial" w:cs="Arial" w:eastAsia="Arial" w:hAnsi="Arial"/>
          <w:sz w:val="11"/>
          <w:szCs w:val="11"/>
          <w:color w:val="auto"/>
        </w:rPr>
        <w:t>This figure includes (i) 806,970 shares of common stock; and (ii) 18,000 options to acquire an equivalent number of common shares at $17 for 5 years and 20,000 options to acquire an equivalent number of common shares at $19 for 5 years.</w:t>
      </w:r>
    </w:p>
    <w:p>
      <w:pPr>
        <w:ind w:left="247" w:hanging="247"/>
        <w:spacing w:after="0"/>
        <w:tabs>
          <w:tab w:leader="none" w:pos="247"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This figure includes (i) 225,000 shares of common stock; and (ii) 2,000 vested options exercisable at $17 and 2,500 vested options exercisable at $18.</w:t>
      </w:r>
    </w:p>
    <w:p>
      <w:pPr>
        <w:spacing w:after="0" w:line="7" w:lineRule="exact"/>
        <w:rPr>
          <w:rFonts w:ascii="Arial" w:cs="Arial" w:eastAsia="Arial" w:hAnsi="Arial"/>
          <w:sz w:val="12"/>
          <w:szCs w:val="12"/>
          <w:color w:val="auto"/>
        </w:rPr>
      </w:pPr>
    </w:p>
    <w:p>
      <w:pPr>
        <w:jc w:val="both"/>
        <w:ind w:left="247" w:hanging="247"/>
        <w:spacing w:after="0" w:line="252" w:lineRule="auto"/>
        <w:tabs>
          <w:tab w:leader="none" w:pos="247"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This figure includes 5,000,000 shares of common stock issued to Eastern Capital Limited in March 2015 (we have not verified that Eastern Capital Limited still holds these shares), 5,000,000 shares of common stock issued to Eastern Capital Limited in June 2015 upon the exercise of 5,000,000 Series C-1 Warrants and 17,528,476 shares of common stock underlying the warrants. The remaining warrants held by the shareholders are subject to a “blocker provision” contained in each warrant under which the holder thereof does not have the right to exercise each such warrant to the extent (but only to the extent) that such exercise would result in beneficial ownership by the holder thereof, or any of its affiliates, of more than 49.9% of the common stock.</w:t>
      </w:r>
    </w:p>
    <w:p>
      <w:pPr>
        <w:jc w:val="both"/>
        <w:ind w:left="247" w:hanging="247"/>
        <w:spacing w:after="0" w:line="275" w:lineRule="auto"/>
        <w:tabs>
          <w:tab w:leader="none" w:pos="247"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This figure consists of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jc w:val="both"/>
        <w:ind w:left="247" w:hanging="247"/>
        <w:spacing w:after="0" w:line="292" w:lineRule="auto"/>
        <w:tabs>
          <w:tab w:leader="none" w:pos="247"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This figure consists of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spacing w:after="0" w:line="200" w:lineRule="exact"/>
        <w:rPr>
          <w:sz w:val="20"/>
          <w:szCs w:val="20"/>
          <w:color w:val="auto"/>
        </w:rPr>
      </w:pPr>
    </w:p>
    <w:p>
      <w:pPr>
        <w:spacing w:after="0" w:line="336"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98690"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7"/>
          </w:cols>
          <w:pgMar w:left="213" w:top="553" w:right="199" w:bottom="1440" w:gutter="0" w:footer="0" w:header="0"/>
          <w:type w:val="continuous"/>
        </w:sectPr>
      </w:pPr>
    </w:p>
    <w:bookmarkStart w:id="44" w:name="page45"/>
    <w:bookmarkEnd w:id="44"/>
    <w:p>
      <w:pPr>
        <w:jc w:val="both"/>
        <w:ind w:left="247" w:hanging="247"/>
        <w:spacing w:after="0" w:line="280" w:lineRule="auto"/>
        <w:tabs>
          <w:tab w:leader="none" w:pos="247" w:val="left"/>
        </w:tabs>
        <w:numPr>
          <w:ilvl w:val="0"/>
          <w:numId w:val="29"/>
        </w:numPr>
        <w:rPr>
          <w:rFonts w:ascii="Arial" w:cs="Arial" w:eastAsia="Arial" w:hAnsi="Arial"/>
          <w:sz w:val="11"/>
          <w:szCs w:val="11"/>
          <w:color w:val="auto"/>
        </w:rPr>
      </w:pPr>
      <w:r>
        <w:rPr>
          <w:rFonts w:ascii="Arial" w:cs="Arial" w:eastAsia="Arial" w:hAnsi="Arial"/>
          <w:sz w:val="11"/>
          <w:szCs w:val="11"/>
          <w:color w:val="auto"/>
        </w:rPr>
        <w:t>This figure consists of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jc w:val="both"/>
        <w:ind w:left="247" w:hanging="247"/>
        <w:spacing w:after="0" w:line="275" w:lineRule="auto"/>
        <w:tabs>
          <w:tab w:leader="none" w:pos="247" w:val="left"/>
        </w:tabs>
        <w:numPr>
          <w:ilvl w:val="0"/>
          <w:numId w:val="29"/>
        </w:numPr>
        <w:rPr>
          <w:rFonts w:ascii="Arial" w:cs="Arial" w:eastAsia="Arial" w:hAnsi="Arial"/>
          <w:sz w:val="11"/>
          <w:szCs w:val="11"/>
          <w:color w:val="auto"/>
        </w:rPr>
      </w:pPr>
      <w:r>
        <w:rPr>
          <w:rFonts w:ascii="Arial" w:cs="Arial" w:eastAsia="Arial" w:hAnsi="Arial"/>
          <w:sz w:val="11"/>
          <w:szCs w:val="11"/>
          <w:color w:val="auto"/>
        </w:rPr>
        <w:t>This figure includes 4,135,674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jc w:val="both"/>
        <w:ind w:left="247" w:hanging="247"/>
        <w:spacing w:after="0" w:line="256" w:lineRule="auto"/>
        <w:tabs>
          <w:tab w:leader="none" w:pos="247"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This figure includes 750,000 shares of common stock issued to this shareholder in January 2015 (we have not verified that this shareholder still holds these shares) and 3,303,266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There are no arrangements or understanding among the parties set out above or their respective associates or affiliates concerning election of directors or any other matters which may require shareholder approval.</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2"/>
          <w:szCs w:val="12"/>
          <w:color w:val="auto"/>
        </w:rPr>
        <w:t>A description of the Company’s equity compensation plan is provided in Part II, Item 5 of this Form 10-K and is hereby incorporated by reference into this Item 12.</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Changes in Control</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color w:val="auto"/>
        </w:rPr>
        <w:t>We are unaware of any contract, or other arrangement or provision, the operation of which may at a subsequent date result in a change of control of our Company.</w:t>
      </w:r>
    </w:p>
    <w:p>
      <w:pPr>
        <w:spacing w:after="0" w:line="14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LEGAL MATTERS</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legality and validity of the securities offered from time to time under this prospectus will be passed upon by Sanders Ortoli Vaughn-Flam Rosenstadt LLP.</w:t>
      </w:r>
    </w:p>
    <w:p>
      <w:pPr>
        <w:spacing w:after="0" w:line="14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DISCLOSURE OF COMMISSION POSITION ON INDEMNIFICATION FOR SECURITIES ACT LIABILITIES</w:t>
      </w:r>
    </w:p>
    <w:p>
      <w:pPr>
        <w:spacing w:after="0" w:line="156" w:lineRule="exact"/>
        <w:rPr>
          <w:sz w:val="20"/>
          <w:szCs w:val="20"/>
          <w:color w:val="auto"/>
        </w:rPr>
      </w:pPr>
    </w:p>
    <w:p>
      <w:pPr>
        <w:ind w:left="7"/>
        <w:spacing w:after="0" w:line="261" w:lineRule="auto"/>
        <w:rPr>
          <w:sz w:val="20"/>
          <w:szCs w:val="20"/>
          <w:color w:val="auto"/>
        </w:rPr>
      </w:pPr>
      <w:r>
        <w:rPr>
          <w:rFonts w:ascii="Arial" w:cs="Arial" w:eastAsia="Arial" w:hAnsi="Arial"/>
          <w:sz w:val="12"/>
          <w:szCs w:val="12"/>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25" w:lineRule="exact"/>
        <w:rPr>
          <w:sz w:val="20"/>
          <w:szCs w:val="20"/>
          <w:color w:val="auto"/>
        </w:rPr>
      </w:pPr>
    </w:p>
    <w:p>
      <w:pPr>
        <w:ind w:left="7" w:right="120"/>
        <w:spacing w:after="0" w:line="326" w:lineRule="auto"/>
        <w:rPr>
          <w:sz w:val="20"/>
          <w:szCs w:val="20"/>
          <w:color w:val="auto"/>
        </w:rPr>
      </w:pPr>
      <w:r>
        <w:rPr>
          <w:rFonts w:ascii="Arial" w:cs="Arial" w:eastAsia="Arial" w:hAnsi="Arial"/>
          <w:sz w:val="11"/>
          <w:szCs w:val="11"/>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106"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EXPERTS</w:t>
      </w:r>
    </w:p>
    <w:p>
      <w:pPr>
        <w:spacing w:after="0" w:line="156" w:lineRule="exact"/>
        <w:rPr>
          <w:sz w:val="20"/>
          <w:szCs w:val="20"/>
          <w:color w:val="auto"/>
        </w:rPr>
      </w:pPr>
    </w:p>
    <w:p>
      <w:pPr>
        <w:jc w:val="both"/>
        <w:ind w:left="7"/>
        <w:spacing w:after="0" w:line="265" w:lineRule="auto"/>
        <w:rPr>
          <w:sz w:val="20"/>
          <w:szCs w:val="20"/>
          <w:color w:val="auto"/>
        </w:rPr>
      </w:pPr>
      <w:r>
        <w:rPr>
          <w:rFonts w:ascii="Arial" w:cs="Arial" w:eastAsia="Arial" w:hAnsi="Arial"/>
          <w:sz w:val="12"/>
          <w:szCs w:val="12"/>
          <w:color w:val="auto"/>
        </w:rPr>
        <w:t>Our consolidated financial statements as of December 31, 2014 have been included in the registration statement in reliance upon the report of Marcum LLP, independent registered public accounting firm, and upon the authority of said firm as experts in accounting and auditing. Our consolidated financial statements as of December 31, 2013 have been included in the registration statement in reliance upon the report of Dale Matheson Carr-Hilton LaBonte LLP, independent registered public accounting firm, and upon the authority of said firm as experts in accounting and auditing.</w:t>
      </w:r>
    </w:p>
    <w:p>
      <w:pPr>
        <w:spacing w:after="0" w:line="137"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6" w:lineRule="exact"/>
        <w:rPr>
          <w:sz w:val="20"/>
          <w:szCs w:val="20"/>
          <w:color w:val="auto"/>
        </w:rPr>
      </w:pPr>
    </w:p>
    <w:p>
      <w:pPr>
        <w:jc w:val="both"/>
        <w:ind w:left="7"/>
        <w:spacing w:after="0" w:line="285" w:lineRule="auto"/>
        <w:rPr>
          <w:sz w:val="20"/>
          <w:szCs w:val="20"/>
          <w:color w:val="auto"/>
        </w:rPr>
      </w:pPr>
      <w:r>
        <w:rPr>
          <w:rFonts w:ascii="Arial" w:cs="Arial" w:eastAsia="Arial" w:hAnsi="Arial"/>
          <w:sz w:val="11"/>
          <w:szCs w:val="11"/>
          <w:color w:val="auto"/>
        </w:rPr>
        <w:t xml:space="preserve">We are a reporting company and file annual, quarterly and current reports, proxy statements and other information with the SEC. We have filed with the SEC a registration statement on Form S-1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w:t>
      </w:r>
      <w:r>
        <w:rPr>
          <w:rFonts w:ascii="Arial" w:cs="Arial" w:eastAsia="Arial" w:hAnsi="Arial"/>
          <w:sz w:val="11"/>
          <w:szCs w:val="11"/>
          <w:u w:val="single" w:color="auto"/>
          <w:color w:val="auto"/>
        </w:rPr>
        <w:t>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98690"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7"/>
          </w:cols>
          <w:pgMar w:left="213" w:top="557" w:right="1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58"/>
        </w:trPr>
        <w:tc>
          <w:tcPr>
            <w:tcW w:w="9860" w:type="dxa"/>
            <w:vAlign w:val="bottom"/>
          </w:tcPr>
          <w:p>
            <w:pPr>
              <w:ind w:left="4600"/>
              <w:spacing w:after="0"/>
              <w:rPr>
                <w:sz w:val="20"/>
                <w:szCs w:val="20"/>
                <w:color w:val="auto"/>
              </w:rPr>
            </w:pPr>
            <w:r>
              <w:rPr>
                <w:rFonts w:ascii="Arial" w:cs="Arial" w:eastAsia="Arial" w:hAnsi="Arial"/>
                <w:sz w:val="12"/>
                <w:szCs w:val="12"/>
                <w:b w:val="1"/>
                <w:bCs w:val="1"/>
                <w:color w:val="auto"/>
              </w:rPr>
              <w:t>Index to Consolidated Financial Statements</w:t>
            </w: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598"/>
        </w:trPr>
        <w:tc>
          <w:tcPr>
            <w:tcW w:w="9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Page</w:t>
            </w:r>
          </w:p>
        </w:tc>
      </w:tr>
      <w:tr>
        <w:trPr>
          <w:trHeight w:val="20"/>
        </w:trPr>
        <w:tc>
          <w:tcPr>
            <w:tcW w:w="9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66"/>
        </w:trPr>
        <w:tc>
          <w:tcPr>
            <w:tcW w:w="9860" w:type="dxa"/>
            <w:vAlign w:val="bottom"/>
          </w:tcPr>
          <w:p>
            <w:pPr>
              <w:spacing w:after="0"/>
              <w:rPr>
                <w:sz w:val="20"/>
                <w:szCs w:val="20"/>
                <w:color w:val="auto"/>
              </w:rPr>
            </w:pPr>
            <w:r>
              <w:rPr>
                <w:rFonts w:ascii="Arial" w:cs="Arial" w:eastAsia="Arial" w:hAnsi="Arial"/>
                <w:sz w:val="12"/>
                <w:szCs w:val="12"/>
                <w:color w:val="auto"/>
              </w:rPr>
              <w:t>Report of Independent Registered Public Accounting Firm, dated April 15, 2015</w:t>
            </w:r>
          </w:p>
        </w:tc>
        <w:tc>
          <w:tcPr>
            <w:tcW w:w="960" w:type="dxa"/>
            <w:vAlign w:val="bottom"/>
          </w:tcPr>
          <w:p>
            <w:pPr>
              <w:spacing w:after="0"/>
              <w:rPr>
                <w:sz w:val="23"/>
                <w:szCs w:val="23"/>
                <w:color w:val="auto"/>
              </w:rPr>
            </w:pPr>
          </w:p>
        </w:tc>
        <w:tc>
          <w:tcPr>
            <w:tcW w:w="660" w:type="dxa"/>
            <w:vAlign w:val="bottom"/>
          </w:tcPr>
          <w:p>
            <w:pPr>
              <w:jc w:val="right"/>
              <w:ind w:right="380"/>
              <w:spacing w:after="0"/>
              <w:rPr>
                <w:sz w:val="20"/>
                <w:szCs w:val="20"/>
                <w:color w:val="auto"/>
              </w:rPr>
            </w:pPr>
            <w:r>
              <w:rPr>
                <w:rFonts w:ascii="Arial" w:cs="Arial" w:eastAsia="Arial" w:hAnsi="Arial"/>
                <w:sz w:val="12"/>
                <w:szCs w:val="12"/>
                <w:color w:val="auto"/>
              </w:rPr>
              <w:t>F-1</w:t>
            </w:r>
          </w:p>
        </w:tc>
      </w:tr>
      <w:tr>
        <w:trPr>
          <w:trHeight w:val="290"/>
        </w:trPr>
        <w:tc>
          <w:tcPr>
            <w:tcW w:w="9860" w:type="dxa"/>
            <w:vAlign w:val="bottom"/>
          </w:tcPr>
          <w:p>
            <w:pPr>
              <w:spacing w:after="0"/>
              <w:rPr>
                <w:sz w:val="20"/>
                <w:szCs w:val="20"/>
                <w:color w:val="auto"/>
              </w:rPr>
            </w:pPr>
            <w:r>
              <w:rPr>
                <w:rFonts w:ascii="Arial" w:cs="Arial" w:eastAsia="Arial" w:hAnsi="Arial"/>
                <w:sz w:val="12"/>
                <w:szCs w:val="12"/>
                <w:color w:val="auto"/>
              </w:rPr>
              <w:t>Report of Independent Registered Public Accounting Firm, dated April 14, 2014</w:t>
            </w:r>
          </w:p>
        </w:tc>
        <w:tc>
          <w:tcPr>
            <w:tcW w:w="960" w:type="dxa"/>
            <w:vAlign w:val="bottom"/>
          </w:tcPr>
          <w:p>
            <w:pPr>
              <w:spacing w:after="0"/>
              <w:rPr>
                <w:sz w:val="24"/>
                <w:szCs w:val="24"/>
                <w:color w:val="auto"/>
              </w:rPr>
            </w:pPr>
          </w:p>
        </w:tc>
        <w:tc>
          <w:tcPr>
            <w:tcW w:w="660" w:type="dxa"/>
            <w:vAlign w:val="bottom"/>
          </w:tcPr>
          <w:p>
            <w:pPr>
              <w:jc w:val="right"/>
              <w:ind w:right="380"/>
              <w:spacing w:after="0"/>
              <w:rPr>
                <w:sz w:val="20"/>
                <w:szCs w:val="20"/>
                <w:color w:val="auto"/>
              </w:rPr>
            </w:pPr>
            <w:r>
              <w:rPr>
                <w:rFonts w:ascii="Arial" w:cs="Arial" w:eastAsia="Arial" w:hAnsi="Arial"/>
                <w:sz w:val="12"/>
                <w:szCs w:val="12"/>
                <w:color w:val="auto"/>
              </w:rPr>
              <w:t>F-2</w:t>
            </w:r>
          </w:p>
        </w:tc>
      </w:tr>
      <w:tr>
        <w:trPr>
          <w:trHeight w:val="290"/>
        </w:trPr>
        <w:tc>
          <w:tcPr>
            <w:tcW w:w="9860" w:type="dxa"/>
            <w:vAlign w:val="bottom"/>
          </w:tcPr>
          <w:p>
            <w:pPr>
              <w:spacing w:after="0"/>
              <w:rPr>
                <w:sz w:val="20"/>
                <w:szCs w:val="20"/>
                <w:color w:val="auto"/>
              </w:rPr>
            </w:pPr>
            <w:r>
              <w:rPr>
                <w:rFonts w:ascii="Arial" w:cs="Arial" w:eastAsia="Arial" w:hAnsi="Arial"/>
                <w:sz w:val="12"/>
                <w:szCs w:val="12"/>
                <w:color w:val="auto"/>
              </w:rPr>
              <w:t>Consolidated Balance Sheets as of December 31, 2014 and 2013</w:t>
            </w:r>
          </w:p>
        </w:tc>
        <w:tc>
          <w:tcPr>
            <w:tcW w:w="960" w:type="dxa"/>
            <w:vAlign w:val="bottom"/>
          </w:tcPr>
          <w:p>
            <w:pPr>
              <w:spacing w:after="0"/>
              <w:rPr>
                <w:sz w:val="24"/>
                <w:szCs w:val="24"/>
                <w:color w:val="auto"/>
              </w:rPr>
            </w:pPr>
          </w:p>
        </w:tc>
        <w:tc>
          <w:tcPr>
            <w:tcW w:w="660" w:type="dxa"/>
            <w:vAlign w:val="bottom"/>
          </w:tcPr>
          <w:p>
            <w:pPr>
              <w:jc w:val="right"/>
              <w:ind w:right="380"/>
              <w:spacing w:after="0"/>
              <w:rPr>
                <w:sz w:val="20"/>
                <w:szCs w:val="20"/>
                <w:color w:val="auto"/>
              </w:rPr>
            </w:pPr>
            <w:r>
              <w:rPr>
                <w:rFonts w:ascii="Arial" w:cs="Arial" w:eastAsia="Arial" w:hAnsi="Arial"/>
                <w:sz w:val="12"/>
                <w:szCs w:val="12"/>
                <w:color w:val="auto"/>
              </w:rPr>
              <w:t>F-3</w:t>
            </w:r>
          </w:p>
        </w:tc>
      </w:tr>
      <w:tr>
        <w:trPr>
          <w:trHeight w:val="290"/>
        </w:trPr>
        <w:tc>
          <w:tcPr>
            <w:tcW w:w="9860" w:type="dxa"/>
            <w:vAlign w:val="bottom"/>
          </w:tcPr>
          <w:p>
            <w:pPr>
              <w:spacing w:after="0"/>
              <w:rPr>
                <w:sz w:val="20"/>
                <w:szCs w:val="20"/>
                <w:color w:val="auto"/>
              </w:rPr>
            </w:pPr>
            <w:r>
              <w:rPr>
                <w:rFonts w:ascii="Arial" w:cs="Arial" w:eastAsia="Arial" w:hAnsi="Arial"/>
                <w:sz w:val="12"/>
                <w:szCs w:val="12"/>
                <w:color w:val="auto"/>
              </w:rPr>
              <w:t>Consolidated Statements of Operations for the Years Ended December 31, 2014 and 2013</w:t>
            </w:r>
          </w:p>
        </w:tc>
        <w:tc>
          <w:tcPr>
            <w:tcW w:w="960" w:type="dxa"/>
            <w:vAlign w:val="bottom"/>
          </w:tcPr>
          <w:p>
            <w:pPr>
              <w:spacing w:after="0"/>
              <w:rPr>
                <w:sz w:val="24"/>
                <w:szCs w:val="24"/>
                <w:color w:val="auto"/>
              </w:rPr>
            </w:pPr>
          </w:p>
        </w:tc>
        <w:tc>
          <w:tcPr>
            <w:tcW w:w="660" w:type="dxa"/>
            <w:vAlign w:val="bottom"/>
          </w:tcPr>
          <w:p>
            <w:pPr>
              <w:jc w:val="right"/>
              <w:ind w:right="380"/>
              <w:spacing w:after="0"/>
              <w:rPr>
                <w:sz w:val="20"/>
                <w:szCs w:val="20"/>
                <w:color w:val="auto"/>
              </w:rPr>
            </w:pPr>
            <w:r>
              <w:rPr>
                <w:rFonts w:ascii="Arial" w:cs="Arial" w:eastAsia="Arial" w:hAnsi="Arial"/>
                <w:sz w:val="12"/>
                <w:szCs w:val="12"/>
                <w:color w:val="auto"/>
              </w:rPr>
              <w:t>F-4</w:t>
            </w:r>
          </w:p>
        </w:tc>
      </w:tr>
      <w:tr>
        <w:trPr>
          <w:trHeight w:val="290"/>
        </w:trPr>
        <w:tc>
          <w:tcPr>
            <w:tcW w:w="9860" w:type="dxa"/>
            <w:vAlign w:val="bottom"/>
          </w:tcPr>
          <w:p>
            <w:pPr>
              <w:spacing w:after="0"/>
              <w:rPr>
                <w:sz w:val="20"/>
                <w:szCs w:val="20"/>
                <w:color w:val="auto"/>
              </w:rPr>
            </w:pPr>
            <w:r>
              <w:rPr>
                <w:rFonts w:ascii="Arial" w:cs="Arial" w:eastAsia="Arial" w:hAnsi="Arial"/>
                <w:sz w:val="12"/>
                <w:szCs w:val="12"/>
                <w:color w:val="auto"/>
              </w:rPr>
              <w:t>Consolidated Statements of Stockholders’ Deficit from July 27, 1999 (Inception) to December 31, 2014</w:t>
            </w:r>
          </w:p>
        </w:tc>
        <w:tc>
          <w:tcPr>
            <w:tcW w:w="960" w:type="dxa"/>
            <w:vAlign w:val="bottom"/>
          </w:tcPr>
          <w:p>
            <w:pPr>
              <w:spacing w:after="0"/>
              <w:rPr>
                <w:sz w:val="24"/>
                <w:szCs w:val="24"/>
                <w:color w:val="auto"/>
              </w:rPr>
            </w:pPr>
          </w:p>
        </w:tc>
        <w:tc>
          <w:tcPr>
            <w:tcW w:w="660" w:type="dxa"/>
            <w:vAlign w:val="bottom"/>
          </w:tcPr>
          <w:p>
            <w:pPr>
              <w:jc w:val="right"/>
              <w:ind w:right="380"/>
              <w:spacing w:after="0"/>
              <w:rPr>
                <w:sz w:val="20"/>
                <w:szCs w:val="20"/>
                <w:color w:val="auto"/>
              </w:rPr>
            </w:pPr>
            <w:r>
              <w:rPr>
                <w:rFonts w:ascii="Arial" w:cs="Arial" w:eastAsia="Arial" w:hAnsi="Arial"/>
                <w:sz w:val="12"/>
                <w:szCs w:val="12"/>
                <w:color w:val="auto"/>
              </w:rPr>
              <w:t>F-5</w:t>
            </w:r>
          </w:p>
        </w:tc>
      </w:tr>
      <w:tr>
        <w:trPr>
          <w:trHeight w:val="290"/>
        </w:trPr>
        <w:tc>
          <w:tcPr>
            <w:tcW w:w="9860" w:type="dxa"/>
            <w:vAlign w:val="bottom"/>
          </w:tcPr>
          <w:p>
            <w:pPr>
              <w:spacing w:after="0"/>
              <w:rPr>
                <w:sz w:val="20"/>
                <w:szCs w:val="20"/>
                <w:color w:val="auto"/>
              </w:rPr>
            </w:pPr>
            <w:r>
              <w:rPr>
                <w:rFonts w:ascii="Arial" w:cs="Arial" w:eastAsia="Arial" w:hAnsi="Arial"/>
                <w:sz w:val="12"/>
                <w:szCs w:val="12"/>
                <w:color w:val="auto"/>
              </w:rPr>
              <w:t>Consolidated Statements of Cash Flows for the Years Ended December 31, 2014 and 2013</w:t>
            </w:r>
          </w:p>
        </w:tc>
        <w:tc>
          <w:tcPr>
            <w:tcW w:w="960" w:type="dxa"/>
            <w:vAlign w:val="bottom"/>
          </w:tcPr>
          <w:p>
            <w:pPr>
              <w:spacing w:after="0"/>
              <w:rPr>
                <w:sz w:val="24"/>
                <w:szCs w:val="24"/>
                <w:color w:val="auto"/>
              </w:rPr>
            </w:pPr>
          </w:p>
        </w:tc>
        <w:tc>
          <w:tcPr>
            <w:tcW w:w="660" w:type="dxa"/>
            <w:vAlign w:val="bottom"/>
          </w:tcPr>
          <w:p>
            <w:pPr>
              <w:jc w:val="right"/>
              <w:ind w:right="380"/>
              <w:spacing w:after="0"/>
              <w:rPr>
                <w:sz w:val="20"/>
                <w:szCs w:val="20"/>
                <w:color w:val="auto"/>
              </w:rPr>
            </w:pPr>
            <w:r>
              <w:rPr>
                <w:rFonts w:ascii="Arial" w:cs="Arial" w:eastAsia="Arial" w:hAnsi="Arial"/>
                <w:sz w:val="12"/>
                <w:szCs w:val="12"/>
                <w:color w:val="auto"/>
              </w:rPr>
              <w:t>F-6</w:t>
            </w:r>
          </w:p>
        </w:tc>
      </w:tr>
      <w:tr>
        <w:trPr>
          <w:trHeight w:val="290"/>
        </w:trPr>
        <w:tc>
          <w:tcPr>
            <w:tcW w:w="9860" w:type="dxa"/>
            <w:vAlign w:val="bottom"/>
          </w:tcPr>
          <w:p>
            <w:pPr>
              <w:spacing w:after="0"/>
              <w:rPr>
                <w:sz w:val="20"/>
                <w:szCs w:val="20"/>
                <w:color w:val="auto"/>
              </w:rPr>
            </w:pPr>
            <w:r>
              <w:rPr>
                <w:rFonts w:ascii="Arial" w:cs="Arial" w:eastAsia="Arial" w:hAnsi="Arial"/>
                <w:sz w:val="12"/>
                <w:szCs w:val="12"/>
                <w:color w:val="auto"/>
              </w:rPr>
              <w:t>Notes to Consolidated Financial Statements for the Years Ended December 31, 2014</w:t>
            </w:r>
          </w:p>
        </w:tc>
        <w:tc>
          <w:tcPr>
            <w:tcW w:w="960" w:type="dxa"/>
            <w:vAlign w:val="bottom"/>
          </w:tcPr>
          <w:p>
            <w:pPr>
              <w:spacing w:after="0"/>
              <w:rPr>
                <w:sz w:val="24"/>
                <w:szCs w:val="24"/>
                <w:color w:val="auto"/>
              </w:rPr>
            </w:pPr>
          </w:p>
        </w:tc>
        <w:tc>
          <w:tcPr>
            <w:tcW w:w="660" w:type="dxa"/>
            <w:vAlign w:val="bottom"/>
          </w:tcPr>
          <w:p>
            <w:pPr>
              <w:jc w:val="right"/>
              <w:ind w:right="380"/>
              <w:spacing w:after="0"/>
              <w:rPr>
                <w:sz w:val="20"/>
                <w:szCs w:val="20"/>
                <w:color w:val="auto"/>
              </w:rPr>
            </w:pPr>
            <w:r>
              <w:rPr>
                <w:rFonts w:ascii="Arial" w:cs="Arial" w:eastAsia="Arial" w:hAnsi="Arial"/>
                <w:sz w:val="12"/>
                <w:szCs w:val="12"/>
                <w:color w:val="auto"/>
              </w:rPr>
              <w:t>F-8</w:t>
            </w:r>
          </w:p>
        </w:tc>
      </w:tr>
      <w:tr>
        <w:trPr>
          <w:trHeight w:val="290"/>
        </w:trPr>
        <w:tc>
          <w:tcPr>
            <w:tcW w:w="9860" w:type="dxa"/>
            <w:vAlign w:val="bottom"/>
          </w:tcPr>
          <w:p>
            <w:pPr>
              <w:spacing w:after="0"/>
              <w:rPr>
                <w:sz w:val="20"/>
                <w:szCs w:val="20"/>
                <w:color w:val="auto"/>
              </w:rPr>
            </w:pPr>
            <w:r>
              <w:rPr>
                <w:rFonts w:ascii="Arial" w:cs="Arial" w:eastAsia="Arial" w:hAnsi="Arial"/>
                <w:sz w:val="12"/>
                <w:szCs w:val="12"/>
                <w:color w:val="auto"/>
              </w:rPr>
              <w:t>Condensed Consolidated Balance Sheets as of March 31, 2015 (Unaudited) and December 31, 2014</w:t>
            </w:r>
          </w:p>
        </w:tc>
        <w:tc>
          <w:tcPr>
            <w:tcW w:w="960" w:type="dxa"/>
            <w:vAlign w:val="bottom"/>
          </w:tcPr>
          <w:p>
            <w:pPr>
              <w:spacing w:after="0"/>
              <w:rPr>
                <w:sz w:val="24"/>
                <w:szCs w:val="24"/>
                <w:color w:val="auto"/>
              </w:rPr>
            </w:pPr>
          </w:p>
        </w:tc>
        <w:tc>
          <w:tcPr>
            <w:tcW w:w="660" w:type="dxa"/>
            <w:vAlign w:val="bottom"/>
          </w:tcPr>
          <w:p>
            <w:pPr>
              <w:jc w:val="right"/>
              <w:ind w:right="340"/>
              <w:spacing w:after="0"/>
              <w:rPr>
                <w:sz w:val="20"/>
                <w:szCs w:val="20"/>
                <w:color w:val="auto"/>
              </w:rPr>
            </w:pPr>
            <w:r>
              <w:rPr>
                <w:rFonts w:ascii="Arial" w:cs="Arial" w:eastAsia="Arial" w:hAnsi="Arial"/>
                <w:sz w:val="12"/>
                <w:szCs w:val="12"/>
                <w:color w:val="auto"/>
                <w:w w:val="97"/>
              </w:rPr>
              <w:t>F-21</w:t>
            </w:r>
          </w:p>
        </w:tc>
      </w:tr>
      <w:tr>
        <w:trPr>
          <w:trHeight w:val="290"/>
        </w:trPr>
        <w:tc>
          <w:tcPr>
            <w:tcW w:w="9860" w:type="dxa"/>
            <w:vAlign w:val="bottom"/>
          </w:tcPr>
          <w:p>
            <w:pPr>
              <w:spacing w:after="0"/>
              <w:rPr>
                <w:sz w:val="20"/>
                <w:szCs w:val="20"/>
                <w:color w:val="auto"/>
              </w:rPr>
            </w:pPr>
            <w:r>
              <w:rPr>
                <w:rFonts w:ascii="Arial" w:cs="Arial" w:eastAsia="Arial" w:hAnsi="Arial"/>
                <w:sz w:val="12"/>
                <w:szCs w:val="12"/>
                <w:color w:val="auto"/>
              </w:rPr>
              <w:t>Condensed Consolidated Statements of Operations and Comprehensive Loss (Unaudited) for the Three Months Ended March 31, 2015 and 2014,</w:t>
            </w:r>
          </w:p>
        </w:tc>
        <w:tc>
          <w:tcPr>
            <w:tcW w:w="1620" w:type="dxa"/>
            <w:vAlign w:val="bottom"/>
            <w:gridSpan w:val="2"/>
          </w:tcPr>
          <w:p>
            <w:pPr>
              <w:jc w:val="right"/>
              <w:ind w:right="380"/>
              <w:spacing w:after="0"/>
              <w:rPr>
                <w:sz w:val="20"/>
                <w:szCs w:val="20"/>
                <w:color w:val="auto"/>
              </w:rPr>
            </w:pPr>
            <w:r>
              <w:rPr>
                <w:rFonts w:ascii="Arial" w:cs="Arial" w:eastAsia="Arial" w:hAnsi="Arial"/>
                <w:sz w:val="12"/>
                <w:szCs w:val="12"/>
                <w:color w:val="auto"/>
              </w:rPr>
              <w:t>F-22</w:t>
            </w:r>
          </w:p>
        </w:tc>
      </w:tr>
      <w:tr>
        <w:trPr>
          <w:trHeight w:val="290"/>
        </w:trPr>
        <w:tc>
          <w:tcPr>
            <w:tcW w:w="9860" w:type="dxa"/>
            <w:vAlign w:val="bottom"/>
          </w:tcPr>
          <w:p>
            <w:pPr>
              <w:spacing w:after="0"/>
              <w:rPr>
                <w:sz w:val="20"/>
                <w:szCs w:val="20"/>
                <w:color w:val="auto"/>
              </w:rPr>
            </w:pPr>
            <w:r>
              <w:rPr>
                <w:rFonts w:ascii="Arial" w:cs="Arial" w:eastAsia="Arial" w:hAnsi="Arial"/>
                <w:sz w:val="12"/>
                <w:szCs w:val="12"/>
                <w:color w:val="auto"/>
              </w:rPr>
              <w:t>Consolidated Statements of Stockholders’ Equity (Deficit)</w:t>
            </w:r>
          </w:p>
        </w:tc>
        <w:tc>
          <w:tcPr>
            <w:tcW w:w="1620" w:type="dxa"/>
            <w:vAlign w:val="bottom"/>
            <w:gridSpan w:val="2"/>
          </w:tcPr>
          <w:p>
            <w:pPr>
              <w:jc w:val="right"/>
              <w:ind w:right="380"/>
              <w:spacing w:after="0"/>
              <w:rPr>
                <w:sz w:val="20"/>
                <w:szCs w:val="20"/>
                <w:color w:val="auto"/>
              </w:rPr>
            </w:pPr>
            <w:r>
              <w:rPr>
                <w:rFonts w:ascii="Arial" w:cs="Arial" w:eastAsia="Arial" w:hAnsi="Arial"/>
                <w:sz w:val="12"/>
                <w:szCs w:val="12"/>
                <w:color w:val="auto"/>
              </w:rPr>
              <w:t>F-23</w:t>
            </w:r>
          </w:p>
        </w:tc>
      </w:tr>
      <w:tr>
        <w:trPr>
          <w:trHeight w:val="290"/>
        </w:trPr>
        <w:tc>
          <w:tcPr>
            <w:tcW w:w="9860" w:type="dxa"/>
            <w:vAlign w:val="bottom"/>
          </w:tcPr>
          <w:p>
            <w:pPr>
              <w:spacing w:after="0"/>
              <w:rPr>
                <w:sz w:val="20"/>
                <w:szCs w:val="20"/>
                <w:color w:val="auto"/>
              </w:rPr>
            </w:pPr>
            <w:r>
              <w:rPr>
                <w:rFonts w:ascii="Arial" w:cs="Arial" w:eastAsia="Arial" w:hAnsi="Arial"/>
                <w:sz w:val="12"/>
                <w:szCs w:val="12"/>
                <w:color w:val="auto"/>
              </w:rPr>
              <w:t>Condensed Consolidated Statements of Cash Flows for the Three Months Ended March 31, 2015 and 2014, and for the Period from July 27, 1999 (Date of Inception) to March 31, 2010</w:t>
            </w:r>
          </w:p>
        </w:tc>
        <w:tc>
          <w:tcPr>
            <w:tcW w:w="1620" w:type="dxa"/>
            <w:vAlign w:val="bottom"/>
            <w:gridSpan w:val="2"/>
          </w:tcPr>
          <w:p>
            <w:pPr>
              <w:jc w:val="right"/>
              <w:ind w:right="380"/>
              <w:spacing w:after="0"/>
              <w:rPr>
                <w:sz w:val="20"/>
                <w:szCs w:val="20"/>
                <w:color w:val="auto"/>
              </w:rPr>
            </w:pPr>
            <w:r>
              <w:rPr>
                <w:rFonts w:ascii="Arial" w:cs="Arial" w:eastAsia="Arial" w:hAnsi="Arial"/>
                <w:sz w:val="12"/>
                <w:szCs w:val="12"/>
                <w:color w:val="auto"/>
              </w:rPr>
              <w:t>F-24</w:t>
            </w:r>
          </w:p>
        </w:tc>
      </w:tr>
      <w:tr>
        <w:trPr>
          <w:trHeight w:val="290"/>
        </w:trPr>
        <w:tc>
          <w:tcPr>
            <w:tcW w:w="9860" w:type="dxa"/>
            <w:vAlign w:val="bottom"/>
          </w:tcPr>
          <w:p>
            <w:pPr>
              <w:spacing w:after="0"/>
              <w:rPr>
                <w:sz w:val="20"/>
                <w:szCs w:val="20"/>
                <w:color w:val="auto"/>
              </w:rPr>
            </w:pPr>
            <w:r>
              <w:rPr>
                <w:rFonts w:ascii="Arial" w:cs="Arial" w:eastAsia="Arial" w:hAnsi="Arial"/>
                <w:sz w:val="12"/>
                <w:szCs w:val="12"/>
                <w:color w:val="auto"/>
              </w:rPr>
              <w:t>Notes to the Condensed Consolidated Financial Statements (Unaudited) for the three-month period ended March 31, 2015</w:t>
            </w:r>
          </w:p>
        </w:tc>
        <w:tc>
          <w:tcPr>
            <w:tcW w:w="1620" w:type="dxa"/>
            <w:vAlign w:val="bottom"/>
            <w:gridSpan w:val="2"/>
          </w:tcPr>
          <w:p>
            <w:pPr>
              <w:jc w:val="right"/>
              <w:ind w:right="380"/>
              <w:spacing w:after="0"/>
              <w:rPr>
                <w:sz w:val="20"/>
                <w:szCs w:val="20"/>
                <w:color w:val="auto"/>
              </w:rPr>
            </w:pPr>
            <w:r>
              <w:rPr>
                <w:rFonts w:ascii="Arial" w:cs="Arial" w:eastAsia="Arial" w:hAnsi="Arial"/>
                <w:sz w:val="12"/>
                <w:szCs w:val="12"/>
                <w:color w:val="auto"/>
              </w:rPr>
              <w:t>F-26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698" w:right="199" w:bottom="1440" w:gutter="0" w:footer="0" w:header="0"/>
        </w:sectPr>
      </w:pPr>
    </w:p>
    <w:bookmarkStart w:id="46" w:name="page47"/>
    <w:bookmarkEnd w:id="46"/>
    <w:p>
      <w:pPr>
        <w:jc w:val="center"/>
        <w:spacing w:after="0"/>
        <w:rPr>
          <w:sz w:val="20"/>
          <w:szCs w:val="20"/>
          <w:color w:val="auto"/>
        </w:rPr>
      </w:pPr>
      <w:r>
        <w:rPr>
          <w:rFonts w:ascii="Arial" w:cs="Arial" w:eastAsia="Arial" w:hAnsi="Arial"/>
          <w:sz w:val="12"/>
          <w:szCs w:val="12"/>
          <w:u w:val="single" w:color="auto"/>
          <w:color w:val="auto"/>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2"/>
          <w:szCs w:val="12"/>
          <w:color w:val="auto"/>
        </w:rPr>
        <w:t>To the Audit Committee of the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Board of Directors and Stockholders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of TapImmune, Inc.</w:t>
      </w:r>
    </w:p>
    <w:p>
      <w:pPr>
        <w:spacing w:after="0" w:line="307"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We have audited the accompanying consolidated balance sheet of TapImmune, Inc. (the “Company”) as of December 31, 2014, and the related consolidated statements of operations and comprehensive loss, changes in stockholders’ equity (deficit) and cash flows for the year then ended. These consolidated financial statements are the responsibility of the Company’s management. Our responsibility is to express an opinion on these consolidated financial statements based on our audit.</w:t>
      </w:r>
    </w:p>
    <w:p>
      <w:pPr>
        <w:spacing w:after="0" w:line="123"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consolidated financial position of TapImmune, Inc., as of December 31, 2014, and the results of its operations and its cash flows for the year then ended in conformity with accounting principles generally accepted in the United States of America.</w:t>
      </w:r>
    </w:p>
    <w:p>
      <w:pPr>
        <w:spacing w:after="0" w:line="259"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The accompanying consolidated financial statements have been prepared assuming that the Company will continue as a going concern. As discussed in Note 2 to the consolidated financial statements, the Company has suffered historical losses from operations and has negative working capital. These matters raise substantial doubt about the Company’s ability to continue as a going concern. Management’s plans concerning these matters are also discussed in Note 2 to the consolidated financial statements. The accompanying consolidated financial statements do not include any adjustments that might result from the outcome of this uncertainty.</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/s/ Marcum llp</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New York, NY</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April 15,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883" w:right="19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359410</wp:posOffset>
            </wp:positionV>
            <wp:extent cx="7332345" cy="17265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332345" cy="172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 of TapImmune Inc:</w:t>
      </w:r>
    </w:p>
    <w:p>
      <w:pPr>
        <w:spacing w:after="0" w:line="152" w:lineRule="exact"/>
        <w:rPr>
          <w:sz w:val="20"/>
          <w:szCs w:val="20"/>
          <w:color w:val="auto"/>
        </w:rPr>
      </w:pPr>
    </w:p>
    <w:p>
      <w:pPr>
        <w:jc w:val="both"/>
        <w:spacing w:after="0" w:line="326" w:lineRule="auto"/>
        <w:rPr>
          <w:sz w:val="20"/>
          <w:szCs w:val="20"/>
          <w:color w:val="auto"/>
        </w:rPr>
      </w:pPr>
      <w:r>
        <w:rPr>
          <w:rFonts w:ascii="Arial" w:cs="Arial" w:eastAsia="Arial" w:hAnsi="Arial"/>
          <w:sz w:val="11"/>
          <w:szCs w:val="11"/>
          <w:color w:val="auto"/>
        </w:rPr>
        <w:t>We have audited the accompanying consolidated balance sheet of TapImmune Inc. (the “Company”) as of December 31, 2013 and the related consolidated statement of operations and comprehensive loss, stockholders’ deficit and cash flows for the year then ended. These financial statements are the responsibility of the Company’s management. Our responsibility is to express an opinion on these financial statements based on our audit.</w:t>
      </w:r>
    </w:p>
    <w:p>
      <w:pPr>
        <w:spacing w:after="0" w:line="110"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an audit to obtain reasonable assurance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In our opinion, these consolidated financial statements present fairly, in all material respects, the financial position of the Company as at December 31, 2013 and the results of its operations and its cash flows for the years then ended, in conformity with accounting principles generally accepted in the United States of America.</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1 to the financial statements, the Company has an accumulated deficit of $55,426,635and reported a loss of $5,532,552 for the year ended December 31, 2013 raising substantial doubt about the Company’s ability to continue as a going concern. The Company requires additional funds to meet its obligations and the costs of its operations. These factors raise substantial doubt about the Company’s ability to continue as a going concern. Management’s plans in this regard are described in Note 1. The financial statements do not include any adjustments that might result from the outcome of this uncertainty.</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“DMCL”</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DALE MATHESON CARR-HILTON LABONTE LLP</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CHARTERED ACCOUNTANTS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Vancouver, Canada</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April 14, 2014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1440" w:right="19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2"/>
          <w:szCs w:val="12"/>
          <w:b w:val="1"/>
          <w:bCs w:val="1"/>
          <w:color w:val="auto"/>
        </w:rPr>
        <w:t>TAPIMMUNE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700" w:type="dxa"/>
            <w:vAlign w:val="bottom"/>
            <w:tcBorders>
              <w:top w:val="single" w:sz="8" w:color="auto"/>
            </w:tcBorders>
          </w:tcPr>
          <w:p>
            <w:pPr>
              <w:spacing w:after="0"/>
              <w:rPr>
                <w:sz w:val="13"/>
                <w:szCs w:val="13"/>
                <w:color w:val="auto"/>
              </w:rPr>
            </w:pPr>
          </w:p>
        </w:tc>
        <w:tc>
          <w:tcPr>
            <w:tcW w:w="49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2"/>
                <w:szCs w:val="12"/>
                <w:color w:val="auto"/>
              </w:rPr>
              <w:t>December 31,</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54"/>
        </w:trPr>
        <w:tc>
          <w:tcPr>
            <w:tcW w:w="370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3700" w:type="dxa"/>
            <w:vAlign w:val="bottom"/>
            <w:vMerge w:val="restart"/>
          </w:tcPr>
          <w:p>
            <w:pPr>
              <w:spacing w:after="0"/>
              <w:rPr>
                <w:sz w:val="20"/>
                <w:szCs w:val="20"/>
                <w:color w:val="auto"/>
              </w:rPr>
            </w:pPr>
            <w:r>
              <w:rPr>
                <w:rFonts w:ascii="Arial" w:cs="Arial" w:eastAsia="Arial" w:hAnsi="Arial"/>
                <w:sz w:val="12"/>
                <w:szCs w:val="12"/>
                <w:b w:val="1"/>
                <w:bCs w:val="1"/>
                <w:color w:val="auto"/>
              </w:rPr>
              <w:t>Current Assets</w:t>
            </w:r>
          </w:p>
        </w:tc>
        <w:tc>
          <w:tcPr>
            <w:tcW w:w="5200" w:type="dxa"/>
            <w:vAlign w:val="bottom"/>
            <w:gridSpan w:val="3"/>
          </w:tcPr>
          <w:p>
            <w:pPr>
              <w:jc w:val="right"/>
              <w:ind w:right="2950"/>
              <w:spacing w:after="0"/>
              <w:rPr>
                <w:sz w:val="20"/>
                <w:szCs w:val="20"/>
                <w:color w:val="auto"/>
              </w:rPr>
            </w:pPr>
            <w:r>
              <w:rPr>
                <w:rFonts w:ascii="Arial" w:cs="Arial" w:eastAsia="Arial" w:hAnsi="Arial"/>
                <w:sz w:val="12"/>
                <w:szCs w:val="12"/>
                <w:b w:val="1"/>
                <w:bCs w:val="1"/>
                <w:color w:val="auto"/>
              </w:rPr>
              <w:t>ASSETS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70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700" w:type="dxa"/>
            <w:vAlign w:val="bottom"/>
          </w:tcPr>
          <w:p>
            <w:pPr>
              <w:ind w:left="60"/>
              <w:spacing w:after="0"/>
              <w:rPr>
                <w:sz w:val="20"/>
                <w:szCs w:val="20"/>
                <w:color w:val="auto"/>
              </w:rPr>
            </w:pPr>
            <w:r>
              <w:rPr>
                <w:rFonts w:ascii="Arial" w:cs="Arial" w:eastAsia="Arial" w:hAnsi="Arial"/>
                <w:sz w:val="12"/>
                <w:szCs w:val="12"/>
                <w:color w:val="auto"/>
              </w:rPr>
              <w:t>Cash</w:t>
            </w:r>
          </w:p>
        </w:tc>
        <w:tc>
          <w:tcPr>
            <w:tcW w:w="5200" w:type="dxa"/>
            <w:vAlign w:val="bottom"/>
            <w:gridSpan w:val="3"/>
          </w:tcPr>
          <w:p>
            <w:pPr>
              <w:jc w:val="right"/>
              <w:ind w:right="5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141,944</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48,589</w:t>
            </w:r>
          </w:p>
        </w:tc>
        <w:tc>
          <w:tcPr>
            <w:tcW w:w="0" w:type="dxa"/>
            <w:vAlign w:val="bottom"/>
          </w:tcPr>
          <w:p>
            <w:pPr>
              <w:spacing w:after="0"/>
              <w:rPr>
                <w:sz w:val="1"/>
                <w:szCs w:val="1"/>
                <w:color w:val="auto"/>
              </w:rPr>
            </w:pPr>
          </w:p>
        </w:tc>
      </w:tr>
      <w:tr>
        <w:trPr>
          <w:trHeight w:val="145"/>
        </w:trPr>
        <w:tc>
          <w:tcPr>
            <w:tcW w:w="3700" w:type="dxa"/>
            <w:vAlign w:val="bottom"/>
          </w:tcPr>
          <w:p>
            <w:pPr>
              <w:ind w:left="60"/>
              <w:spacing w:after="0"/>
              <w:rPr>
                <w:sz w:val="20"/>
                <w:szCs w:val="20"/>
                <w:color w:val="auto"/>
              </w:rPr>
            </w:pPr>
            <w:r>
              <w:rPr>
                <w:rFonts w:ascii="Arial" w:cs="Arial" w:eastAsia="Arial" w:hAnsi="Arial"/>
                <w:sz w:val="12"/>
                <w:szCs w:val="12"/>
                <w:color w:val="auto"/>
              </w:rPr>
              <w:t>Prepaid expenses and deposits</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82,504</w:t>
            </w:r>
          </w:p>
        </w:tc>
        <w:tc>
          <w:tcPr>
            <w:tcW w:w="16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15,004</w:t>
            </w:r>
          </w:p>
        </w:tc>
        <w:tc>
          <w:tcPr>
            <w:tcW w:w="0" w:type="dxa"/>
            <w:vAlign w:val="bottom"/>
          </w:tcPr>
          <w:p>
            <w:pPr>
              <w:spacing w:after="0"/>
              <w:rPr>
                <w:sz w:val="1"/>
                <w:szCs w:val="1"/>
                <w:color w:val="auto"/>
              </w:rPr>
            </w:pPr>
          </w:p>
        </w:tc>
      </w:tr>
      <w:tr>
        <w:trPr>
          <w:trHeight w:val="154"/>
        </w:trPr>
        <w:tc>
          <w:tcPr>
            <w:tcW w:w="3700" w:type="dxa"/>
            <w:vAlign w:val="bottom"/>
          </w:tcPr>
          <w:p>
            <w:pPr>
              <w:ind w:left="60"/>
              <w:spacing w:after="0"/>
              <w:rPr>
                <w:sz w:val="20"/>
                <w:szCs w:val="20"/>
                <w:color w:val="auto"/>
              </w:rPr>
            </w:pPr>
            <w:r>
              <w:rPr>
                <w:rFonts w:ascii="Arial" w:cs="Arial" w:eastAsia="Arial" w:hAnsi="Arial"/>
                <w:sz w:val="12"/>
                <w:szCs w:val="12"/>
                <w:color w:val="auto"/>
              </w:rPr>
              <w:t>Deferred financing costs</w:t>
            </w:r>
          </w:p>
        </w:tc>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13,439</w:t>
            </w:r>
          </w:p>
        </w:tc>
        <w:tc>
          <w:tcPr>
            <w:tcW w:w="0" w:type="dxa"/>
            <w:vAlign w:val="bottom"/>
          </w:tcPr>
          <w:p>
            <w:pPr>
              <w:spacing w:after="0"/>
              <w:rPr>
                <w:sz w:val="1"/>
                <w:szCs w:val="1"/>
                <w:color w:val="auto"/>
              </w:rPr>
            </w:pPr>
          </w:p>
        </w:tc>
      </w:tr>
      <w:tr>
        <w:trPr>
          <w:trHeight w:val="20"/>
        </w:trPr>
        <w:tc>
          <w:tcPr>
            <w:tcW w:w="3700" w:type="dxa"/>
            <w:vAlign w:val="bottom"/>
            <w:shd w:val="clear" w:color="auto" w:fill="000000"/>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7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224,448</w:t>
            </w:r>
          </w:p>
        </w:tc>
        <w:tc>
          <w:tcPr>
            <w:tcW w:w="240" w:type="dxa"/>
            <w:vAlign w:val="bottom"/>
          </w:tcPr>
          <w:p>
            <w:pPr>
              <w:spacing w:after="0"/>
              <w:rPr>
                <w:sz w:val="24"/>
                <w:szCs w:val="2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77,032</w:t>
            </w:r>
          </w:p>
        </w:tc>
        <w:tc>
          <w:tcPr>
            <w:tcW w:w="0" w:type="dxa"/>
            <w:vAlign w:val="bottom"/>
          </w:tcPr>
          <w:p>
            <w:pPr>
              <w:spacing w:after="0"/>
              <w:rPr>
                <w:sz w:val="1"/>
                <w:szCs w:val="1"/>
                <w:color w:val="auto"/>
              </w:rPr>
            </w:pPr>
          </w:p>
        </w:tc>
      </w:tr>
      <w:tr>
        <w:trPr>
          <w:trHeight w:val="20"/>
        </w:trPr>
        <w:tc>
          <w:tcPr>
            <w:tcW w:w="3700" w:type="dxa"/>
            <w:vAlign w:val="bottom"/>
            <w:tcBorders>
              <w:top w:val="single" w:sz="8" w:color="auto"/>
              <w:bottom w:val="single" w:sz="8" w:color="auto"/>
            </w:tcBorders>
          </w:tcPr>
          <w:p>
            <w:pPr>
              <w:spacing w:after="0" w:line="20" w:lineRule="exact"/>
              <w:rPr>
                <w:sz w:val="1"/>
                <w:szCs w:val="1"/>
                <w:color w:val="auto"/>
              </w:rPr>
            </w:pPr>
          </w:p>
        </w:tc>
        <w:tc>
          <w:tcPr>
            <w:tcW w:w="4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700" w:type="dxa"/>
            <w:vAlign w:val="bottom"/>
            <w:vMerge w:val="restart"/>
          </w:tcPr>
          <w:p>
            <w:pPr>
              <w:spacing w:after="0"/>
              <w:rPr>
                <w:sz w:val="20"/>
                <w:szCs w:val="20"/>
                <w:color w:val="auto"/>
              </w:rPr>
            </w:pPr>
            <w:r>
              <w:rPr>
                <w:rFonts w:ascii="Arial" w:cs="Arial" w:eastAsia="Arial" w:hAnsi="Arial"/>
                <w:sz w:val="12"/>
                <w:szCs w:val="12"/>
                <w:b w:val="1"/>
                <w:bCs w:val="1"/>
                <w:color w:val="auto"/>
              </w:rPr>
              <w:t>Current Liabilities</w:t>
            </w:r>
          </w:p>
        </w:tc>
        <w:tc>
          <w:tcPr>
            <w:tcW w:w="5200" w:type="dxa"/>
            <w:vAlign w:val="bottom"/>
            <w:gridSpan w:val="3"/>
          </w:tcPr>
          <w:p>
            <w:pPr>
              <w:jc w:val="right"/>
              <w:ind w:right="1550"/>
              <w:spacing w:after="0"/>
              <w:rPr>
                <w:sz w:val="20"/>
                <w:szCs w:val="20"/>
                <w:color w:val="auto"/>
              </w:rPr>
            </w:pPr>
            <w:r>
              <w:rPr>
                <w:rFonts w:ascii="Arial" w:cs="Arial" w:eastAsia="Arial" w:hAnsi="Arial"/>
                <w:sz w:val="12"/>
                <w:szCs w:val="12"/>
                <w:b w:val="1"/>
                <w:bCs w:val="1"/>
                <w:color w:val="auto"/>
              </w:rPr>
              <w:t>LIABILITIES AND STOCKHOLDERS’ EQUITY (DEFICIT)</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370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700" w:type="dxa"/>
            <w:vAlign w:val="bottom"/>
          </w:tcPr>
          <w:p>
            <w:pPr>
              <w:ind w:left="40"/>
              <w:spacing w:after="0"/>
              <w:rPr>
                <w:sz w:val="20"/>
                <w:szCs w:val="20"/>
                <w:color w:val="auto"/>
              </w:rPr>
            </w:pPr>
            <w:r>
              <w:rPr>
                <w:rFonts w:ascii="Arial" w:cs="Arial" w:eastAsia="Arial" w:hAnsi="Arial"/>
                <w:sz w:val="12"/>
                <w:szCs w:val="12"/>
                <w:color w:val="auto"/>
              </w:rPr>
              <w:t>Accounts payable and accrued liabilities</w:t>
            </w:r>
          </w:p>
        </w:tc>
        <w:tc>
          <w:tcPr>
            <w:tcW w:w="5200" w:type="dxa"/>
            <w:vAlign w:val="bottom"/>
            <w:gridSpan w:val="3"/>
          </w:tcPr>
          <w:p>
            <w:pPr>
              <w:jc w:val="right"/>
              <w:ind w:right="5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693,362</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3,778,401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ind w:left="60"/>
              <w:spacing w:after="0"/>
              <w:rPr>
                <w:sz w:val="20"/>
                <w:szCs w:val="20"/>
                <w:color w:val="auto"/>
              </w:rPr>
            </w:pPr>
            <w:r>
              <w:rPr>
                <w:rFonts w:ascii="Arial" w:cs="Arial" w:eastAsia="Arial" w:hAnsi="Arial"/>
                <w:sz w:val="12"/>
                <w:szCs w:val="12"/>
                <w:color w:val="auto"/>
              </w:rPr>
              <w:t>Research agreement obligations</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492,365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492,365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ind w:left="60"/>
              <w:spacing w:after="0"/>
              <w:rPr>
                <w:sz w:val="20"/>
                <w:szCs w:val="20"/>
                <w:color w:val="auto"/>
              </w:rPr>
            </w:pPr>
            <w:r>
              <w:rPr>
                <w:rFonts w:ascii="Arial" w:cs="Arial" w:eastAsia="Arial" w:hAnsi="Arial"/>
                <w:sz w:val="12"/>
                <w:szCs w:val="12"/>
                <w:color w:val="auto"/>
              </w:rPr>
              <w:t>Derivative liability – conversion option</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582,300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ind w:left="60"/>
              <w:spacing w:after="0"/>
              <w:rPr>
                <w:sz w:val="20"/>
                <w:szCs w:val="20"/>
                <w:color w:val="auto"/>
              </w:rPr>
            </w:pPr>
            <w:r>
              <w:rPr>
                <w:rFonts w:ascii="Arial" w:cs="Arial" w:eastAsia="Arial" w:hAnsi="Arial"/>
                <w:sz w:val="12"/>
                <w:szCs w:val="12"/>
                <w:color w:val="auto"/>
              </w:rPr>
              <w:t>Derivative liability – warrants</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9,415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140,504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ind w:left="60"/>
              <w:spacing w:after="0"/>
              <w:rPr>
                <w:sz w:val="20"/>
                <w:szCs w:val="20"/>
                <w:color w:val="auto"/>
              </w:rPr>
            </w:pPr>
            <w:r>
              <w:rPr>
                <w:rFonts w:ascii="Arial" w:cs="Arial" w:eastAsia="Arial" w:hAnsi="Arial"/>
                <w:sz w:val="12"/>
                <w:szCs w:val="12"/>
                <w:color w:val="auto"/>
              </w:rPr>
              <w:t>Convertible notes payable</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3,161,977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ind w:left="60"/>
              <w:spacing w:after="0"/>
              <w:rPr>
                <w:sz w:val="20"/>
                <w:szCs w:val="20"/>
                <w:color w:val="auto"/>
              </w:rPr>
            </w:pPr>
            <w:r>
              <w:rPr>
                <w:rFonts w:ascii="Arial" w:cs="Arial" w:eastAsia="Arial" w:hAnsi="Arial"/>
                <w:sz w:val="12"/>
                <w:szCs w:val="12"/>
                <w:color w:val="auto"/>
              </w:rPr>
              <w:t>Loans payable, related party (2013 - $5,200)</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42,200</w:t>
            </w:r>
          </w:p>
        </w:tc>
        <w:tc>
          <w:tcPr>
            <w:tcW w:w="0" w:type="dxa"/>
            <w:vAlign w:val="bottom"/>
          </w:tcPr>
          <w:p>
            <w:pPr>
              <w:spacing w:after="0"/>
              <w:rPr>
                <w:sz w:val="1"/>
                <w:szCs w:val="1"/>
                <w:color w:val="auto"/>
              </w:rPr>
            </w:pPr>
          </w:p>
        </w:tc>
      </w:tr>
      <w:tr>
        <w:trPr>
          <w:trHeight w:val="145"/>
        </w:trPr>
        <w:tc>
          <w:tcPr>
            <w:tcW w:w="3700" w:type="dxa"/>
            <w:vAlign w:val="bottom"/>
          </w:tcPr>
          <w:p>
            <w:pPr>
              <w:ind w:left="60"/>
              <w:spacing w:after="0"/>
              <w:rPr>
                <w:sz w:val="20"/>
                <w:szCs w:val="20"/>
                <w:color w:val="auto"/>
              </w:rPr>
            </w:pPr>
            <w:r>
              <w:rPr>
                <w:rFonts w:ascii="Arial" w:cs="Arial" w:eastAsia="Arial" w:hAnsi="Arial"/>
                <w:sz w:val="12"/>
                <w:szCs w:val="12"/>
                <w:color w:val="auto"/>
              </w:rPr>
              <w:t>Promissory notes, related party</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52,942</w:t>
            </w: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277,942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Due to related parties</w:t>
            </w:r>
          </w:p>
        </w:tc>
        <w:tc>
          <w:tcPr>
            <w:tcW w:w="4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369,346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700" w:type="dxa"/>
            <w:vAlign w:val="bottom"/>
            <w:tcBorders>
              <w:bottom w:val="single" w:sz="8" w:color="auto"/>
            </w:tcBorders>
          </w:tcPr>
          <w:p>
            <w:pPr>
              <w:spacing w:after="0"/>
              <w:rPr>
                <w:sz w:val="12"/>
                <w:szCs w:val="12"/>
                <w:color w:val="auto"/>
              </w:rPr>
            </w:pPr>
          </w:p>
        </w:tc>
        <w:tc>
          <w:tcPr>
            <w:tcW w:w="4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1,248,084</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8,845,035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3700" w:type="dxa"/>
            <w:vAlign w:val="bottom"/>
          </w:tcPr>
          <w:p>
            <w:pPr>
              <w:spacing w:after="0"/>
              <w:rPr>
                <w:sz w:val="20"/>
                <w:szCs w:val="20"/>
                <w:color w:val="auto"/>
              </w:rPr>
            </w:pPr>
            <w:r>
              <w:rPr>
                <w:rFonts w:ascii="Arial" w:cs="Arial" w:eastAsia="Arial" w:hAnsi="Arial"/>
                <w:sz w:val="12"/>
                <w:szCs w:val="12"/>
                <w:b w:val="1"/>
                <w:bCs w:val="1"/>
                <w:color w:val="auto"/>
              </w:rPr>
              <w:t>COMMITMENTS AND CONTINGENCIES</w:t>
            </w:r>
          </w:p>
        </w:tc>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700" w:type="dxa"/>
            <w:vAlign w:val="bottom"/>
          </w:tcPr>
          <w:p>
            <w:pPr>
              <w:spacing w:after="0"/>
              <w:rPr>
                <w:sz w:val="20"/>
                <w:szCs w:val="20"/>
                <w:color w:val="auto"/>
              </w:rPr>
            </w:pPr>
            <w:r>
              <w:rPr>
                <w:rFonts w:ascii="Arial" w:cs="Arial" w:eastAsia="Arial" w:hAnsi="Arial"/>
                <w:sz w:val="12"/>
                <w:szCs w:val="12"/>
                <w:b w:val="1"/>
                <w:bCs w:val="1"/>
                <w:color w:val="auto"/>
              </w:rPr>
              <w:t>Stockholders’ Equity (Deficit)</w:t>
            </w:r>
          </w:p>
        </w:tc>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8900" w:type="dxa"/>
            <w:vAlign w:val="bottom"/>
            <w:gridSpan w:val="4"/>
          </w:tcPr>
          <w:p>
            <w:pPr>
              <w:spacing w:after="0"/>
              <w:rPr>
                <w:sz w:val="20"/>
                <w:szCs w:val="20"/>
                <w:color w:val="auto"/>
              </w:rPr>
            </w:pPr>
            <w:r>
              <w:rPr>
                <w:rFonts w:ascii="Arial" w:cs="Arial" w:eastAsia="Arial" w:hAnsi="Arial"/>
                <w:sz w:val="12"/>
                <w:szCs w:val="12"/>
                <w:color w:val="auto"/>
              </w:rPr>
              <w:t>Convertible preferred stock, $0.001 par value — 5,000,000 shares authorized:</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900" w:type="dxa"/>
            <w:vAlign w:val="bottom"/>
            <w:gridSpan w:val="4"/>
          </w:tcPr>
          <w:p>
            <w:pPr>
              <w:ind w:left="100"/>
              <w:spacing w:after="0"/>
              <w:rPr>
                <w:sz w:val="20"/>
                <w:szCs w:val="20"/>
                <w:color w:val="auto"/>
              </w:rPr>
            </w:pPr>
            <w:r>
              <w:rPr>
                <w:rFonts w:ascii="Arial" w:cs="Arial" w:eastAsia="Arial" w:hAnsi="Arial"/>
                <w:sz w:val="12"/>
                <w:szCs w:val="12"/>
                <w:color w:val="auto"/>
              </w:rPr>
              <w:t>Series A, $0.001 par value, 1,250,000 shares designated, -0- shares issued and outstanding as of December 31, 2014 and December 31, 2013</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ind w:left="100"/>
              <w:spacing w:after="0"/>
              <w:rPr>
                <w:sz w:val="20"/>
                <w:szCs w:val="20"/>
                <w:color w:val="auto"/>
              </w:rPr>
            </w:pPr>
            <w:r>
              <w:rPr>
                <w:rFonts w:ascii="Arial" w:cs="Arial" w:eastAsia="Arial" w:hAnsi="Arial"/>
                <w:sz w:val="12"/>
                <w:szCs w:val="12"/>
                <w:color w:val="auto"/>
                <w:w w:val="89"/>
              </w:rPr>
              <w:t>Series B, $0.001 par value, 1,500,000 shares designated, -0- shares issued</w:t>
            </w:r>
          </w:p>
        </w:tc>
        <w:tc>
          <w:tcPr>
            <w:tcW w:w="5200" w:type="dxa"/>
            <w:vAlign w:val="bottom"/>
            <w:gridSpan w:val="3"/>
          </w:tcPr>
          <w:p>
            <w:pPr>
              <w:jc w:val="right"/>
              <w:ind w:right="1930"/>
              <w:spacing w:after="0"/>
              <w:rPr>
                <w:sz w:val="20"/>
                <w:szCs w:val="20"/>
                <w:color w:val="auto"/>
              </w:rPr>
            </w:pPr>
            <w:r>
              <w:rPr>
                <w:rFonts w:ascii="Arial" w:cs="Arial" w:eastAsia="Arial" w:hAnsi="Arial"/>
                <w:sz w:val="12"/>
                <w:szCs w:val="12"/>
                <w:color w:val="auto"/>
                <w:w w:val="89"/>
              </w:rPr>
              <w:t>and outstanding as of December 31, 2014 and December 31, 2013</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spacing w:after="0"/>
              <w:rPr>
                <w:sz w:val="20"/>
                <w:szCs w:val="20"/>
                <w:color w:val="auto"/>
              </w:rPr>
            </w:pPr>
            <w:r>
              <w:rPr>
                <w:rFonts w:ascii="Arial" w:cs="Arial" w:eastAsia="Arial" w:hAnsi="Arial"/>
                <w:sz w:val="12"/>
                <w:szCs w:val="12"/>
                <w:color w:val="auto"/>
              </w:rPr>
              <w:t>Common stock, $0.001 par value, 500,000,000 shares authorized</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spacing w:after="0"/>
              <w:rPr>
                <w:sz w:val="20"/>
                <w:szCs w:val="20"/>
                <w:color w:val="auto"/>
              </w:rPr>
            </w:pPr>
            <w:r>
              <w:rPr>
                <w:rFonts w:ascii="Arial" w:cs="Arial" w:eastAsia="Arial" w:hAnsi="Arial"/>
                <w:sz w:val="12"/>
                <w:szCs w:val="12"/>
                <w:color w:val="auto"/>
              </w:rPr>
              <w:t>20,318,815 shares issued and outstanding (2013 – 1,465,712)</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20,319</w:t>
            </w: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1,466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85,265,776</w:t>
            </w: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46,715,500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spacing w:after="0"/>
              <w:rPr>
                <w:sz w:val="20"/>
                <w:szCs w:val="20"/>
                <w:color w:val="auto"/>
              </w:rPr>
            </w:pPr>
            <w:r>
              <w:rPr>
                <w:rFonts w:ascii="Arial" w:cs="Arial" w:eastAsia="Arial" w:hAnsi="Arial"/>
                <w:sz w:val="12"/>
                <w:szCs w:val="12"/>
                <w:color w:val="auto"/>
              </w:rPr>
              <w:t>Accumulated deficit</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(86,309,731)</w:t>
            </w:r>
          </w:p>
        </w:tc>
        <w:tc>
          <w:tcPr>
            <w:tcW w:w="16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(55,426,635)</w:t>
            </w:r>
          </w:p>
        </w:tc>
        <w:tc>
          <w:tcPr>
            <w:tcW w:w="0" w:type="dxa"/>
            <w:vAlign w:val="bottom"/>
          </w:tcPr>
          <w:p>
            <w:pPr>
              <w:spacing w:after="0"/>
              <w:rPr>
                <w:sz w:val="1"/>
                <w:szCs w:val="1"/>
                <w:color w:val="auto"/>
              </w:rPr>
            </w:pPr>
          </w:p>
        </w:tc>
      </w:tr>
      <w:tr>
        <w:trPr>
          <w:trHeight w:val="154"/>
        </w:trPr>
        <w:tc>
          <w:tcPr>
            <w:tcW w:w="3700" w:type="dxa"/>
            <w:vAlign w:val="bottom"/>
          </w:tcPr>
          <w:p>
            <w:pPr>
              <w:spacing w:after="0"/>
              <w:rPr>
                <w:sz w:val="20"/>
                <w:szCs w:val="20"/>
                <w:color w:val="auto"/>
              </w:rPr>
            </w:pPr>
            <w:r>
              <w:rPr>
                <w:rFonts w:ascii="Arial" w:cs="Arial" w:eastAsia="Arial" w:hAnsi="Arial"/>
                <w:sz w:val="12"/>
                <w:szCs w:val="12"/>
                <w:color w:val="auto"/>
              </w:rPr>
              <w:t>Accumulated other comprehensive loss</w:t>
            </w:r>
          </w:p>
        </w:tc>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(58,334)</w:t>
            </w:r>
          </w:p>
        </w:tc>
        <w:tc>
          <w:tcPr>
            <w:tcW w:w="0" w:type="dxa"/>
            <w:vAlign w:val="bottom"/>
          </w:tcPr>
          <w:p>
            <w:pPr>
              <w:spacing w:after="0"/>
              <w:rPr>
                <w:sz w:val="1"/>
                <w:szCs w:val="1"/>
                <w:color w:val="auto"/>
              </w:rPr>
            </w:pPr>
          </w:p>
        </w:tc>
      </w:tr>
      <w:tr>
        <w:trPr>
          <w:trHeight w:val="143"/>
        </w:trPr>
        <w:tc>
          <w:tcPr>
            <w:tcW w:w="3700" w:type="dxa"/>
            <w:vAlign w:val="bottom"/>
            <w:tcBorders>
              <w:top w:val="single" w:sz="8" w:color="auto"/>
              <w:bottom w:val="single" w:sz="8" w:color="auto"/>
            </w:tcBorders>
          </w:tcPr>
          <w:p>
            <w:pPr>
              <w:spacing w:after="0"/>
              <w:rPr>
                <w:sz w:val="12"/>
                <w:szCs w:val="12"/>
                <w:color w:val="auto"/>
              </w:rPr>
            </w:pPr>
          </w:p>
        </w:tc>
        <w:tc>
          <w:tcPr>
            <w:tcW w:w="49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(1,023,636</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(8,768,003</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88"/>
        </w:trPr>
        <w:tc>
          <w:tcPr>
            <w:tcW w:w="3700" w:type="dxa"/>
            <w:vAlign w:val="bottom"/>
          </w:tcPr>
          <w:p>
            <w:pPr>
              <w:spacing w:after="0"/>
              <w:rPr>
                <w:sz w:val="24"/>
                <w:szCs w:val="24"/>
                <w:color w:val="auto"/>
              </w:rPr>
            </w:pPr>
          </w:p>
        </w:tc>
        <w:tc>
          <w:tcPr>
            <w:tcW w:w="5200" w:type="dxa"/>
            <w:vAlign w:val="bottom"/>
            <w:gridSpan w:val="3"/>
          </w:tcPr>
          <w:p>
            <w:pPr>
              <w:jc w:val="right"/>
              <w:ind w:right="5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224,448</w:t>
            </w:r>
          </w:p>
        </w:tc>
        <w:tc>
          <w:tcPr>
            <w:tcW w:w="240" w:type="dxa"/>
            <w:vAlign w:val="bottom"/>
          </w:tcPr>
          <w:p>
            <w:pPr>
              <w:spacing w:after="0"/>
              <w:rPr>
                <w:sz w:val="24"/>
                <w:szCs w:val="2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77,032</w:t>
            </w:r>
          </w:p>
        </w:tc>
        <w:tc>
          <w:tcPr>
            <w:tcW w:w="0" w:type="dxa"/>
            <w:vAlign w:val="bottom"/>
          </w:tcPr>
          <w:p>
            <w:pPr>
              <w:spacing w:after="0"/>
              <w:rPr>
                <w:sz w:val="1"/>
                <w:szCs w:val="1"/>
                <w:color w:val="auto"/>
              </w:rPr>
            </w:pPr>
          </w:p>
        </w:tc>
      </w:tr>
      <w:tr>
        <w:trPr>
          <w:trHeight w:val="20"/>
        </w:trPr>
        <w:tc>
          <w:tcPr>
            <w:tcW w:w="3700" w:type="dxa"/>
            <w:vAlign w:val="bottom"/>
            <w:tcBorders>
              <w:top w:val="single" w:sz="8" w:color="auto"/>
              <w:bottom w:val="single" w:sz="8" w:color="auto"/>
            </w:tcBorders>
          </w:tcPr>
          <w:p>
            <w:pPr>
              <w:spacing w:after="0" w:line="20" w:lineRule="exact"/>
              <w:rPr>
                <w:sz w:val="1"/>
                <w:szCs w:val="1"/>
                <w:color w:val="auto"/>
              </w:rPr>
            </w:pPr>
          </w:p>
        </w:tc>
        <w:tc>
          <w:tcPr>
            <w:tcW w:w="4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3" w:right="19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2"/>
          <w:szCs w:val="12"/>
          <w:b w:val="1"/>
          <w:bCs w:val="1"/>
          <w:color w:val="auto"/>
        </w:rPr>
        <w:t>TAPIMMUNE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2"/>
                <w:szCs w:val="12"/>
                <w:color w:val="auto"/>
                <w:w w:val="88"/>
              </w:rPr>
              <w:t>Year Ended</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2"/>
                <w:szCs w:val="12"/>
                <w:color w:val="auto"/>
                <w:w w:val="88"/>
              </w:rPr>
              <w:t>Year Ended</w:t>
            </w:r>
          </w:p>
        </w:tc>
      </w:tr>
      <w:tr>
        <w:trPr>
          <w:trHeight w:val="145"/>
        </w:trPr>
        <w:tc>
          <w:tcPr>
            <w:tcW w:w="8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2"/>
                <w:szCs w:val="12"/>
                <w:color w:val="auto"/>
                <w:w w:val="90"/>
              </w:rPr>
              <w:t>December 31,</w:t>
            </w:r>
          </w:p>
        </w:tc>
        <w:tc>
          <w:tcPr>
            <w:tcW w:w="16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December 31,</w:t>
            </w:r>
          </w:p>
        </w:tc>
      </w:tr>
      <w:tr>
        <w:trPr>
          <w:trHeight w:val="154"/>
        </w:trPr>
        <w:tc>
          <w:tcPr>
            <w:tcW w:w="8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color w:val="auto"/>
                <w:w w:val="89"/>
              </w:rPr>
              <w:t>2014</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color w:val="auto"/>
                <w:w w:val="89"/>
              </w:rPr>
              <w:t>2013</w:t>
            </w:r>
          </w:p>
        </w:tc>
        <w:tc>
          <w:tcPr>
            <w:tcW w:w="140" w:type="dxa"/>
            <w:vAlign w:val="bottom"/>
          </w:tcPr>
          <w:p>
            <w:pPr>
              <w:spacing w:after="0"/>
              <w:rPr>
                <w:sz w:val="13"/>
                <w:szCs w:val="13"/>
                <w:color w:val="auto"/>
              </w:rPr>
            </w:pPr>
          </w:p>
        </w:tc>
      </w:tr>
      <w:tr>
        <w:trPr>
          <w:trHeight w:val="279"/>
        </w:trPr>
        <w:tc>
          <w:tcPr>
            <w:tcW w:w="862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General and administrative</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3,181,927</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1,966,683</w:t>
            </w:r>
          </w:p>
        </w:tc>
        <w:tc>
          <w:tcPr>
            <w:tcW w:w="140" w:type="dxa"/>
            <w:vAlign w:val="bottom"/>
          </w:tcPr>
          <w:p>
            <w:pPr>
              <w:spacing w:after="0"/>
              <w:rPr>
                <w:sz w:val="12"/>
                <w:szCs w:val="12"/>
                <w:color w:val="auto"/>
              </w:rPr>
            </w:pPr>
          </w:p>
        </w:tc>
      </w:tr>
      <w:tr>
        <w:trPr>
          <w:trHeight w:val="154"/>
        </w:trPr>
        <w:tc>
          <w:tcPr>
            <w:tcW w:w="86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Research and development</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189,000</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697,634</w:t>
            </w:r>
          </w:p>
        </w:tc>
        <w:tc>
          <w:tcPr>
            <w:tcW w:w="140" w:type="dxa"/>
            <w:vAlign w:val="bottom"/>
          </w:tcPr>
          <w:p>
            <w:pPr>
              <w:spacing w:after="0"/>
              <w:rPr>
                <w:sz w:val="13"/>
                <w:szCs w:val="13"/>
                <w:color w:val="auto"/>
              </w:rPr>
            </w:pPr>
          </w:p>
        </w:tc>
      </w:tr>
      <w:tr>
        <w:trPr>
          <w:trHeight w:val="288"/>
        </w:trPr>
        <w:tc>
          <w:tcPr>
            <w:tcW w:w="8620" w:type="dxa"/>
            <w:vAlign w:val="bottom"/>
          </w:tcPr>
          <w:p>
            <w:pPr>
              <w:spacing w:after="0"/>
              <w:rPr>
                <w:sz w:val="20"/>
                <w:szCs w:val="20"/>
                <w:color w:val="auto"/>
              </w:rPr>
            </w:pPr>
            <w:r>
              <w:rPr>
                <w:rFonts w:ascii="Arial" w:cs="Arial" w:eastAsia="Arial" w:hAnsi="Arial"/>
                <w:sz w:val="12"/>
                <w:szCs w:val="12"/>
                <w:b w:val="1"/>
                <w:bCs w:val="1"/>
                <w:color w:val="auto"/>
              </w:rPr>
              <w:t>Loss from Operations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(3,370,927)</w:t>
            </w:r>
          </w:p>
        </w:tc>
        <w:tc>
          <w:tcPr>
            <w:tcW w:w="16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(2,664,317)</w:t>
            </w:r>
          </w:p>
        </w:tc>
      </w:tr>
      <w:tr>
        <w:trPr>
          <w:trHeight w:val="281"/>
        </w:trPr>
        <w:tc>
          <w:tcPr>
            <w:tcW w:w="8620" w:type="dxa"/>
            <w:vAlign w:val="bottom"/>
          </w:tcPr>
          <w:p>
            <w:pPr>
              <w:spacing w:after="0"/>
              <w:rPr>
                <w:sz w:val="20"/>
                <w:szCs w:val="20"/>
                <w:color w:val="auto"/>
              </w:rPr>
            </w:pPr>
            <w:r>
              <w:rPr>
                <w:rFonts w:ascii="Arial" w:cs="Arial" w:eastAsia="Arial" w:hAnsi="Arial"/>
                <w:sz w:val="12"/>
                <w:szCs w:val="12"/>
                <w:b w:val="1"/>
                <w:bCs w:val="1"/>
                <w:color w:val="auto"/>
              </w:rPr>
              <w:t>Other Income (Expense)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Foreign exchange (loss) gain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(52,976)</w:t>
            </w: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5,896</w:t>
            </w:r>
          </w:p>
        </w:tc>
        <w:tc>
          <w:tcPr>
            <w:tcW w:w="140" w:type="dxa"/>
            <w:vAlign w:val="bottom"/>
          </w:tcPr>
          <w:p>
            <w:pPr>
              <w:spacing w:after="0"/>
              <w:rPr>
                <w:sz w:val="12"/>
                <w:szCs w:val="12"/>
                <w:color w:val="auto"/>
              </w:rPr>
            </w:pPr>
          </w:p>
        </w:tc>
      </w:tr>
      <w:tr>
        <w:trPr>
          <w:trHeight w:val="145"/>
        </w:trPr>
        <w:tc>
          <w:tcPr>
            <w:tcW w:w="8620" w:type="dxa"/>
            <w:vAlign w:val="bottom"/>
          </w:tcPr>
          <w:p>
            <w:pPr>
              <w:ind w:left="120"/>
              <w:spacing w:after="0"/>
              <w:rPr>
                <w:sz w:val="20"/>
                <w:szCs w:val="20"/>
                <w:color w:val="auto"/>
              </w:rPr>
            </w:pPr>
            <w:r>
              <w:rPr>
                <w:rFonts w:ascii="Arial" w:cs="Arial" w:eastAsia="Arial" w:hAnsi="Arial"/>
                <w:sz w:val="12"/>
                <w:szCs w:val="12"/>
                <w:color w:val="auto"/>
              </w:rPr>
              <w:t>Changes in fair value of derivative liabilities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581</w:t>
            </w: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1,546,257</w:t>
            </w:r>
          </w:p>
        </w:tc>
        <w:tc>
          <w:tcPr>
            <w:tcW w:w="140" w:type="dxa"/>
            <w:vAlign w:val="bottom"/>
          </w:tcPr>
          <w:p>
            <w:pPr>
              <w:spacing w:after="0"/>
              <w:rPr>
                <w:sz w:val="12"/>
                <w:szCs w:val="12"/>
                <w:color w:val="auto"/>
              </w:rPr>
            </w:pPr>
          </w:p>
        </w:tc>
      </w:tr>
      <w:tr>
        <w:trPr>
          <w:trHeight w:val="145"/>
        </w:trPr>
        <w:tc>
          <w:tcPr>
            <w:tcW w:w="8620" w:type="dxa"/>
            <w:vAlign w:val="bottom"/>
          </w:tcPr>
          <w:p>
            <w:pPr>
              <w:ind w:left="120"/>
              <w:spacing w:after="0"/>
              <w:rPr>
                <w:sz w:val="20"/>
                <w:szCs w:val="20"/>
                <w:color w:val="auto"/>
              </w:rPr>
            </w:pPr>
            <w:r>
              <w:rPr>
                <w:rFonts w:ascii="Arial" w:cs="Arial" w:eastAsia="Arial" w:hAnsi="Arial"/>
                <w:sz w:val="12"/>
                <w:szCs w:val="12"/>
                <w:color w:val="auto"/>
              </w:rPr>
              <w:t>Accretion of discount on convertible notes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(492,296)</w:t>
            </w:r>
          </w:p>
        </w:tc>
        <w:tc>
          <w:tcPr>
            <w:tcW w:w="16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(1,110,831)</w:t>
            </w:r>
          </w:p>
        </w:tc>
      </w:tr>
      <w:tr>
        <w:trPr>
          <w:trHeight w:val="145"/>
        </w:trPr>
        <w:tc>
          <w:tcPr>
            <w:tcW w:w="8620" w:type="dxa"/>
            <w:vAlign w:val="bottom"/>
          </w:tcPr>
          <w:p>
            <w:pPr>
              <w:ind w:left="120"/>
              <w:spacing w:after="0"/>
              <w:rPr>
                <w:sz w:val="20"/>
                <w:szCs w:val="20"/>
                <w:color w:val="auto"/>
              </w:rPr>
            </w:pPr>
            <w:r>
              <w:rPr>
                <w:rFonts w:ascii="Arial" w:cs="Arial" w:eastAsia="Arial" w:hAnsi="Arial"/>
                <w:sz w:val="12"/>
                <w:szCs w:val="12"/>
                <w:color w:val="auto"/>
              </w:rPr>
              <w:t>Interest and financing charges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(83,247)</w:t>
            </w:r>
          </w:p>
        </w:tc>
        <w:tc>
          <w:tcPr>
            <w:tcW w:w="16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(645,562)</w:t>
            </w:r>
          </w:p>
        </w:tc>
      </w:tr>
      <w:tr>
        <w:trPr>
          <w:trHeight w:val="145"/>
        </w:trPr>
        <w:tc>
          <w:tcPr>
            <w:tcW w:w="8620" w:type="dxa"/>
            <w:vAlign w:val="bottom"/>
          </w:tcPr>
          <w:p>
            <w:pPr>
              <w:ind w:left="120"/>
              <w:spacing w:after="0"/>
              <w:rPr>
                <w:sz w:val="20"/>
                <w:szCs w:val="20"/>
                <w:color w:val="auto"/>
              </w:rPr>
            </w:pPr>
            <w:r>
              <w:rPr>
                <w:rFonts w:ascii="Arial" w:cs="Arial" w:eastAsia="Arial" w:hAnsi="Arial"/>
                <w:sz w:val="12"/>
                <w:szCs w:val="12"/>
                <w:color w:val="auto"/>
              </w:rPr>
              <w:t>Loss on extinguishment of debt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(26,884,231)</w:t>
            </w:r>
          </w:p>
        </w:tc>
        <w:tc>
          <w:tcPr>
            <w:tcW w:w="16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(2,560,045)</w:t>
            </w:r>
          </w:p>
        </w:tc>
      </w:tr>
      <w:tr>
        <w:trPr>
          <w:trHeight w:val="154"/>
        </w:trPr>
        <w:tc>
          <w:tcPr>
            <w:tcW w:w="8620" w:type="dxa"/>
            <w:vAlign w:val="bottom"/>
          </w:tcPr>
          <w:p>
            <w:pPr>
              <w:ind w:left="120"/>
              <w:spacing w:after="0"/>
              <w:rPr>
                <w:sz w:val="20"/>
                <w:szCs w:val="20"/>
                <w:color w:val="auto"/>
              </w:rPr>
            </w:pPr>
            <w:r>
              <w:rPr>
                <w:rFonts w:ascii="Arial" w:cs="Arial" w:eastAsia="Arial" w:hAnsi="Arial"/>
                <w:sz w:val="12"/>
                <w:szCs w:val="12"/>
                <w:color w:val="auto"/>
              </w:rPr>
              <w:t>Loss on lawsuit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(103,950)</w:t>
            </w:r>
          </w:p>
        </w:tc>
      </w:tr>
      <w:tr>
        <w:trPr>
          <w:trHeight w:val="20"/>
        </w:trPr>
        <w:tc>
          <w:tcPr>
            <w:tcW w:w="8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8"/>
        </w:trPr>
        <w:tc>
          <w:tcPr>
            <w:tcW w:w="8620" w:type="dxa"/>
            <w:vAlign w:val="bottom"/>
          </w:tcPr>
          <w:p>
            <w:pPr>
              <w:spacing w:after="0"/>
              <w:rPr>
                <w:sz w:val="20"/>
                <w:szCs w:val="20"/>
                <w:color w:val="auto"/>
              </w:rPr>
            </w:pPr>
            <w:r>
              <w:rPr>
                <w:rFonts w:ascii="Arial" w:cs="Arial" w:eastAsia="Arial" w:hAnsi="Arial"/>
                <w:sz w:val="12"/>
                <w:szCs w:val="12"/>
                <w:b w:val="1"/>
                <w:bCs w:val="1"/>
                <w:color w:val="auto"/>
              </w:rPr>
              <w:t>Net Loss for the Period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(30,883,096)</w:t>
            </w:r>
          </w:p>
        </w:tc>
        <w:tc>
          <w:tcPr>
            <w:tcW w:w="16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(5,532,552)</w:t>
            </w:r>
          </w:p>
        </w:tc>
      </w:tr>
      <w:tr>
        <w:trPr>
          <w:trHeight w:val="279"/>
        </w:trPr>
        <w:tc>
          <w:tcPr>
            <w:tcW w:w="86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Other comprehensive income</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54"/>
        </w:trPr>
        <w:tc>
          <w:tcPr>
            <w:tcW w:w="86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Foreign exchange translation adjustment</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58,334</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3,314</w:t>
            </w:r>
          </w:p>
        </w:tc>
        <w:tc>
          <w:tcPr>
            <w:tcW w:w="140" w:type="dxa"/>
            <w:vAlign w:val="bottom"/>
          </w:tcPr>
          <w:p>
            <w:pPr>
              <w:spacing w:after="0"/>
              <w:rPr>
                <w:sz w:val="13"/>
                <w:szCs w:val="13"/>
                <w:color w:val="auto"/>
              </w:rPr>
            </w:pPr>
          </w:p>
        </w:tc>
      </w:tr>
      <w:tr>
        <w:trPr>
          <w:trHeight w:val="288"/>
        </w:trPr>
        <w:tc>
          <w:tcPr>
            <w:tcW w:w="8620" w:type="dxa"/>
            <w:vAlign w:val="bottom"/>
          </w:tcPr>
          <w:p>
            <w:pPr>
              <w:spacing w:after="0"/>
              <w:rPr>
                <w:sz w:val="20"/>
                <w:szCs w:val="20"/>
                <w:color w:val="auto"/>
              </w:rPr>
            </w:pPr>
            <w:r>
              <w:rPr>
                <w:rFonts w:ascii="Arial" w:cs="Arial" w:eastAsia="Arial" w:hAnsi="Arial"/>
                <w:sz w:val="12"/>
                <w:szCs w:val="12"/>
                <w:b w:val="1"/>
                <w:bCs w:val="1"/>
                <w:color w:val="auto"/>
              </w:rPr>
              <w:t>TOTAL COMPREHENSIVE LOSS</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00"/>
              <w:spacing w:after="0" w:line="270" w:lineRule="exact"/>
              <w:rPr>
                <w:sz w:val="20"/>
                <w:szCs w:val="20"/>
                <w:color w:val="auto"/>
              </w:rPr>
            </w:pPr>
            <w:r>
              <w:rPr>
                <w:rFonts w:ascii="Arial" w:cs="Arial" w:eastAsia="Arial" w:hAnsi="Arial"/>
                <w:sz w:val="12"/>
                <w:szCs w:val="12"/>
                <w:color w:val="auto"/>
              </w:rPr>
              <w:t>(30,824,762</w:t>
            </w:r>
            <w:r>
              <w:rPr>
                <w:rFonts w:ascii="Arial" w:cs="Arial" w:eastAsia="Arial" w:hAnsi="Arial"/>
                <w:sz w:val="24"/>
                <w:szCs w:val="24"/>
                <w:color w:val="auto"/>
                <w:vertAlign w:val="subscript"/>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00"/>
              <w:spacing w:after="0" w:line="270" w:lineRule="exact"/>
              <w:rPr>
                <w:sz w:val="20"/>
                <w:szCs w:val="20"/>
                <w:color w:val="auto"/>
              </w:rPr>
            </w:pPr>
            <w:r>
              <w:rPr>
                <w:rFonts w:ascii="Arial" w:cs="Arial" w:eastAsia="Arial" w:hAnsi="Arial"/>
                <w:sz w:val="12"/>
                <w:szCs w:val="12"/>
                <w:color w:val="auto"/>
              </w:rPr>
              <w:t>(5,529,238</w:t>
            </w:r>
            <w:r>
              <w:rPr>
                <w:rFonts w:ascii="Arial" w:cs="Arial" w:eastAsia="Arial" w:hAnsi="Arial"/>
                <w:sz w:val="24"/>
                <w:szCs w:val="24"/>
                <w:color w:val="auto"/>
                <w:vertAlign w:val="subscript"/>
              </w:rPr>
              <w:t>)</w:t>
            </w:r>
          </w:p>
        </w:tc>
      </w:tr>
      <w:tr>
        <w:trPr>
          <w:trHeight w:val="20"/>
        </w:trPr>
        <w:tc>
          <w:tcPr>
            <w:tcW w:w="8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3"/>
        </w:trPr>
        <w:tc>
          <w:tcPr>
            <w:tcW w:w="8620" w:type="dxa"/>
            <w:vAlign w:val="bottom"/>
          </w:tcPr>
          <w:p>
            <w:pPr>
              <w:spacing w:after="0"/>
              <w:rPr>
                <w:sz w:val="20"/>
                <w:szCs w:val="20"/>
                <w:color w:val="auto"/>
              </w:rPr>
            </w:pPr>
            <w:r>
              <w:rPr>
                <w:rFonts w:ascii="Arial" w:cs="Arial" w:eastAsia="Arial" w:hAnsi="Arial"/>
                <w:sz w:val="12"/>
                <w:szCs w:val="12"/>
                <w:b w:val="1"/>
                <w:bCs w:val="1"/>
                <w:color w:val="auto"/>
              </w:rPr>
              <w:t>Basic and Diluted Net Loss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58"/>
        </w:trPr>
        <w:tc>
          <w:tcPr>
            <w:tcW w:w="8620" w:type="dxa"/>
            <w:vAlign w:val="bottom"/>
          </w:tcPr>
          <w:p>
            <w:pPr>
              <w:spacing w:after="0"/>
              <w:rPr>
                <w:sz w:val="20"/>
                <w:szCs w:val="20"/>
                <w:color w:val="auto"/>
              </w:rPr>
            </w:pPr>
            <w:r>
              <w:rPr>
                <w:rFonts w:ascii="Arial" w:cs="Arial" w:eastAsia="Arial" w:hAnsi="Arial"/>
                <w:sz w:val="12"/>
                <w:szCs w:val="12"/>
                <w:b w:val="1"/>
                <w:bCs w:val="1"/>
                <w:color w:val="auto"/>
              </w:rPr>
              <w:t>per Share</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00"/>
              <w:spacing w:after="0" w:line="138" w:lineRule="exact"/>
              <w:rPr>
                <w:sz w:val="20"/>
                <w:szCs w:val="20"/>
                <w:color w:val="auto"/>
              </w:rPr>
            </w:pPr>
            <w:r>
              <w:rPr>
                <w:rFonts w:ascii="Arial" w:cs="Arial" w:eastAsia="Arial" w:hAnsi="Arial"/>
                <w:sz w:val="9"/>
                <w:szCs w:val="9"/>
                <w:color w:val="auto"/>
              </w:rPr>
              <w:t>(2.00</w:t>
            </w:r>
            <w:r>
              <w:rPr>
                <w:rFonts w:ascii="Arial" w:cs="Arial" w:eastAsia="Arial" w:hAnsi="Arial"/>
                <w:sz w:val="15"/>
                <w:szCs w:val="15"/>
                <w:color w:val="auto"/>
                <w:vertAlign w:val="subscript"/>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00"/>
              <w:spacing w:after="0" w:line="138" w:lineRule="exact"/>
              <w:rPr>
                <w:sz w:val="20"/>
                <w:szCs w:val="20"/>
                <w:color w:val="auto"/>
              </w:rPr>
            </w:pPr>
            <w:r>
              <w:rPr>
                <w:rFonts w:ascii="Arial" w:cs="Arial" w:eastAsia="Arial" w:hAnsi="Arial"/>
                <w:sz w:val="9"/>
                <w:szCs w:val="9"/>
                <w:color w:val="auto"/>
              </w:rPr>
              <w:t>(4.87</w:t>
            </w:r>
            <w:r>
              <w:rPr>
                <w:rFonts w:ascii="Arial" w:cs="Arial" w:eastAsia="Arial" w:hAnsi="Arial"/>
                <w:sz w:val="15"/>
                <w:szCs w:val="15"/>
                <w:color w:val="auto"/>
                <w:vertAlign w:val="subscript"/>
              </w:rPr>
              <w:t>)</w:t>
            </w:r>
          </w:p>
        </w:tc>
      </w:tr>
      <w:tr>
        <w:trPr>
          <w:trHeight w:val="20"/>
        </w:trPr>
        <w:tc>
          <w:tcPr>
            <w:tcW w:w="8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3"/>
        </w:trPr>
        <w:tc>
          <w:tcPr>
            <w:tcW w:w="8620" w:type="dxa"/>
            <w:vAlign w:val="bottom"/>
          </w:tcPr>
          <w:p>
            <w:pPr>
              <w:spacing w:after="0"/>
              <w:rPr>
                <w:sz w:val="20"/>
                <w:szCs w:val="20"/>
                <w:color w:val="auto"/>
              </w:rPr>
            </w:pPr>
            <w:r>
              <w:rPr>
                <w:rFonts w:ascii="Arial" w:cs="Arial" w:eastAsia="Arial" w:hAnsi="Arial"/>
                <w:sz w:val="12"/>
                <w:szCs w:val="12"/>
                <w:b w:val="1"/>
                <w:bCs w:val="1"/>
                <w:color w:val="auto"/>
              </w:rPr>
              <w:t>Weighted Average Number of</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58"/>
        </w:trPr>
        <w:tc>
          <w:tcPr>
            <w:tcW w:w="8620" w:type="dxa"/>
            <w:vAlign w:val="bottom"/>
          </w:tcPr>
          <w:p>
            <w:pPr>
              <w:spacing w:after="0"/>
              <w:rPr>
                <w:sz w:val="20"/>
                <w:szCs w:val="20"/>
                <w:color w:val="auto"/>
              </w:rPr>
            </w:pPr>
            <w:r>
              <w:rPr>
                <w:rFonts w:ascii="Arial" w:cs="Arial" w:eastAsia="Arial" w:hAnsi="Arial"/>
                <w:sz w:val="12"/>
                <w:szCs w:val="12"/>
                <w:b w:val="1"/>
                <w:bCs w:val="1"/>
                <w:color w:val="auto"/>
              </w:rPr>
              <w:t>Common Shares Outstanding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15,465,213</w:t>
            </w: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1,136,115</w:t>
            </w:r>
          </w:p>
        </w:tc>
        <w:tc>
          <w:tcPr>
            <w:tcW w:w="140" w:type="dxa"/>
            <w:vAlign w:val="bottom"/>
          </w:tcPr>
          <w:p>
            <w:pPr>
              <w:spacing w:after="0"/>
              <w:rPr>
                <w:sz w:val="13"/>
                <w:szCs w:val="13"/>
                <w:color w:val="auto"/>
              </w:rPr>
            </w:pPr>
          </w:p>
        </w:tc>
      </w:tr>
      <w:tr>
        <w:trPr>
          <w:trHeight w:val="20"/>
        </w:trPr>
        <w:tc>
          <w:tcPr>
            <w:tcW w:w="8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3" w:right="19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2"/>
          <w:szCs w:val="12"/>
          <w:b w:val="1"/>
          <w:bCs w:val="1"/>
          <w:color w:val="auto"/>
        </w:rPr>
        <w:t>TAPIMMUNE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 OF STOCKHOLDERS’ EQUITY (DEFICIT)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4"/>
          </w:tcPr>
          <w:p>
            <w:pPr>
              <w:ind w:left="820"/>
              <w:spacing w:after="0"/>
              <w:rPr>
                <w:sz w:val="20"/>
                <w:szCs w:val="20"/>
                <w:color w:val="auto"/>
              </w:rPr>
            </w:pPr>
            <w:r>
              <w:rPr>
                <w:rFonts w:ascii="Arial" w:cs="Arial" w:eastAsia="Arial" w:hAnsi="Arial"/>
                <w:sz w:val="12"/>
                <w:szCs w:val="12"/>
                <w:color w:val="auto"/>
                <w:w w:val="97"/>
              </w:rPr>
              <w:t>Common Stock</w:t>
            </w:r>
          </w:p>
        </w:tc>
        <w:tc>
          <w:tcPr>
            <w:tcW w:w="7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3"/>
            <w:vMerge w:val="restart"/>
          </w:tcPr>
          <w:p>
            <w:pPr>
              <w:ind w:left="340"/>
              <w:spacing w:after="0"/>
              <w:rPr>
                <w:sz w:val="20"/>
                <w:szCs w:val="20"/>
                <w:color w:val="auto"/>
              </w:rPr>
            </w:pPr>
            <w:r>
              <w:rPr>
                <w:rFonts w:ascii="Arial" w:cs="Arial" w:eastAsia="Arial" w:hAnsi="Arial"/>
                <w:sz w:val="12"/>
                <w:szCs w:val="12"/>
                <w:color w:val="auto"/>
              </w:rPr>
              <w:t>Paid In</w:t>
            </w:r>
          </w:p>
        </w:tc>
        <w:tc>
          <w:tcPr>
            <w:tcW w:w="1400" w:type="dxa"/>
            <w:vAlign w:val="bottom"/>
            <w:tcBorders>
              <w:top w:val="single" w:sz="8" w:color="auto"/>
            </w:tcBorders>
            <w:gridSpan w:val="3"/>
            <w:vMerge w:val="restart"/>
          </w:tcPr>
          <w:p>
            <w:pPr>
              <w:jc w:val="center"/>
              <w:ind w:right="340"/>
              <w:spacing w:after="0"/>
              <w:rPr>
                <w:sz w:val="20"/>
                <w:szCs w:val="20"/>
                <w:color w:val="auto"/>
              </w:rPr>
            </w:pPr>
            <w:r>
              <w:rPr>
                <w:rFonts w:ascii="Arial" w:cs="Arial" w:eastAsia="Arial" w:hAnsi="Arial"/>
                <w:sz w:val="12"/>
                <w:szCs w:val="12"/>
                <w:color w:val="auto"/>
                <w:w w:val="95"/>
              </w:rPr>
              <w:t>Accumulated</w:t>
            </w:r>
          </w:p>
        </w:tc>
        <w:tc>
          <w:tcPr>
            <w:tcW w:w="1420" w:type="dxa"/>
            <w:vAlign w:val="bottom"/>
            <w:tcBorders>
              <w:top w:val="single" w:sz="8" w:color="auto"/>
            </w:tcBorders>
            <w:gridSpan w:val="3"/>
            <w:vMerge w:val="restart"/>
          </w:tcPr>
          <w:p>
            <w:pPr>
              <w:jc w:val="center"/>
              <w:ind w:right="340"/>
              <w:spacing w:after="0"/>
              <w:rPr>
                <w:sz w:val="20"/>
                <w:szCs w:val="20"/>
                <w:color w:val="auto"/>
              </w:rPr>
            </w:pPr>
            <w:r>
              <w:rPr>
                <w:rFonts w:ascii="Arial" w:cs="Arial" w:eastAsia="Arial" w:hAnsi="Arial"/>
                <w:sz w:val="12"/>
                <w:szCs w:val="12"/>
                <w:color w:val="auto"/>
                <w:w w:val="90"/>
              </w:rPr>
              <w:t>Comprehensive</w:t>
            </w: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center"/>
              <w:ind w:right="620"/>
              <w:spacing w:after="0"/>
              <w:rPr>
                <w:sz w:val="20"/>
                <w:szCs w:val="20"/>
                <w:color w:val="auto"/>
              </w:rPr>
            </w:pPr>
            <w:r>
              <w:rPr>
                <w:rFonts w:ascii="Arial" w:cs="Arial" w:eastAsia="Arial" w:hAnsi="Arial"/>
                <w:sz w:val="12"/>
                <w:szCs w:val="12"/>
                <w:color w:val="auto"/>
                <w:w w:val="96"/>
              </w:rPr>
              <w:t>Number of</w:t>
            </w:r>
          </w:p>
        </w:tc>
        <w:tc>
          <w:tcPr>
            <w:tcW w:w="1120" w:type="dxa"/>
            <w:vAlign w:val="bottom"/>
            <w:gridSpan w:val="3"/>
          </w:tcPr>
          <w:p>
            <w:pPr>
              <w:ind w:left="60"/>
              <w:spacing w:after="0"/>
              <w:rPr>
                <w:sz w:val="20"/>
                <w:szCs w:val="20"/>
                <w:color w:val="auto"/>
              </w:rPr>
            </w:pPr>
            <w:r>
              <w:rPr>
                <w:rFonts w:ascii="Arial" w:cs="Arial" w:eastAsia="Arial" w:hAnsi="Arial"/>
                <w:sz w:val="12"/>
                <w:szCs w:val="12"/>
                <w:color w:val="auto"/>
              </w:rPr>
              <w:t>Amount</w:t>
            </w:r>
          </w:p>
        </w:tc>
        <w:tc>
          <w:tcPr>
            <w:tcW w:w="1380" w:type="dxa"/>
            <w:vAlign w:val="bottom"/>
            <w:gridSpan w:val="3"/>
          </w:tcPr>
          <w:p>
            <w:pPr>
              <w:ind w:left="340"/>
              <w:spacing w:after="0"/>
              <w:rPr>
                <w:sz w:val="20"/>
                <w:szCs w:val="20"/>
                <w:color w:val="auto"/>
              </w:rPr>
            </w:pPr>
            <w:r>
              <w:rPr>
                <w:rFonts w:ascii="Arial" w:cs="Arial" w:eastAsia="Arial" w:hAnsi="Arial"/>
                <w:sz w:val="12"/>
                <w:szCs w:val="12"/>
                <w:color w:val="auto"/>
              </w:rPr>
              <w:t>Capital</w:t>
            </w:r>
          </w:p>
        </w:tc>
        <w:tc>
          <w:tcPr>
            <w:tcW w:w="1400" w:type="dxa"/>
            <w:vAlign w:val="bottom"/>
            <w:gridSpan w:val="3"/>
          </w:tcPr>
          <w:p>
            <w:pPr>
              <w:jc w:val="center"/>
              <w:ind w:right="340"/>
              <w:spacing w:after="0"/>
              <w:rPr>
                <w:sz w:val="20"/>
                <w:szCs w:val="20"/>
                <w:color w:val="auto"/>
              </w:rPr>
            </w:pPr>
            <w:r>
              <w:rPr>
                <w:rFonts w:ascii="Arial" w:cs="Arial" w:eastAsia="Arial" w:hAnsi="Arial"/>
                <w:sz w:val="12"/>
                <w:szCs w:val="12"/>
                <w:color w:val="auto"/>
              </w:rPr>
              <w:t>Deficit</w:t>
            </w:r>
          </w:p>
        </w:tc>
        <w:tc>
          <w:tcPr>
            <w:tcW w:w="1420" w:type="dxa"/>
            <w:vAlign w:val="bottom"/>
            <w:gridSpan w:val="3"/>
          </w:tcPr>
          <w:p>
            <w:pPr>
              <w:jc w:val="center"/>
              <w:ind w:right="360"/>
              <w:spacing w:after="0"/>
              <w:rPr>
                <w:sz w:val="20"/>
                <w:szCs w:val="20"/>
                <w:color w:val="auto"/>
              </w:rPr>
            </w:pPr>
            <w:r>
              <w:rPr>
                <w:rFonts w:ascii="Arial" w:cs="Arial" w:eastAsia="Arial" w:hAnsi="Arial"/>
                <w:sz w:val="12"/>
                <w:szCs w:val="12"/>
                <w:color w:val="auto"/>
                <w:w w:val="86"/>
              </w:rPr>
              <w:t>Loss</w:t>
            </w:r>
          </w:p>
        </w:tc>
        <w:tc>
          <w:tcPr>
            <w:tcW w:w="1200" w:type="dxa"/>
            <w:vAlign w:val="bottom"/>
            <w:gridSpan w:val="2"/>
          </w:tcPr>
          <w:p>
            <w:pPr>
              <w:jc w:val="right"/>
              <w:ind w:right="50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tcPr>
          <w:p>
            <w:pPr>
              <w:jc w:val="center"/>
              <w:ind w:right="620"/>
              <w:spacing w:after="0"/>
              <w:rPr>
                <w:sz w:val="20"/>
                <w:szCs w:val="20"/>
                <w:color w:val="auto"/>
              </w:rPr>
            </w:pPr>
            <w:r>
              <w:rPr>
                <w:rFonts w:ascii="Arial" w:cs="Arial" w:eastAsia="Arial" w:hAnsi="Arial"/>
                <w:sz w:val="12"/>
                <w:szCs w:val="12"/>
                <w:color w:val="auto"/>
                <w:w w:val="83"/>
              </w:rPr>
              <w:t>shares</w:t>
            </w:r>
          </w:p>
        </w:tc>
        <w:tc>
          <w:tcPr>
            <w:tcW w:w="76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4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4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320" w:type="dxa"/>
            <w:vAlign w:val="bottom"/>
            <w:gridSpan w:val="3"/>
          </w:tcPr>
          <w:p>
            <w:pPr>
              <w:spacing w:after="0"/>
              <w:rPr>
                <w:sz w:val="20"/>
                <w:szCs w:val="20"/>
                <w:color w:val="auto"/>
              </w:rPr>
            </w:pPr>
            <w:r>
              <w:rPr>
                <w:rFonts w:ascii="Arial" w:cs="Arial" w:eastAsia="Arial" w:hAnsi="Arial"/>
                <w:sz w:val="12"/>
                <w:szCs w:val="12"/>
                <w:color w:val="auto"/>
              </w:rPr>
              <w:t>Balance, December 31, 2012</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764,029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782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43,912,427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(49,894,083)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(61,648)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(6,042,522)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Notes converted into shares</w:t>
            </w:r>
          </w:p>
        </w:tc>
        <w:tc>
          <w:tcPr>
            <w:tcW w:w="1020" w:type="dxa"/>
            <w:vAlign w:val="bottom"/>
          </w:tcPr>
          <w:p>
            <w:pPr>
              <w:jc w:val="right"/>
              <w:spacing w:after="0"/>
              <w:rPr>
                <w:sz w:val="20"/>
                <w:szCs w:val="20"/>
                <w:color w:val="auto"/>
              </w:rPr>
            </w:pPr>
            <w:r>
              <w:rPr>
                <w:rFonts w:ascii="Arial" w:cs="Arial" w:eastAsia="Arial" w:hAnsi="Arial"/>
                <w:sz w:val="12"/>
                <w:szCs w:val="12"/>
                <w:color w:val="auto"/>
              </w:rPr>
              <w:t>412,047</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412</w:t>
            </w: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1,477,175</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1,477,587</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Stock based compensation in 2013</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46,840</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46,840</w:t>
            </w: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Obligation to issue shares at fair value</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20" w:type="dxa"/>
            <w:vAlign w:val="bottom"/>
            <w:gridSpan w:val="3"/>
          </w:tcPr>
          <w:p>
            <w:pPr>
              <w:ind w:left="160"/>
              <w:spacing w:after="0"/>
              <w:rPr>
                <w:sz w:val="20"/>
                <w:szCs w:val="20"/>
                <w:color w:val="auto"/>
              </w:rPr>
            </w:pPr>
            <w:r>
              <w:rPr>
                <w:rFonts w:ascii="Arial" w:cs="Arial" w:eastAsia="Arial" w:hAnsi="Arial"/>
                <w:sz w:val="12"/>
                <w:szCs w:val="12"/>
                <w:color w:val="auto"/>
              </w:rPr>
              <w:t>pursuant to service agreements</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31,891</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31,891</w:t>
            </w: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Issued at fair value pursuant to</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20" w:type="dxa"/>
            <w:vAlign w:val="bottom"/>
            <w:gridSpan w:val="3"/>
          </w:tcPr>
          <w:p>
            <w:pPr>
              <w:ind w:left="160"/>
              <w:spacing w:after="0"/>
              <w:rPr>
                <w:sz w:val="20"/>
                <w:szCs w:val="20"/>
                <w:color w:val="auto"/>
              </w:rPr>
            </w:pPr>
            <w:r>
              <w:rPr>
                <w:rFonts w:ascii="Arial" w:cs="Arial" w:eastAsia="Arial" w:hAnsi="Arial"/>
                <w:sz w:val="12"/>
                <w:szCs w:val="12"/>
                <w:color w:val="auto"/>
              </w:rPr>
              <w:t>debt settlement agreements</w:t>
            </w:r>
          </w:p>
        </w:tc>
        <w:tc>
          <w:tcPr>
            <w:tcW w:w="1020" w:type="dxa"/>
            <w:vAlign w:val="bottom"/>
          </w:tcPr>
          <w:p>
            <w:pPr>
              <w:jc w:val="right"/>
              <w:spacing w:after="0"/>
              <w:rPr>
                <w:sz w:val="20"/>
                <w:szCs w:val="20"/>
                <w:color w:val="auto"/>
              </w:rPr>
            </w:pPr>
            <w:r>
              <w:rPr>
                <w:rFonts w:ascii="Arial" w:cs="Arial" w:eastAsia="Arial" w:hAnsi="Arial"/>
                <w:sz w:val="12"/>
                <w:szCs w:val="12"/>
                <w:color w:val="auto"/>
              </w:rPr>
              <w:t>264,649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265</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1,211,362</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1,211,627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Finders’ fee</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(11,300)</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(11,300)</w:t>
            </w: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Issued at fair value pursuant to service agreements</w:t>
            </w:r>
          </w:p>
        </w:tc>
        <w:tc>
          <w:tcPr>
            <w:tcW w:w="1020" w:type="dxa"/>
            <w:vAlign w:val="bottom"/>
          </w:tcPr>
          <w:p>
            <w:pPr>
              <w:jc w:val="right"/>
              <w:spacing w:after="0"/>
              <w:rPr>
                <w:sz w:val="20"/>
                <w:szCs w:val="20"/>
                <w:color w:val="auto"/>
              </w:rPr>
            </w:pPr>
            <w:r>
              <w:rPr>
                <w:rFonts w:ascii="Arial" w:cs="Arial" w:eastAsia="Arial" w:hAnsi="Arial"/>
                <w:sz w:val="12"/>
                <w:szCs w:val="12"/>
                <w:color w:val="auto"/>
              </w:rPr>
              <w:t>3,500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38,932</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38,936</w:t>
            </w: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Shares issued for director compensation</w:t>
            </w:r>
          </w:p>
        </w:tc>
        <w:tc>
          <w:tcPr>
            <w:tcW w:w="1020" w:type="dxa"/>
            <w:vAlign w:val="bottom"/>
          </w:tcPr>
          <w:p>
            <w:pPr>
              <w:jc w:val="right"/>
              <w:spacing w:after="0"/>
              <w:rPr>
                <w:sz w:val="20"/>
                <w:szCs w:val="20"/>
                <w:color w:val="auto"/>
              </w:rPr>
            </w:pPr>
            <w:r>
              <w:rPr>
                <w:rFonts w:ascii="Arial" w:cs="Arial" w:eastAsia="Arial" w:hAnsi="Arial"/>
                <w:sz w:val="12"/>
                <w:szCs w:val="12"/>
                <w:color w:val="auto"/>
              </w:rPr>
              <w:t>2,500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8,173</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8,176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Non-cash exercise of warrants</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18,986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Foreign exchange translation adjustment</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3,314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3,314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Net loss</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(5,532,552)</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(5,532,552)</w:t>
            </w:r>
          </w:p>
        </w:tc>
        <w:tc>
          <w:tcPr>
            <w:tcW w:w="0" w:type="dxa"/>
            <w:vAlign w:val="bottom"/>
          </w:tcPr>
          <w:p>
            <w:pPr>
              <w:spacing w:after="0"/>
              <w:rPr>
                <w:sz w:val="1"/>
                <w:szCs w:val="1"/>
                <w:color w:val="auto"/>
              </w:rPr>
            </w:pPr>
          </w:p>
        </w:tc>
      </w:tr>
      <w:tr>
        <w:trPr>
          <w:trHeight w:val="152"/>
        </w:trPr>
        <w:tc>
          <w:tcPr>
            <w:tcW w:w="30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Balance, December 31, 2013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1,465,712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1,466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46,715,500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(55,426,635)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(58,334)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(8,768,003)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Convertible notes, promissory notes, loan payable-related</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party, due to related parties and accrued interest converted</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into Series A and B preferred stock and immediately</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converted into commons stock</w:t>
            </w:r>
          </w:p>
        </w:tc>
        <w:tc>
          <w:tcPr>
            <w:tcW w:w="1020" w:type="dxa"/>
            <w:vAlign w:val="bottom"/>
          </w:tcPr>
          <w:p>
            <w:pPr>
              <w:jc w:val="right"/>
              <w:spacing w:after="0"/>
              <w:rPr>
                <w:sz w:val="20"/>
                <w:szCs w:val="20"/>
                <w:color w:val="auto"/>
              </w:rPr>
            </w:pPr>
            <w:r>
              <w:rPr>
                <w:rFonts w:ascii="Arial" w:cs="Arial" w:eastAsia="Arial" w:hAnsi="Arial"/>
                <w:sz w:val="12"/>
                <w:szCs w:val="12"/>
                <w:color w:val="auto"/>
              </w:rPr>
              <w:t>14,048,701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14,049</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30,937,029</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30,951,078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Conversion of accounts payable to common stock</w:t>
            </w:r>
          </w:p>
        </w:tc>
        <w:tc>
          <w:tcPr>
            <w:tcW w:w="1020" w:type="dxa"/>
            <w:vAlign w:val="bottom"/>
          </w:tcPr>
          <w:p>
            <w:pPr>
              <w:jc w:val="right"/>
              <w:spacing w:after="0"/>
              <w:rPr>
                <w:sz w:val="20"/>
                <w:szCs w:val="20"/>
                <w:color w:val="auto"/>
              </w:rPr>
            </w:pPr>
            <w:r>
              <w:rPr>
                <w:rFonts w:ascii="Arial" w:cs="Arial" w:eastAsia="Arial" w:hAnsi="Arial"/>
                <w:sz w:val="12"/>
                <w:szCs w:val="12"/>
                <w:color w:val="auto"/>
              </w:rPr>
              <w:t>1,836,361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1,836</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4,347,592</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4,349,428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Private placement (net of finders’ fee)</w:t>
            </w:r>
          </w:p>
        </w:tc>
        <w:tc>
          <w:tcPr>
            <w:tcW w:w="1020" w:type="dxa"/>
            <w:vAlign w:val="bottom"/>
          </w:tcPr>
          <w:p>
            <w:pPr>
              <w:jc w:val="right"/>
              <w:spacing w:after="0"/>
              <w:rPr>
                <w:sz w:val="20"/>
                <w:szCs w:val="20"/>
                <w:color w:val="auto"/>
              </w:rPr>
            </w:pPr>
            <w:r>
              <w:rPr>
                <w:rFonts w:ascii="Arial" w:cs="Arial" w:eastAsia="Arial" w:hAnsi="Arial"/>
                <w:sz w:val="12"/>
                <w:szCs w:val="12"/>
                <w:color w:val="auto"/>
              </w:rPr>
              <w:t>2,157,042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2,157</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1,875,343</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1,877,500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Foreign exchange translation adjustment</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58,334</w:t>
            </w:r>
          </w:p>
        </w:tc>
        <w:tc>
          <w:tcPr>
            <w:tcW w:w="12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58,334</w:t>
            </w:r>
          </w:p>
        </w:tc>
        <w:tc>
          <w:tcPr>
            <w:tcW w:w="0" w:type="dxa"/>
            <w:vAlign w:val="bottom"/>
          </w:tcPr>
          <w:p>
            <w:pPr>
              <w:spacing w:after="0"/>
              <w:rPr>
                <w:sz w:val="1"/>
                <w:szCs w:val="1"/>
                <w:color w:val="auto"/>
              </w:rPr>
            </w:pPr>
          </w:p>
        </w:tc>
      </w:tr>
      <w:tr>
        <w:trPr>
          <w:trHeight w:val="145"/>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Stock- 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811,000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811</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1,390,312</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1,391,123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320" w:type="dxa"/>
            <w:vAlign w:val="bottom"/>
            <w:gridSpan w:val="3"/>
          </w:tcPr>
          <w:p>
            <w:pPr>
              <w:ind w:left="100"/>
              <w:spacing w:after="0"/>
              <w:rPr>
                <w:sz w:val="20"/>
                <w:szCs w:val="20"/>
                <w:color w:val="auto"/>
              </w:rPr>
            </w:pPr>
            <w:r>
              <w:rPr>
                <w:rFonts w:ascii="Arial" w:cs="Arial" w:eastAsia="Arial" w:hAnsi="Arial"/>
                <w:sz w:val="12"/>
                <w:szCs w:val="12"/>
                <w:color w:val="auto"/>
              </w:rPr>
              <w:t>Net loss</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(30,883,096)</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(30,883,096)</w:t>
            </w:r>
          </w:p>
        </w:tc>
        <w:tc>
          <w:tcPr>
            <w:tcW w:w="0" w:type="dxa"/>
            <w:vAlign w:val="bottom"/>
          </w:tcPr>
          <w:p>
            <w:pPr>
              <w:spacing w:after="0"/>
              <w:rPr>
                <w:sz w:val="1"/>
                <w:szCs w:val="1"/>
                <w:color w:val="auto"/>
              </w:rPr>
            </w:pPr>
          </w:p>
        </w:tc>
      </w:tr>
      <w:tr>
        <w:trPr>
          <w:trHeight w:val="143"/>
        </w:trPr>
        <w:tc>
          <w:tcPr>
            <w:tcW w:w="3080" w:type="dxa"/>
            <w:vAlign w:val="bottom"/>
            <w:tcBorders>
              <w:top w:val="single" w:sz="8" w:color="auto"/>
              <w:bottom w:val="single" w:sz="8" w:color="auto"/>
            </w:tcBorders>
          </w:tcPr>
          <w:p>
            <w:pPr>
              <w:spacing w:after="0" w:line="125" w:lineRule="exact"/>
              <w:rPr>
                <w:sz w:val="20"/>
                <w:szCs w:val="20"/>
                <w:color w:val="auto"/>
              </w:rPr>
            </w:pPr>
            <w:r>
              <w:rPr>
                <w:rFonts w:ascii="Arial" w:cs="Arial" w:eastAsia="Arial" w:hAnsi="Arial"/>
                <w:sz w:val="12"/>
                <w:szCs w:val="12"/>
                <w:color w:val="auto"/>
              </w:rPr>
              <w:t>Balance, December 31, 2014</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20,318,816</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20,319</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85,265,776</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(86,309,731</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(1,023,636</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3" w:right="19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2"/>
          <w:szCs w:val="12"/>
          <w:b w:val="1"/>
          <w:bCs w:val="1"/>
          <w:color w:val="auto"/>
        </w:rPr>
        <w:t>TAPIMMUNE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2"/>
                <w:szCs w:val="12"/>
                <w:color w:val="auto"/>
                <w:w w:val="88"/>
              </w:rPr>
              <w:t>Year Ended</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2"/>
                <w:szCs w:val="12"/>
                <w:color w:val="auto"/>
                <w:w w:val="88"/>
              </w:rPr>
              <w:t>Year Ended</w:t>
            </w:r>
          </w:p>
        </w:tc>
      </w:tr>
      <w:tr>
        <w:trPr>
          <w:trHeight w:val="145"/>
        </w:trPr>
        <w:tc>
          <w:tcPr>
            <w:tcW w:w="8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color w:val="auto"/>
                <w:w w:val="90"/>
              </w:rPr>
              <w:t>December 31,</w:t>
            </w:r>
          </w:p>
        </w:tc>
        <w:tc>
          <w:tcPr>
            <w:tcW w:w="16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color w:val="auto"/>
                <w:w w:val="90"/>
              </w:rPr>
              <w:t>December 31,</w:t>
            </w:r>
          </w:p>
        </w:tc>
      </w:tr>
      <w:tr>
        <w:trPr>
          <w:trHeight w:val="154"/>
        </w:trPr>
        <w:tc>
          <w:tcPr>
            <w:tcW w:w="8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color w:val="auto"/>
                <w:w w:val="89"/>
              </w:rPr>
              <w:t>2014</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color w:val="auto"/>
                <w:w w:val="89"/>
              </w:rPr>
              <w:t>2013</w:t>
            </w:r>
          </w:p>
        </w:tc>
        <w:tc>
          <w:tcPr>
            <w:tcW w:w="140" w:type="dxa"/>
            <w:vAlign w:val="bottom"/>
          </w:tcPr>
          <w:p>
            <w:pPr>
              <w:spacing w:after="0"/>
              <w:rPr>
                <w:sz w:val="13"/>
                <w:szCs w:val="13"/>
                <w:color w:val="auto"/>
              </w:rPr>
            </w:pPr>
          </w:p>
        </w:tc>
      </w:tr>
      <w:tr>
        <w:trPr>
          <w:trHeight w:val="279"/>
        </w:trPr>
        <w:tc>
          <w:tcPr>
            <w:tcW w:w="8620" w:type="dxa"/>
            <w:vAlign w:val="bottom"/>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Net loss</w:t>
            </w:r>
          </w:p>
        </w:tc>
        <w:tc>
          <w:tcPr>
            <w:tcW w:w="28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(30,883,096)</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(5,532,552)</w:t>
            </w: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Adjustments to reconcile net loss to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net cash from operating activities: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Changes in fair value of derivative liabilities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(581)</w:t>
            </w:r>
          </w:p>
        </w:tc>
        <w:tc>
          <w:tcPr>
            <w:tcW w:w="16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(1,546,257)</w:t>
            </w: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Loss on extinguishment of debt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26,884,231</w:t>
            </w: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2,560,045</w:t>
            </w:r>
          </w:p>
        </w:tc>
        <w:tc>
          <w:tcPr>
            <w:tcW w:w="140" w:type="dxa"/>
            <w:vAlign w:val="bottom"/>
          </w:tcPr>
          <w:p>
            <w:pPr>
              <w:spacing w:after="0"/>
              <w:rPr>
                <w:sz w:val="12"/>
                <w:szCs w:val="12"/>
                <w:color w:val="auto"/>
              </w:rPr>
            </w:pP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Accretion of discount on convertible notes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492,296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1,110,831</w:t>
            </w:r>
          </w:p>
        </w:tc>
        <w:tc>
          <w:tcPr>
            <w:tcW w:w="140" w:type="dxa"/>
            <w:vAlign w:val="bottom"/>
          </w:tcPr>
          <w:p>
            <w:pPr>
              <w:spacing w:after="0"/>
              <w:rPr>
                <w:sz w:val="12"/>
                <w:szCs w:val="12"/>
                <w:color w:val="auto"/>
              </w:rPr>
            </w:pP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Non-cash interest and finance charges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83,247</w:t>
            </w: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645,562</w:t>
            </w:r>
          </w:p>
        </w:tc>
        <w:tc>
          <w:tcPr>
            <w:tcW w:w="140" w:type="dxa"/>
            <w:vAlign w:val="bottom"/>
          </w:tcPr>
          <w:p>
            <w:pPr>
              <w:spacing w:after="0"/>
              <w:rPr>
                <w:sz w:val="12"/>
                <w:szCs w:val="12"/>
                <w:color w:val="auto"/>
              </w:rPr>
            </w:pP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Stock based compensation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1,391,123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132,093</w:t>
            </w:r>
          </w:p>
        </w:tc>
        <w:tc>
          <w:tcPr>
            <w:tcW w:w="140" w:type="dxa"/>
            <w:vAlign w:val="bottom"/>
          </w:tcPr>
          <w:p>
            <w:pPr>
              <w:spacing w:after="0"/>
              <w:rPr>
                <w:sz w:val="12"/>
                <w:szCs w:val="12"/>
                <w:color w:val="auto"/>
              </w:rPr>
            </w:pP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Foreign exchange loss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58,334</w:t>
            </w: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Changes in operating assets and liabilities: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Prepaid expenses and deposits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(67,500)</w:t>
            </w: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Deferred financing costs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24,013</w:t>
            </w: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Accounts payable and accrued liabilities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(145,199)</w:t>
            </w: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1,835,315</w:t>
            </w:r>
          </w:p>
        </w:tc>
        <w:tc>
          <w:tcPr>
            <w:tcW w:w="140" w:type="dxa"/>
            <w:vAlign w:val="bottom"/>
          </w:tcPr>
          <w:p>
            <w:pPr>
              <w:spacing w:after="0"/>
              <w:rPr>
                <w:sz w:val="12"/>
                <w:szCs w:val="12"/>
                <w:color w:val="auto"/>
              </w:rPr>
            </w:pPr>
          </w:p>
        </w:tc>
      </w:tr>
      <w:tr>
        <w:trPr>
          <w:trHeight w:val="154"/>
        </w:trPr>
        <w:tc>
          <w:tcPr>
            <w:tcW w:w="8620" w:type="dxa"/>
            <w:vAlign w:val="bottom"/>
          </w:tcPr>
          <w:p>
            <w:pPr>
              <w:ind w:left="100"/>
              <w:spacing w:after="0"/>
              <w:rPr>
                <w:sz w:val="20"/>
                <w:szCs w:val="20"/>
                <w:color w:val="auto"/>
              </w:rPr>
            </w:pPr>
            <w:r>
              <w:rPr>
                <w:rFonts w:ascii="Arial" w:cs="Arial" w:eastAsia="Arial" w:hAnsi="Arial"/>
                <w:sz w:val="12"/>
                <w:szCs w:val="12"/>
                <w:color w:val="auto"/>
              </w:rPr>
              <w:t>Research agreement obligations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76,367</w:t>
            </w:r>
          </w:p>
        </w:tc>
      </w:tr>
      <w:tr>
        <w:trPr>
          <w:trHeight w:val="143"/>
        </w:trPr>
        <w:tc>
          <w:tcPr>
            <w:tcW w:w="8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NET CASH USED IN OPERATING ACTIVITIES</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(2,187,145</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(694,583</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r>
      <w:tr>
        <w:trPr>
          <w:trHeight w:val="279"/>
        </w:trPr>
        <w:tc>
          <w:tcPr>
            <w:tcW w:w="862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Issuance of shares, net of issuance costs of $387,500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1,877,500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Convertible notes issuance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418,000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728,000</w:t>
            </w:r>
          </w:p>
        </w:tc>
        <w:tc>
          <w:tcPr>
            <w:tcW w:w="140" w:type="dxa"/>
            <w:vAlign w:val="bottom"/>
          </w:tcPr>
          <w:p>
            <w:pPr>
              <w:spacing w:after="0"/>
              <w:rPr>
                <w:sz w:val="12"/>
                <w:szCs w:val="12"/>
                <w:color w:val="auto"/>
              </w:rPr>
            </w:pP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Proceeds from loans payable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32,200</w:t>
            </w: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Repayment to related parties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(30,867)</w:t>
            </w:r>
          </w:p>
        </w:tc>
      </w:tr>
      <w:tr>
        <w:trPr>
          <w:trHeight w:val="145"/>
        </w:trPr>
        <w:tc>
          <w:tcPr>
            <w:tcW w:w="8620" w:type="dxa"/>
            <w:vAlign w:val="bottom"/>
          </w:tcPr>
          <w:p>
            <w:pPr>
              <w:ind w:left="100"/>
              <w:spacing w:after="0"/>
              <w:rPr>
                <w:sz w:val="20"/>
                <w:szCs w:val="20"/>
                <w:color w:val="auto"/>
              </w:rPr>
            </w:pPr>
            <w:r>
              <w:rPr>
                <w:rFonts w:ascii="Arial" w:cs="Arial" w:eastAsia="Arial" w:hAnsi="Arial"/>
                <w:sz w:val="12"/>
                <w:szCs w:val="12"/>
                <w:color w:val="auto"/>
              </w:rPr>
              <w:t>Repayment of convertible notes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(20,000)</w:t>
            </w:r>
          </w:p>
        </w:tc>
      </w:tr>
      <w:tr>
        <w:trPr>
          <w:trHeight w:val="154"/>
        </w:trPr>
        <w:tc>
          <w:tcPr>
            <w:tcW w:w="8620" w:type="dxa"/>
            <w:vAlign w:val="bottom"/>
          </w:tcPr>
          <w:p>
            <w:pPr>
              <w:ind w:left="100"/>
              <w:spacing w:after="0"/>
              <w:rPr>
                <w:sz w:val="20"/>
                <w:szCs w:val="20"/>
                <w:color w:val="auto"/>
              </w:rPr>
            </w:pPr>
            <w:r>
              <w:rPr>
                <w:rFonts w:ascii="Arial" w:cs="Arial" w:eastAsia="Arial" w:hAnsi="Arial"/>
                <w:sz w:val="12"/>
                <w:szCs w:val="12"/>
                <w:color w:val="auto"/>
              </w:rPr>
              <w:t>Repayment of promissory notes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(15,000)</w:t>
            </w: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r>
      <w:tr>
        <w:trPr>
          <w:trHeight w:val="143"/>
        </w:trPr>
        <w:tc>
          <w:tcPr>
            <w:tcW w:w="8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NET CASH PROVIDED BY FINANCING ACTIVITIES</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2,280,500</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709,333</w:t>
            </w:r>
          </w:p>
        </w:tc>
        <w:tc>
          <w:tcPr>
            <w:tcW w:w="140" w:type="dxa"/>
            <w:vAlign w:val="bottom"/>
          </w:tcPr>
          <w:p>
            <w:pPr>
              <w:spacing w:after="0"/>
              <w:rPr>
                <w:sz w:val="12"/>
                <w:szCs w:val="12"/>
                <w:color w:val="auto"/>
              </w:rPr>
            </w:pPr>
          </w:p>
        </w:tc>
      </w:tr>
      <w:tr>
        <w:trPr>
          <w:trHeight w:val="288"/>
        </w:trPr>
        <w:tc>
          <w:tcPr>
            <w:tcW w:w="8620" w:type="dxa"/>
            <w:vAlign w:val="bottom"/>
          </w:tcPr>
          <w:p>
            <w:pPr>
              <w:spacing w:after="0"/>
              <w:rPr>
                <w:sz w:val="20"/>
                <w:szCs w:val="20"/>
                <w:color w:val="auto"/>
              </w:rPr>
            </w:pPr>
            <w:r>
              <w:rPr>
                <w:rFonts w:ascii="Arial" w:cs="Arial" w:eastAsia="Arial" w:hAnsi="Arial"/>
                <w:sz w:val="12"/>
                <w:szCs w:val="12"/>
                <w:b w:val="1"/>
                <w:bCs w:val="1"/>
                <w:color w:val="auto"/>
              </w:rPr>
              <w:t>INCREASE IN CASH</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93,355</w:t>
            </w:r>
          </w:p>
        </w:tc>
        <w:tc>
          <w:tcPr>
            <w:tcW w:w="16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14,750</w:t>
            </w:r>
          </w:p>
        </w:tc>
      </w:tr>
      <w:tr>
        <w:trPr>
          <w:trHeight w:val="290"/>
        </w:trPr>
        <w:tc>
          <w:tcPr>
            <w:tcW w:w="8620" w:type="dxa"/>
            <w:vAlign w:val="bottom"/>
          </w:tcPr>
          <w:p>
            <w:pPr>
              <w:spacing w:after="0"/>
              <w:rPr>
                <w:sz w:val="20"/>
                <w:szCs w:val="20"/>
                <w:color w:val="auto"/>
              </w:rPr>
            </w:pPr>
            <w:r>
              <w:rPr>
                <w:rFonts w:ascii="Arial" w:cs="Arial" w:eastAsia="Arial" w:hAnsi="Arial"/>
                <w:sz w:val="12"/>
                <w:szCs w:val="12"/>
                <w:b w:val="1"/>
                <w:bCs w:val="1"/>
                <w:color w:val="auto"/>
              </w:rPr>
              <w:t>CASH, BEGINNING OF YEAR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48,589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33,839</w:t>
            </w:r>
          </w:p>
        </w:tc>
      </w:tr>
      <w:tr>
        <w:trPr>
          <w:trHeight w:val="20"/>
        </w:trPr>
        <w:tc>
          <w:tcPr>
            <w:tcW w:w="8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8"/>
        </w:trPr>
        <w:tc>
          <w:tcPr>
            <w:tcW w:w="8620" w:type="dxa"/>
            <w:vAlign w:val="bottom"/>
          </w:tcPr>
          <w:p>
            <w:pPr>
              <w:spacing w:after="0"/>
              <w:rPr>
                <w:sz w:val="20"/>
                <w:szCs w:val="20"/>
                <w:color w:val="auto"/>
              </w:rPr>
            </w:pPr>
            <w:r>
              <w:rPr>
                <w:rFonts w:ascii="Arial" w:cs="Arial" w:eastAsia="Arial" w:hAnsi="Arial"/>
                <w:sz w:val="12"/>
                <w:szCs w:val="12"/>
                <w:b w:val="1"/>
                <w:bCs w:val="1"/>
                <w:color w:val="auto"/>
              </w:rPr>
              <w:t>CASH, END OF YEAR</w:t>
            </w:r>
          </w:p>
        </w:tc>
        <w:tc>
          <w:tcPr>
            <w:tcW w:w="120" w:type="dxa"/>
            <w:vAlign w:val="bottom"/>
          </w:tcPr>
          <w:p>
            <w:pPr>
              <w:spacing w:after="0"/>
              <w:rPr>
                <w:sz w:val="24"/>
                <w:szCs w:val="2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141,944</w:t>
            </w:r>
          </w:p>
        </w:tc>
        <w:tc>
          <w:tcPr>
            <w:tcW w:w="240" w:type="dxa"/>
            <w:vAlign w:val="bottom"/>
          </w:tcPr>
          <w:p>
            <w:pPr>
              <w:spacing w:after="0"/>
              <w:rPr>
                <w:sz w:val="24"/>
                <w:szCs w:val="2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48,589</w:t>
            </w:r>
          </w:p>
        </w:tc>
      </w:tr>
      <w:tr>
        <w:trPr>
          <w:trHeight w:val="20"/>
        </w:trPr>
        <w:tc>
          <w:tcPr>
            <w:tcW w:w="8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716" w:right="19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2"/>
          <w:szCs w:val="12"/>
          <w:b w:val="1"/>
          <w:bCs w:val="1"/>
          <w:color w:val="auto"/>
        </w:rPr>
        <w:t>TAPIMMUNE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2"/>
                <w:szCs w:val="12"/>
                <w:color w:val="auto"/>
                <w:w w:val="88"/>
              </w:rPr>
              <w:t>Year Ended</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80"/>
              <w:spacing w:after="0"/>
              <w:rPr>
                <w:sz w:val="20"/>
                <w:szCs w:val="20"/>
                <w:color w:val="auto"/>
              </w:rPr>
            </w:pPr>
            <w:r>
              <w:rPr>
                <w:rFonts w:ascii="Arial" w:cs="Arial" w:eastAsia="Arial" w:hAnsi="Arial"/>
                <w:sz w:val="12"/>
                <w:szCs w:val="12"/>
                <w:color w:val="auto"/>
                <w:w w:val="88"/>
              </w:rPr>
              <w:t>Year Ended</w:t>
            </w:r>
          </w:p>
        </w:tc>
        <w:tc>
          <w:tcPr>
            <w:tcW w:w="140" w:type="dxa"/>
            <w:vAlign w:val="bottom"/>
            <w:tcBorders>
              <w:top w:val="single" w:sz="8" w:color="auto"/>
            </w:tcBorders>
          </w:tcPr>
          <w:p>
            <w:pPr>
              <w:spacing w:after="0"/>
              <w:rPr>
                <w:sz w:val="13"/>
                <w:szCs w:val="13"/>
                <w:color w:val="auto"/>
              </w:rPr>
            </w:pPr>
          </w:p>
        </w:tc>
      </w:tr>
      <w:tr>
        <w:trPr>
          <w:trHeight w:val="145"/>
        </w:trPr>
        <w:tc>
          <w:tcPr>
            <w:tcW w:w="8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2"/>
                <w:szCs w:val="12"/>
                <w:color w:val="auto"/>
                <w:w w:val="90"/>
              </w:rPr>
              <w:t>December 31,</w:t>
            </w:r>
          </w:p>
        </w:tc>
        <w:tc>
          <w:tcPr>
            <w:tcW w:w="160" w:type="dxa"/>
            <w:vAlign w:val="bottom"/>
          </w:tcPr>
          <w:p>
            <w:pPr>
              <w:spacing w:after="0"/>
              <w:rPr>
                <w:sz w:val="12"/>
                <w:szCs w:val="12"/>
                <w:color w:val="auto"/>
              </w:rPr>
            </w:pPr>
          </w:p>
        </w:tc>
        <w:tc>
          <w:tcPr>
            <w:tcW w:w="1020" w:type="dxa"/>
            <w:vAlign w:val="bottom"/>
          </w:tcPr>
          <w:p>
            <w:pPr>
              <w:jc w:val="center"/>
              <w:ind w:right="80"/>
              <w:spacing w:after="0"/>
              <w:rPr>
                <w:sz w:val="20"/>
                <w:szCs w:val="20"/>
                <w:color w:val="auto"/>
              </w:rPr>
            </w:pPr>
            <w:r>
              <w:rPr>
                <w:rFonts w:ascii="Arial" w:cs="Arial" w:eastAsia="Arial" w:hAnsi="Arial"/>
                <w:sz w:val="12"/>
                <w:szCs w:val="12"/>
                <w:color w:val="auto"/>
                <w:w w:val="90"/>
              </w:rPr>
              <w:t>December 31,</w:t>
            </w:r>
          </w:p>
        </w:tc>
        <w:tc>
          <w:tcPr>
            <w:tcW w:w="140" w:type="dxa"/>
            <w:vAlign w:val="bottom"/>
          </w:tcPr>
          <w:p>
            <w:pPr>
              <w:spacing w:after="0"/>
              <w:rPr>
                <w:sz w:val="12"/>
                <w:szCs w:val="12"/>
                <w:color w:val="auto"/>
              </w:rPr>
            </w:pPr>
          </w:p>
        </w:tc>
      </w:tr>
      <w:tr>
        <w:trPr>
          <w:trHeight w:val="154"/>
        </w:trPr>
        <w:tc>
          <w:tcPr>
            <w:tcW w:w="8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color w:val="auto"/>
                <w:w w:val="89"/>
              </w:rPr>
              <w:t>2014</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color w:val="auto"/>
                <w:w w:val="89"/>
              </w:rPr>
              <w:t>2013</w:t>
            </w:r>
          </w:p>
        </w:tc>
        <w:tc>
          <w:tcPr>
            <w:tcW w:w="140" w:type="dxa"/>
            <w:vAlign w:val="bottom"/>
          </w:tcPr>
          <w:p>
            <w:pPr>
              <w:spacing w:after="0"/>
              <w:rPr>
                <w:sz w:val="13"/>
                <w:szCs w:val="13"/>
                <w:color w:val="auto"/>
              </w:rPr>
            </w:pPr>
          </w:p>
        </w:tc>
      </w:tr>
      <w:tr>
        <w:trPr>
          <w:trHeight w:val="288"/>
        </w:trPr>
        <w:tc>
          <w:tcPr>
            <w:tcW w:w="8620" w:type="dxa"/>
            <w:vAlign w:val="bottom"/>
          </w:tcPr>
          <w:p>
            <w:pPr>
              <w:spacing w:after="0"/>
              <w:rPr>
                <w:sz w:val="20"/>
                <w:szCs w:val="20"/>
                <w:color w:val="auto"/>
              </w:rPr>
            </w:pPr>
            <w:r>
              <w:rPr>
                <w:rFonts w:ascii="Arial" w:cs="Arial" w:eastAsia="Arial" w:hAnsi="Arial"/>
                <w:sz w:val="12"/>
                <w:szCs w:val="12"/>
                <w:b w:val="1"/>
                <w:bCs w:val="1"/>
                <w:color w:val="auto"/>
              </w:rPr>
              <w:t>SUPPLEMENTAL SCHEDULE OF NON-CASH ACTIVITIES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8620" w:type="dxa"/>
            <w:vAlign w:val="bottom"/>
          </w:tcPr>
          <w:p>
            <w:pPr>
              <w:spacing w:after="0"/>
              <w:rPr>
                <w:sz w:val="20"/>
                <w:szCs w:val="20"/>
                <w:color w:val="auto"/>
              </w:rPr>
            </w:pPr>
            <w:r>
              <w:rPr>
                <w:rFonts w:ascii="Arial" w:cs="Arial" w:eastAsia="Arial" w:hAnsi="Arial"/>
                <w:sz w:val="12"/>
                <w:szCs w:val="12"/>
                <w:color w:val="auto"/>
              </w:rPr>
              <w:t>Accounts payable settled in common stock</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2,415,000</w:t>
            </w:r>
          </w:p>
        </w:tc>
        <w:tc>
          <w:tcPr>
            <w:tcW w:w="240" w:type="dxa"/>
            <w:vAlign w:val="bottom"/>
          </w:tcPr>
          <w:p>
            <w:pPr>
              <w:spacing w:after="0"/>
              <w:rPr>
                <w:sz w:val="24"/>
                <w:szCs w:val="2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558,000</w:t>
            </w:r>
          </w:p>
        </w:tc>
        <w:tc>
          <w:tcPr>
            <w:tcW w:w="140" w:type="dxa"/>
            <w:vAlign w:val="bottom"/>
          </w:tcPr>
          <w:p>
            <w:pPr>
              <w:spacing w:after="0"/>
              <w:rPr>
                <w:sz w:val="24"/>
                <w:szCs w:val="24"/>
                <w:color w:val="auto"/>
              </w:rPr>
            </w:pPr>
          </w:p>
        </w:tc>
      </w:tr>
      <w:tr>
        <w:trPr>
          <w:trHeight w:val="281"/>
        </w:trPr>
        <w:tc>
          <w:tcPr>
            <w:tcW w:w="8620" w:type="dxa"/>
            <w:vAlign w:val="bottom"/>
          </w:tcPr>
          <w:p>
            <w:pPr>
              <w:spacing w:after="0"/>
              <w:rPr>
                <w:sz w:val="20"/>
                <w:szCs w:val="20"/>
                <w:color w:val="auto"/>
              </w:rPr>
            </w:pPr>
            <w:r>
              <w:rPr>
                <w:rFonts w:ascii="Arial" w:cs="Arial" w:eastAsia="Arial" w:hAnsi="Arial"/>
                <w:sz w:val="12"/>
                <w:szCs w:val="12"/>
                <w:b w:val="1"/>
                <w:bCs w:val="1"/>
                <w:color w:val="auto"/>
              </w:rPr>
              <w:t>Conversion of debt obligations into common stock:</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Accrued interest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525,000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Convertible notes payable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4,116,000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738,000</w:t>
            </w:r>
          </w:p>
        </w:tc>
        <w:tc>
          <w:tcPr>
            <w:tcW w:w="140" w:type="dxa"/>
            <w:vAlign w:val="bottom"/>
          </w:tcPr>
          <w:p>
            <w:pPr>
              <w:spacing w:after="0"/>
              <w:rPr>
                <w:sz w:val="12"/>
                <w:szCs w:val="12"/>
                <w:color w:val="auto"/>
              </w:rPr>
            </w:pP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Loans payable, related party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42,000</w:t>
            </w: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Promissory notes, related party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210,000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Due to related parties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369,000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54"/>
        </w:trPr>
        <w:tc>
          <w:tcPr>
            <w:tcW w:w="8620" w:type="dxa"/>
            <w:vAlign w:val="bottom"/>
          </w:tcPr>
          <w:p>
            <w:pPr>
              <w:spacing w:after="0"/>
              <w:rPr>
                <w:sz w:val="20"/>
                <w:szCs w:val="20"/>
                <w:color w:val="auto"/>
              </w:rPr>
            </w:pPr>
            <w:r>
              <w:rPr>
                <w:rFonts w:ascii="Arial" w:cs="Arial" w:eastAsia="Arial" w:hAnsi="Arial"/>
                <w:sz w:val="12"/>
                <w:szCs w:val="12"/>
                <w:color w:val="auto"/>
              </w:rPr>
              <w:t>Fair value derivative liability – conversion option at conversion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708,000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r>
      <w:tr>
        <w:trPr>
          <w:trHeight w:val="163"/>
        </w:trPr>
        <w:tc>
          <w:tcPr>
            <w:tcW w:w="8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716" w:right="199" w:bottom="1440" w:gutter="0" w:footer="0" w:header="0"/>
        </w:sectPr>
      </w:pPr>
    </w:p>
    <w:bookmarkStart w:id="53" w:name="page54"/>
    <w:bookmarkEnd w:id="53"/>
    <w:p>
      <w:pPr>
        <w:jc w:val="center"/>
        <w:spacing w:after="0"/>
        <w:rPr>
          <w:sz w:val="20"/>
          <w:szCs w:val="20"/>
          <w:color w:val="auto"/>
        </w:rPr>
      </w:pPr>
      <w:r>
        <w:rPr>
          <w:rFonts w:ascii="Arial" w:cs="Arial" w:eastAsia="Arial" w:hAnsi="Arial"/>
          <w:sz w:val="12"/>
          <w:szCs w:val="12"/>
          <w:b w:val="1"/>
          <w:bCs w:val="1"/>
          <w:i w:val="1"/>
          <w:iCs w:val="1"/>
          <w:color w:val="auto"/>
        </w:rPr>
        <w:t>TAPIMMUNE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2014</w:t>
      </w:r>
    </w:p>
    <w:p>
      <w:pPr>
        <w:spacing w:after="0" w:line="321"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NOTE 1: NATURE OF OPERATIONS</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 Phase I study at the Mayo Clinic is currently evaluating the safety and immune responses of a set of proprietary HER2/neu antigens that will be part of the "Prime" for a HER2/neu breast cancer vaccine.</w:t>
      </w:r>
    </w:p>
    <w:p>
      <w:pPr>
        <w:spacing w:after="0" w:line="152"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A second Phase I trial is underway at Mayo Clinic (“Mayo”) in Ovarian and breast cancer (Folate Receptor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 Negative Breast Cancer. Both of these diseases have few treatment options if any beyond surgery and chemotherapy and therefore the Company is hopeful that it might be an ideal candidate for orphan drug status in these indications.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Phase II advancement will be assessed in the second quarter of 2015. TapImmune has an exclusive option to license this set of peptides after successful phase 1 trials.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23" w:lineRule="exact"/>
        <w:rPr>
          <w:sz w:val="20"/>
          <w:szCs w:val="20"/>
          <w:color w:val="auto"/>
        </w:rPr>
      </w:pPr>
    </w:p>
    <w:p>
      <w:pPr>
        <w:jc w:val="both"/>
        <w:ind w:right="20" w:firstLine="31"/>
        <w:spacing w:after="0" w:line="279" w:lineRule="auto"/>
        <w:rPr>
          <w:sz w:val="20"/>
          <w:szCs w:val="20"/>
          <w:color w:val="auto"/>
        </w:rPr>
      </w:pPr>
      <w:r>
        <w:rPr>
          <w:rFonts w:ascii="Arial" w:cs="Arial" w:eastAsia="Arial" w:hAnsi="Arial"/>
          <w:sz w:val="12"/>
          <w:szCs w:val="12"/>
          <w:color w:val="auto"/>
        </w:rPr>
        <w:t>The Company is also exploiting the emerging field of vaccinomics for the development of vaccines applicable to a broad patient population. TapImmune's immunotherapy technologies are also aimed at the prevention of emerging viral pathogens for pandemics and biodefense.</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These consolidated financial statements have been prepared on the basis of a going concern which contemplates the realization of assets and the satisfaction of liabilities in the normal course of business. As at December 31, 2014, the Company had a working capital deficiency and has incurred significant losses since inception in the development of its business. Further losses are anticipated raising substantial doubt as to the Company’s ability to continue as a going concern. The ability of the Company to continue as a going concern is dependent on raising additional capital to fund clinical trials, ongoing research and development, maintenance and protection of patents, accommodation from certain debt obligations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7" w:right="199" w:bottom="1440" w:gutter="0" w:footer="0" w:header="0"/>
        </w:sectPr>
      </w:pPr>
    </w:p>
    <w:bookmarkStart w:id="54" w:name="page55"/>
    <w:bookmarkEnd w:id="54"/>
    <w:p>
      <w:pPr>
        <w:jc w:val="both"/>
        <w:spacing w:after="0" w:line="265" w:lineRule="auto"/>
        <w:rPr>
          <w:sz w:val="20"/>
          <w:szCs w:val="20"/>
          <w:color w:val="auto"/>
        </w:rPr>
      </w:pPr>
      <w:r>
        <w:rPr>
          <w:rFonts w:ascii="Arial" w:cs="Arial" w:eastAsia="Arial" w:hAnsi="Arial"/>
          <w:sz w:val="12"/>
          <w:szCs w:val="12"/>
          <w:color w:val="auto"/>
        </w:rPr>
        <w:t>Historically the Company has raised capital through issuances of various financial instruments and the Company recently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There is no certainty that the Company will be able to arrange sufficient funding to satisfy current debt obligations or to continue development of products to marketability.</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NOTE 2: SUMMARY OF SIGNIFICANT ACCOUNTING POLICIES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These financial statements are presented in United States dollars and have been prepared in accordance with accounting principles generally accepted in the United States of America (“GAAP”).</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Principles of Consolidation</w:t>
      </w:r>
    </w:p>
    <w:p>
      <w:pPr>
        <w:spacing w:after="0" w:line="156"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These financial statements include the accounts of the Company and its wholly-owned subsidiaries GeneMax Pharmaceuticals Inc. (“GPI”) and GeneMax Pharmaceuticals Canada Inc. (“GPC”). All significant intercompany balances and transactions are eliminated upon consolidation. In the fourth quarter of fiscal 2014, the Company dissolved GPC and no longer has any Canadian subsidiary.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and accrued liabilities. Matters impacting the Company’s ability to continue as a going concern and contingencies also involve the use of estimates and assumptions.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Measurements</w:t>
      </w:r>
    </w:p>
    <w:p>
      <w:pPr>
        <w:spacing w:after="0" w:line="156"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The fair value of certain of the Company’s financial instruments, including cash and cash equivalents, accrued compensation, and other accrued liabilities, approximate cost because of their short maturities. The Company measures the fair value of certain of its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23" w:lineRule="exact"/>
        <w:rPr>
          <w:sz w:val="20"/>
          <w:szCs w:val="20"/>
          <w:color w:val="auto"/>
        </w:rPr>
      </w:pPr>
    </w:p>
    <w:p>
      <w:pPr>
        <w:ind w:left="780" w:hanging="135"/>
        <w:spacing w:after="0"/>
        <w:tabs>
          <w:tab w:leader="none" w:pos="7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Level 1-Quoted prices (unadjusted) in active markets for identical assets and liabilities.</w:t>
      </w:r>
    </w:p>
    <w:p>
      <w:pPr>
        <w:spacing w:after="0" w:line="152" w:lineRule="exact"/>
        <w:rPr>
          <w:rFonts w:ascii="Arial" w:cs="Arial" w:eastAsia="Arial" w:hAnsi="Arial"/>
          <w:sz w:val="12"/>
          <w:szCs w:val="12"/>
          <w:color w:val="auto"/>
        </w:rPr>
      </w:pPr>
    </w:p>
    <w:p>
      <w:pPr>
        <w:ind w:left="640" w:right="300" w:firstLine="5"/>
        <w:spacing w:after="0" w:line="279" w:lineRule="auto"/>
        <w:tabs>
          <w:tab w:leader="none" w:pos="773" w:val="left"/>
        </w:tabs>
        <w:numPr>
          <w:ilvl w:val="0"/>
          <w:numId w:val="30"/>
        </w:numPr>
        <w:rPr>
          <w:rFonts w:ascii="Arial" w:cs="Arial" w:eastAsia="Arial" w:hAnsi="Arial"/>
          <w:sz w:val="12"/>
          <w:szCs w:val="12"/>
          <w:color w:val="auto"/>
        </w:rPr>
      </w:pPr>
      <w:r>
        <w:rPr>
          <w:rFonts w:ascii="Arial" w:cs="Arial" w:eastAsia="Arial" w:hAnsi="Arial"/>
          <w:sz w:val="12"/>
          <w:szCs w:val="12"/>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14" w:lineRule="exact"/>
        <w:rPr>
          <w:rFonts w:ascii="Arial" w:cs="Arial" w:eastAsia="Arial" w:hAnsi="Arial"/>
          <w:sz w:val="12"/>
          <w:szCs w:val="12"/>
          <w:color w:val="auto"/>
        </w:rPr>
      </w:pPr>
    </w:p>
    <w:p>
      <w:pPr>
        <w:ind w:left="780" w:hanging="135"/>
        <w:spacing w:after="0"/>
        <w:tabs>
          <w:tab w:leader="none" w:pos="7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Level 3-Unobservable inputs that are supported by little or no market activity and that are significant to the fair value of the assets or liabilities. Financial Instruments and Concentration of Credit Risk.</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and liabilities classified as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Prior Period Reclassifications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Certain prior period amounts that were combined in the December 31, 2013 consolidated financial statements have been reclassified for comparability with the December 31, 2014 presentation. These reclassifications had no effect on previously reported net loss.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702" w:right="199"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color w:val="auto"/>
        </w:rPr>
        <w:t>Stock-Based Compensation</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41"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color w:val="auto"/>
        </w:rPr>
        <w:t>— The expected term of options represents the period that the Company’s stock-based awards are expected to be outstanding based on the simplified method, which is the half-life from vesting to the end of its contractual</w:t>
      </w:r>
      <w:r>
        <w:rPr>
          <w:rFonts w:ascii="Arial" w:cs="Arial" w:eastAsia="Arial" w:hAnsi="Arial"/>
          <w:sz w:val="12"/>
          <w:szCs w:val="12"/>
          <w:i w:val="1"/>
          <w:iCs w:val="1"/>
          <w:color w:val="auto"/>
        </w:rPr>
        <w:t xml:space="preserve"> </w:t>
      </w:r>
      <w:r>
        <w:rPr>
          <w:rFonts w:ascii="Arial" w:cs="Arial" w:eastAsia="Arial" w:hAnsi="Arial"/>
          <w:sz w:val="12"/>
          <w:szCs w:val="12"/>
          <w:color w:val="auto"/>
        </w:rPr>
        <w:t>term.</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color w:val="auto"/>
        </w:rPr>
        <w:t>— The Company computes stock price volatility over expected terms based on its historical common stock trading prices.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Risk-Free Interest Rate </w:t>
      </w:r>
      <w:r>
        <w:rPr>
          <w:rFonts w:ascii="Arial" w:cs="Arial" w:eastAsia="Arial" w:hAnsi="Arial"/>
          <w:sz w:val="12"/>
          <w:szCs w:val="12"/>
          <w:color w:val="auto"/>
        </w:rPr>
        <w:t>— The Company bases the risk-free interest rate on the implied yield available on U.S. Treasury zero-coupon issues with an equivalent remaining term.</w:t>
      </w:r>
    </w:p>
    <w:p>
      <w:pPr>
        <w:spacing w:after="0" w:line="152"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i w:val="1"/>
          <w:iCs w:val="1"/>
          <w:color w:val="auto"/>
        </w:rPr>
        <w:t xml:space="preserve">Expected Dividend </w:t>
      </w:r>
      <w:r>
        <w:rPr>
          <w:rFonts w:ascii="Arial" w:cs="Arial" w:eastAsia="Arial" w:hAnsi="Arial"/>
          <w:sz w:val="12"/>
          <w:szCs w:val="12"/>
          <w:color w:val="auto"/>
        </w:rPr>
        <w:t>— The Company has never declared or paid any cash dividends on its common shares and does not plan to pay cash dividends in the foreseeable future, and, therefore, uses an expected dividend yield of zero in its</w:t>
      </w:r>
      <w:r>
        <w:rPr>
          <w:rFonts w:ascii="Arial" w:cs="Arial" w:eastAsia="Arial" w:hAnsi="Arial"/>
          <w:sz w:val="12"/>
          <w:szCs w:val="12"/>
          <w:i w:val="1"/>
          <w:iCs w:val="1"/>
          <w:color w:val="auto"/>
        </w:rPr>
        <w:t xml:space="preserve"> </w:t>
      </w:r>
      <w:r>
        <w:rPr>
          <w:rFonts w:ascii="Arial" w:cs="Arial" w:eastAsia="Arial" w:hAnsi="Arial"/>
          <w:sz w:val="12"/>
          <w:szCs w:val="12"/>
          <w:color w:val="auto"/>
        </w:rPr>
        <w:t>valuation models. The Company recognizes fair value of stock options granted to nonemployees as stock-based compensation expense over the period in which the related services are received.</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Deferred Financing Costs</w:t>
      </w:r>
    </w:p>
    <w:p>
      <w:pPr>
        <w:spacing w:after="0" w:line="156" w:lineRule="exact"/>
        <w:rPr>
          <w:sz w:val="20"/>
          <w:szCs w:val="20"/>
          <w:color w:val="auto"/>
        </w:rPr>
      </w:pPr>
    </w:p>
    <w:p>
      <w:pPr>
        <w:jc w:val="both"/>
        <w:ind w:right="20"/>
        <w:spacing w:after="0" w:line="326" w:lineRule="auto"/>
        <w:rPr>
          <w:sz w:val="20"/>
          <w:szCs w:val="20"/>
          <w:color w:val="auto"/>
        </w:rPr>
      </w:pPr>
      <w:r>
        <w:rPr>
          <w:rFonts w:ascii="Arial" w:cs="Arial" w:eastAsia="Arial" w:hAnsi="Arial"/>
          <w:sz w:val="11"/>
          <w:szCs w:val="11"/>
          <w:color w:val="auto"/>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Costs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56"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allowances against deferred tax assets.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 Liability</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Company evaluates its convertible debt, options, warrants or other contracts to determine if those contracts or embedded components of those contracts qualify as derivatives to be separately accounted for in accordance with ASC 810-10-05-4 and 815-40.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698" w:right="199" w:bottom="1440" w:gutter="0" w:footer="0" w:header="0"/>
        </w:sectPr>
      </w:pPr>
    </w:p>
    <w:bookmarkStart w:id="56" w:name="page57"/>
    <w:bookmarkEnd w:id="56"/>
    <w:p>
      <w:pPr>
        <w:jc w:val="both"/>
        <w:spacing w:after="0" w:line="261" w:lineRule="auto"/>
        <w:rPr>
          <w:sz w:val="20"/>
          <w:szCs w:val="20"/>
          <w:color w:val="auto"/>
        </w:rPr>
      </w:pPr>
      <w:r>
        <w:rPr>
          <w:rFonts w:ascii="Arial" w:cs="Arial" w:eastAsia="Arial" w:hAnsi="Arial"/>
          <w:sz w:val="12"/>
          <w:szCs w:val="12"/>
          <w:color w:val="auto"/>
        </w:rPr>
        <w:t>In evaluating the application of ASC 815-40, management must determine whether an instrument (or an embedded feature) is indexed to the Company’s own stock. ASC 815-40-15 provides that an entity should use a two-step approach to evaluate whether an equity-linked financial instrument (or embedded feature) is indexed to its own stock, including evaluating the instrument’s contingent exercise and settlement provisions. The application of ASC 815-40-15 has affected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 xml:space="preserve">The Company has evaluated the application ASC 480-10 </w:t>
      </w:r>
      <w:r>
        <w:rPr>
          <w:rFonts w:ascii="Arial" w:cs="Arial" w:eastAsia="Arial" w:hAnsi="Arial"/>
          <w:sz w:val="11"/>
          <w:szCs w:val="11"/>
          <w:i w:val="1"/>
          <w:iCs w:val="1"/>
          <w:color w:val="auto"/>
        </w:rPr>
        <w:t>Distinguishing liabilities from equity</w:t>
      </w:r>
      <w:r>
        <w:rPr>
          <w:rFonts w:ascii="Arial" w:cs="Arial" w:eastAsia="Arial" w:hAnsi="Arial"/>
          <w:sz w:val="11"/>
          <w:szCs w:val="11"/>
          <w:color w:val="auto"/>
        </w:rPr>
        <w:t xml:space="preserve">, ASC 815-40 </w:t>
      </w:r>
      <w:r>
        <w:rPr>
          <w:rFonts w:ascii="Arial" w:cs="Arial" w:eastAsia="Arial" w:hAnsi="Arial"/>
          <w:sz w:val="11"/>
          <w:szCs w:val="11"/>
          <w:i w:val="1"/>
          <w:iCs w:val="1"/>
          <w:color w:val="auto"/>
        </w:rPr>
        <w:t>Contracts in an Entity’s Own Equity</w:t>
      </w:r>
      <w:r>
        <w:rPr>
          <w:rFonts w:ascii="Arial" w:cs="Arial" w:eastAsia="Arial" w:hAnsi="Arial"/>
          <w:sz w:val="11"/>
          <w:szCs w:val="11"/>
          <w:color w:val="auto"/>
        </w:rPr>
        <w:t xml:space="preserve"> and ASC 718-10 </w:t>
      </w:r>
      <w:r>
        <w:rPr>
          <w:rFonts w:ascii="Arial" w:cs="Arial" w:eastAsia="Arial" w:hAnsi="Arial"/>
          <w:sz w:val="11"/>
          <w:szCs w:val="11"/>
          <w:i w:val="1"/>
          <w:iCs w:val="1"/>
          <w:color w:val="auto"/>
        </w:rPr>
        <w:t>Compensation – Stock Compensation</w:t>
      </w:r>
      <w:r>
        <w:rPr>
          <w:rFonts w:ascii="Arial" w:cs="Arial" w:eastAsia="Arial" w:hAnsi="Arial"/>
          <w:sz w:val="11"/>
          <w:szCs w:val="11"/>
          <w:color w:val="auto"/>
        </w:rPr>
        <w:t xml:space="preserve">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Loss per Common Share</w:t>
      </w:r>
    </w:p>
    <w:p>
      <w:pPr>
        <w:spacing w:after="0" w:line="156"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740" w:type="dxa"/>
            <w:vAlign w:val="bottom"/>
          </w:tcPr>
          <w:p>
            <w:pPr>
              <w:spacing w:after="0"/>
              <w:rPr>
                <w:sz w:val="20"/>
                <w:szCs w:val="20"/>
                <w:color w:val="auto"/>
              </w:rPr>
            </w:pPr>
            <w:r>
              <w:rPr>
                <w:rFonts w:ascii="Arial" w:cs="Arial" w:eastAsia="Arial" w:hAnsi="Arial"/>
                <w:sz w:val="12"/>
                <w:szCs w:val="12"/>
                <w:b w:val="1"/>
                <w:bCs w:val="1"/>
                <w:color w:val="auto"/>
              </w:rPr>
              <w:t>Net Loss per Share Applicable to Common Stockholders</w:t>
            </w: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90"/>
        </w:trPr>
        <w:tc>
          <w:tcPr>
            <w:tcW w:w="8740" w:type="dxa"/>
            <w:vAlign w:val="bottom"/>
          </w:tcPr>
          <w:p>
            <w:pPr>
              <w:spacing w:after="0"/>
              <w:rPr>
                <w:sz w:val="20"/>
                <w:szCs w:val="20"/>
                <w:color w:val="auto"/>
              </w:rPr>
            </w:pPr>
            <w:r>
              <w:rPr>
                <w:rFonts w:ascii="Arial" w:cs="Arial" w:eastAsia="Arial" w:hAnsi="Arial"/>
                <w:sz w:val="12"/>
                <w:szCs w:val="12"/>
                <w:color w:val="auto"/>
              </w:rPr>
              <w:t>Options, warrants, and convertible debt outstanding were all considered anti-dilutive for the years ended December 31, 2014 and 2013, due to net losses.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0"/>
        </w:trPr>
        <w:tc>
          <w:tcPr>
            <w:tcW w:w="8740" w:type="dxa"/>
            <w:vAlign w:val="bottom"/>
          </w:tcPr>
          <w:p>
            <w:pPr>
              <w:spacing w:after="0"/>
              <w:rPr>
                <w:sz w:val="20"/>
                <w:szCs w:val="20"/>
                <w:color w:val="auto"/>
              </w:rPr>
            </w:pPr>
            <w:r>
              <w:rPr>
                <w:rFonts w:ascii="Arial" w:cs="Arial" w:eastAsia="Arial" w:hAnsi="Arial"/>
                <w:sz w:val="12"/>
                <w:szCs w:val="12"/>
                <w:color w:val="auto"/>
              </w:rPr>
              <w:t>The following securities were not included in the diluted net loss per share calculation because their effect was anti-dilutive as of the periods presented:</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8"/>
        </w:trPr>
        <w:tc>
          <w:tcPr>
            <w:tcW w:w="8740" w:type="dxa"/>
            <w:vAlign w:val="bottom"/>
          </w:tcPr>
          <w:p>
            <w:pPr>
              <w:spacing w:after="0"/>
              <w:rPr>
                <w:sz w:val="24"/>
                <w:szCs w:val="24"/>
                <w:color w:val="auto"/>
              </w:rPr>
            </w:pPr>
          </w:p>
        </w:tc>
        <w:tc>
          <w:tcPr>
            <w:tcW w:w="1760" w:type="dxa"/>
            <w:vAlign w:val="bottom"/>
            <w:tcBorders>
              <w:bottom w:val="single" w:sz="8" w:color="auto"/>
            </w:tcBorders>
            <w:gridSpan w:val="3"/>
          </w:tcPr>
          <w:p>
            <w:pPr>
              <w:ind w:left="920"/>
              <w:spacing w:after="0"/>
              <w:rPr>
                <w:sz w:val="20"/>
                <w:szCs w:val="20"/>
                <w:color w:val="auto"/>
              </w:rPr>
            </w:pPr>
            <w:r>
              <w:rPr>
                <w:rFonts w:ascii="Arial" w:cs="Arial" w:eastAsia="Arial" w:hAnsi="Arial"/>
                <w:sz w:val="12"/>
                <w:szCs w:val="12"/>
                <w:b w:val="1"/>
                <w:bCs w:val="1"/>
                <w:color w:val="auto"/>
              </w:rPr>
              <w:t>December 31,</w:t>
            </w:r>
          </w:p>
        </w:tc>
        <w:tc>
          <w:tcPr>
            <w:tcW w:w="840" w:type="dxa"/>
            <w:vAlign w:val="bottom"/>
            <w:tcBorders>
              <w:bottom w:val="single" w:sz="8" w:color="auto"/>
            </w:tcBorders>
          </w:tcPr>
          <w:p>
            <w:pPr>
              <w:spacing w:after="0"/>
              <w:rPr>
                <w:sz w:val="24"/>
                <w:szCs w:val="24"/>
                <w:color w:val="auto"/>
              </w:rPr>
            </w:pPr>
          </w:p>
        </w:tc>
      </w:tr>
      <w:tr>
        <w:trPr>
          <w:trHeight w:val="143"/>
        </w:trPr>
        <w:tc>
          <w:tcPr>
            <w:tcW w:w="8740" w:type="dxa"/>
            <w:vAlign w:val="bottom"/>
          </w:tcPr>
          <w:p>
            <w:pPr>
              <w:spacing w:after="0"/>
              <w:rPr>
                <w:sz w:val="12"/>
                <w:szCs w:val="12"/>
                <w:color w:val="auto"/>
              </w:rPr>
            </w:pPr>
          </w:p>
        </w:tc>
        <w:tc>
          <w:tcPr>
            <w:tcW w:w="11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2013</w:t>
            </w:r>
          </w:p>
        </w:tc>
      </w:tr>
      <w:tr>
        <w:trPr>
          <w:trHeight w:val="134"/>
        </w:trPr>
        <w:tc>
          <w:tcPr>
            <w:tcW w:w="8740" w:type="dxa"/>
            <w:vAlign w:val="bottom"/>
          </w:tcPr>
          <w:p>
            <w:pPr>
              <w:spacing w:after="0" w:line="134" w:lineRule="exact"/>
              <w:rPr>
                <w:sz w:val="20"/>
                <w:szCs w:val="20"/>
                <w:color w:val="auto"/>
              </w:rPr>
            </w:pPr>
            <w:r>
              <w:rPr>
                <w:rFonts w:ascii="Arial" w:cs="Arial" w:eastAsia="Arial" w:hAnsi="Arial"/>
                <w:sz w:val="12"/>
                <w:szCs w:val="12"/>
                <w:color w:val="auto"/>
              </w:rPr>
              <w:t>Common stock options</w:t>
            </w:r>
          </w:p>
        </w:tc>
        <w:tc>
          <w:tcPr>
            <w:tcW w:w="1180" w:type="dxa"/>
            <w:vAlign w:val="bottom"/>
          </w:tcPr>
          <w:p>
            <w:pPr>
              <w:jc w:val="right"/>
              <w:spacing w:after="0" w:line="134" w:lineRule="exact"/>
              <w:rPr>
                <w:sz w:val="20"/>
                <w:szCs w:val="20"/>
                <w:color w:val="auto"/>
              </w:rPr>
            </w:pPr>
            <w:r>
              <w:rPr>
                <w:rFonts w:ascii="Arial" w:cs="Arial" w:eastAsia="Arial" w:hAnsi="Arial"/>
                <w:sz w:val="12"/>
                <w:szCs w:val="12"/>
                <w:color w:val="auto"/>
              </w:rPr>
              <w:t>65,430</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2"/>
                <w:szCs w:val="12"/>
                <w:color w:val="auto"/>
              </w:rPr>
              <w:t>65,430</w:t>
            </w:r>
          </w:p>
        </w:tc>
      </w:tr>
      <w:tr>
        <w:trPr>
          <w:trHeight w:val="145"/>
        </w:trPr>
        <w:tc>
          <w:tcPr>
            <w:tcW w:w="8740" w:type="dxa"/>
            <w:vAlign w:val="bottom"/>
          </w:tcPr>
          <w:p>
            <w:pPr>
              <w:spacing w:after="0"/>
              <w:rPr>
                <w:sz w:val="20"/>
                <w:szCs w:val="20"/>
                <w:color w:val="auto"/>
              </w:rPr>
            </w:pPr>
            <w:r>
              <w:rPr>
                <w:rFonts w:ascii="Arial" w:cs="Arial" w:eastAsia="Arial" w:hAnsi="Arial"/>
                <w:sz w:val="12"/>
                <w:szCs w:val="12"/>
                <w:color w:val="auto"/>
              </w:rPr>
              <w:t>Common stock warrants - equity treatment</w:t>
            </w:r>
          </w:p>
        </w:tc>
        <w:tc>
          <w:tcPr>
            <w:tcW w:w="1180" w:type="dxa"/>
            <w:vAlign w:val="bottom"/>
          </w:tcPr>
          <w:p>
            <w:pPr>
              <w:jc w:val="right"/>
              <w:spacing w:after="0"/>
              <w:rPr>
                <w:sz w:val="20"/>
                <w:szCs w:val="20"/>
                <w:color w:val="auto"/>
              </w:rPr>
            </w:pPr>
            <w:r>
              <w:rPr>
                <w:rFonts w:ascii="Arial" w:cs="Arial" w:eastAsia="Arial" w:hAnsi="Arial"/>
                <w:sz w:val="12"/>
                <w:szCs w:val="12"/>
                <w:color w:val="auto"/>
              </w:rPr>
              <w:t>2,556,133</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25,168</w:t>
            </w:r>
          </w:p>
        </w:tc>
      </w:tr>
      <w:tr>
        <w:trPr>
          <w:trHeight w:val="145"/>
        </w:trPr>
        <w:tc>
          <w:tcPr>
            <w:tcW w:w="8740" w:type="dxa"/>
            <w:vAlign w:val="bottom"/>
          </w:tcPr>
          <w:p>
            <w:pPr>
              <w:spacing w:after="0"/>
              <w:rPr>
                <w:sz w:val="20"/>
                <w:szCs w:val="20"/>
                <w:color w:val="auto"/>
              </w:rPr>
            </w:pPr>
            <w:r>
              <w:rPr>
                <w:rFonts w:ascii="Arial" w:cs="Arial" w:eastAsia="Arial" w:hAnsi="Arial"/>
                <w:sz w:val="12"/>
                <w:szCs w:val="12"/>
                <w:color w:val="auto"/>
              </w:rPr>
              <w:t>Common stock warrants - liability treatment</w:t>
            </w:r>
          </w:p>
        </w:tc>
        <w:tc>
          <w:tcPr>
            <w:tcW w:w="1180" w:type="dxa"/>
            <w:vAlign w:val="bottom"/>
          </w:tcPr>
          <w:p>
            <w:pPr>
              <w:jc w:val="right"/>
              <w:spacing w:after="0"/>
              <w:rPr>
                <w:sz w:val="20"/>
                <w:szCs w:val="20"/>
                <w:color w:val="auto"/>
              </w:rPr>
            </w:pPr>
            <w:r>
              <w:rPr>
                <w:rFonts w:ascii="Arial" w:cs="Arial" w:eastAsia="Arial" w:hAnsi="Arial"/>
                <w:sz w:val="12"/>
                <w:szCs w:val="12"/>
                <w:color w:val="auto"/>
              </w:rPr>
              <w:t>103,284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124,284</w:t>
            </w:r>
          </w:p>
        </w:tc>
      </w:tr>
      <w:tr>
        <w:trPr>
          <w:trHeight w:val="154"/>
        </w:trPr>
        <w:tc>
          <w:tcPr>
            <w:tcW w:w="8740" w:type="dxa"/>
            <w:vAlign w:val="bottom"/>
          </w:tcPr>
          <w:p>
            <w:pPr>
              <w:spacing w:after="0"/>
              <w:rPr>
                <w:sz w:val="20"/>
                <w:szCs w:val="20"/>
                <w:color w:val="auto"/>
              </w:rPr>
            </w:pPr>
            <w:r>
              <w:rPr>
                <w:rFonts w:ascii="Arial" w:cs="Arial" w:eastAsia="Arial" w:hAnsi="Arial"/>
                <w:sz w:val="12"/>
                <w:szCs w:val="12"/>
                <w:color w:val="auto"/>
              </w:rPr>
              <w:t>Convertible notes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738,760</w:t>
            </w:r>
          </w:p>
        </w:tc>
      </w:tr>
      <w:tr>
        <w:trPr>
          <w:trHeight w:val="143"/>
        </w:trPr>
        <w:tc>
          <w:tcPr>
            <w:tcW w:w="8740" w:type="dxa"/>
            <w:vAlign w:val="bottom"/>
          </w:tcPr>
          <w:p>
            <w:pPr>
              <w:spacing w:after="0" w:line="125" w:lineRule="exact"/>
              <w:rPr>
                <w:sz w:val="20"/>
                <w:szCs w:val="20"/>
                <w:color w:val="auto"/>
              </w:rPr>
            </w:pPr>
            <w:r>
              <w:rPr>
                <w:rFonts w:ascii="Arial" w:cs="Arial" w:eastAsia="Arial" w:hAnsi="Arial"/>
                <w:sz w:val="12"/>
                <w:szCs w:val="12"/>
                <w:color w:val="auto"/>
              </w:rPr>
              <w:t>Excluded potentially dilutive securities</w:t>
            </w:r>
          </w:p>
        </w:tc>
        <w:tc>
          <w:tcPr>
            <w:tcW w:w="11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2,724,847</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953,642</w:t>
            </w:r>
          </w:p>
        </w:tc>
      </w:tr>
      <w:tr>
        <w:trPr>
          <w:trHeight w:val="20"/>
        </w:trPr>
        <w:tc>
          <w:tcPr>
            <w:tcW w:w="8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 xml:space="preserve">Accounting Standards Update No. 2014-10, </w:t>
      </w:r>
      <w:r>
        <w:rPr>
          <w:rFonts w:ascii="Arial" w:cs="Arial" w:eastAsia="Arial" w:hAnsi="Arial"/>
          <w:sz w:val="12"/>
          <w:szCs w:val="12"/>
          <w:i w:val="1"/>
          <w:iCs w:val="1"/>
          <w:color w:val="auto"/>
        </w:rPr>
        <w:t>Development Stage Entities (Topic 915): Elimination of Certain Financial Reporting Requirements, Including an Amendment to Variable Interest Entities Guidance in Topic 810, Consolidation</w:t>
      </w:r>
      <w:r>
        <w:rPr>
          <w:rFonts w:ascii="Arial" w:cs="Arial" w:eastAsia="Arial" w:hAnsi="Arial"/>
          <w:sz w:val="12"/>
          <w:szCs w:val="12"/>
          <w:color w:val="auto"/>
        </w:rPr>
        <w:t xml:space="preserve"> removes all incremental financial reporting requirements for development stage entities, including the removal of reporting of the cumulative results of operations and cash flows for the period from inception to the end of the current period. The update is effective for the first annual period beginning after December 15, 2014. Early adoption is permitted, and the Company has adopted this change effective with its form 10-Q filing for the period ending September 30, 2014.</w:t>
      </w:r>
    </w:p>
    <w:p>
      <w:pPr>
        <w:spacing w:after="0" w:line="125" w:lineRule="exact"/>
        <w:rPr>
          <w:sz w:val="20"/>
          <w:szCs w:val="20"/>
          <w:color w:val="auto"/>
        </w:rPr>
      </w:pPr>
    </w:p>
    <w:p>
      <w:pPr>
        <w:jc w:val="both"/>
        <w:ind w:right="20" w:firstLine="28"/>
        <w:spacing w:after="0" w:line="265" w:lineRule="auto"/>
        <w:rPr>
          <w:sz w:val="20"/>
          <w:szCs w:val="20"/>
          <w:color w:val="auto"/>
        </w:rPr>
      </w:pPr>
      <w:r>
        <w:rPr>
          <w:rFonts w:ascii="Arial" w:cs="Arial" w:eastAsia="Arial" w:hAnsi="Arial"/>
          <w:sz w:val="12"/>
          <w:szCs w:val="12"/>
          <w:color w:val="auto"/>
        </w:rPr>
        <w:t>Accounting Standard Update No. ASU 2014-15, Presentation of Financial Statements—Going Concern (Subtopic 205-40): Disclosure of Uncertainties about an Entity’s Ability to Continue as a Going Concern. The amendments in this update are effective for the annual period ending after December 15, 2016, and for annual periods and interim periods thereafter. Early application is permitted. The Company is currently evaluating the impact of this update on its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57" w:name="page58"/>
    <w:bookmarkEnd w:id="57"/>
    <w:p>
      <w:pPr>
        <w:ind w:left="220"/>
        <w:spacing w:after="0"/>
        <w:rPr>
          <w:sz w:val="20"/>
          <w:szCs w:val="20"/>
          <w:color w:val="auto"/>
        </w:rPr>
      </w:pPr>
      <w:r>
        <w:rPr>
          <w:rFonts w:ascii="Arial" w:cs="Arial" w:eastAsia="Arial" w:hAnsi="Arial"/>
          <w:sz w:val="12"/>
          <w:szCs w:val="12"/>
          <w:b w:val="1"/>
          <w:bCs w:val="1"/>
          <w:color w:val="auto"/>
        </w:rPr>
        <w:t>NOTE 3: ACCOUNTS PAYABLE AND ACCRUED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9170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705" cy="5715"/>
                    </a:xfrm>
                    <a:prstGeom prst="rect">
                      <a:avLst/>
                    </a:prstGeom>
                    <a:noFill/>
                  </pic:spPr>
                </pic:pic>
              </a:graphicData>
            </a:graphic>
          </wp:anchor>
        </w:drawing>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51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Arial" w:cs="Arial" w:eastAsia="Arial" w:hAnsi="Arial"/>
                <w:sz w:val="12"/>
                <w:szCs w:val="12"/>
                <w:color w:val="auto"/>
              </w:rPr>
              <w:t>December 31, 2014</w:t>
            </w:r>
          </w:p>
        </w:tc>
        <w:tc>
          <w:tcPr>
            <w:tcW w:w="1180" w:type="dxa"/>
            <w:vAlign w:val="bottom"/>
          </w:tcPr>
          <w:p>
            <w:pPr>
              <w:jc w:val="right"/>
              <w:ind w:right="61"/>
              <w:spacing w:after="0"/>
              <w:rPr>
                <w:sz w:val="20"/>
                <w:szCs w:val="20"/>
                <w:color w:val="auto"/>
              </w:rPr>
            </w:pPr>
            <w:r>
              <w:rPr>
                <w:rFonts w:ascii="Arial" w:cs="Arial" w:eastAsia="Arial" w:hAnsi="Arial"/>
                <w:sz w:val="12"/>
                <w:szCs w:val="12"/>
                <w:color w:val="auto"/>
                <w:w w:val="98"/>
              </w:rPr>
              <w:t>December 31, 2013</w:t>
            </w:r>
          </w:p>
        </w:tc>
      </w:tr>
      <w:tr>
        <w:trPr>
          <w:trHeight w:val="152"/>
        </w:trPr>
        <w:tc>
          <w:tcPr>
            <w:tcW w:w="51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180" w:type="dxa"/>
            <w:vAlign w:val="bottom"/>
            <w:tcBorders>
              <w:top w:val="single" w:sz="8" w:color="auto"/>
            </w:tcBorders>
          </w:tcPr>
          <w:p>
            <w:pPr>
              <w:jc w:val="right"/>
              <w:ind w:right="1063"/>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3"/>
                <w:szCs w:val="13"/>
                <w:color w:val="auto"/>
              </w:rPr>
            </w:pPr>
          </w:p>
        </w:tc>
        <w:tc>
          <w:tcPr>
            <w:tcW w:w="1180" w:type="dxa"/>
            <w:vAlign w:val="bottom"/>
            <w:tcBorders>
              <w:top w:val="single" w:sz="8" w:color="auto"/>
            </w:tcBorders>
          </w:tcPr>
          <w:p>
            <w:pPr>
              <w:jc w:val="right"/>
              <w:ind w:right="1061"/>
              <w:spacing w:after="0"/>
              <w:rPr>
                <w:sz w:val="20"/>
                <w:szCs w:val="20"/>
                <w:color w:val="auto"/>
              </w:rPr>
            </w:pPr>
            <w:r>
              <w:rPr>
                <w:rFonts w:ascii="Arial" w:cs="Arial" w:eastAsia="Arial" w:hAnsi="Arial"/>
                <w:sz w:val="10"/>
                <w:szCs w:val="10"/>
                <w:color w:val="auto"/>
                <w:w w:val="71"/>
              </w:rPr>
              <w:t>$</w:t>
            </w:r>
          </w:p>
        </w:tc>
      </w:tr>
      <w:tr>
        <w:trPr>
          <w:trHeight w:val="273"/>
        </w:trPr>
        <w:tc>
          <w:tcPr>
            <w:tcW w:w="5160" w:type="dxa"/>
            <w:vAlign w:val="bottom"/>
          </w:tcPr>
          <w:p>
            <w:pPr>
              <w:spacing w:after="0"/>
              <w:rPr>
                <w:sz w:val="20"/>
                <w:szCs w:val="20"/>
                <w:color w:val="auto"/>
              </w:rPr>
            </w:pPr>
            <w:r>
              <w:rPr>
                <w:rFonts w:ascii="Arial" w:cs="Arial" w:eastAsia="Arial" w:hAnsi="Arial"/>
                <w:sz w:val="12"/>
                <w:szCs w:val="12"/>
                <w:color w:val="auto"/>
              </w:rPr>
              <w:t>Trade accounts payable</w:t>
            </w:r>
          </w:p>
        </w:tc>
        <w:tc>
          <w:tcPr>
            <w:tcW w:w="4740" w:type="dxa"/>
            <w:vAlign w:val="bottom"/>
            <w:gridSpan w:val="2"/>
          </w:tcPr>
          <w:p>
            <w:pPr>
              <w:jc w:val="right"/>
              <w:spacing w:after="0"/>
              <w:rPr>
                <w:sz w:val="20"/>
                <w:szCs w:val="20"/>
                <w:color w:val="auto"/>
              </w:rPr>
            </w:pPr>
            <w:r>
              <w:rPr>
                <w:rFonts w:ascii="Arial" w:cs="Arial" w:eastAsia="Arial" w:hAnsi="Arial"/>
                <w:sz w:val="12"/>
                <w:szCs w:val="12"/>
                <w:color w:val="auto"/>
              </w:rPr>
              <w:t>620,826</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1,450,083</w:t>
            </w:r>
          </w:p>
        </w:tc>
      </w:tr>
      <w:tr>
        <w:trPr>
          <w:trHeight w:val="145"/>
        </w:trPr>
        <w:tc>
          <w:tcPr>
            <w:tcW w:w="5160" w:type="dxa"/>
            <w:vAlign w:val="bottom"/>
          </w:tcPr>
          <w:p>
            <w:pPr>
              <w:spacing w:after="0"/>
              <w:rPr>
                <w:sz w:val="20"/>
                <w:szCs w:val="20"/>
                <w:color w:val="auto"/>
              </w:rPr>
            </w:pPr>
            <w:r>
              <w:rPr>
                <w:rFonts w:ascii="Arial" w:cs="Arial" w:eastAsia="Arial" w:hAnsi="Arial"/>
                <w:sz w:val="12"/>
                <w:szCs w:val="12"/>
                <w:color w:val="auto"/>
              </w:rPr>
              <w:t>Share-settled debt</w:t>
            </w:r>
          </w:p>
        </w:tc>
        <w:tc>
          <w:tcPr>
            <w:tcW w:w="47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1,348,663</w:t>
            </w:r>
          </w:p>
        </w:tc>
      </w:tr>
      <w:tr>
        <w:trPr>
          <w:trHeight w:val="145"/>
        </w:trPr>
        <w:tc>
          <w:tcPr>
            <w:tcW w:w="5160" w:type="dxa"/>
            <w:vAlign w:val="bottom"/>
          </w:tcPr>
          <w:p>
            <w:pPr>
              <w:spacing w:after="0"/>
              <w:rPr>
                <w:sz w:val="20"/>
                <w:szCs w:val="20"/>
                <w:color w:val="auto"/>
              </w:rPr>
            </w:pPr>
            <w:r>
              <w:rPr>
                <w:rFonts w:ascii="Arial" w:cs="Arial" w:eastAsia="Arial" w:hAnsi="Arial"/>
                <w:sz w:val="12"/>
                <w:szCs w:val="12"/>
                <w:color w:val="auto"/>
              </w:rPr>
              <w:t>Accrued liabilities</w:t>
            </w:r>
          </w:p>
        </w:tc>
        <w:tc>
          <w:tcPr>
            <w:tcW w:w="4980" w:type="dxa"/>
            <w:vAlign w:val="bottom"/>
            <w:gridSpan w:val="3"/>
          </w:tcPr>
          <w:p>
            <w:pPr>
              <w:jc w:val="right"/>
              <w:ind w:right="240"/>
              <w:spacing w:after="0"/>
              <w:rPr>
                <w:sz w:val="20"/>
                <w:szCs w:val="20"/>
                <w:color w:val="auto"/>
              </w:rPr>
            </w:pPr>
            <w:r>
              <w:rPr>
                <w:rFonts w:ascii="Arial" w:cs="Arial" w:eastAsia="Arial" w:hAnsi="Arial"/>
                <w:sz w:val="12"/>
                <w:szCs w:val="12"/>
                <w:color w:val="auto"/>
              </w:rPr>
              <w:t>68,448</w:t>
            </w:r>
          </w:p>
        </w:tc>
        <w:tc>
          <w:tcPr>
            <w:tcW w:w="1180" w:type="dxa"/>
            <w:vAlign w:val="bottom"/>
          </w:tcPr>
          <w:p>
            <w:pPr>
              <w:jc w:val="right"/>
              <w:spacing w:after="0"/>
              <w:rPr>
                <w:sz w:val="20"/>
                <w:szCs w:val="20"/>
                <w:color w:val="auto"/>
              </w:rPr>
            </w:pPr>
            <w:r>
              <w:rPr>
                <w:rFonts w:ascii="Arial" w:cs="Arial" w:eastAsia="Arial" w:hAnsi="Arial"/>
                <w:sz w:val="12"/>
                <w:szCs w:val="12"/>
                <w:color w:val="auto"/>
              </w:rPr>
              <w:t>201,334</w:t>
            </w:r>
          </w:p>
        </w:tc>
      </w:tr>
      <w:tr>
        <w:trPr>
          <w:trHeight w:val="145"/>
        </w:trPr>
        <w:tc>
          <w:tcPr>
            <w:tcW w:w="5160" w:type="dxa"/>
            <w:vAlign w:val="bottom"/>
          </w:tcPr>
          <w:p>
            <w:pPr>
              <w:spacing w:after="0"/>
              <w:rPr>
                <w:sz w:val="20"/>
                <w:szCs w:val="20"/>
                <w:color w:val="auto"/>
              </w:rPr>
            </w:pPr>
            <w:r>
              <w:rPr>
                <w:rFonts w:ascii="Arial" w:cs="Arial" w:eastAsia="Arial" w:hAnsi="Arial"/>
                <w:sz w:val="12"/>
                <w:szCs w:val="12"/>
                <w:color w:val="auto"/>
              </w:rPr>
              <w:t>Employee payroll and severance</w:t>
            </w:r>
          </w:p>
        </w:tc>
        <w:tc>
          <w:tcPr>
            <w:tcW w:w="47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220,290</w:t>
            </w:r>
          </w:p>
        </w:tc>
      </w:tr>
      <w:tr>
        <w:trPr>
          <w:trHeight w:val="154"/>
        </w:trPr>
        <w:tc>
          <w:tcPr>
            <w:tcW w:w="5160" w:type="dxa"/>
            <w:vAlign w:val="bottom"/>
          </w:tcPr>
          <w:p>
            <w:pPr>
              <w:spacing w:after="0"/>
              <w:rPr>
                <w:sz w:val="20"/>
                <w:szCs w:val="20"/>
                <w:color w:val="auto"/>
              </w:rPr>
            </w:pPr>
            <w:r>
              <w:rPr>
                <w:rFonts w:ascii="Arial" w:cs="Arial" w:eastAsia="Arial" w:hAnsi="Arial"/>
                <w:sz w:val="12"/>
                <w:szCs w:val="12"/>
                <w:color w:val="auto"/>
              </w:rPr>
              <w:t>Accrued interest</w:t>
            </w:r>
          </w:p>
        </w:tc>
        <w:tc>
          <w:tcPr>
            <w:tcW w:w="4740" w:type="dxa"/>
            <w:vAlign w:val="bottom"/>
            <w:gridSpan w:val="2"/>
          </w:tcPr>
          <w:p>
            <w:pPr>
              <w:jc w:val="right"/>
              <w:spacing w:after="0"/>
              <w:rPr>
                <w:sz w:val="20"/>
                <w:szCs w:val="20"/>
                <w:color w:val="auto"/>
              </w:rPr>
            </w:pPr>
            <w:r>
              <w:rPr>
                <w:rFonts w:ascii="Arial" w:cs="Arial" w:eastAsia="Arial" w:hAnsi="Arial"/>
                <w:sz w:val="12"/>
                <w:szCs w:val="12"/>
                <w:color w:val="auto"/>
              </w:rPr>
              <w:t>4,088</w:t>
            </w: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558,032</w:t>
            </w:r>
          </w:p>
        </w:tc>
      </w:tr>
      <w:tr>
        <w:trPr>
          <w:trHeight w:val="143"/>
        </w:trPr>
        <w:tc>
          <w:tcPr>
            <w:tcW w:w="5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693,362</w:t>
            </w:r>
          </w:p>
        </w:tc>
        <w:tc>
          <w:tcPr>
            <w:tcW w:w="2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3,778,401</w:t>
            </w:r>
          </w:p>
        </w:tc>
      </w:tr>
      <w:tr>
        <w:trPr>
          <w:trHeight w:val="20"/>
        </w:trPr>
        <w:tc>
          <w:tcPr>
            <w:tcW w:w="5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During fiscal 2014 the Company converted $2,415,000 accounts payable and accrued liabilities into 1,836,000 shares of common stock. The fair value of the shares, based on the trading price of the stock on the date of conversion, was $4,349,000 and the Company recorded a loss on extinguishment of $1,934,000.</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NOTE 4: RESEARCH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Crucell Holland B.V. (“Crucell”) – Research License and Option Agreement</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Effective August 7, 2003, Crucell and the Company’s subsidiary GPI entered into a five-year research license and option agreement. In addition, retroactively effective August 7, 2008, the Company negotiated an amended license agreement for the use of Crucell’s adenovirus technology. The Company was required to make annual license payments on the anniversary of the effective date for the three year term equal to $91,000 per annum for three years through December 2011. As of December 31, 2013 and 2014, the Company accrued $492,365 under the amended agreement, inclusive of 15% interest on outstanding amounts.</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Company has not made use of the Crucell technology in its current work and has not asked for nor received any work product. Management hopes to settle the outstanding amounts with Crucell in 2015 and formally terminate the research license.</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NOTE 5: DERIVATIVE LIABILITY</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0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20" w:type="dxa"/>
            <w:vAlign w:val="bottom"/>
            <w:gridSpan w:val="6"/>
          </w:tcPr>
          <w:p>
            <w:pPr>
              <w:jc w:val="right"/>
              <w:ind w:right="640"/>
              <w:spacing w:after="0"/>
              <w:rPr>
                <w:sz w:val="20"/>
                <w:szCs w:val="20"/>
                <w:color w:val="auto"/>
              </w:rPr>
            </w:pPr>
            <w:r>
              <w:rPr>
                <w:rFonts w:ascii="Arial" w:cs="Arial" w:eastAsia="Arial" w:hAnsi="Arial"/>
                <w:sz w:val="12"/>
                <w:szCs w:val="12"/>
                <w:b w:val="1"/>
                <w:bCs w:val="1"/>
                <w:color w:val="auto"/>
              </w:rPr>
              <w:t>Weighted Average Inputs for the Period</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5"/>
        </w:trPr>
        <w:tc>
          <w:tcPr>
            <w:tcW w:w="40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For the Quarter Ending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2"/>
              </w:rPr>
              <w:t>For the Quarter ending</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8"/>
        </w:trPr>
        <w:tc>
          <w:tcPr>
            <w:tcW w:w="40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Date of valuation</w:t>
            </w:r>
          </w:p>
        </w:tc>
        <w:tc>
          <w:tcPr>
            <w:tcW w:w="28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March 31, 2014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June 30, 2014</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Total</w:t>
            </w:r>
          </w:p>
        </w:tc>
      </w:tr>
      <w:tr>
        <w:trPr>
          <w:trHeight w:val="134"/>
        </w:trPr>
        <w:tc>
          <w:tcPr>
            <w:tcW w:w="4040" w:type="dxa"/>
            <w:vAlign w:val="bottom"/>
          </w:tcPr>
          <w:p>
            <w:pPr>
              <w:spacing w:after="0" w:line="134" w:lineRule="exact"/>
              <w:rPr>
                <w:sz w:val="20"/>
                <w:szCs w:val="20"/>
                <w:color w:val="auto"/>
              </w:rPr>
            </w:pPr>
            <w:r>
              <w:rPr>
                <w:rFonts w:ascii="Arial" w:cs="Arial" w:eastAsia="Arial" w:hAnsi="Arial"/>
                <w:sz w:val="12"/>
                <w:szCs w:val="12"/>
                <w:color w:val="auto"/>
              </w:rPr>
              <w:t>Dividend yield (per share)</w:t>
            </w: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5"/>
        </w:trPr>
        <w:tc>
          <w:tcPr>
            <w:tcW w:w="4040" w:type="dxa"/>
            <w:vAlign w:val="bottom"/>
          </w:tcPr>
          <w:p>
            <w:pPr>
              <w:spacing w:after="0"/>
              <w:rPr>
                <w:sz w:val="20"/>
                <w:szCs w:val="20"/>
                <w:color w:val="auto"/>
              </w:rPr>
            </w:pPr>
            <w:r>
              <w:rPr>
                <w:rFonts w:ascii="Arial" w:cs="Arial" w:eastAsia="Arial" w:hAnsi="Arial"/>
                <w:sz w:val="12"/>
                <w:szCs w:val="12"/>
                <w:color w:val="auto"/>
              </w:rPr>
              <w:t>Strike price</w:t>
            </w:r>
          </w:p>
        </w:tc>
        <w:tc>
          <w:tcPr>
            <w:tcW w:w="30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1.027</w:t>
            </w:r>
          </w:p>
        </w:tc>
        <w:tc>
          <w:tcPr>
            <w:tcW w:w="20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2"/>
                <w:szCs w:val="12"/>
                <w:color w:val="auto"/>
              </w:rPr>
              <w:t>0.88</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5"/>
        </w:trPr>
        <w:tc>
          <w:tcPr>
            <w:tcW w:w="4040" w:type="dxa"/>
            <w:vAlign w:val="bottom"/>
          </w:tcPr>
          <w:p>
            <w:pPr>
              <w:spacing w:after="0"/>
              <w:rPr>
                <w:sz w:val="20"/>
                <w:szCs w:val="20"/>
                <w:color w:val="auto"/>
              </w:rPr>
            </w:pPr>
            <w:r>
              <w:rPr>
                <w:rFonts w:ascii="Arial" w:cs="Arial" w:eastAsia="Arial" w:hAnsi="Arial"/>
                <w:sz w:val="12"/>
                <w:szCs w:val="12"/>
                <w:color w:val="auto"/>
              </w:rPr>
              <w:t>Volatility (annual)</w:t>
            </w: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199.00%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2"/>
                <w:szCs w:val="12"/>
                <w:color w:val="auto"/>
              </w:rPr>
              <w:t>199.00%</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5"/>
        </w:trPr>
        <w:tc>
          <w:tcPr>
            <w:tcW w:w="4040" w:type="dxa"/>
            <w:vAlign w:val="bottom"/>
          </w:tcPr>
          <w:p>
            <w:pPr>
              <w:spacing w:after="0"/>
              <w:rPr>
                <w:sz w:val="20"/>
                <w:szCs w:val="20"/>
                <w:color w:val="auto"/>
              </w:rPr>
            </w:pPr>
            <w:r>
              <w:rPr>
                <w:rFonts w:ascii="Arial" w:cs="Arial" w:eastAsia="Arial" w:hAnsi="Arial"/>
                <w:sz w:val="12"/>
                <w:szCs w:val="12"/>
                <w:color w:val="auto"/>
              </w:rPr>
              <w:t>Risk-free rate</w:t>
            </w: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0.05%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2"/>
                <w:szCs w:val="12"/>
                <w:color w:val="auto"/>
              </w:rPr>
              <w:t>0.05%</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4"/>
        </w:trPr>
        <w:tc>
          <w:tcPr>
            <w:tcW w:w="4040" w:type="dxa"/>
            <w:vAlign w:val="bottom"/>
          </w:tcPr>
          <w:p>
            <w:pPr>
              <w:spacing w:after="0"/>
              <w:rPr>
                <w:sz w:val="20"/>
                <w:szCs w:val="20"/>
                <w:color w:val="auto"/>
              </w:rPr>
            </w:pPr>
            <w:r>
              <w:rPr>
                <w:rFonts w:ascii="Arial" w:cs="Arial" w:eastAsia="Arial" w:hAnsi="Arial"/>
                <w:sz w:val="12"/>
                <w:szCs w:val="12"/>
                <w:color w:val="auto"/>
              </w:rPr>
              <w:t>Contractual term (years)</w:t>
            </w: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2"/>
                <w:szCs w:val="12"/>
                <w:color w:val="auto"/>
              </w:rPr>
              <w:t>0.24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2"/>
                <w:szCs w:val="12"/>
                <w:color w:val="auto"/>
              </w:rPr>
              <w:t>0.06</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90"/>
        </w:trPr>
        <w:tc>
          <w:tcPr>
            <w:tcW w:w="4040" w:type="dxa"/>
            <w:vAlign w:val="bottom"/>
          </w:tcPr>
          <w:p>
            <w:pPr>
              <w:spacing w:after="0"/>
              <w:rPr>
                <w:sz w:val="20"/>
                <w:szCs w:val="20"/>
                <w:color w:val="auto"/>
              </w:rPr>
            </w:pPr>
            <w:r>
              <w:rPr>
                <w:rFonts w:ascii="Arial" w:cs="Arial" w:eastAsia="Arial" w:hAnsi="Arial"/>
                <w:sz w:val="12"/>
                <w:szCs w:val="12"/>
                <w:color w:val="auto"/>
              </w:rPr>
              <w:t>Fair value of Conversion Option at extinguishment</w:t>
            </w:r>
          </w:p>
        </w:tc>
        <w:tc>
          <w:tcPr>
            <w:tcW w:w="28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708,000</w:t>
            </w:r>
          </w:p>
        </w:tc>
        <w:tc>
          <w:tcPr>
            <w:tcW w:w="2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4,000</w:t>
            </w:r>
          </w:p>
        </w:tc>
        <w:tc>
          <w:tcPr>
            <w:tcW w:w="160" w:type="dxa"/>
            <w:vAlign w:val="bottom"/>
          </w:tcPr>
          <w:p>
            <w:pPr>
              <w:spacing w:after="0"/>
              <w:rPr>
                <w:sz w:val="24"/>
                <w:szCs w:val="2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Pr>
          <w:p>
            <w:pPr>
              <w:jc w:val="right"/>
              <w:ind w:right="520"/>
              <w:spacing w:after="0"/>
              <w:rPr>
                <w:sz w:val="20"/>
                <w:szCs w:val="20"/>
                <w:color w:val="auto"/>
              </w:rPr>
            </w:pPr>
            <w:r>
              <w:rPr>
                <w:rFonts w:ascii="Arial" w:cs="Arial" w:eastAsia="Arial" w:hAnsi="Arial"/>
                <w:sz w:val="12"/>
                <w:szCs w:val="12"/>
                <w:b w:val="1"/>
                <w:bCs w:val="1"/>
                <w:color w:val="auto"/>
              </w:rPr>
              <w:t>712,000</w:t>
            </w:r>
          </w:p>
        </w:tc>
      </w:tr>
      <w:tr>
        <w:trPr>
          <w:trHeight w:val="877"/>
        </w:trPr>
        <w:tc>
          <w:tcPr>
            <w:tcW w:w="4040" w:type="dxa"/>
            <w:vAlign w:val="bottom"/>
            <w:tcBorders>
              <w:top w:val="single" w:sz="8" w:color="auto"/>
            </w:tcBorders>
          </w:tcPr>
          <w:p>
            <w:pPr>
              <w:spacing w:after="0"/>
              <w:rPr>
                <w:sz w:val="24"/>
                <w:szCs w:val="24"/>
                <w:color w:val="auto"/>
              </w:rPr>
            </w:pPr>
          </w:p>
        </w:tc>
        <w:tc>
          <w:tcPr>
            <w:tcW w:w="2860" w:type="dxa"/>
            <w:vAlign w:val="bottom"/>
            <w:tcBorders>
              <w:top w:val="single" w:sz="8" w:color="auto"/>
            </w:tcBorders>
          </w:tcPr>
          <w:p>
            <w:pPr>
              <w:ind w:left="1580"/>
              <w:spacing w:after="0"/>
              <w:rPr>
                <w:sz w:val="20"/>
                <w:szCs w:val="20"/>
                <w:color w:val="auto"/>
              </w:rPr>
            </w:pPr>
            <w:r>
              <w:rPr>
                <w:rFonts w:ascii="Arial" w:cs="Arial" w:eastAsia="Arial" w:hAnsi="Arial"/>
                <w:sz w:val="12"/>
                <w:szCs w:val="12"/>
                <w:color w:val="auto"/>
              </w:rPr>
              <w:t>F-12</w:t>
            </w: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76"/>
        </w:trPr>
        <w:tc>
          <w:tcPr>
            <w:tcW w:w="4040" w:type="dxa"/>
            <w:vAlign w:val="bottom"/>
            <w:tcBorders>
              <w:bottom w:val="single" w:sz="8" w:color="808080"/>
            </w:tcBorders>
          </w:tcPr>
          <w:p>
            <w:pPr>
              <w:spacing w:after="0"/>
              <w:rPr>
                <w:sz w:val="6"/>
                <w:szCs w:val="6"/>
                <w:color w:val="auto"/>
              </w:rPr>
            </w:pPr>
          </w:p>
        </w:tc>
        <w:tc>
          <w:tcPr>
            <w:tcW w:w="28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716" w:right="199" w:bottom="1440" w:gutter="0" w:footer="0" w:header="0"/>
        </w:sectPr>
      </w:pPr>
    </w:p>
    <w:bookmarkStart w:id="58" w:name="page59"/>
    <w:bookmarkEnd w:id="58"/>
    <w:p>
      <w:pPr>
        <w:spacing w:after="0" w:line="259" w:lineRule="auto"/>
        <w:rPr>
          <w:sz w:val="20"/>
          <w:szCs w:val="20"/>
          <w:color w:val="auto"/>
        </w:rPr>
      </w:pPr>
      <w:r>
        <w:rPr>
          <w:rFonts w:ascii="Arial" w:cs="Arial" w:eastAsia="Arial" w:hAnsi="Arial"/>
          <w:sz w:val="12"/>
          <w:szCs w:val="12"/>
          <w:color w:val="auto"/>
        </w:rPr>
        <w:t>A summary of quantitative information with respect to valuation methodology and significant unobservable inputs used for the Company’s common stock purchase warrants that are categorized within Level 3 of the fair value hierarchy for the years ended 2014 and 2013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8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2"/>
          </w:tcPr>
          <w:p>
            <w:pPr>
              <w:ind w:left="640"/>
              <w:spacing w:after="0"/>
              <w:rPr>
                <w:sz w:val="20"/>
                <w:szCs w:val="20"/>
                <w:color w:val="auto"/>
              </w:rPr>
            </w:pPr>
            <w:r>
              <w:rPr>
                <w:rFonts w:ascii="Arial" w:cs="Arial" w:eastAsia="Arial" w:hAnsi="Arial"/>
                <w:sz w:val="12"/>
                <w:szCs w:val="12"/>
                <w:color w:val="auto"/>
              </w:rPr>
              <w:t>December 31, 2013</w:t>
            </w:r>
          </w:p>
        </w:tc>
        <w:tc>
          <w:tcPr>
            <w:tcW w:w="9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2"/>
          </w:tcPr>
          <w:p>
            <w:pPr>
              <w:ind w:left="760"/>
              <w:spacing w:after="0"/>
              <w:rPr>
                <w:sz w:val="20"/>
                <w:szCs w:val="20"/>
                <w:color w:val="auto"/>
              </w:rPr>
            </w:pPr>
            <w:r>
              <w:rPr>
                <w:rFonts w:ascii="Arial" w:cs="Arial" w:eastAsia="Arial" w:hAnsi="Arial"/>
                <w:sz w:val="12"/>
                <w:szCs w:val="12"/>
                <w:color w:val="auto"/>
              </w:rPr>
              <w:t>December 31, 2014</w:t>
            </w:r>
          </w:p>
        </w:tc>
        <w:tc>
          <w:tcPr>
            <w:tcW w:w="1260" w:type="dxa"/>
            <w:vAlign w:val="bottom"/>
            <w:tcBorders>
              <w:bottom w:val="single" w:sz="8" w:color="auto"/>
            </w:tcBorders>
          </w:tcPr>
          <w:p>
            <w:pPr>
              <w:spacing w:after="0"/>
              <w:rPr>
                <w:sz w:val="12"/>
                <w:szCs w:val="12"/>
                <w:color w:val="auto"/>
              </w:rPr>
            </w:pPr>
          </w:p>
        </w:tc>
      </w:tr>
      <w:tr>
        <w:trPr>
          <w:trHeight w:val="134"/>
        </w:trPr>
        <w:tc>
          <w:tcPr>
            <w:tcW w:w="1840" w:type="dxa"/>
            <w:vAlign w:val="bottom"/>
          </w:tcPr>
          <w:p>
            <w:pPr>
              <w:spacing w:after="0"/>
              <w:rPr>
                <w:sz w:val="11"/>
                <w:szCs w:val="11"/>
                <w:color w:val="auto"/>
              </w:rPr>
            </w:pPr>
          </w:p>
        </w:tc>
        <w:tc>
          <w:tcPr>
            <w:tcW w:w="1520" w:type="dxa"/>
            <w:vAlign w:val="bottom"/>
          </w:tcPr>
          <w:p>
            <w:pPr>
              <w:ind w:left="660"/>
              <w:spacing w:after="0" w:line="134" w:lineRule="exact"/>
              <w:rPr>
                <w:sz w:val="20"/>
                <w:szCs w:val="20"/>
                <w:color w:val="auto"/>
              </w:rPr>
            </w:pPr>
            <w:r>
              <w:rPr>
                <w:rFonts w:ascii="Arial" w:cs="Arial" w:eastAsia="Arial" w:hAnsi="Arial"/>
                <w:sz w:val="12"/>
                <w:szCs w:val="12"/>
                <w:color w:val="auto"/>
              </w:rPr>
              <w:t>Contractual</w:t>
            </w:r>
          </w:p>
        </w:tc>
        <w:tc>
          <w:tcPr>
            <w:tcW w:w="1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ind w:left="280"/>
              <w:spacing w:after="0" w:line="134" w:lineRule="exact"/>
              <w:rPr>
                <w:sz w:val="20"/>
                <w:szCs w:val="20"/>
                <w:color w:val="auto"/>
              </w:rPr>
            </w:pPr>
            <w:r>
              <w:rPr>
                <w:rFonts w:ascii="Arial" w:cs="Arial" w:eastAsia="Arial" w:hAnsi="Arial"/>
                <w:sz w:val="12"/>
                <w:szCs w:val="12"/>
                <w:color w:val="auto"/>
              </w:rPr>
              <w:t>Contractual</w:t>
            </w:r>
          </w:p>
        </w:tc>
        <w:tc>
          <w:tcPr>
            <w:tcW w:w="1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54"/>
        </w:trPr>
        <w:tc>
          <w:tcPr>
            <w:tcW w:w="18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ind w:left="660"/>
              <w:spacing w:after="0"/>
              <w:rPr>
                <w:sz w:val="20"/>
                <w:szCs w:val="20"/>
                <w:color w:val="auto"/>
              </w:rPr>
            </w:pPr>
            <w:r>
              <w:rPr>
                <w:rFonts w:ascii="Arial" w:cs="Arial" w:eastAsia="Arial" w:hAnsi="Arial"/>
                <w:sz w:val="12"/>
                <w:szCs w:val="12"/>
                <w:color w:val="auto"/>
              </w:rPr>
              <w:t>Life (Years)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Risk free Rate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Dividend yield</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Volatility</w:t>
            </w: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Life (Years)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Risk free Rate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Dividend yield</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Volatility</w:t>
            </w: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21"/>
        </w:trPr>
        <w:tc>
          <w:tcPr>
            <w:tcW w:w="1840" w:type="dxa"/>
            <w:vAlign w:val="bottom"/>
            <w:tcBorders>
              <w:bottom w:val="single" w:sz="8" w:color="auto"/>
            </w:tcBorders>
          </w:tcPr>
          <w:p>
            <w:pPr>
              <w:spacing w:after="0" w:line="122" w:lineRule="exact"/>
              <w:rPr>
                <w:sz w:val="20"/>
                <w:szCs w:val="20"/>
                <w:color w:val="auto"/>
              </w:rPr>
            </w:pPr>
            <w:r>
              <w:rPr>
                <w:rFonts w:ascii="Arial" w:cs="Arial" w:eastAsia="Arial" w:hAnsi="Arial"/>
                <w:sz w:val="12"/>
                <w:szCs w:val="12"/>
                <w:color w:val="auto"/>
              </w:rPr>
              <w:t>Share purchase warrants</w:t>
            </w:r>
          </w:p>
        </w:tc>
        <w:tc>
          <w:tcPr>
            <w:tcW w:w="1520" w:type="dxa"/>
            <w:vAlign w:val="bottom"/>
            <w:tcBorders>
              <w:bottom w:val="single" w:sz="8" w:color="auto"/>
            </w:tcBorders>
          </w:tcPr>
          <w:p>
            <w:pPr>
              <w:ind w:left="660"/>
              <w:spacing w:after="0" w:line="122" w:lineRule="exact"/>
              <w:rPr>
                <w:sz w:val="20"/>
                <w:szCs w:val="20"/>
                <w:color w:val="auto"/>
              </w:rPr>
            </w:pPr>
            <w:r>
              <w:rPr>
                <w:rFonts w:ascii="Arial" w:cs="Arial" w:eastAsia="Arial" w:hAnsi="Arial"/>
                <w:sz w:val="12"/>
                <w:szCs w:val="12"/>
                <w:color w:val="auto"/>
              </w:rPr>
              <w:t>0.85 to 2.78</w:t>
            </w:r>
          </w:p>
        </w:tc>
        <w:tc>
          <w:tcPr>
            <w:tcW w:w="130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2"/>
                <w:szCs w:val="12"/>
                <w:color w:val="auto"/>
                <w:w w:val="92"/>
              </w:rPr>
              <w:t>0.13% to 0.78%</w:t>
            </w:r>
          </w:p>
        </w:tc>
        <w:tc>
          <w:tcPr>
            <w:tcW w:w="1180" w:type="dxa"/>
            <w:vAlign w:val="bottom"/>
            <w:tcBorders>
              <w:bottom w:val="single" w:sz="8" w:color="auto"/>
            </w:tcBorders>
          </w:tcPr>
          <w:p>
            <w:pPr>
              <w:jc w:val="right"/>
              <w:ind w:right="360"/>
              <w:spacing w:after="0" w:line="122" w:lineRule="exact"/>
              <w:rPr>
                <w:sz w:val="20"/>
                <w:szCs w:val="20"/>
                <w:color w:val="auto"/>
              </w:rPr>
            </w:pPr>
            <w:r>
              <w:rPr>
                <w:rFonts w:ascii="Arial" w:cs="Arial" w:eastAsia="Arial" w:hAnsi="Arial"/>
                <w:sz w:val="12"/>
                <w:szCs w:val="12"/>
                <w:color w:val="auto"/>
              </w:rPr>
              <w:t>0.00%</w:t>
            </w:r>
          </w:p>
        </w:tc>
        <w:tc>
          <w:tcPr>
            <w:tcW w:w="940" w:type="dxa"/>
            <w:vAlign w:val="bottom"/>
            <w:tcBorders>
              <w:bottom w:val="single" w:sz="8" w:color="auto"/>
            </w:tcBorders>
          </w:tcPr>
          <w:p>
            <w:pPr>
              <w:jc w:val="right"/>
              <w:ind w:right="280"/>
              <w:spacing w:after="0" w:line="122" w:lineRule="exact"/>
              <w:rPr>
                <w:sz w:val="20"/>
                <w:szCs w:val="20"/>
                <w:color w:val="auto"/>
              </w:rPr>
            </w:pPr>
            <w:r>
              <w:rPr>
                <w:rFonts w:ascii="Arial" w:cs="Arial" w:eastAsia="Arial" w:hAnsi="Arial"/>
                <w:sz w:val="12"/>
                <w:szCs w:val="12"/>
                <w:color w:val="auto"/>
              </w:rPr>
              <w:t>199%</w:t>
            </w:r>
          </w:p>
        </w:tc>
        <w:tc>
          <w:tcPr>
            <w:tcW w:w="1100" w:type="dxa"/>
            <w:vAlign w:val="bottom"/>
            <w:tcBorders>
              <w:bottom w:val="single" w:sz="8" w:color="auto"/>
            </w:tcBorders>
          </w:tcPr>
          <w:p>
            <w:pPr>
              <w:ind w:left="280"/>
              <w:spacing w:after="0" w:line="122" w:lineRule="exact"/>
              <w:rPr>
                <w:sz w:val="20"/>
                <w:szCs w:val="20"/>
                <w:color w:val="auto"/>
              </w:rPr>
            </w:pPr>
            <w:r>
              <w:rPr>
                <w:rFonts w:ascii="Arial" w:cs="Arial" w:eastAsia="Arial" w:hAnsi="Arial"/>
                <w:sz w:val="12"/>
                <w:szCs w:val="12"/>
                <w:color w:val="auto"/>
              </w:rPr>
              <w:t>1.22 to 3.53</w:t>
            </w:r>
          </w:p>
        </w:tc>
        <w:tc>
          <w:tcPr>
            <w:tcW w:w="124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2"/>
                <w:szCs w:val="12"/>
                <w:color w:val="auto"/>
                <w:w w:val="92"/>
              </w:rPr>
              <w:t>0.25% to 1.10%</w:t>
            </w:r>
          </w:p>
        </w:tc>
        <w:tc>
          <w:tcPr>
            <w:tcW w:w="1100" w:type="dxa"/>
            <w:vAlign w:val="bottom"/>
            <w:tcBorders>
              <w:bottom w:val="single" w:sz="8" w:color="auto"/>
            </w:tcBorders>
          </w:tcPr>
          <w:p>
            <w:pPr>
              <w:jc w:val="right"/>
              <w:ind w:right="300"/>
              <w:spacing w:after="0" w:line="122" w:lineRule="exact"/>
              <w:rPr>
                <w:sz w:val="20"/>
                <w:szCs w:val="20"/>
                <w:color w:val="auto"/>
              </w:rPr>
            </w:pPr>
            <w:r>
              <w:rPr>
                <w:rFonts w:ascii="Arial" w:cs="Arial" w:eastAsia="Arial" w:hAnsi="Arial"/>
                <w:sz w:val="12"/>
                <w:szCs w:val="12"/>
                <w:color w:val="auto"/>
              </w:rPr>
              <w:t>0.00%</w:t>
            </w:r>
          </w:p>
        </w:tc>
        <w:tc>
          <w:tcPr>
            <w:tcW w:w="1260" w:type="dxa"/>
            <w:vAlign w:val="bottom"/>
            <w:tcBorders>
              <w:bottom w:val="single" w:sz="8" w:color="auto"/>
            </w:tcBorders>
          </w:tcPr>
          <w:p>
            <w:pPr>
              <w:jc w:val="center"/>
              <w:ind w:left="20"/>
              <w:spacing w:after="0" w:line="122" w:lineRule="exact"/>
              <w:rPr>
                <w:sz w:val="20"/>
                <w:szCs w:val="20"/>
                <w:color w:val="auto"/>
              </w:rPr>
            </w:pPr>
            <w:r>
              <w:rPr>
                <w:rFonts w:ascii="Arial" w:cs="Arial" w:eastAsia="Arial" w:hAnsi="Arial"/>
                <w:sz w:val="12"/>
                <w:szCs w:val="12"/>
                <w:color w:val="auto"/>
                <w:w w:val="91"/>
              </w:rPr>
              <w:t>155.90% to 190.68%</w:t>
            </w: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Financial Assets and Liabilities Measured at Fair Value on a Recurring Basis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Financial assets and liabilities measured at fair value on a recurring basis are summarized below and disclosed on the balance sheet under Derivative liability – warrants and Derivative liability – conversion option: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As of December 31, 2014</w:t>
            </w: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r>
      <w:tr>
        <w:trPr>
          <w:trHeight w:val="143"/>
        </w:trPr>
        <w:tc>
          <w:tcPr>
            <w:tcW w:w="4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Fair Value Measurements</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4"/>
        </w:trPr>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60"/>
              <w:spacing w:after="0" w:line="134" w:lineRule="exact"/>
              <w:rPr>
                <w:sz w:val="20"/>
                <w:szCs w:val="20"/>
                <w:color w:val="auto"/>
              </w:rPr>
            </w:pPr>
            <w:r>
              <w:rPr>
                <w:rFonts w:ascii="Arial" w:cs="Arial" w:eastAsia="Arial" w:hAnsi="Arial"/>
                <w:sz w:val="12"/>
                <w:szCs w:val="12"/>
                <w:b w:val="1"/>
                <w:bCs w:val="1"/>
                <w:color w:val="auto"/>
                <w:w w:val="94"/>
              </w:rPr>
              <w:t>Fair Value</w:t>
            </w:r>
          </w:p>
        </w:tc>
        <w:tc>
          <w:tcPr>
            <w:tcW w:w="1140" w:type="dxa"/>
            <w:vAlign w:val="bottom"/>
          </w:tcPr>
          <w:p>
            <w:pPr>
              <w:jc w:val="right"/>
              <w:ind w:right="340"/>
              <w:spacing w:after="0" w:line="134" w:lineRule="exact"/>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1"/>
                <w:szCs w:val="11"/>
                <w:color w:val="auto"/>
              </w:rPr>
            </w:pPr>
          </w:p>
        </w:tc>
        <w:tc>
          <w:tcPr>
            <w:tcW w:w="1400" w:type="dxa"/>
            <w:vAlign w:val="bottom"/>
            <w:gridSpan w:val="2"/>
          </w:tcPr>
          <w:p>
            <w:pPr>
              <w:jc w:val="right"/>
              <w:ind w:right="620"/>
              <w:spacing w:after="0" w:line="134" w:lineRule="exact"/>
              <w:rPr>
                <w:sz w:val="20"/>
                <w:szCs w:val="20"/>
                <w:color w:val="auto"/>
              </w:rPr>
            </w:pPr>
            <w:r>
              <w:rPr>
                <w:rFonts w:ascii="Arial" w:cs="Arial" w:eastAsia="Arial" w:hAnsi="Arial"/>
                <w:sz w:val="12"/>
                <w:szCs w:val="12"/>
                <w:b w:val="1"/>
                <w:bCs w:val="1"/>
                <w:color w:val="auto"/>
              </w:rPr>
              <w:t>Level 2</w:t>
            </w:r>
          </w:p>
        </w:tc>
        <w:tc>
          <w:tcPr>
            <w:tcW w:w="220" w:type="dxa"/>
            <w:vAlign w:val="bottom"/>
          </w:tcPr>
          <w:p>
            <w:pPr>
              <w:spacing w:after="0"/>
              <w:rPr>
                <w:sz w:val="11"/>
                <w:szCs w:val="11"/>
                <w:color w:val="auto"/>
              </w:rPr>
            </w:pPr>
          </w:p>
        </w:tc>
        <w:tc>
          <w:tcPr>
            <w:tcW w:w="940" w:type="dxa"/>
            <w:vAlign w:val="bottom"/>
          </w:tcPr>
          <w:p>
            <w:pPr>
              <w:jc w:val="right"/>
              <w:ind w:right="340"/>
              <w:spacing w:after="0" w:line="134" w:lineRule="exact"/>
              <w:rPr>
                <w:sz w:val="20"/>
                <w:szCs w:val="20"/>
                <w:color w:val="auto"/>
              </w:rPr>
            </w:pPr>
            <w:r>
              <w:rPr>
                <w:rFonts w:ascii="Arial" w:cs="Arial" w:eastAsia="Arial" w:hAnsi="Arial"/>
                <w:sz w:val="12"/>
                <w:szCs w:val="12"/>
                <w:b w:val="1"/>
                <w:bCs w:val="1"/>
                <w:color w:val="auto"/>
              </w:rPr>
              <w:t>Level 3</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ind w:right="400"/>
              <w:spacing w:after="0" w:line="134" w:lineRule="exact"/>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1"/>
                <w:szCs w:val="11"/>
                <w:color w:val="auto"/>
              </w:rPr>
            </w:pPr>
          </w:p>
        </w:tc>
      </w:tr>
      <w:tr>
        <w:trPr>
          <w:trHeight w:val="145"/>
        </w:trPr>
        <w:tc>
          <w:tcPr>
            <w:tcW w:w="4620" w:type="dxa"/>
            <w:vAlign w:val="bottom"/>
            <w:gridSpan w:val="2"/>
          </w:tcPr>
          <w:p>
            <w:pPr>
              <w:spacing w:after="0"/>
              <w:rPr>
                <w:sz w:val="20"/>
                <w:szCs w:val="20"/>
                <w:color w:val="auto"/>
              </w:rPr>
            </w:pPr>
            <w:r>
              <w:rPr>
                <w:rFonts w:ascii="Arial" w:cs="Arial" w:eastAsia="Arial" w:hAnsi="Arial"/>
                <w:sz w:val="12"/>
                <w:szCs w:val="12"/>
                <w:color w:val="auto"/>
              </w:rPr>
              <w:t>Derivative liability - warrants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9,415</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62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9,415</w:t>
            </w:r>
          </w:p>
        </w:tc>
        <w:tc>
          <w:tcPr>
            <w:tcW w:w="50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9,415</w:t>
            </w:r>
          </w:p>
        </w:tc>
        <w:tc>
          <w:tcPr>
            <w:tcW w:w="140" w:type="dxa"/>
            <w:vAlign w:val="bottom"/>
          </w:tcPr>
          <w:p>
            <w:pPr>
              <w:spacing w:after="0"/>
              <w:rPr>
                <w:sz w:val="12"/>
                <w:szCs w:val="12"/>
                <w:color w:val="auto"/>
              </w:rPr>
            </w:pPr>
          </w:p>
        </w:tc>
      </w:tr>
      <w:tr>
        <w:trPr>
          <w:trHeight w:val="154"/>
        </w:trPr>
        <w:tc>
          <w:tcPr>
            <w:tcW w:w="4620" w:type="dxa"/>
            <w:vAlign w:val="bottom"/>
            <w:gridSpan w:val="2"/>
          </w:tcPr>
          <w:p>
            <w:pPr>
              <w:spacing w:after="0"/>
              <w:rPr>
                <w:sz w:val="20"/>
                <w:szCs w:val="20"/>
                <w:color w:val="auto"/>
              </w:rPr>
            </w:pPr>
            <w:r>
              <w:rPr>
                <w:rFonts w:ascii="Arial" w:cs="Arial" w:eastAsia="Arial" w:hAnsi="Arial"/>
                <w:sz w:val="12"/>
                <w:szCs w:val="12"/>
                <w:color w:val="auto"/>
              </w:rPr>
              <w:t>Total</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9,415</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62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9,415</w:t>
            </w:r>
          </w:p>
        </w:tc>
        <w:tc>
          <w:tcPr>
            <w:tcW w:w="50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9,415</w:t>
            </w:r>
          </w:p>
        </w:tc>
        <w:tc>
          <w:tcPr>
            <w:tcW w:w="140" w:type="dxa"/>
            <w:vAlign w:val="bottom"/>
          </w:tcPr>
          <w:p>
            <w:pPr>
              <w:spacing w:after="0"/>
              <w:rPr>
                <w:sz w:val="13"/>
                <w:szCs w:val="13"/>
                <w:color w:val="auto"/>
              </w:rPr>
            </w:pPr>
          </w:p>
        </w:tc>
      </w:tr>
      <w:tr>
        <w:trPr>
          <w:trHeight w:val="20"/>
        </w:trPr>
        <w:tc>
          <w:tcPr>
            <w:tcW w:w="4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5"/>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43"/>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As of December 31, 2013</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3"/>
        </w:trPr>
        <w:tc>
          <w:tcPr>
            <w:tcW w:w="4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Fair Value Measurements</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4"/>
        </w:trPr>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80"/>
              <w:spacing w:after="0" w:line="134" w:lineRule="exact"/>
              <w:rPr>
                <w:sz w:val="20"/>
                <w:szCs w:val="20"/>
                <w:color w:val="auto"/>
              </w:rPr>
            </w:pPr>
            <w:r>
              <w:rPr>
                <w:rFonts w:ascii="Arial" w:cs="Arial" w:eastAsia="Arial" w:hAnsi="Arial"/>
                <w:sz w:val="12"/>
                <w:szCs w:val="12"/>
                <w:b w:val="1"/>
                <w:bCs w:val="1"/>
                <w:color w:val="auto"/>
                <w:w w:val="94"/>
              </w:rPr>
              <w:t>Carrying Value</w:t>
            </w:r>
          </w:p>
        </w:tc>
        <w:tc>
          <w:tcPr>
            <w:tcW w:w="1140" w:type="dxa"/>
            <w:vAlign w:val="bottom"/>
          </w:tcPr>
          <w:p>
            <w:pPr>
              <w:jc w:val="right"/>
              <w:ind w:right="340"/>
              <w:spacing w:after="0" w:line="134" w:lineRule="exact"/>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1"/>
                <w:szCs w:val="11"/>
                <w:color w:val="auto"/>
              </w:rPr>
            </w:pPr>
          </w:p>
        </w:tc>
        <w:tc>
          <w:tcPr>
            <w:tcW w:w="1400" w:type="dxa"/>
            <w:vAlign w:val="bottom"/>
            <w:gridSpan w:val="2"/>
          </w:tcPr>
          <w:p>
            <w:pPr>
              <w:jc w:val="right"/>
              <w:ind w:right="620"/>
              <w:spacing w:after="0" w:line="134" w:lineRule="exact"/>
              <w:rPr>
                <w:sz w:val="20"/>
                <w:szCs w:val="20"/>
                <w:color w:val="auto"/>
              </w:rPr>
            </w:pPr>
            <w:r>
              <w:rPr>
                <w:rFonts w:ascii="Arial" w:cs="Arial" w:eastAsia="Arial" w:hAnsi="Arial"/>
                <w:sz w:val="12"/>
                <w:szCs w:val="12"/>
                <w:b w:val="1"/>
                <w:bCs w:val="1"/>
                <w:color w:val="auto"/>
              </w:rPr>
              <w:t>Level 2</w:t>
            </w:r>
          </w:p>
        </w:tc>
        <w:tc>
          <w:tcPr>
            <w:tcW w:w="220" w:type="dxa"/>
            <w:vAlign w:val="bottom"/>
          </w:tcPr>
          <w:p>
            <w:pPr>
              <w:spacing w:after="0"/>
              <w:rPr>
                <w:sz w:val="11"/>
                <w:szCs w:val="11"/>
                <w:color w:val="auto"/>
              </w:rPr>
            </w:pPr>
          </w:p>
        </w:tc>
        <w:tc>
          <w:tcPr>
            <w:tcW w:w="940" w:type="dxa"/>
            <w:vAlign w:val="bottom"/>
          </w:tcPr>
          <w:p>
            <w:pPr>
              <w:jc w:val="right"/>
              <w:ind w:right="340"/>
              <w:spacing w:after="0" w:line="134" w:lineRule="exact"/>
              <w:rPr>
                <w:sz w:val="20"/>
                <w:szCs w:val="20"/>
                <w:color w:val="auto"/>
              </w:rPr>
            </w:pPr>
            <w:r>
              <w:rPr>
                <w:rFonts w:ascii="Arial" w:cs="Arial" w:eastAsia="Arial" w:hAnsi="Arial"/>
                <w:sz w:val="12"/>
                <w:szCs w:val="12"/>
                <w:b w:val="1"/>
                <w:bCs w:val="1"/>
                <w:color w:val="auto"/>
              </w:rPr>
              <w:t>Level 3</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ind w:right="400"/>
              <w:spacing w:after="0" w:line="134" w:lineRule="exact"/>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1"/>
                <w:szCs w:val="11"/>
                <w:color w:val="auto"/>
              </w:rPr>
            </w:pPr>
          </w:p>
        </w:tc>
      </w:tr>
      <w:tr>
        <w:trPr>
          <w:trHeight w:val="145"/>
        </w:trPr>
        <w:tc>
          <w:tcPr>
            <w:tcW w:w="4620" w:type="dxa"/>
            <w:vAlign w:val="bottom"/>
            <w:gridSpan w:val="2"/>
          </w:tcPr>
          <w:p>
            <w:pPr>
              <w:spacing w:after="0"/>
              <w:rPr>
                <w:sz w:val="20"/>
                <w:szCs w:val="20"/>
                <w:color w:val="auto"/>
              </w:rPr>
            </w:pPr>
            <w:r>
              <w:rPr>
                <w:rFonts w:ascii="Arial" w:cs="Arial" w:eastAsia="Arial" w:hAnsi="Arial"/>
                <w:sz w:val="12"/>
                <w:szCs w:val="12"/>
                <w:color w:val="auto"/>
              </w:rPr>
              <w:t>Derivative liability - warrants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140,504</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62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140,504</w:t>
            </w:r>
          </w:p>
        </w:tc>
        <w:tc>
          <w:tcPr>
            <w:tcW w:w="50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140,504</w:t>
            </w:r>
          </w:p>
        </w:tc>
        <w:tc>
          <w:tcPr>
            <w:tcW w:w="140" w:type="dxa"/>
            <w:vAlign w:val="bottom"/>
          </w:tcPr>
          <w:p>
            <w:pPr>
              <w:spacing w:after="0"/>
              <w:rPr>
                <w:sz w:val="12"/>
                <w:szCs w:val="12"/>
                <w:color w:val="auto"/>
              </w:rPr>
            </w:pPr>
          </w:p>
        </w:tc>
      </w:tr>
      <w:tr>
        <w:trPr>
          <w:trHeight w:val="154"/>
        </w:trPr>
        <w:tc>
          <w:tcPr>
            <w:tcW w:w="4620" w:type="dxa"/>
            <w:vAlign w:val="bottom"/>
            <w:gridSpan w:val="2"/>
          </w:tcPr>
          <w:p>
            <w:pPr>
              <w:spacing w:after="0"/>
              <w:rPr>
                <w:sz w:val="20"/>
                <w:szCs w:val="20"/>
                <w:color w:val="auto"/>
              </w:rPr>
            </w:pPr>
            <w:r>
              <w:rPr>
                <w:rFonts w:ascii="Arial" w:cs="Arial" w:eastAsia="Arial" w:hAnsi="Arial"/>
                <w:sz w:val="12"/>
                <w:szCs w:val="12"/>
                <w:color w:val="auto"/>
              </w:rPr>
              <w:t>Derivative liability – conversion option</w:t>
            </w:r>
          </w:p>
        </w:tc>
        <w:tc>
          <w:tcPr>
            <w:tcW w:w="120" w:type="dxa"/>
            <w:vAlign w:val="bottom"/>
          </w:tcPr>
          <w:p>
            <w:pPr>
              <w:spacing w:after="0"/>
              <w:rPr>
                <w:sz w:val="13"/>
                <w:szCs w:val="1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582,300</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62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582,300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582,300</w:t>
            </w:r>
          </w:p>
        </w:tc>
        <w:tc>
          <w:tcPr>
            <w:tcW w:w="140" w:type="dxa"/>
            <w:vAlign w:val="bottom"/>
          </w:tcPr>
          <w:p>
            <w:pPr>
              <w:spacing w:after="0"/>
              <w:rPr>
                <w:sz w:val="13"/>
                <w:szCs w:val="13"/>
                <w:color w:val="auto"/>
              </w:rPr>
            </w:pPr>
          </w:p>
        </w:tc>
      </w:tr>
      <w:tr>
        <w:trPr>
          <w:trHeight w:val="143"/>
        </w:trPr>
        <w:tc>
          <w:tcPr>
            <w:tcW w:w="4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722,804</w:t>
            </w:r>
          </w:p>
        </w:tc>
        <w:tc>
          <w:tcPr>
            <w:tcW w:w="2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722,804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722,804</w:t>
            </w:r>
          </w:p>
        </w:tc>
        <w:tc>
          <w:tcPr>
            <w:tcW w:w="140" w:type="dxa"/>
            <w:vAlign w:val="bottom"/>
          </w:tcPr>
          <w:p>
            <w:pPr>
              <w:spacing w:after="0"/>
              <w:rPr>
                <w:sz w:val="12"/>
                <w:szCs w:val="12"/>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There were no transfers between Level 1, 2 or 3 during the year ended December 31, 2014.</w:t>
      </w:r>
    </w:p>
    <w:p>
      <w:pPr>
        <w:sectPr>
          <w:pgSz w:w="11900" w:h="16838" w:orient="portrait"/>
          <w:cols w:equalWidth="0" w:num="1">
            <w:col w:w="11480"/>
          </w:cols>
          <w:pgMar w:left="220" w:top="702" w:right="19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 presents changes in Level 3 liabilities measured at fair value for the year ended December 31, 2014:</w:t>
      </w: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Balance – January 1, 2013</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Additions during the year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Total unrealized (gains) or losses included in net loss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Change in fair value of warrant liability</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Balance – December 31, 2013</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Gain on settlement of debt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Change in fair value of conversion option liability</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Change in fair value of warrant liability</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Balance – December 31, 2014</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2"/>
                <w:szCs w:val="12"/>
                <w:color w:val="auto"/>
                <w:w w:val="97"/>
              </w:rPr>
              <w:t>Derivative liability –</w:t>
            </w:r>
          </w:p>
        </w:tc>
        <w:tc>
          <w:tcPr>
            <w:tcW w:w="8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w w:val="97"/>
              </w:rPr>
              <w:t>Derivative liability –</w:t>
            </w:r>
          </w:p>
        </w:tc>
      </w:tr>
      <w:tr>
        <w:trPr>
          <w:trHeight w:val="154"/>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conversion option</w:t>
            </w:r>
          </w:p>
        </w:tc>
        <w:tc>
          <w:tcPr>
            <w:tcW w:w="80" w:type="dxa"/>
            <w:vAlign w:val="bottom"/>
          </w:tcPr>
          <w:p>
            <w:pPr>
              <w:spacing w:after="0"/>
              <w:rPr>
                <w:sz w:val="13"/>
                <w:szCs w:val="13"/>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2"/>
                <w:szCs w:val="12"/>
                <w:color w:val="auto"/>
              </w:rPr>
              <w:t>warrants</w:t>
            </w:r>
          </w:p>
        </w:tc>
      </w:tr>
      <w:tr>
        <w:trPr>
          <w:trHeight w:val="134"/>
        </w:trPr>
        <w:tc>
          <w:tcPr>
            <w:tcW w:w="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1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868,000</w:t>
            </w:r>
          </w:p>
        </w:tc>
        <w:tc>
          <w:tcPr>
            <w:tcW w:w="2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977,000</w:t>
            </w:r>
          </w:p>
        </w:tc>
        <w:tc>
          <w:tcPr>
            <w:tcW w:w="40" w:type="dxa"/>
            <w:vAlign w:val="bottom"/>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811,000</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206,000</w:t>
            </w:r>
          </w:p>
        </w:tc>
        <w:tc>
          <w:tcPr>
            <w:tcW w:w="4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(1,096,000)</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(1,043,000)</w:t>
            </w:r>
          </w:p>
        </w:tc>
      </w:tr>
      <w:tr>
        <w:trPr>
          <w:trHeight w:val="134"/>
        </w:trPr>
        <w:tc>
          <w:tcPr>
            <w:tcW w:w="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1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583,000</w:t>
            </w:r>
          </w:p>
        </w:tc>
        <w:tc>
          <w:tcPr>
            <w:tcW w:w="2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140,000</w:t>
            </w:r>
          </w:p>
        </w:tc>
        <w:tc>
          <w:tcPr>
            <w:tcW w:w="40" w:type="dxa"/>
            <w:vAlign w:val="bottom"/>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(714,000)</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131,000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(131,000)</w:t>
            </w:r>
          </w:p>
        </w:tc>
      </w:tr>
      <w:tr>
        <w:trPr>
          <w:trHeight w:val="143"/>
        </w:trPr>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9,000</w:t>
            </w:r>
          </w:p>
        </w:tc>
        <w:tc>
          <w:tcPr>
            <w:tcW w:w="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6" w:lineRule="exact"/>
        <w:rPr>
          <w:sz w:val="20"/>
          <w:szCs w:val="20"/>
          <w:color w:val="auto"/>
        </w:rPr>
      </w:pPr>
    </w:p>
    <w:p>
      <w:pPr>
        <w:sectPr>
          <w:pgSz w:w="11900" w:h="16838" w:orient="portrait"/>
          <w:cols w:equalWidth="0" w:num="2">
            <w:col w:w="8020" w:space="720"/>
            <w:col w:w="2740"/>
          </w:cols>
          <w:pgMar w:left="220" w:top="702" w:right="199" w:bottom="1440" w:gutter="0" w:footer="0" w:header="0"/>
          <w:type w:val="continuous"/>
        </w:sectPr>
      </w:pPr>
    </w:p>
    <w:p>
      <w:pPr>
        <w:jc w:val="both"/>
        <w:ind w:right="20"/>
        <w:spacing w:after="0" w:line="292" w:lineRule="auto"/>
        <w:rPr>
          <w:sz w:val="20"/>
          <w:szCs w:val="20"/>
          <w:color w:val="auto"/>
        </w:rPr>
      </w:pPr>
      <w:r>
        <w:rPr>
          <w:rFonts w:ascii="Arial" w:cs="Arial" w:eastAsia="Arial" w:hAnsi="Arial"/>
          <w:sz w:val="11"/>
          <w:szCs w:val="11"/>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702" w:right="199" w:bottom="1440" w:gutter="0" w:footer="0" w:header="0"/>
          <w:type w:val="continuous"/>
        </w:sectPr>
      </w:pPr>
    </w:p>
    <w:bookmarkStart w:id="59" w:name="page60"/>
    <w:bookmarkEnd w:id="59"/>
    <w:p>
      <w:pPr>
        <w:jc w:val="both"/>
        <w:spacing w:after="0" w:line="300" w:lineRule="auto"/>
        <w:rPr>
          <w:sz w:val="20"/>
          <w:szCs w:val="20"/>
          <w:color w:val="auto"/>
        </w:rPr>
      </w:pPr>
      <w:r>
        <w:rPr>
          <w:rFonts w:ascii="Arial" w:cs="Arial" w:eastAsia="Arial" w:hAnsi="Arial"/>
          <w:sz w:val="11"/>
          <w:szCs w:val="11"/>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NOTE 6: CONVERTIBLE NOTES PAYABLE</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Company’s outstanding convertible note obligations:</w:t>
      </w:r>
    </w:p>
    <w:p>
      <w:pPr>
        <w:sectPr>
          <w:pgSz w:w="11900" w:h="16838" w:orient="portrait"/>
          <w:cols w:equalWidth="0" w:num="1">
            <w:col w:w="11480"/>
          </w:cols>
          <w:pgMar w:left="220" w:top="393" w:right="199" w:bottom="1440" w:gutter="0" w:footer="0" w:header="0"/>
        </w:sectPr>
      </w:pP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Stated</w:t>
            </w:r>
          </w:p>
        </w:tc>
      </w:tr>
      <w:tr>
        <w:trPr>
          <w:trHeight w:val="145"/>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Interest</w:t>
            </w:r>
          </w:p>
        </w:tc>
      </w:tr>
      <w:tr>
        <w:trPr>
          <w:trHeight w:val="158"/>
        </w:trPr>
        <w:tc>
          <w:tcPr>
            <w:tcW w:w="1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 Date</w:t>
            </w:r>
          </w:p>
        </w:tc>
        <w:tc>
          <w:tcPr>
            <w:tcW w:w="140" w:type="dxa"/>
            <w:vAlign w:val="bottom"/>
          </w:tcPr>
          <w:p>
            <w:pPr>
              <w:spacing w:after="0"/>
              <w:rPr>
                <w:sz w:val="13"/>
                <w:szCs w:val="13"/>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Maturity Date</w:t>
            </w:r>
          </w:p>
        </w:tc>
        <w:tc>
          <w:tcPr>
            <w:tcW w:w="120" w:type="dxa"/>
            <w:vAlign w:val="bottom"/>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Rate</w:t>
            </w:r>
          </w:p>
        </w:tc>
        <w:tc>
          <w:tcPr>
            <w:tcW w:w="100" w:type="dxa"/>
            <w:vAlign w:val="bottom"/>
          </w:tcPr>
          <w:p>
            <w:pPr>
              <w:spacing w:after="0"/>
              <w:rPr>
                <w:sz w:val="13"/>
                <w:szCs w:val="13"/>
                <w:color w:val="auto"/>
              </w:rPr>
            </w:pPr>
          </w:p>
        </w:tc>
      </w:tr>
      <w:tr>
        <w:trPr>
          <w:trHeight w:val="134"/>
        </w:trPr>
        <w:tc>
          <w:tcPr>
            <w:tcW w:w="1300" w:type="dxa"/>
            <w:vAlign w:val="bottom"/>
          </w:tcPr>
          <w:p>
            <w:pPr>
              <w:spacing w:after="0" w:line="134" w:lineRule="exact"/>
              <w:rPr>
                <w:sz w:val="20"/>
                <w:szCs w:val="20"/>
                <w:color w:val="auto"/>
              </w:rPr>
            </w:pPr>
            <w:r>
              <w:rPr>
                <w:rFonts w:ascii="Arial" w:cs="Arial" w:eastAsia="Arial" w:hAnsi="Arial"/>
                <w:sz w:val="12"/>
                <w:szCs w:val="12"/>
                <w:color w:val="auto"/>
              </w:rPr>
              <w:t>2/24/2011</w:t>
            </w:r>
          </w:p>
        </w:tc>
        <w:tc>
          <w:tcPr>
            <w:tcW w:w="140" w:type="dxa"/>
            <w:vAlign w:val="bottom"/>
          </w:tcPr>
          <w:p>
            <w:pPr>
              <w:spacing w:after="0"/>
              <w:rPr>
                <w:sz w:val="11"/>
                <w:szCs w:val="11"/>
                <w:color w:val="auto"/>
              </w:rPr>
            </w:pPr>
          </w:p>
        </w:tc>
        <w:tc>
          <w:tcPr>
            <w:tcW w:w="1320" w:type="dxa"/>
            <w:vAlign w:val="bottom"/>
          </w:tcPr>
          <w:p>
            <w:pPr>
              <w:spacing w:after="0" w:line="134" w:lineRule="exact"/>
              <w:rPr>
                <w:sz w:val="20"/>
                <w:szCs w:val="20"/>
                <w:color w:val="auto"/>
              </w:rPr>
            </w:pPr>
            <w:r>
              <w:rPr>
                <w:rFonts w:ascii="Arial" w:cs="Arial" w:eastAsia="Arial" w:hAnsi="Arial"/>
                <w:sz w:val="12"/>
                <w:szCs w:val="12"/>
                <w:color w:val="auto"/>
              </w:rPr>
              <w:t>2/24/2014</w:t>
            </w:r>
          </w:p>
        </w:tc>
        <w:tc>
          <w:tcPr>
            <w:tcW w:w="120" w:type="dxa"/>
            <w:vAlign w:val="bottom"/>
          </w:tcPr>
          <w:p>
            <w:pPr>
              <w:spacing w:after="0"/>
              <w:rPr>
                <w:sz w:val="11"/>
                <w:szCs w:val="11"/>
                <w:color w:val="auto"/>
              </w:rPr>
            </w:pPr>
          </w:p>
        </w:tc>
        <w:tc>
          <w:tcPr>
            <w:tcW w:w="170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10.0%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4/4/2011</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4/4/2014</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10.0%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6/6/2011</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6/6/2014</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10.0%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8/12/2012</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11/12/2012</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10.0%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8/20/2012</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8/20/2013</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8.0%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10/15/2012</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10/15/2013</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8.0%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11/20/2012</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11/20/2013</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5.0%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12/18/2012</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12/14/2013</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9.0%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1/5/2013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5/31/2014</w:t>
            </w:r>
          </w:p>
        </w:tc>
        <w:tc>
          <w:tcPr>
            <w:tcW w:w="1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2"/>
                <w:szCs w:val="12"/>
                <w:color w:val="auto"/>
              </w:rPr>
              <w:t>None</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1/31/2013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5/31/2014</w:t>
            </w:r>
          </w:p>
        </w:tc>
        <w:tc>
          <w:tcPr>
            <w:tcW w:w="1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2"/>
                <w:szCs w:val="12"/>
                <w:color w:val="auto"/>
              </w:rPr>
              <w:t>None</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2/27/2013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2/27/2014</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5.0%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4/2/2013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6/2/2013</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8.0%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4/18/2013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12/18/2013</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8.0%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5/2/2013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5/31/2014</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10.0%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5/5/2013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7/5/2013</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8.0%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5/14/2013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5/14/2014</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8.0%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6/27/2013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6/27/2014</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5.0%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6/19/2013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6/19/2014</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10.0%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7/12/2013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7/12/2014</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8.0%</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10/18/2013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4/18/2014</w:t>
            </w:r>
          </w:p>
        </w:tc>
        <w:tc>
          <w:tcPr>
            <w:tcW w:w="1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2"/>
                <w:szCs w:val="12"/>
                <w:color w:val="auto"/>
              </w:rPr>
              <w:t>None</w:t>
            </w:r>
          </w:p>
        </w:tc>
      </w:tr>
      <w:tr>
        <w:trPr>
          <w:trHeight w:val="145"/>
        </w:trPr>
        <w:tc>
          <w:tcPr>
            <w:tcW w:w="1300" w:type="dxa"/>
            <w:vAlign w:val="bottom"/>
          </w:tcPr>
          <w:p>
            <w:pPr>
              <w:spacing w:after="0"/>
              <w:rPr>
                <w:sz w:val="20"/>
                <w:szCs w:val="20"/>
                <w:color w:val="auto"/>
              </w:rPr>
            </w:pPr>
            <w:r>
              <w:rPr>
                <w:rFonts w:ascii="Arial" w:cs="Arial" w:eastAsia="Arial" w:hAnsi="Arial"/>
                <w:sz w:val="12"/>
                <w:szCs w:val="12"/>
                <w:color w:val="auto"/>
              </w:rPr>
              <w:t>11/1/2013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5/1/2014</w:t>
            </w:r>
          </w:p>
        </w:tc>
        <w:tc>
          <w:tcPr>
            <w:tcW w:w="1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2"/>
                <w:szCs w:val="12"/>
                <w:color w:val="auto"/>
              </w:rPr>
              <w:t>None</w:t>
            </w:r>
          </w:p>
        </w:tc>
      </w:tr>
      <w:tr>
        <w:trPr>
          <w:trHeight w:val="154"/>
        </w:trPr>
        <w:tc>
          <w:tcPr>
            <w:tcW w:w="1300" w:type="dxa"/>
            <w:vAlign w:val="bottom"/>
          </w:tcPr>
          <w:p>
            <w:pPr>
              <w:spacing w:after="0"/>
              <w:rPr>
                <w:sz w:val="20"/>
                <w:szCs w:val="20"/>
                <w:color w:val="auto"/>
              </w:rPr>
            </w:pPr>
            <w:r>
              <w:rPr>
                <w:rFonts w:ascii="Arial" w:cs="Arial" w:eastAsia="Arial" w:hAnsi="Arial"/>
                <w:sz w:val="12"/>
                <w:szCs w:val="12"/>
                <w:color w:val="auto"/>
              </w:rPr>
              <w:t>12/19/2013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6/19/2014</w:t>
            </w:r>
          </w:p>
        </w:tc>
        <w:tc>
          <w:tcPr>
            <w:tcW w:w="120" w:type="dxa"/>
            <w:vAlign w:val="bottom"/>
          </w:tcPr>
          <w:p>
            <w:pPr>
              <w:spacing w:after="0"/>
              <w:rPr>
                <w:sz w:val="13"/>
                <w:szCs w:val="13"/>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2"/>
                <w:szCs w:val="12"/>
                <w:color w:val="auto"/>
              </w:rPr>
              <w:t>None</w:t>
            </w:r>
          </w:p>
        </w:tc>
      </w:tr>
      <w:tr>
        <w:trPr>
          <w:trHeight w:val="163"/>
        </w:trPr>
        <w:tc>
          <w:tcPr>
            <w:tcW w:w="1300" w:type="dxa"/>
            <w:vAlign w:val="bottom"/>
          </w:tcPr>
          <w:p>
            <w:pPr>
              <w:spacing w:after="0"/>
              <w:rPr>
                <w:sz w:val="20"/>
                <w:szCs w:val="20"/>
                <w:color w:val="auto"/>
              </w:rPr>
            </w:pPr>
            <w:r>
              <w:rPr>
                <w:rFonts w:ascii="Arial" w:cs="Arial" w:eastAsia="Arial" w:hAnsi="Arial"/>
                <w:sz w:val="12"/>
                <w:szCs w:val="12"/>
                <w:color w:val="auto"/>
              </w:rPr>
              <w:t>12/23/2013</w:t>
            </w:r>
          </w:p>
        </w:tc>
        <w:tc>
          <w:tcPr>
            <w:tcW w:w="1460" w:type="dxa"/>
            <w:vAlign w:val="bottom"/>
            <w:gridSpan w:val="2"/>
          </w:tcPr>
          <w:p>
            <w:pPr>
              <w:ind w:left="140"/>
              <w:spacing w:after="0"/>
              <w:rPr>
                <w:sz w:val="20"/>
                <w:szCs w:val="20"/>
                <w:color w:val="auto"/>
              </w:rPr>
            </w:pPr>
            <w:r>
              <w:rPr>
                <w:rFonts w:ascii="Arial" w:cs="Arial" w:eastAsia="Arial" w:hAnsi="Arial"/>
                <w:sz w:val="12"/>
                <w:szCs w:val="12"/>
                <w:color w:val="auto"/>
              </w:rPr>
              <w:t>6/23/2014</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10.0%</w:t>
            </w:r>
          </w:p>
        </w:tc>
      </w:tr>
    </w:tbl>
    <w:p>
      <w:pPr>
        <w:spacing w:after="0" w:line="136" w:lineRule="exact"/>
        <w:rPr>
          <w:sz w:val="20"/>
          <w:szCs w:val="20"/>
          <w:color w:val="auto"/>
        </w:rPr>
      </w:pPr>
    </w:p>
    <w:p>
      <w:pPr>
        <w:ind w:left="1440"/>
        <w:spacing w:after="0"/>
        <w:rPr>
          <w:sz w:val="20"/>
          <w:szCs w:val="20"/>
          <w:color w:val="auto"/>
        </w:rPr>
      </w:pPr>
      <w:r>
        <w:rPr>
          <w:rFonts w:ascii="Arial" w:cs="Arial" w:eastAsia="Arial" w:hAnsi="Arial"/>
          <w:sz w:val="12"/>
          <w:szCs w:val="12"/>
          <w:color w:val="auto"/>
        </w:rPr>
        <w:t>Total convertible notes</w:t>
      </w:r>
    </w:p>
    <w:p>
      <w:pPr>
        <w:spacing w:after="0" w:line="25" w:lineRule="exact"/>
        <w:rPr>
          <w:sz w:val="20"/>
          <w:szCs w:val="20"/>
          <w:color w:val="auto"/>
        </w:rPr>
      </w:pPr>
    </w:p>
    <w:p>
      <w:pPr>
        <w:ind w:left="1440"/>
        <w:spacing w:after="0"/>
        <w:rPr>
          <w:sz w:val="20"/>
          <w:szCs w:val="20"/>
          <w:color w:val="auto"/>
        </w:rPr>
      </w:pPr>
      <w:r>
        <w:rPr>
          <w:rFonts w:ascii="Arial" w:cs="Arial" w:eastAsia="Arial" w:hAnsi="Arial"/>
          <w:sz w:val="12"/>
          <w:szCs w:val="12"/>
          <w:color w:val="auto"/>
        </w:rPr>
        <w:t>Unamortized note discount</w:t>
      </w:r>
    </w:p>
    <w:p>
      <w:pPr>
        <w:spacing w:after="0" w:line="39" w:lineRule="exact"/>
        <w:rPr>
          <w:sz w:val="20"/>
          <w:szCs w:val="20"/>
          <w:color w:val="auto"/>
        </w:rPr>
      </w:pPr>
    </w:p>
    <w:p>
      <w:pPr>
        <w:ind w:left="1440"/>
        <w:spacing w:after="0"/>
        <w:rPr>
          <w:sz w:val="20"/>
          <w:szCs w:val="20"/>
          <w:color w:val="auto"/>
        </w:rPr>
      </w:pPr>
      <w:r>
        <w:rPr>
          <w:rFonts w:ascii="Arial" w:cs="Arial" w:eastAsia="Arial" w:hAnsi="Arial"/>
          <w:sz w:val="12"/>
          <w:szCs w:val="12"/>
          <w:b w:val="1"/>
          <w:bCs w:val="1"/>
          <w:color w:val="auto"/>
        </w:rPr>
        <w:t>Total on Balance sheet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600"/>
        <w:spacing w:after="0"/>
        <w:rPr>
          <w:sz w:val="20"/>
          <w:szCs w:val="20"/>
          <w:color w:val="auto"/>
        </w:rPr>
      </w:pPr>
      <w:r>
        <w:rPr>
          <w:rFonts w:ascii="Arial" w:cs="Arial" w:eastAsia="Arial" w:hAnsi="Arial"/>
          <w:sz w:val="12"/>
          <w:szCs w:val="12"/>
          <w:b w:val="1"/>
          <w:bCs w:val="1"/>
          <w:color w:val="auto"/>
        </w:rPr>
        <w:t>Principal Balance Outstanding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89"/>
              </w:rPr>
              <w:t>December 31,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320"/>
              <w:spacing w:after="0" w:line="130" w:lineRule="exact"/>
              <w:rPr>
                <w:sz w:val="20"/>
                <w:szCs w:val="20"/>
                <w:color w:val="auto"/>
              </w:rPr>
            </w:pPr>
            <w:r>
              <w:rPr>
                <w:rFonts w:ascii="Arial" w:cs="Arial" w:eastAsia="Arial" w:hAnsi="Arial"/>
                <w:sz w:val="12"/>
                <w:szCs w:val="12"/>
                <w:b w:val="1"/>
                <w:bCs w:val="1"/>
                <w:color w:val="auto"/>
              </w:rPr>
              <w:t>December 31,</w:t>
            </w:r>
          </w:p>
        </w:tc>
      </w:tr>
      <w:tr>
        <w:trPr>
          <w:trHeight w:val="158"/>
        </w:trPr>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Conversion Terms</w:t>
            </w:r>
          </w:p>
        </w:tc>
        <w:tc>
          <w:tcPr>
            <w:tcW w:w="880" w:type="dxa"/>
            <w:vAlign w:val="bottom"/>
          </w:tcPr>
          <w:p>
            <w:pPr>
              <w:jc w:val="right"/>
              <w:ind w:right="260"/>
              <w:spacing w:after="0"/>
              <w:rPr>
                <w:sz w:val="20"/>
                <w:szCs w:val="20"/>
                <w:color w:val="auto"/>
              </w:rPr>
            </w:pPr>
            <w:r>
              <w:rPr>
                <w:rFonts w:ascii="Arial" w:cs="Arial" w:eastAsia="Arial" w:hAnsi="Arial"/>
                <w:sz w:val="12"/>
                <w:szCs w:val="12"/>
                <w:b w:val="1"/>
                <w:bCs w:val="1"/>
                <w:color w:val="auto"/>
              </w:rPr>
              <w:t>2014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560"/>
              <w:spacing w:after="0"/>
              <w:rPr>
                <w:sz w:val="20"/>
                <w:szCs w:val="20"/>
                <w:color w:val="auto"/>
              </w:rPr>
            </w:pPr>
            <w:r>
              <w:rPr>
                <w:rFonts w:ascii="Arial" w:cs="Arial" w:eastAsia="Arial" w:hAnsi="Arial"/>
                <w:sz w:val="12"/>
                <w:szCs w:val="12"/>
                <w:b w:val="1"/>
                <w:bCs w:val="1"/>
                <w:color w:val="auto"/>
              </w:rPr>
              <w:t>2013</w:t>
            </w:r>
          </w:p>
        </w:tc>
      </w:tr>
      <w:tr>
        <w:trPr>
          <w:trHeight w:val="134"/>
        </w:trPr>
        <w:tc>
          <w:tcPr>
            <w:tcW w:w="1320" w:type="dxa"/>
            <w:vAlign w:val="bottom"/>
            <w:tcBorders>
              <w:top w:val="single" w:sz="8" w:color="auto"/>
            </w:tcBorders>
          </w:tcPr>
          <w:p>
            <w:pPr>
              <w:spacing w:after="0" w:line="134" w:lineRule="exact"/>
              <w:rPr>
                <w:sz w:val="20"/>
                <w:szCs w:val="20"/>
                <w:color w:val="auto"/>
              </w:rPr>
            </w:pPr>
            <w:r>
              <w:rPr>
                <w:rFonts w:ascii="Arial" w:cs="Arial" w:eastAsia="Arial" w:hAnsi="Arial"/>
                <w:sz w:val="12"/>
                <w:szCs w:val="12"/>
                <w:color w:val="auto"/>
              </w:rPr>
              <w:t>Variable at $25.00</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$ 980,858</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Variable at $25.00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215,000</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Variable at $25.00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30,000</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Variable at $9.00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27,500</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Variable at $9.00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20,000</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Variable at $12.00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340,000</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Variable at $9.00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10,748</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Fixed at $10.00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50,000</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Fixed at $8.00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452,729</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Fixed at $4.00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24,135</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Variable at $9.00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58,500</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Fixed at $7.00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80,967</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Fixed at $7.00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31,688</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Variable at $3.44</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50,000</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Fixed at $7.00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45,000</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Fixed at $6.00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126,000</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Variable at $9.00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37,620</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Variable at $9.00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32,000</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Fixed at $3.00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96,800</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Variable at $1.00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94,444</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Variable at $1.00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80,000</w:t>
            </w:r>
          </w:p>
        </w:tc>
      </w:tr>
      <w:tr>
        <w:trPr>
          <w:trHeight w:val="145"/>
        </w:trPr>
        <w:tc>
          <w:tcPr>
            <w:tcW w:w="1740" w:type="dxa"/>
            <w:vAlign w:val="bottom"/>
            <w:gridSpan w:val="4"/>
          </w:tcPr>
          <w:p>
            <w:pPr>
              <w:spacing w:after="0"/>
              <w:rPr>
                <w:sz w:val="20"/>
                <w:szCs w:val="20"/>
                <w:color w:val="auto"/>
              </w:rPr>
            </w:pPr>
            <w:r>
              <w:rPr>
                <w:rFonts w:ascii="Arial" w:cs="Arial" w:eastAsia="Arial" w:hAnsi="Arial"/>
                <w:sz w:val="12"/>
                <w:szCs w:val="12"/>
                <w:color w:val="auto"/>
              </w:rPr>
              <w:t>Variable at $1.00</w:t>
            </w:r>
          </w:p>
        </w:tc>
        <w:tc>
          <w:tcPr>
            <w:tcW w:w="8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277,222</w:t>
            </w:r>
          </w:p>
        </w:tc>
      </w:tr>
      <w:tr>
        <w:trPr>
          <w:trHeight w:val="154"/>
        </w:trPr>
        <w:tc>
          <w:tcPr>
            <w:tcW w:w="1620" w:type="dxa"/>
            <w:vAlign w:val="bottom"/>
            <w:gridSpan w:val="3"/>
          </w:tcPr>
          <w:p>
            <w:pPr>
              <w:spacing w:after="0"/>
              <w:rPr>
                <w:sz w:val="20"/>
                <w:szCs w:val="20"/>
                <w:color w:val="auto"/>
              </w:rPr>
            </w:pPr>
            <w:r>
              <w:rPr>
                <w:rFonts w:ascii="Arial" w:cs="Arial" w:eastAsia="Arial" w:hAnsi="Arial"/>
                <w:sz w:val="12"/>
                <w:szCs w:val="12"/>
                <w:color w:val="auto"/>
              </w:rPr>
              <w:t>Fixed at $7.00</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536,400</w:t>
            </w:r>
          </w:p>
        </w:tc>
      </w:tr>
      <w:tr>
        <w:trPr>
          <w:trHeight w:val="279"/>
        </w:trPr>
        <w:tc>
          <w:tcPr>
            <w:tcW w:w="1740" w:type="dxa"/>
            <w:vAlign w:val="bottom"/>
            <w:gridSpan w:val="4"/>
          </w:tcPr>
          <w:p>
            <w:pPr>
              <w:jc w:val="right"/>
              <w:ind w:right="55"/>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gridSpan w:val="2"/>
          </w:tcPr>
          <w:p>
            <w:pPr>
              <w:jc w:val="right"/>
              <w:ind w:right="110"/>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3,697,611</w:t>
            </w:r>
          </w:p>
        </w:tc>
      </w:tr>
      <w:tr>
        <w:trPr>
          <w:trHeight w:val="154"/>
        </w:trPr>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(535,634)</w:t>
            </w:r>
          </w:p>
        </w:tc>
      </w:tr>
      <w:tr>
        <w:trPr>
          <w:trHeight w:val="143"/>
        </w:trPr>
        <w:tc>
          <w:tcPr>
            <w:tcW w:w="16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3,161,977</w:t>
            </w:r>
          </w:p>
        </w:tc>
      </w:tr>
      <w:tr>
        <w:trPr>
          <w:trHeight w:val="20"/>
        </w:trPr>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80" w:space="420"/>
            <w:col w:w="6480"/>
          </w:cols>
          <w:pgMar w:left="220" w:top="393" w:right="199" w:bottom="1440" w:gutter="0" w:footer="0" w:header="0"/>
          <w:type w:val="continuous"/>
        </w:sect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8690"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2"/>
          <w:szCs w:val="12"/>
          <w:i w:val="1"/>
          <w:iCs w:val="1"/>
          <w:color w:val="auto"/>
        </w:rPr>
        <w:t>Issuance of Convertible Preferred Stock</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During the year the Company issued $418,000 of convertible notes. The notes carried no interest rate and were converted shortly thereafter (see Extinguishment loss) into preferred stock and immediately into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Debt converted to Preferred Stock and immediately converted into common stock</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During the year, note holders that included Convertible notes, Loans payable, Promissory notes-related party &amp; Due to related party exchanged approximately $4.7 million of debt and $0.5 million of accrued interest for shares of preferred stock, which was immediately converted into 14.0 million shares of common stock with a fair value of approximately $31 million. The total loss on extinguishment associated with the note conversions was $24.9 million, which includes the extinguishment of the derivative liability – conversion option of $0.7 million.</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NOTE 7: LOANS PAYABLE</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As at December 31, 2014, there were unsecured loan payable in the amount of $nil (December 31, 2013 - $42,200). During the year ended December 31, 2014, investors converted $37,000 and a related party converted $5,200 of the loan into preferred stock which was immediately converted into common stock (see note 6).</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NOTE 8: PROMISSORY NOTES, RELATED PARTY</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Company has outstanding promissory notes in the amount of $52,942 (December 31, 2013 - $277,942), of which $23,000 of promissory notes are from an officer and a director of the Company. The promissory notes bear no interest charges and have no fixed repayment terms.</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During the year ended December 31, 2014, a note holder converted outstanding principal of $210,000 and accrued interest of $12,000 into preferred stock which was immediately converted into common shares (see note 6).</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During the year ended December 31, 2014, $15,000 (2013 - $nil) of the promissory notes were repaid to an officer and director of the Company.</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NOTE 9: DUE TO RELATED PARTIES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During the year ended December 31, 2014 the Company has outstanding promissory notes in the amount of $nil (December 31, 2013 - $369,000). During the fiscal year 2014, the related parties converted the notes of $369,000 into preferred stock which was immediately converted into common stock (See note 6).</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CAPITAL STOCK</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Split and increase in authorized shares</w:t>
      </w:r>
    </w:p>
    <w:p>
      <w:pPr>
        <w:spacing w:after="0" w:line="156"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On February 18, 2014, the Company completed a reverse stock split thereby issuing 1 new share for each 100 outstanding shares of the Company’s common stock and amended the Company’s Articles of Incorporation to increase the authorized shares of common stock from 150,000,000 shares of common stock to 500,000,000 shares.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Capital</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On January 6, 2014, the Company designated 1,250,000 Series A preferred shares par value $0.001 (“Series A Convertible Preferred Stock”). Each share of Series A Convertible Preferred Stock automatically converted into five (5) shares of the Company’s common stock upon the occurrence of the 1:100 reverse stock split.</w:t>
      </w:r>
    </w:p>
    <w:p>
      <w:pPr>
        <w:spacing w:after="0" w:line="114"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On February 18, 2014, the Company created a class of up to 1,500,000 preferred shares, par value $0.001, called Series B convertible preferred stock (“Series B Convertible Preferred Stock”). The terms of the Series B Convertible Preferred Stock are:</w:t>
      </w:r>
    </w:p>
    <w:p>
      <w:pPr>
        <w:spacing w:after="0" w:line="114" w:lineRule="exact"/>
        <w:rPr>
          <w:sz w:val="20"/>
          <w:szCs w:val="20"/>
          <w:color w:val="auto"/>
        </w:rPr>
      </w:pPr>
    </w:p>
    <w:p>
      <w:pPr>
        <w:ind w:left="420" w:hanging="210"/>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rank pari passu to the common stock with respect to rights on liquidation, winding up and dissolution;</w:t>
      </w:r>
    </w:p>
    <w:p>
      <w:pPr>
        <w:spacing w:after="0" w:line="152" w:lineRule="exact"/>
        <w:rPr>
          <w:rFonts w:ascii="Arial" w:cs="Arial" w:eastAsia="Arial" w:hAnsi="Arial"/>
          <w:sz w:val="12"/>
          <w:szCs w:val="12"/>
          <w:color w:val="auto"/>
        </w:rPr>
      </w:pPr>
    </w:p>
    <w:p>
      <w:pPr>
        <w:ind w:left="420" w:hanging="210"/>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have no dividend rights except as may be declared by the Board in its sole and absolute discretion;</w:t>
      </w:r>
    </w:p>
    <w:p>
      <w:pPr>
        <w:spacing w:after="0" w:line="152" w:lineRule="exact"/>
        <w:rPr>
          <w:rFonts w:ascii="Arial" w:cs="Arial" w:eastAsia="Arial" w:hAnsi="Arial"/>
          <w:sz w:val="12"/>
          <w:szCs w:val="12"/>
          <w:color w:val="auto"/>
        </w:rPr>
      </w:pPr>
    </w:p>
    <w:p>
      <w:pPr>
        <w:ind w:left="420" w:hanging="219"/>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shall have the right to cast one thousand (1,000) votes for each share held of record on all matters submitted to a vote of holders of the Corporation’s common stock; and</w:t>
      </w:r>
    </w:p>
    <w:p>
      <w:pPr>
        <w:spacing w:after="0" w:line="152" w:lineRule="exact"/>
        <w:rPr>
          <w:rFonts w:ascii="Arial" w:cs="Arial" w:eastAsia="Arial" w:hAnsi="Arial"/>
          <w:sz w:val="12"/>
          <w:szCs w:val="12"/>
          <w:color w:val="auto"/>
        </w:rPr>
      </w:pPr>
    </w:p>
    <w:p>
      <w:pPr>
        <w:ind w:left="420" w:hanging="210"/>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shall automatically convert into seven (7) shares of common upon the occurrence of a 1:100 reverse stock split.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sectPr>
      </w:pPr>
    </w:p>
    <w:bookmarkStart w:id="61" w:name="page62"/>
    <w:bookmarkEnd w:id="61"/>
    <w:p>
      <w:pPr>
        <w:jc w:val="both"/>
        <w:spacing w:after="0" w:line="279" w:lineRule="auto"/>
        <w:rPr>
          <w:sz w:val="20"/>
          <w:szCs w:val="20"/>
          <w:color w:val="auto"/>
        </w:rPr>
      </w:pPr>
      <w:r>
        <w:rPr>
          <w:rFonts w:ascii="Arial" w:cs="Arial" w:eastAsia="Arial" w:hAnsi="Arial"/>
          <w:sz w:val="12"/>
          <w:szCs w:val="12"/>
          <w:color w:val="auto"/>
        </w:rPr>
        <w:t>All prior period share transactions included in the Company’s stock transactions and balances have been retroactively restated for the reverse stock splits described above. There are no shares outstanding under preferred shares as of December 31, 2014.</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Share Transactions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Consulting services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During the year ended December 31, 2014, the Company issued in aggregate 811,000 shares of common stock in exchange for consulting services for which performance was complete. The fair value of the common stock recognized was approximately $954,000.</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Private placements</w:t>
      </w:r>
    </w:p>
    <w:p>
      <w:pPr>
        <w:spacing w:after="0" w:line="152"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During the year ended December 31, 2014, the Company entered into a Securities Purchase Agreement with a single institutional investor for the sale of 1,886,792 units at a purchase price of $1.06 per unit, for a total purchase price of $1,836,000, net of finders’ fee of $164,000. Each unit consists of one common share and one share purchase warrant exercisable at $1.17 for a period of 5 years. The Company also issued 94,340 placement agent share purchase warrants to acquire an equivalent number of common shares of the Company, at an exercise price of $1.325 per share for an exercise period of up to five years from the issuance date. The warrants were included within equity. The fair value of these warrants was determined to be $111,000, using the Black-Scholes Option Pricing Model with a contractual term of 5 years, a risk free interest rate of 1.66%, a dividend yield of 0%, and an expected volatility of 150.3%.</w:t>
      </w:r>
    </w:p>
    <w:p>
      <w:pPr>
        <w:spacing w:after="0" w:line="109"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During the year ended December 31, 2014, the Company received subscription proceeds of $265,000 for 265,000 units. Each unit consists of one share of common stock and one share purchase warrant exercisable at $2.50 for a period of 3 years. The Company also issued 5,250 shares of common stock as finders’ fee relating to the subscription proceeds. The fair value of the common stock was determined to be $5,250.</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Compensation Plan</w:t>
      </w:r>
    </w:p>
    <w:p>
      <w:pPr>
        <w:spacing w:after="0" w:line="156"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On October 14, 2009, the Company adopted the 2009 Stock Incentive Plan (the “2009 Plan”) which supersedes and replaces the 2007 Stock Plan. The 2009 Plan allows for the issuance of up to 100,000 common shares. Options granted under the Plan shall be at prices and for terms as determined by the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expensed portion of the value of the granted and vested options during the year ended December 31, 2014 was $15,000 (2013 - $132,093) which was recorded as stock based consulting and management fees.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purchase options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Company’s stock options as of December 31, 2014 and 2013 and changes during the years is presented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10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2"/>
                <w:szCs w:val="12"/>
                <w:color w:val="auto"/>
                <w:w w:val="92"/>
              </w:rPr>
              <w:t>Number of</w:t>
            </w: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91"/>
              </w:rPr>
              <w:t>Weighted Average</w:t>
            </w: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Weighted Average</w:t>
            </w:r>
          </w:p>
        </w:tc>
      </w:tr>
      <w:tr>
        <w:trPr>
          <w:trHeight w:val="154"/>
        </w:trPr>
        <w:tc>
          <w:tcPr>
            <w:tcW w:w="5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Options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Exercise Price</w:t>
            </w:r>
          </w:p>
        </w:tc>
        <w:tc>
          <w:tcPr>
            <w:tcW w:w="240" w:type="dxa"/>
            <w:vAlign w:val="bottom"/>
          </w:tcPr>
          <w:p>
            <w:pPr>
              <w:spacing w:after="0"/>
              <w:rPr>
                <w:sz w:val="13"/>
                <w:szCs w:val="13"/>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Remaining Life</w:t>
            </w:r>
          </w:p>
        </w:tc>
        <w:tc>
          <w:tcPr>
            <w:tcW w:w="140" w:type="dxa"/>
            <w:vAlign w:val="bottom"/>
          </w:tcPr>
          <w:p>
            <w:pPr>
              <w:spacing w:after="0"/>
              <w:rPr>
                <w:sz w:val="13"/>
                <w:szCs w:val="13"/>
                <w:color w:val="auto"/>
              </w:rPr>
            </w:pPr>
          </w:p>
        </w:tc>
      </w:tr>
      <w:tr>
        <w:trPr>
          <w:trHeight w:val="279"/>
        </w:trPr>
        <w:tc>
          <w:tcPr>
            <w:tcW w:w="5100" w:type="dxa"/>
            <w:vAlign w:val="bottom"/>
          </w:tcPr>
          <w:p>
            <w:pPr>
              <w:spacing w:after="0"/>
              <w:rPr>
                <w:sz w:val="20"/>
                <w:szCs w:val="20"/>
                <w:color w:val="auto"/>
              </w:rPr>
            </w:pPr>
            <w:r>
              <w:rPr>
                <w:rFonts w:ascii="Arial" w:cs="Arial" w:eastAsia="Arial" w:hAnsi="Arial"/>
                <w:sz w:val="12"/>
                <w:szCs w:val="12"/>
                <w:b w:val="1"/>
                <w:bCs w:val="1"/>
                <w:color w:val="auto"/>
              </w:rPr>
              <w:t>Balance, December 31, 2012</w:t>
            </w:r>
          </w:p>
        </w:tc>
        <w:tc>
          <w:tcPr>
            <w:tcW w:w="3660" w:type="dxa"/>
            <w:vAlign w:val="bottom"/>
            <w:gridSpan w:val="4"/>
          </w:tcPr>
          <w:p>
            <w:pPr>
              <w:jc w:val="right"/>
              <w:ind w:right="240"/>
              <w:spacing w:after="0"/>
              <w:rPr>
                <w:sz w:val="20"/>
                <w:szCs w:val="20"/>
                <w:color w:val="auto"/>
              </w:rPr>
            </w:pPr>
            <w:r>
              <w:rPr>
                <w:rFonts w:ascii="Arial" w:cs="Arial" w:eastAsia="Arial" w:hAnsi="Arial"/>
                <w:sz w:val="12"/>
                <w:szCs w:val="12"/>
                <w:color w:val="auto"/>
              </w:rPr>
              <w:t>65,430</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18.00</w:t>
            </w:r>
          </w:p>
        </w:tc>
        <w:tc>
          <w:tcPr>
            <w:tcW w:w="1560" w:type="dxa"/>
            <w:vAlign w:val="bottom"/>
            <w:gridSpan w:val="3"/>
          </w:tcPr>
          <w:p>
            <w:pPr>
              <w:jc w:val="right"/>
              <w:ind w:right="140"/>
              <w:spacing w:after="0"/>
              <w:rPr>
                <w:sz w:val="20"/>
                <w:szCs w:val="20"/>
                <w:color w:val="auto"/>
              </w:rPr>
            </w:pPr>
            <w:r>
              <w:rPr>
                <w:rFonts w:ascii="Arial" w:cs="Arial" w:eastAsia="Arial" w:hAnsi="Arial"/>
                <w:sz w:val="12"/>
                <w:szCs w:val="12"/>
                <w:color w:val="auto"/>
              </w:rPr>
              <w:t>6.05</w:t>
            </w:r>
          </w:p>
        </w:tc>
      </w:tr>
      <w:tr>
        <w:trPr>
          <w:trHeight w:val="145"/>
        </w:trPr>
        <w:tc>
          <w:tcPr>
            <w:tcW w:w="5100" w:type="dxa"/>
            <w:vAlign w:val="bottom"/>
          </w:tcPr>
          <w:p>
            <w:pPr>
              <w:ind w:left="60"/>
              <w:spacing w:after="0"/>
              <w:rPr>
                <w:sz w:val="20"/>
                <w:szCs w:val="20"/>
                <w:color w:val="auto"/>
              </w:rPr>
            </w:pPr>
            <w:r>
              <w:rPr>
                <w:rFonts w:ascii="Arial" w:cs="Arial" w:eastAsia="Arial" w:hAnsi="Arial"/>
                <w:sz w:val="12"/>
                <w:szCs w:val="12"/>
                <w:color w:val="auto"/>
              </w:rPr>
              <w:t>Issued</w:t>
            </w:r>
          </w:p>
        </w:tc>
        <w:tc>
          <w:tcPr>
            <w:tcW w:w="366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54"/>
        </w:trPr>
        <w:tc>
          <w:tcPr>
            <w:tcW w:w="5100" w:type="dxa"/>
            <w:vAlign w:val="bottom"/>
          </w:tcPr>
          <w:p>
            <w:pPr>
              <w:ind w:left="60"/>
              <w:spacing w:after="0"/>
              <w:rPr>
                <w:sz w:val="20"/>
                <w:szCs w:val="20"/>
                <w:color w:val="auto"/>
              </w:rPr>
            </w:pPr>
            <w:r>
              <w:rPr>
                <w:rFonts w:ascii="Arial" w:cs="Arial" w:eastAsia="Arial" w:hAnsi="Arial"/>
                <w:sz w:val="12"/>
                <w:szCs w:val="12"/>
                <w:color w:val="auto"/>
              </w:rPr>
              <w:t>Cancelled/Forfeited</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r>
      <w:tr>
        <w:trPr>
          <w:trHeight w:val="20"/>
        </w:trPr>
        <w:tc>
          <w:tcPr>
            <w:tcW w:w="510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9"/>
        </w:trPr>
        <w:tc>
          <w:tcPr>
            <w:tcW w:w="5100" w:type="dxa"/>
            <w:vAlign w:val="bottom"/>
          </w:tcPr>
          <w:p>
            <w:pPr>
              <w:spacing w:after="0"/>
              <w:rPr>
                <w:sz w:val="20"/>
                <w:szCs w:val="20"/>
                <w:color w:val="auto"/>
              </w:rPr>
            </w:pPr>
            <w:r>
              <w:rPr>
                <w:rFonts w:ascii="Arial" w:cs="Arial" w:eastAsia="Arial" w:hAnsi="Arial"/>
                <w:sz w:val="12"/>
                <w:szCs w:val="12"/>
                <w:b w:val="1"/>
                <w:bCs w:val="1"/>
                <w:color w:val="auto"/>
              </w:rPr>
              <w:t>Balance, December 31, 2013</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65,430</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18.00</w:t>
            </w:r>
          </w:p>
        </w:tc>
        <w:tc>
          <w:tcPr>
            <w:tcW w:w="1560" w:type="dxa"/>
            <w:vAlign w:val="bottom"/>
            <w:gridSpan w:val="3"/>
          </w:tcPr>
          <w:p>
            <w:pPr>
              <w:jc w:val="right"/>
              <w:ind w:right="140"/>
              <w:spacing w:after="0"/>
              <w:rPr>
                <w:sz w:val="20"/>
                <w:szCs w:val="20"/>
                <w:color w:val="auto"/>
              </w:rPr>
            </w:pPr>
            <w:r>
              <w:rPr>
                <w:rFonts w:ascii="Arial" w:cs="Arial" w:eastAsia="Arial" w:hAnsi="Arial"/>
                <w:sz w:val="12"/>
                <w:szCs w:val="12"/>
                <w:color w:val="auto"/>
              </w:rPr>
              <w:t>5.04</w:t>
            </w:r>
          </w:p>
        </w:tc>
      </w:tr>
      <w:tr>
        <w:trPr>
          <w:trHeight w:val="145"/>
        </w:trPr>
        <w:tc>
          <w:tcPr>
            <w:tcW w:w="5100" w:type="dxa"/>
            <w:vAlign w:val="bottom"/>
          </w:tcPr>
          <w:p>
            <w:pPr>
              <w:ind w:left="60"/>
              <w:spacing w:after="0"/>
              <w:rPr>
                <w:sz w:val="20"/>
                <w:szCs w:val="20"/>
                <w:color w:val="auto"/>
              </w:rPr>
            </w:pPr>
            <w:r>
              <w:rPr>
                <w:rFonts w:ascii="Arial" w:cs="Arial" w:eastAsia="Arial" w:hAnsi="Arial"/>
                <w:sz w:val="12"/>
                <w:szCs w:val="12"/>
                <w:color w:val="auto"/>
              </w:rPr>
              <w:t>Issued</w:t>
            </w:r>
          </w:p>
        </w:tc>
        <w:tc>
          <w:tcPr>
            <w:tcW w:w="366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41"/>
        </w:trPr>
        <w:tc>
          <w:tcPr>
            <w:tcW w:w="5100" w:type="dxa"/>
            <w:vAlign w:val="bottom"/>
          </w:tcPr>
          <w:p>
            <w:pPr>
              <w:ind w:left="60"/>
              <w:spacing w:after="0"/>
              <w:rPr>
                <w:sz w:val="20"/>
                <w:szCs w:val="20"/>
                <w:color w:val="auto"/>
              </w:rPr>
            </w:pPr>
            <w:r>
              <w:rPr>
                <w:rFonts w:ascii="Arial" w:cs="Arial" w:eastAsia="Arial" w:hAnsi="Arial"/>
                <w:sz w:val="12"/>
                <w:szCs w:val="12"/>
                <w:color w:val="auto"/>
              </w:rPr>
              <w:t>Cancelled/Forfeited</w:t>
            </w:r>
          </w:p>
        </w:tc>
        <w:tc>
          <w:tcPr>
            <w:tcW w:w="366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58"/>
        </w:trPr>
        <w:tc>
          <w:tcPr>
            <w:tcW w:w="5100" w:type="dxa"/>
            <w:vAlign w:val="bottom"/>
          </w:tcPr>
          <w:p>
            <w:pPr>
              <w:spacing w:after="0"/>
              <w:rPr>
                <w:sz w:val="20"/>
                <w:szCs w:val="20"/>
                <w:color w:val="auto"/>
              </w:rPr>
            </w:pPr>
            <w:r>
              <w:rPr>
                <w:rFonts w:ascii="Arial" w:cs="Arial" w:eastAsia="Arial" w:hAnsi="Arial"/>
                <w:sz w:val="12"/>
                <w:szCs w:val="12"/>
                <w:b w:val="1"/>
                <w:bCs w:val="1"/>
                <w:color w:val="auto"/>
              </w:rPr>
              <w:t>Balance, December 31, 2014</w:t>
            </w:r>
          </w:p>
        </w:tc>
        <w:tc>
          <w:tcPr>
            <w:tcW w:w="3660" w:type="dxa"/>
            <w:vAlign w:val="bottom"/>
            <w:gridSpan w:val="4"/>
          </w:tcPr>
          <w:p>
            <w:pPr>
              <w:jc w:val="right"/>
              <w:ind w:right="240"/>
              <w:spacing w:after="0"/>
              <w:rPr>
                <w:sz w:val="20"/>
                <w:szCs w:val="20"/>
                <w:color w:val="auto"/>
              </w:rPr>
            </w:pPr>
            <w:r>
              <w:rPr>
                <w:rFonts w:ascii="Arial" w:cs="Arial" w:eastAsia="Arial" w:hAnsi="Arial"/>
                <w:sz w:val="12"/>
                <w:szCs w:val="12"/>
                <w:color w:val="auto"/>
              </w:rPr>
              <w:t>65,430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18.00</w:t>
            </w:r>
          </w:p>
        </w:tc>
        <w:tc>
          <w:tcPr>
            <w:tcW w:w="1560" w:type="dxa"/>
            <w:vAlign w:val="bottom"/>
            <w:gridSpan w:val="3"/>
          </w:tcPr>
          <w:p>
            <w:pPr>
              <w:jc w:val="right"/>
              <w:ind w:right="140"/>
              <w:spacing w:after="0"/>
              <w:rPr>
                <w:sz w:val="20"/>
                <w:szCs w:val="20"/>
                <w:color w:val="auto"/>
              </w:rPr>
            </w:pPr>
            <w:r>
              <w:rPr>
                <w:rFonts w:ascii="Arial" w:cs="Arial" w:eastAsia="Arial" w:hAnsi="Arial"/>
                <w:sz w:val="12"/>
                <w:szCs w:val="12"/>
                <w:color w:val="auto"/>
              </w:rPr>
              <w:t>4.04</w:t>
            </w:r>
          </w:p>
        </w:tc>
      </w:tr>
      <w:tr>
        <w:trPr>
          <w:trHeight w:val="20"/>
        </w:trPr>
        <w:tc>
          <w:tcPr>
            <w:tcW w:w="51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6"/>
        </w:trPr>
        <w:tc>
          <w:tcPr>
            <w:tcW w:w="5100" w:type="dxa"/>
            <w:vAlign w:val="bottom"/>
          </w:tcPr>
          <w:p>
            <w:pPr>
              <w:spacing w:after="0"/>
              <w:rPr>
                <w:sz w:val="20"/>
                <w:szCs w:val="20"/>
                <w:color w:val="auto"/>
              </w:rPr>
            </w:pPr>
            <w:r>
              <w:rPr>
                <w:rFonts w:ascii="Arial" w:cs="Arial" w:eastAsia="Arial" w:hAnsi="Arial"/>
                <w:sz w:val="12"/>
                <w:szCs w:val="12"/>
                <w:color w:val="auto"/>
              </w:rPr>
              <w:t>At December 31, 2014, the intrinsic value of the vested options was equal to $nil (2013 - $nil).</w:t>
            </w: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553"/>
        </w:trPr>
        <w:tc>
          <w:tcPr>
            <w:tcW w:w="5100" w:type="dxa"/>
            <w:vAlign w:val="bottom"/>
          </w:tcPr>
          <w:p>
            <w:pPr>
              <w:spacing w:after="0"/>
              <w:rPr>
                <w:sz w:val="24"/>
                <w:szCs w:val="24"/>
                <w:color w:val="auto"/>
              </w:rPr>
            </w:pPr>
          </w:p>
        </w:tc>
        <w:tc>
          <w:tcPr>
            <w:tcW w:w="3660" w:type="dxa"/>
            <w:vAlign w:val="bottom"/>
            <w:gridSpan w:val="4"/>
          </w:tcPr>
          <w:p>
            <w:pPr>
              <w:jc w:val="right"/>
              <w:ind w:right="2920"/>
              <w:spacing w:after="0"/>
              <w:rPr>
                <w:sz w:val="20"/>
                <w:szCs w:val="20"/>
                <w:color w:val="auto"/>
              </w:rPr>
            </w:pPr>
            <w:r>
              <w:rPr>
                <w:rFonts w:ascii="Arial" w:cs="Arial" w:eastAsia="Arial" w:hAnsi="Arial"/>
                <w:sz w:val="12"/>
                <w:szCs w:val="12"/>
                <w:color w:val="auto"/>
              </w:rPr>
              <w:t>F-16</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
        </w:trPr>
        <w:tc>
          <w:tcPr>
            <w:tcW w:w="5100" w:type="dxa"/>
            <w:vAlign w:val="bottom"/>
            <w:tcBorders>
              <w:bottom w:val="single" w:sz="8" w:color="808080"/>
            </w:tcBorders>
          </w:tcPr>
          <w:p>
            <w:pPr>
              <w:spacing w:after="0"/>
              <w:rPr>
                <w:sz w:val="6"/>
                <w:szCs w:val="6"/>
                <w:color w:val="auto"/>
              </w:rPr>
            </w:pPr>
          </w:p>
        </w:tc>
        <w:tc>
          <w:tcPr>
            <w:tcW w:w="21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sectPr>
      </w:pPr>
    </w:p>
    <w:bookmarkStart w:id="62" w:name="page63"/>
    <w:bookmarkEnd w:id="62"/>
    <w:p>
      <w:pPr>
        <w:spacing w:after="0"/>
        <w:rPr>
          <w:sz w:val="20"/>
          <w:szCs w:val="20"/>
          <w:color w:val="auto"/>
        </w:rPr>
      </w:pPr>
      <w:r>
        <w:rPr>
          <w:rFonts w:ascii="Arial" w:cs="Arial" w:eastAsia="Arial" w:hAnsi="Arial"/>
          <w:sz w:val="12"/>
          <w:szCs w:val="12"/>
          <w:color w:val="auto"/>
        </w:rPr>
        <w:t>A summary of the status of the Company’s unvested options as of December 31, 2014 is presented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40"/>
              <w:spacing w:after="0"/>
              <w:rPr>
                <w:sz w:val="20"/>
                <w:szCs w:val="20"/>
                <w:color w:val="auto"/>
              </w:rPr>
            </w:pPr>
            <w:r>
              <w:rPr>
                <w:rFonts w:ascii="Arial" w:cs="Arial" w:eastAsia="Arial" w:hAnsi="Arial"/>
                <w:sz w:val="12"/>
                <w:szCs w:val="12"/>
                <w:color w:val="auto"/>
                <w:w w:val="91"/>
              </w:rPr>
              <w:t>Weighted Average</w:t>
            </w:r>
          </w:p>
        </w:tc>
        <w:tc>
          <w:tcPr>
            <w:tcW w:w="140" w:type="dxa"/>
            <w:vAlign w:val="bottom"/>
            <w:tcBorders>
              <w:top w:val="single" w:sz="8" w:color="auto"/>
            </w:tcBorders>
          </w:tcPr>
          <w:p>
            <w:pPr>
              <w:spacing w:after="0"/>
              <w:rPr>
                <w:sz w:val="13"/>
                <w:szCs w:val="13"/>
                <w:color w:val="auto"/>
              </w:rPr>
            </w:pPr>
          </w:p>
        </w:tc>
      </w:tr>
      <w:tr>
        <w:trPr>
          <w:trHeight w:val="145"/>
        </w:trPr>
        <w:tc>
          <w:tcPr>
            <w:tcW w:w="8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left="240"/>
              <w:spacing w:after="0"/>
              <w:rPr>
                <w:sz w:val="20"/>
                <w:szCs w:val="20"/>
                <w:color w:val="auto"/>
              </w:rPr>
            </w:pPr>
            <w:r>
              <w:rPr>
                <w:rFonts w:ascii="Arial" w:cs="Arial" w:eastAsia="Arial" w:hAnsi="Arial"/>
                <w:sz w:val="12"/>
                <w:szCs w:val="12"/>
                <w:color w:val="auto"/>
                <w:w w:val="96"/>
              </w:rPr>
              <w:t>Number of</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0"/>
              <w:spacing w:after="0"/>
              <w:rPr>
                <w:sz w:val="20"/>
                <w:szCs w:val="20"/>
                <w:color w:val="auto"/>
              </w:rPr>
            </w:pPr>
            <w:r>
              <w:rPr>
                <w:rFonts w:ascii="Arial" w:cs="Arial" w:eastAsia="Arial" w:hAnsi="Arial"/>
                <w:sz w:val="12"/>
                <w:szCs w:val="12"/>
                <w:color w:val="auto"/>
                <w:w w:val="90"/>
              </w:rPr>
              <w:t>Grant-Date</w:t>
            </w:r>
          </w:p>
        </w:tc>
        <w:tc>
          <w:tcPr>
            <w:tcW w:w="140" w:type="dxa"/>
            <w:vAlign w:val="bottom"/>
          </w:tcPr>
          <w:p>
            <w:pPr>
              <w:spacing w:after="0"/>
              <w:rPr>
                <w:sz w:val="12"/>
                <w:szCs w:val="12"/>
                <w:color w:val="auto"/>
              </w:rPr>
            </w:pPr>
          </w:p>
        </w:tc>
      </w:tr>
      <w:tr>
        <w:trPr>
          <w:trHeight w:val="154"/>
        </w:trPr>
        <w:tc>
          <w:tcPr>
            <w:tcW w:w="8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tcPr>
          <w:p>
            <w:pPr>
              <w:jc w:val="center"/>
              <w:ind w:left="260"/>
              <w:spacing w:after="0"/>
              <w:rPr>
                <w:sz w:val="20"/>
                <w:szCs w:val="20"/>
                <w:color w:val="auto"/>
              </w:rPr>
            </w:pPr>
            <w:r>
              <w:rPr>
                <w:rFonts w:ascii="Arial" w:cs="Arial" w:eastAsia="Arial" w:hAnsi="Arial"/>
                <w:sz w:val="12"/>
                <w:szCs w:val="12"/>
                <w:color w:val="auto"/>
                <w:w w:val="84"/>
              </w:rPr>
              <w:t>Shares</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color w:val="auto"/>
                <w:w w:val="91"/>
              </w:rPr>
              <w:t>Fair Value</w:t>
            </w:r>
          </w:p>
        </w:tc>
        <w:tc>
          <w:tcPr>
            <w:tcW w:w="140" w:type="dxa"/>
            <w:vAlign w:val="bottom"/>
          </w:tcPr>
          <w:p>
            <w:pPr>
              <w:spacing w:after="0"/>
              <w:rPr>
                <w:sz w:val="13"/>
                <w:szCs w:val="13"/>
                <w:color w:val="auto"/>
              </w:rPr>
            </w:pPr>
          </w:p>
        </w:tc>
      </w:tr>
      <w:tr>
        <w:trPr>
          <w:trHeight w:val="279"/>
        </w:trPr>
        <w:tc>
          <w:tcPr>
            <w:tcW w:w="9620" w:type="dxa"/>
            <w:vAlign w:val="bottom"/>
            <w:gridSpan w:val="3"/>
          </w:tcPr>
          <w:p>
            <w:pPr>
              <w:spacing w:after="0"/>
              <w:rPr>
                <w:sz w:val="20"/>
                <w:szCs w:val="20"/>
                <w:color w:val="auto"/>
              </w:rPr>
            </w:pPr>
            <w:r>
              <w:rPr>
                <w:rFonts w:ascii="Arial" w:cs="Arial" w:eastAsia="Arial" w:hAnsi="Arial"/>
                <w:sz w:val="12"/>
                <w:szCs w:val="12"/>
                <w:b w:val="1"/>
                <w:bCs w:val="1"/>
                <w:color w:val="auto"/>
              </w:rPr>
              <w:t>Unvested, December 31, 2013</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w w:val="93"/>
              </w:rPr>
              <w:t>1,111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18.00</w:t>
            </w:r>
          </w:p>
        </w:tc>
        <w:tc>
          <w:tcPr>
            <w:tcW w:w="140" w:type="dxa"/>
            <w:vAlign w:val="bottom"/>
          </w:tcPr>
          <w:p>
            <w:pPr>
              <w:spacing w:after="0"/>
              <w:rPr>
                <w:sz w:val="24"/>
                <w:szCs w:val="24"/>
                <w:color w:val="auto"/>
              </w:rPr>
            </w:pPr>
          </w:p>
        </w:tc>
      </w:tr>
      <w:tr>
        <w:trPr>
          <w:trHeight w:val="145"/>
        </w:trPr>
        <w:tc>
          <w:tcPr>
            <w:tcW w:w="9620" w:type="dxa"/>
            <w:vAlign w:val="bottom"/>
            <w:gridSpan w:val="3"/>
          </w:tcPr>
          <w:p>
            <w:pPr>
              <w:ind w:left="60"/>
              <w:spacing w:after="0"/>
              <w:rPr>
                <w:sz w:val="20"/>
                <w:szCs w:val="20"/>
                <w:color w:val="auto"/>
              </w:rPr>
            </w:pPr>
            <w:r>
              <w:rPr>
                <w:rFonts w:ascii="Arial" w:cs="Arial" w:eastAsia="Arial" w:hAnsi="Arial"/>
                <w:sz w:val="12"/>
                <w:szCs w:val="12"/>
                <w:color w:val="auto"/>
              </w:rPr>
              <w:t>Granted</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45"/>
        </w:trPr>
        <w:tc>
          <w:tcPr>
            <w:tcW w:w="9620" w:type="dxa"/>
            <w:vAlign w:val="bottom"/>
            <w:gridSpan w:val="3"/>
          </w:tcPr>
          <w:p>
            <w:pPr>
              <w:ind w:left="60"/>
              <w:spacing w:after="0"/>
              <w:rPr>
                <w:sz w:val="20"/>
                <w:szCs w:val="20"/>
                <w:color w:val="auto"/>
              </w:rPr>
            </w:pPr>
            <w:r>
              <w:rPr>
                <w:rFonts w:ascii="Arial" w:cs="Arial" w:eastAsia="Arial" w:hAnsi="Arial"/>
                <w:sz w:val="12"/>
                <w:szCs w:val="12"/>
                <w:color w:val="auto"/>
              </w:rPr>
              <w:t>Vested</w:t>
            </w: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(833)</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18.00</w:t>
            </w:r>
          </w:p>
        </w:tc>
        <w:tc>
          <w:tcPr>
            <w:tcW w:w="140" w:type="dxa"/>
            <w:vAlign w:val="bottom"/>
          </w:tcPr>
          <w:p>
            <w:pPr>
              <w:spacing w:after="0"/>
              <w:rPr>
                <w:sz w:val="12"/>
                <w:szCs w:val="12"/>
                <w:color w:val="auto"/>
              </w:rPr>
            </w:pPr>
          </w:p>
        </w:tc>
      </w:tr>
      <w:tr>
        <w:trPr>
          <w:trHeight w:val="154"/>
        </w:trPr>
        <w:tc>
          <w:tcPr>
            <w:tcW w:w="86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Cancelled</w:t>
            </w:r>
          </w:p>
        </w:tc>
        <w:tc>
          <w:tcPr>
            <w:tcW w:w="1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r>
      <w:tr>
        <w:trPr>
          <w:trHeight w:val="288"/>
        </w:trPr>
        <w:tc>
          <w:tcPr>
            <w:tcW w:w="8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Unvested, December 31, 2014</w:t>
            </w: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278</w:t>
            </w:r>
          </w:p>
        </w:tc>
        <w:tc>
          <w:tcPr>
            <w:tcW w:w="2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18.00</w:t>
            </w:r>
          </w:p>
        </w:tc>
        <w:tc>
          <w:tcPr>
            <w:tcW w:w="140" w:type="dxa"/>
            <w:vAlign w:val="bottom"/>
          </w:tcPr>
          <w:p>
            <w:pPr>
              <w:spacing w:after="0"/>
              <w:rPr>
                <w:sz w:val="24"/>
                <w:szCs w:val="24"/>
                <w:color w:val="auto"/>
              </w:rPr>
            </w:pPr>
          </w:p>
        </w:tc>
      </w:tr>
      <w:tr>
        <w:trPr>
          <w:trHeight w:val="20"/>
        </w:trPr>
        <w:tc>
          <w:tcPr>
            <w:tcW w:w="8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6"/>
        </w:trPr>
        <w:tc>
          <w:tcPr>
            <w:tcW w:w="9620" w:type="dxa"/>
            <w:vAlign w:val="bottom"/>
            <w:gridSpan w:val="3"/>
          </w:tcPr>
          <w:p>
            <w:pPr>
              <w:spacing w:after="0"/>
              <w:rPr>
                <w:sz w:val="20"/>
                <w:szCs w:val="20"/>
                <w:color w:val="auto"/>
              </w:rPr>
            </w:pPr>
            <w:r>
              <w:rPr>
                <w:rFonts w:ascii="Arial" w:cs="Arial" w:eastAsia="Arial" w:hAnsi="Arial"/>
                <w:sz w:val="12"/>
                <w:szCs w:val="12"/>
                <w:b w:val="1"/>
                <w:bCs w:val="1"/>
                <w:color w:val="auto"/>
              </w:rPr>
              <w:t>Share Purchase Warrants</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r>
    </w:tbl>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In September, 2014, the Company issued 100,000 share purchase warrants to acquire an equivalent number of common shares of the Company, at an exercise price of $1.15 per share for an exercise period of up to five years from the issuance date. The warrants were issued pursuant to a service agreement. The fair value of these warrants was determined to be $105,000, using the Black-Scholes Option Pricing Model with a contractual term of 5 years, a risk free interest rate of 1.63%, a dividend yield of 0%, and an annual volatility of 150.18%.</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March, 2014, the Company issued 100,000 share purchase warrants to acquire an equivalent number of common shares of the Company, at an exercise price of $4.00 per share for an exercise period of up to four years from the issuance date. The warrants were issued pursuant to a technology option agreement. The fair value of these warrants was determined to be $303,000 and was recorded in general and administrative expenses. The weighted average assumptions used for the Black-Scholes option-pricing model to value these warrants were: volatility of 156.6%, risk free rate of 1.4%, term of 4 years and dividend rate of 0%. The Company used the Black-Scholes option-pricing model as the resultant fair value is not significantly different than the Monte Carlo option pricing model. In August 2014, the Company repriced the 100,000 warrants by reducing the exercise price from $4.00 to $1.06. As a result, the Company recorded incremental fair value of $14,000 during the year ended December 31, 2014.</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Company’s share purchase warrants as of December 31, 2014 and changes during the year is presented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2"/>
                <w:szCs w:val="12"/>
                <w:color w:val="auto"/>
              </w:rPr>
              <w:t>Number of</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2"/>
                <w:szCs w:val="12"/>
                <w:color w:val="auto"/>
                <w:w w:val="89"/>
              </w:rPr>
              <w:t>Weighted Average</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2"/>
                <w:szCs w:val="12"/>
                <w:color w:val="auto"/>
                <w:w w:val="91"/>
              </w:rPr>
              <w:t>Weighted Average</w:t>
            </w:r>
          </w:p>
        </w:tc>
      </w:tr>
      <w:tr>
        <w:trPr>
          <w:trHeight w:val="154"/>
        </w:trPr>
        <w:tc>
          <w:tcPr>
            <w:tcW w:w="52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Warrants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color w:val="auto"/>
                <w:w w:val="91"/>
              </w:rPr>
              <w:t>Exercise Price</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color w:val="auto"/>
                <w:w w:val="94"/>
              </w:rPr>
              <w:t>Remaining Life</w:t>
            </w:r>
          </w:p>
        </w:tc>
        <w:tc>
          <w:tcPr>
            <w:tcW w:w="140" w:type="dxa"/>
            <w:vAlign w:val="bottom"/>
          </w:tcPr>
          <w:p>
            <w:pPr>
              <w:spacing w:after="0"/>
              <w:rPr>
                <w:sz w:val="13"/>
                <w:szCs w:val="13"/>
                <w:color w:val="auto"/>
              </w:rPr>
            </w:pPr>
          </w:p>
        </w:tc>
      </w:tr>
      <w:tr>
        <w:trPr>
          <w:trHeight w:val="279"/>
        </w:trPr>
        <w:tc>
          <w:tcPr>
            <w:tcW w:w="5220" w:type="dxa"/>
            <w:vAlign w:val="bottom"/>
          </w:tcPr>
          <w:p>
            <w:pPr>
              <w:spacing w:after="0"/>
              <w:rPr>
                <w:sz w:val="20"/>
                <w:szCs w:val="20"/>
                <w:color w:val="auto"/>
              </w:rPr>
            </w:pPr>
            <w:r>
              <w:rPr>
                <w:rFonts w:ascii="Arial" w:cs="Arial" w:eastAsia="Arial" w:hAnsi="Arial"/>
                <w:sz w:val="12"/>
                <w:szCs w:val="12"/>
                <w:b w:val="1"/>
                <w:bCs w:val="1"/>
                <w:color w:val="auto"/>
              </w:rPr>
              <w:t>Balance, December 31, 2013</w:t>
            </w:r>
          </w:p>
        </w:tc>
        <w:tc>
          <w:tcPr>
            <w:tcW w:w="3400" w:type="dxa"/>
            <w:vAlign w:val="bottom"/>
            <w:gridSpan w:val="4"/>
          </w:tcPr>
          <w:p>
            <w:pPr>
              <w:jc w:val="right"/>
              <w:ind w:right="100"/>
              <w:spacing w:after="0"/>
              <w:rPr>
                <w:sz w:val="20"/>
                <w:szCs w:val="20"/>
                <w:color w:val="auto"/>
              </w:rPr>
            </w:pPr>
            <w:r>
              <w:rPr>
                <w:rFonts w:ascii="Arial" w:cs="Arial" w:eastAsia="Arial" w:hAnsi="Arial"/>
                <w:sz w:val="12"/>
                <w:szCs w:val="12"/>
                <w:color w:val="auto"/>
              </w:rPr>
              <w:t>149,452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25.85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2.76</w:t>
            </w:r>
          </w:p>
        </w:tc>
      </w:tr>
      <w:tr>
        <w:trPr>
          <w:trHeight w:val="145"/>
        </w:trPr>
        <w:tc>
          <w:tcPr>
            <w:tcW w:w="5220" w:type="dxa"/>
            <w:vAlign w:val="bottom"/>
          </w:tcPr>
          <w:p>
            <w:pPr>
              <w:ind w:left="60"/>
              <w:spacing w:after="0"/>
              <w:rPr>
                <w:sz w:val="20"/>
                <w:szCs w:val="20"/>
                <w:color w:val="auto"/>
              </w:rPr>
            </w:pPr>
            <w:r>
              <w:rPr>
                <w:rFonts w:ascii="Arial" w:cs="Arial" w:eastAsia="Arial" w:hAnsi="Arial"/>
                <w:sz w:val="12"/>
                <w:szCs w:val="12"/>
                <w:color w:val="auto"/>
              </w:rPr>
              <w:t>Issued</w:t>
            </w:r>
          </w:p>
        </w:tc>
        <w:tc>
          <w:tcPr>
            <w:tcW w:w="3400" w:type="dxa"/>
            <w:vAlign w:val="bottom"/>
            <w:gridSpan w:val="4"/>
          </w:tcPr>
          <w:p>
            <w:pPr>
              <w:jc w:val="right"/>
              <w:ind w:right="100"/>
              <w:spacing w:after="0"/>
              <w:rPr>
                <w:sz w:val="20"/>
                <w:szCs w:val="20"/>
                <w:color w:val="auto"/>
              </w:rPr>
            </w:pPr>
            <w:r>
              <w:rPr>
                <w:rFonts w:ascii="Arial" w:cs="Arial" w:eastAsia="Arial" w:hAnsi="Arial"/>
                <w:sz w:val="12"/>
                <w:szCs w:val="12"/>
                <w:color w:val="auto"/>
              </w:rPr>
              <w:t>2,546,132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4.23</w:t>
            </w:r>
          </w:p>
        </w:tc>
      </w:tr>
      <w:tr>
        <w:trPr>
          <w:trHeight w:val="145"/>
        </w:trPr>
        <w:tc>
          <w:tcPr>
            <w:tcW w:w="5220" w:type="dxa"/>
            <w:vAlign w:val="bottom"/>
          </w:tcPr>
          <w:p>
            <w:pPr>
              <w:ind w:left="60"/>
              <w:spacing w:after="0"/>
              <w:rPr>
                <w:sz w:val="20"/>
                <w:szCs w:val="20"/>
                <w:color w:val="auto"/>
              </w:rPr>
            </w:pPr>
            <w:r>
              <w:rPr>
                <w:rFonts w:ascii="Arial" w:cs="Arial" w:eastAsia="Arial" w:hAnsi="Arial"/>
                <w:sz w:val="12"/>
                <w:szCs w:val="12"/>
                <w:color w:val="auto"/>
              </w:rPr>
              <w:t>Exercised</w:t>
            </w:r>
          </w:p>
        </w:tc>
        <w:tc>
          <w:tcPr>
            <w:tcW w:w="3400" w:type="dxa"/>
            <w:vAlign w:val="bottom"/>
            <w:gridSpan w:val="4"/>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54"/>
        </w:trPr>
        <w:tc>
          <w:tcPr>
            <w:tcW w:w="5220" w:type="dxa"/>
            <w:vAlign w:val="bottom"/>
          </w:tcPr>
          <w:p>
            <w:pPr>
              <w:ind w:left="60"/>
              <w:spacing w:after="0"/>
              <w:rPr>
                <w:sz w:val="20"/>
                <w:szCs w:val="20"/>
                <w:color w:val="auto"/>
              </w:rPr>
            </w:pPr>
            <w:r>
              <w:rPr>
                <w:rFonts w:ascii="Arial" w:cs="Arial" w:eastAsia="Arial" w:hAnsi="Arial"/>
                <w:sz w:val="12"/>
                <w:szCs w:val="12"/>
                <w:color w:val="auto"/>
              </w:rPr>
              <w:t>Extinguished or expired</w:t>
            </w:r>
          </w:p>
        </w:tc>
        <w:tc>
          <w:tcPr>
            <w:tcW w:w="3400" w:type="dxa"/>
            <w:vAlign w:val="bottom"/>
            <w:gridSpan w:val="4"/>
          </w:tcPr>
          <w:p>
            <w:pPr>
              <w:jc w:val="right"/>
              <w:ind w:right="60"/>
              <w:spacing w:after="0"/>
              <w:rPr>
                <w:sz w:val="20"/>
                <w:szCs w:val="20"/>
                <w:color w:val="auto"/>
              </w:rPr>
            </w:pPr>
            <w:r>
              <w:rPr>
                <w:rFonts w:ascii="Arial" w:cs="Arial" w:eastAsia="Arial" w:hAnsi="Arial"/>
                <w:sz w:val="12"/>
                <w:szCs w:val="12"/>
                <w:color w:val="auto"/>
              </w:rPr>
              <w:t>(36,167)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r>
      <w:tr>
        <w:trPr>
          <w:trHeight w:val="143"/>
        </w:trPr>
        <w:tc>
          <w:tcPr>
            <w:tcW w:w="5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Balance, December 31, 2014</w:t>
            </w:r>
          </w:p>
        </w:tc>
        <w:tc>
          <w:tcPr>
            <w:tcW w:w="20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2,659,417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1.83</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4.15</w:t>
            </w:r>
          </w:p>
        </w:tc>
        <w:tc>
          <w:tcPr>
            <w:tcW w:w="140" w:type="dxa"/>
            <w:vAlign w:val="bottom"/>
          </w:tcPr>
          <w:p>
            <w:pPr>
              <w:spacing w:after="0"/>
              <w:rPr>
                <w:sz w:val="12"/>
                <w:szCs w:val="12"/>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6"/>
        </w:trPr>
        <w:tc>
          <w:tcPr>
            <w:tcW w:w="5220" w:type="dxa"/>
            <w:vAlign w:val="bottom"/>
          </w:tcPr>
          <w:p>
            <w:pPr>
              <w:spacing w:after="0"/>
              <w:rPr>
                <w:sz w:val="20"/>
                <w:szCs w:val="20"/>
                <w:color w:val="auto"/>
              </w:rPr>
            </w:pPr>
            <w:r>
              <w:rPr>
                <w:rFonts w:ascii="Arial" w:cs="Arial" w:eastAsia="Arial" w:hAnsi="Arial"/>
                <w:sz w:val="12"/>
                <w:szCs w:val="12"/>
                <w:b w:val="1"/>
                <w:bCs w:val="1"/>
                <w:color w:val="auto"/>
              </w:rPr>
              <w:t>NOTE 11: INCOME TAXES</w:t>
            </w: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90"/>
        </w:trPr>
        <w:tc>
          <w:tcPr>
            <w:tcW w:w="5220" w:type="dxa"/>
            <w:vAlign w:val="bottom"/>
          </w:tcPr>
          <w:p>
            <w:pPr>
              <w:spacing w:after="0"/>
              <w:rPr>
                <w:sz w:val="20"/>
                <w:szCs w:val="20"/>
                <w:color w:val="auto"/>
              </w:rPr>
            </w:pPr>
            <w:r>
              <w:rPr>
                <w:rFonts w:ascii="Arial" w:cs="Arial" w:eastAsia="Arial" w:hAnsi="Arial"/>
                <w:sz w:val="12"/>
                <w:szCs w:val="12"/>
                <w:color w:val="auto"/>
                <w:w w:val="98"/>
              </w:rPr>
              <w:t>The income tax provision (benefit) for the years ended December 31, 2014 and 2013 are as follows:</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3"/>
        </w:trPr>
        <w:tc>
          <w:tcPr>
            <w:tcW w:w="5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spacing w:after="0"/>
              <w:rPr>
                <w:sz w:val="14"/>
                <w:szCs w:val="14"/>
                <w:color w:val="auto"/>
              </w:rPr>
            </w:pPr>
          </w:p>
        </w:tc>
      </w:tr>
      <w:tr>
        <w:trPr>
          <w:trHeight w:val="134"/>
        </w:trPr>
        <w:tc>
          <w:tcPr>
            <w:tcW w:w="5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320"/>
              <w:spacing w:after="0" w:line="134" w:lineRule="exact"/>
              <w:rPr>
                <w:sz w:val="20"/>
                <w:szCs w:val="20"/>
                <w:color w:val="auto"/>
              </w:rPr>
            </w:pPr>
            <w:r>
              <w:rPr>
                <w:rFonts w:ascii="Arial" w:cs="Arial" w:eastAsia="Arial" w:hAnsi="Arial"/>
                <w:sz w:val="12"/>
                <w:szCs w:val="12"/>
                <w:color w:val="auto"/>
                <w:w w:val="88"/>
              </w:rPr>
              <w:t>Year Ended</w:t>
            </w: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4" w:lineRule="exact"/>
              <w:rPr>
                <w:sz w:val="20"/>
                <w:szCs w:val="20"/>
                <w:color w:val="auto"/>
              </w:rPr>
            </w:pPr>
            <w:r>
              <w:rPr>
                <w:rFonts w:ascii="Arial" w:cs="Arial" w:eastAsia="Arial" w:hAnsi="Arial"/>
                <w:sz w:val="12"/>
                <w:szCs w:val="12"/>
                <w:color w:val="auto"/>
                <w:w w:val="88"/>
              </w:rPr>
              <w:t>Year Ended</w:t>
            </w:r>
          </w:p>
        </w:tc>
      </w:tr>
      <w:tr>
        <w:trPr>
          <w:trHeight w:val="154"/>
        </w:trPr>
        <w:tc>
          <w:tcPr>
            <w:tcW w:w="5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December 31, 2014</w:t>
            </w:r>
          </w:p>
        </w:tc>
        <w:tc>
          <w:tcPr>
            <w:tcW w:w="10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December 31, 2013</w:t>
            </w:r>
          </w:p>
        </w:tc>
      </w:tr>
      <w:tr>
        <w:trPr>
          <w:trHeight w:val="424"/>
        </w:trPr>
        <w:tc>
          <w:tcPr>
            <w:tcW w:w="52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Federal:</w:t>
            </w:r>
          </w:p>
        </w:tc>
        <w:tc>
          <w:tcPr>
            <w:tcW w:w="2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5"/>
        </w:trPr>
        <w:tc>
          <w:tcPr>
            <w:tcW w:w="5220" w:type="dxa"/>
            <w:vAlign w:val="bottom"/>
          </w:tcPr>
          <w:p>
            <w:pPr>
              <w:ind w:left="120"/>
              <w:spacing w:after="0"/>
              <w:rPr>
                <w:sz w:val="20"/>
                <w:szCs w:val="20"/>
                <w:color w:val="auto"/>
              </w:rPr>
            </w:pPr>
            <w:r>
              <w:rPr>
                <w:rFonts w:ascii="Arial" w:cs="Arial" w:eastAsia="Arial" w:hAnsi="Arial"/>
                <w:sz w:val="12"/>
                <w:szCs w:val="12"/>
                <w:color w:val="auto"/>
              </w:rPr>
              <w:t>Current</w:t>
            </w: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54"/>
        </w:trPr>
        <w:tc>
          <w:tcPr>
            <w:tcW w:w="5220" w:type="dxa"/>
            <w:vAlign w:val="bottom"/>
          </w:tcPr>
          <w:p>
            <w:pPr>
              <w:ind w:left="120"/>
              <w:spacing w:after="0"/>
              <w:rPr>
                <w:sz w:val="20"/>
                <w:szCs w:val="20"/>
                <w:color w:val="auto"/>
              </w:rPr>
            </w:pPr>
            <w:r>
              <w:rPr>
                <w:rFonts w:ascii="Arial" w:cs="Arial" w:eastAsia="Arial" w:hAnsi="Arial"/>
                <w:sz w:val="12"/>
                <w:szCs w:val="12"/>
                <w:color w:val="auto"/>
              </w:rPr>
              <w:t>Deferred</w:t>
            </w: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(1,265,000)</w:t>
            </w:r>
          </w:p>
        </w:tc>
        <w:tc>
          <w:tcPr>
            <w:tcW w:w="10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(1,321,000)</w:t>
            </w:r>
          </w:p>
        </w:tc>
      </w:tr>
      <w:tr>
        <w:trPr>
          <w:trHeight w:val="281"/>
        </w:trPr>
        <w:tc>
          <w:tcPr>
            <w:tcW w:w="5220" w:type="dxa"/>
            <w:vAlign w:val="bottom"/>
          </w:tcPr>
          <w:p>
            <w:pPr>
              <w:spacing w:after="0"/>
              <w:rPr>
                <w:sz w:val="20"/>
                <w:szCs w:val="20"/>
                <w:color w:val="auto"/>
              </w:rPr>
            </w:pPr>
            <w:r>
              <w:rPr>
                <w:rFonts w:ascii="Arial" w:cs="Arial" w:eastAsia="Arial" w:hAnsi="Arial"/>
                <w:sz w:val="12"/>
                <w:szCs w:val="12"/>
                <w:color w:val="auto"/>
              </w:rPr>
              <w:t>State:</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5"/>
        </w:trPr>
        <w:tc>
          <w:tcPr>
            <w:tcW w:w="5220" w:type="dxa"/>
            <w:vAlign w:val="bottom"/>
          </w:tcPr>
          <w:p>
            <w:pPr>
              <w:ind w:left="120"/>
              <w:spacing w:after="0"/>
              <w:rPr>
                <w:sz w:val="20"/>
                <w:szCs w:val="20"/>
                <w:color w:val="auto"/>
              </w:rPr>
            </w:pPr>
            <w:r>
              <w:rPr>
                <w:rFonts w:ascii="Arial" w:cs="Arial" w:eastAsia="Arial" w:hAnsi="Arial"/>
                <w:sz w:val="12"/>
                <w:szCs w:val="12"/>
                <w:color w:val="auto"/>
              </w:rPr>
              <w:t>Current</w:t>
            </w: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54"/>
        </w:trPr>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Deferred</w:t>
            </w:r>
          </w:p>
        </w:tc>
        <w:tc>
          <w:tcPr>
            <w:tcW w:w="2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r>
      <w:tr>
        <w:trPr>
          <w:trHeight w:val="20"/>
        </w:trPr>
        <w:tc>
          <w:tcPr>
            <w:tcW w:w="5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113"/>
        </w:trPr>
        <w:tc>
          <w:tcPr>
            <w:tcW w:w="522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color w:val="auto"/>
              </w:rPr>
              <w:t>(1,265,000)</w:t>
            </w: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color w:val="auto"/>
              </w:rPr>
              <w:t>(1,321,000)</w:t>
            </w:r>
          </w:p>
        </w:tc>
        <w:tc>
          <w:tcPr>
            <w:tcW w:w="140" w:type="dxa"/>
            <w:vAlign w:val="bottom"/>
          </w:tcPr>
          <w:p>
            <w:pPr>
              <w:spacing w:after="0"/>
              <w:rPr>
                <w:sz w:val="9"/>
                <w:szCs w:val="9"/>
                <w:color w:val="auto"/>
              </w:rPr>
            </w:pPr>
          </w:p>
        </w:tc>
      </w:tr>
      <w:tr>
        <w:trPr>
          <w:trHeight w:val="154"/>
        </w:trPr>
        <w:tc>
          <w:tcPr>
            <w:tcW w:w="52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Change in valuation allowance</w:t>
            </w:r>
          </w:p>
        </w:tc>
        <w:tc>
          <w:tcPr>
            <w:tcW w:w="2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1,265,000</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1,321,000</w:t>
            </w:r>
          </w:p>
        </w:tc>
        <w:tc>
          <w:tcPr>
            <w:tcW w:w="140" w:type="dxa"/>
            <w:vAlign w:val="bottom"/>
          </w:tcPr>
          <w:p>
            <w:pPr>
              <w:spacing w:after="0"/>
              <w:rPr>
                <w:sz w:val="13"/>
                <w:szCs w:val="13"/>
                <w:color w:val="auto"/>
              </w:rPr>
            </w:pPr>
          </w:p>
        </w:tc>
      </w:tr>
      <w:tr>
        <w:trPr>
          <w:trHeight w:val="143"/>
        </w:trPr>
        <w:tc>
          <w:tcPr>
            <w:tcW w:w="52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Income tax provision (benefit)</w:t>
            </w:r>
          </w:p>
        </w:tc>
        <w:tc>
          <w:tcPr>
            <w:tcW w:w="20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47"/>
        </w:trPr>
        <w:tc>
          <w:tcPr>
            <w:tcW w:w="5220" w:type="dxa"/>
            <w:vAlign w:val="bottom"/>
          </w:tcPr>
          <w:p>
            <w:pPr>
              <w:spacing w:after="0"/>
              <w:rPr>
                <w:sz w:val="24"/>
                <w:szCs w:val="24"/>
                <w:color w:val="auto"/>
              </w:rPr>
            </w:pPr>
          </w:p>
        </w:tc>
        <w:tc>
          <w:tcPr>
            <w:tcW w:w="3400" w:type="dxa"/>
            <w:vAlign w:val="bottom"/>
            <w:gridSpan w:val="4"/>
          </w:tcPr>
          <w:p>
            <w:pPr>
              <w:jc w:val="right"/>
              <w:ind w:right="2780"/>
              <w:spacing w:after="0"/>
              <w:rPr>
                <w:sz w:val="20"/>
                <w:szCs w:val="20"/>
                <w:color w:val="auto"/>
              </w:rPr>
            </w:pPr>
            <w:r>
              <w:rPr>
                <w:rFonts w:ascii="Arial" w:cs="Arial" w:eastAsia="Arial" w:hAnsi="Arial"/>
                <w:sz w:val="12"/>
                <w:szCs w:val="12"/>
                <w:color w:val="auto"/>
              </w:rPr>
              <w:t>F-17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
        </w:trPr>
        <w:tc>
          <w:tcPr>
            <w:tcW w:w="5220" w:type="dxa"/>
            <w:vAlign w:val="bottom"/>
            <w:tcBorders>
              <w:bottom w:val="single" w:sz="8" w:color="808080"/>
            </w:tcBorders>
          </w:tcPr>
          <w:p>
            <w:pPr>
              <w:spacing w:after="0"/>
              <w:rPr>
                <w:sz w:val="6"/>
                <w:szCs w:val="6"/>
                <w:color w:val="auto"/>
              </w:rPr>
            </w:pPr>
          </w:p>
        </w:tc>
        <w:tc>
          <w:tcPr>
            <w:tcW w:w="20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sectPr>
      </w:pPr>
    </w:p>
    <w:bookmarkStart w:id="63" w:name="page64"/>
    <w:bookmarkEnd w:id="63"/>
    <w:p>
      <w:pPr>
        <w:spacing w:after="0"/>
        <w:rPr>
          <w:sz w:val="20"/>
          <w:szCs w:val="20"/>
          <w:color w:val="auto"/>
        </w:rPr>
      </w:pPr>
      <w:r>
        <w:rPr>
          <w:rFonts w:ascii="Arial" w:cs="Arial" w:eastAsia="Arial" w:hAnsi="Arial"/>
          <w:sz w:val="12"/>
          <w:szCs w:val="12"/>
          <w:color w:val="auto"/>
        </w:rPr>
        <w:t>The effects of temporary differences that give rise to significant portions of the deferred tax assets as of December 31, 2014 and 2013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2"/>
                <w:szCs w:val="12"/>
                <w:color w:val="auto"/>
              </w:rPr>
              <w:t>Year Ended</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2"/>
                <w:szCs w:val="12"/>
                <w:color w:val="auto"/>
                <w:w w:val="88"/>
              </w:rPr>
              <w:t>Year Ended</w:t>
            </w:r>
          </w:p>
        </w:tc>
      </w:tr>
      <w:tr>
        <w:trPr>
          <w:trHeight w:val="154"/>
        </w:trPr>
        <w:tc>
          <w:tcPr>
            <w:tcW w:w="8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2"/>
                <w:szCs w:val="12"/>
                <w:color w:val="auto"/>
                <w:w w:val="89"/>
              </w:rPr>
              <w:t>December 31, 2014</w:t>
            </w:r>
          </w:p>
        </w:tc>
        <w:tc>
          <w:tcPr>
            <w:tcW w:w="10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December 31, 2013</w:t>
            </w:r>
          </w:p>
        </w:tc>
      </w:tr>
      <w:tr>
        <w:trPr>
          <w:trHeight w:val="279"/>
        </w:trPr>
        <w:tc>
          <w:tcPr>
            <w:tcW w:w="86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Deferred tax assets: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5"/>
        </w:trPr>
        <w:tc>
          <w:tcPr>
            <w:tcW w:w="8620" w:type="dxa"/>
            <w:vAlign w:val="bottom"/>
          </w:tcPr>
          <w:p>
            <w:pPr>
              <w:ind w:left="60"/>
              <w:spacing w:after="0"/>
              <w:rPr>
                <w:sz w:val="20"/>
                <w:szCs w:val="20"/>
                <w:color w:val="auto"/>
              </w:rPr>
            </w:pPr>
            <w:r>
              <w:rPr>
                <w:rFonts w:ascii="Arial" w:cs="Arial" w:eastAsia="Arial" w:hAnsi="Arial"/>
                <w:sz w:val="12"/>
                <w:szCs w:val="12"/>
                <w:color w:val="auto"/>
              </w:rPr>
              <w:t>Ney operating loss carryforwards</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10,433,000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9,174,000</w:t>
            </w:r>
          </w:p>
        </w:tc>
        <w:tc>
          <w:tcPr>
            <w:tcW w:w="140" w:type="dxa"/>
            <w:vAlign w:val="bottom"/>
          </w:tcPr>
          <w:p>
            <w:pPr>
              <w:spacing w:after="0"/>
              <w:rPr>
                <w:sz w:val="12"/>
                <w:szCs w:val="12"/>
                <w:color w:val="auto"/>
              </w:rPr>
            </w:pPr>
          </w:p>
        </w:tc>
      </w:tr>
      <w:tr>
        <w:trPr>
          <w:trHeight w:val="145"/>
        </w:trPr>
        <w:tc>
          <w:tcPr>
            <w:tcW w:w="8620" w:type="dxa"/>
            <w:vAlign w:val="bottom"/>
          </w:tcPr>
          <w:p>
            <w:pPr>
              <w:ind w:left="60"/>
              <w:spacing w:after="0"/>
              <w:rPr>
                <w:sz w:val="20"/>
                <w:szCs w:val="20"/>
                <w:color w:val="auto"/>
              </w:rPr>
            </w:pPr>
            <w:r>
              <w:rPr>
                <w:rFonts w:ascii="Arial" w:cs="Arial" w:eastAsia="Arial" w:hAnsi="Arial"/>
                <w:sz w:val="12"/>
                <w:szCs w:val="12"/>
                <w:color w:val="auto"/>
              </w:rPr>
              <w:t>Stock-based compensation</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1,871,000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1,866,000</w:t>
            </w:r>
          </w:p>
        </w:tc>
        <w:tc>
          <w:tcPr>
            <w:tcW w:w="140" w:type="dxa"/>
            <w:vAlign w:val="bottom"/>
          </w:tcPr>
          <w:p>
            <w:pPr>
              <w:spacing w:after="0"/>
              <w:rPr>
                <w:sz w:val="12"/>
                <w:szCs w:val="12"/>
                <w:color w:val="auto"/>
              </w:rPr>
            </w:pPr>
          </w:p>
        </w:tc>
      </w:tr>
      <w:tr>
        <w:trPr>
          <w:trHeight w:val="154"/>
        </w:trPr>
        <w:tc>
          <w:tcPr>
            <w:tcW w:w="8620" w:type="dxa"/>
            <w:vAlign w:val="bottom"/>
          </w:tcPr>
          <w:p>
            <w:pPr>
              <w:ind w:left="60"/>
              <w:spacing w:after="0"/>
              <w:rPr>
                <w:sz w:val="20"/>
                <w:szCs w:val="20"/>
                <w:color w:val="auto"/>
              </w:rPr>
            </w:pPr>
            <w:r>
              <w:rPr>
                <w:rFonts w:ascii="Arial" w:cs="Arial" w:eastAsia="Arial" w:hAnsi="Arial"/>
                <w:sz w:val="12"/>
                <w:szCs w:val="12"/>
                <w:color w:val="auto"/>
              </w:rPr>
              <w:t>Technology licensing fee</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167,000</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167,000</w:t>
            </w:r>
          </w:p>
        </w:tc>
        <w:tc>
          <w:tcPr>
            <w:tcW w:w="140" w:type="dxa"/>
            <w:vAlign w:val="bottom"/>
          </w:tcPr>
          <w:p>
            <w:pPr>
              <w:spacing w:after="0"/>
              <w:rPr>
                <w:sz w:val="13"/>
                <w:szCs w:val="13"/>
                <w:color w:val="auto"/>
              </w:rPr>
            </w:pPr>
          </w:p>
        </w:tc>
      </w:tr>
      <w:tr>
        <w:trPr>
          <w:trHeight w:val="134"/>
        </w:trPr>
        <w:tc>
          <w:tcPr>
            <w:tcW w:w="8620" w:type="dxa"/>
            <w:vAlign w:val="bottom"/>
          </w:tcPr>
          <w:p>
            <w:pPr>
              <w:spacing w:after="0" w:line="134" w:lineRule="exact"/>
              <w:rPr>
                <w:sz w:val="20"/>
                <w:szCs w:val="20"/>
                <w:color w:val="auto"/>
              </w:rPr>
            </w:pPr>
            <w:r>
              <w:rPr>
                <w:rFonts w:ascii="Arial" w:cs="Arial" w:eastAsia="Arial" w:hAnsi="Arial"/>
                <w:sz w:val="12"/>
                <w:szCs w:val="12"/>
                <w:color w:val="auto"/>
              </w:rPr>
              <w:t>Total deferred tax assets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12,471,000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11,207,000</w:t>
            </w:r>
          </w:p>
        </w:tc>
        <w:tc>
          <w:tcPr>
            <w:tcW w:w="140" w:type="dxa"/>
            <w:vAlign w:val="bottom"/>
          </w:tcPr>
          <w:p>
            <w:pPr>
              <w:spacing w:after="0"/>
              <w:rPr>
                <w:sz w:val="11"/>
                <w:szCs w:val="11"/>
                <w:color w:val="auto"/>
              </w:rPr>
            </w:pPr>
          </w:p>
        </w:tc>
      </w:tr>
      <w:tr>
        <w:trPr>
          <w:trHeight w:val="154"/>
        </w:trPr>
        <w:tc>
          <w:tcPr>
            <w:tcW w:w="8620" w:type="dxa"/>
            <w:vAlign w:val="bottom"/>
          </w:tcPr>
          <w:p>
            <w:pPr>
              <w:ind w:left="60"/>
              <w:spacing w:after="0"/>
              <w:rPr>
                <w:sz w:val="20"/>
                <w:szCs w:val="20"/>
                <w:color w:val="auto"/>
              </w:rPr>
            </w:pPr>
            <w:r>
              <w:rPr>
                <w:rFonts w:ascii="Arial" w:cs="Arial" w:eastAsia="Arial" w:hAnsi="Arial"/>
                <w:sz w:val="12"/>
                <w:szCs w:val="12"/>
                <w:color w:val="auto"/>
              </w:rPr>
              <w:t>Valuation allowance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(12,471,000)</w:t>
            </w:r>
          </w:p>
        </w:tc>
        <w:tc>
          <w:tcPr>
            <w:tcW w:w="10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(11,207,000)</w:t>
            </w:r>
          </w:p>
        </w:tc>
      </w:tr>
      <w:tr>
        <w:trPr>
          <w:trHeight w:val="143"/>
        </w:trPr>
        <w:tc>
          <w:tcPr>
            <w:tcW w:w="8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Deferred tax assets, net of valuation allowance</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20"/>
        </w:trPr>
        <w:tc>
          <w:tcPr>
            <w:tcW w:w="8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2014 and 2013.</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Company has not filed U.S tax returns since inception, but is in the process of filing tax returns for the years ended December 31, 2014, 2013, 2012, 2011, 2010, and 2009. The Net operating losses (“NOLs”) will not be available to reduce future taxable income until the returns are filed. Assuming these returns are filed, as of December 31, 2014 and 2013, the Company has approximately $30,686,428 and $26,982,085, respectively, of federal NOLs that may be available to offset future taxable income, if any. The federal net operating loss carryforwards, if not utilized, will expire beginning in 2023.</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Company has also not filed any Canadian tax returns for GPC, which was dissolved in the fourth quarter of fiscal year 2014. The Company could be subject to fines and penalties for not filing the tax returns. The Company does not know the quantum of such fines and penalties, if any, and no liabilities have been accrued in the fiscal year 2014.</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For the years ended December 31, 2014 and 2013, the expected tax expense (benefit) based on the U.S. federal statutory rate is reconciled with the actual tax provision (benefit)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291705"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705" cy="11430"/>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color w:val="auto"/>
        </w:rPr>
        <w:t>U.S.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5484495"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2"/>
          <w:szCs w:val="12"/>
          <w:color w:val="auto"/>
        </w:rPr>
        <w:t>Permanent differences</w:t>
      </w:r>
    </w:p>
    <w:p>
      <w:pPr>
        <w:spacing w:after="0" w:line="16" w:lineRule="exact"/>
        <w:rPr>
          <w:sz w:val="20"/>
          <w:szCs w:val="20"/>
          <w:color w:val="auto"/>
        </w:rPr>
      </w:pPr>
    </w:p>
    <w:p>
      <w:pPr>
        <w:ind w:left="140" w:right="5860" w:hanging="27"/>
        <w:spacing w:after="0" w:line="252" w:lineRule="auto"/>
        <w:tabs>
          <w:tab w:leader="none" w:pos="1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Non-cash loss on extinguishment of debt -Other permanent differences</w:t>
      </w:r>
    </w:p>
    <w:p>
      <w:pPr>
        <w:ind w:left="60"/>
        <w:spacing w:after="0"/>
        <w:rPr>
          <w:sz w:val="20"/>
          <w:szCs w:val="20"/>
          <w:color w:val="auto"/>
        </w:rPr>
      </w:pPr>
      <w:r>
        <w:rPr>
          <w:rFonts w:ascii="Arial" w:cs="Arial" w:eastAsia="Arial" w:hAnsi="Arial"/>
          <w:sz w:val="12"/>
          <w:szCs w:val="12"/>
          <w:color w:val="auto"/>
        </w:rPr>
        <w:t>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5484495"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548449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8449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27305</wp:posOffset>
            </wp:positionV>
            <wp:extent cx="548449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8449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Year Ended</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42315"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2315" cy="11430"/>
                    </a:xfrm>
                    <a:prstGeom prst="rect">
                      <a:avLst/>
                    </a:prstGeom>
                    <a:noFill/>
                  </pic:spPr>
                </pic:pic>
              </a:graphicData>
            </a:graphic>
          </wp:anchor>
        </w:drawing>
      </w:r>
    </w:p>
    <w:p>
      <w:pPr>
        <w:spacing w:after="0" w:line="142" w:lineRule="exact"/>
        <w:rPr>
          <w:sz w:val="20"/>
          <w:szCs w:val="20"/>
          <w:color w:val="auto"/>
        </w:rPr>
      </w:pPr>
    </w:p>
    <w:p>
      <w:pPr>
        <w:ind w:left="600" w:hanging="593"/>
        <w:spacing w:after="0"/>
        <w:tabs>
          <w:tab w:leader="none" w:pos="600" w:val="left"/>
        </w:tabs>
        <w:numPr>
          <w:ilvl w:val="0"/>
          <w:numId w:val="33"/>
        </w:numPr>
        <w:rPr>
          <w:rFonts w:ascii="Arial" w:cs="Arial" w:eastAsia="Arial" w:hAnsi="Arial"/>
          <w:sz w:val="10"/>
          <w:szCs w:val="10"/>
          <w:color w:val="auto"/>
        </w:rPr>
      </w:pPr>
      <w:r>
        <w:rPr>
          <w:rFonts w:ascii="Arial" w:cs="Arial" w:eastAsia="Arial" w:hAnsi="Arial"/>
          <w:sz w:val="10"/>
          <w:szCs w:val="10"/>
          <w:color w:val="auto"/>
        </w:rPr>
        <w:t>(10,449,000)</w:t>
      </w:r>
    </w:p>
    <w:p>
      <w:pPr>
        <w:spacing w:after="0" w:line="320"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9,122,000</w:t>
      </w:r>
    </w:p>
    <w:p>
      <w:pPr>
        <w:spacing w:after="0" w:line="16"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62,000</w:t>
      </w:r>
    </w:p>
    <w:p>
      <w:pPr>
        <w:spacing w:after="0" w:line="7"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1,265,000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42315"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42315" cy="11430"/>
                    </a:xfrm>
                    <a:prstGeom prst="rect">
                      <a:avLst/>
                    </a:prstGeom>
                    <a:noFill/>
                  </pic:spPr>
                </pic:pic>
              </a:graphicData>
            </a:graphic>
          </wp:anchor>
        </w:drawing>
      </w:r>
    </w:p>
    <w:p>
      <w:pPr>
        <w:ind w:left="1140" w:hanging="1133"/>
        <w:spacing w:after="0"/>
        <w:tabs>
          <w:tab w:leader="none" w:pos="11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74231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423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27305</wp:posOffset>
            </wp:positionV>
            <wp:extent cx="74231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4231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Year Ended</w:t>
      </w:r>
    </w:p>
    <w:p>
      <w:pPr>
        <w:spacing w:after="0" w:line="16"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53745"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53745" cy="11430"/>
                    </a:xfrm>
                    <a:prstGeom prst="rect">
                      <a:avLst/>
                    </a:prstGeom>
                    <a:noFill/>
                  </pic:spPr>
                </pic:pic>
              </a:graphicData>
            </a:graphic>
          </wp:anchor>
        </w:drawing>
      </w:r>
    </w:p>
    <w:p>
      <w:pPr>
        <w:spacing w:after="0" w:line="142" w:lineRule="exact"/>
        <w:rPr>
          <w:sz w:val="20"/>
          <w:szCs w:val="20"/>
          <w:color w:val="auto"/>
        </w:rPr>
      </w:pPr>
    </w:p>
    <w:p>
      <w:pPr>
        <w:ind w:left="660" w:hanging="659"/>
        <w:spacing w:after="0"/>
        <w:tabs>
          <w:tab w:leader="none" w:pos="660" w:val="left"/>
        </w:tabs>
        <w:numPr>
          <w:ilvl w:val="0"/>
          <w:numId w:val="35"/>
        </w:numPr>
        <w:rPr>
          <w:rFonts w:ascii="Arial" w:cs="Arial" w:eastAsia="Arial" w:hAnsi="Arial"/>
          <w:sz w:val="10"/>
          <w:szCs w:val="10"/>
          <w:color w:val="auto"/>
        </w:rPr>
      </w:pPr>
      <w:r>
        <w:rPr>
          <w:rFonts w:ascii="Arial" w:cs="Arial" w:eastAsia="Arial" w:hAnsi="Arial"/>
          <w:sz w:val="10"/>
          <w:szCs w:val="10"/>
          <w:color w:val="auto"/>
        </w:rPr>
        <w:t>(1,881,000)</w:t>
      </w:r>
    </w:p>
    <w:p>
      <w:pPr>
        <w:spacing w:after="0" w:line="320"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893,000</w:t>
      </w:r>
    </w:p>
    <w:p>
      <w:pPr>
        <w:spacing w:after="0" w:line="16"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(334,000)</w:t>
      </w:r>
    </w:p>
    <w:p>
      <w:pPr>
        <w:spacing w:after="0" w:line="7"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1,322,000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53745"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53745" cy="11430"/>
                    </a:xfrm>
                    <a:prstGeom prst="rect">
                      <a:avLst/>
                    </a:prstGeom>
                    <a:noFill/>
                  </pic:spPr>
                </pic:pic>
              </a:graphicData>
            </a:graphic>
          </wp:anchor>
        </w:drawing>
      </w:r>
    </w:p>
    <w:p>
      <w:pPr>
        <w:ind w:left="1140" w:hanging="1139"/>
        <w:spacing w:after="0"/>
        <w:tabs>
          <w:tab w:leader="none" w:pos="11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5374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53745"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27305</wp:posOffset>
            </wp:positionV>
            <wp:extent cx="75374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5374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020" w:space="720"/>
            <w:col w:w="1220" w:space="200"/>
            <w:col w:w="1320"/>
          </w:cols>
          <w:pgMar w:left="220" w:top="393" w:right="199" w:bottom="1440" w:gutter="0" w:footer="0" w:header="0"/>
          <w:type w:val="continuous"/>
        </w:sectPr>
      </w:pP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2014 and 2013, there were no unrecognized tax benefits. The Company recognizes accrued interest and penalties as income tax expense. No amounts were accrued for the payment of interest and penalties at December 31, 2014 and 2013. The Company is currently not aware of any issues under review that could result in significant payments, accruals or material deviation from its position in the next year.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2"/>
          <w:szCs w:val="12"/>
          <w:b w:val="1"/>
          <w:bCs w:val="1"/>
          <w:color w:val="auto"/>
        </w:rPr>
        <w:t>NOTE 12: CONTINGENCIES AND COMMITMENTS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Contingencies: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Consultant Litigation</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In May 2012, the Company issued 112,000 post-consolidated shares of common stock to two consultants. The Company contested the validity of the services provided and initially were able to delay the sale of the contested shares. The Company was not successful in recovering the contested shares. A claim for alleged damages of approximately $362,000 plus costs by one of the consultants as a result of the contesting of the issuance of the shares has been filed in the Supreme Court of New York. The claim is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the arbitrator ordered (on July 18, 2014) the consultant to pay Tapimmune $196,204 plus 9% interest from the date of the award. The Company is attempting to collect the award from Mr. Gardner.</w:t>
      </w:r>
    </w:p>
    <w:p>
      <w:pPr>
        <w:spacing w:after="0" w:line="128"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The law firm that we used to pursue the Gardner Action was awarded a judgment against us for $210,255 of unpaid legal fees (“G&amp;S Judgment”). Shareholders of the Company acquired the G&amp;S Judgment in full, converted that Judgment into preferred shares of the Company (which in turn converted into common stock) and subsequently released the Company from any liability related thereto.</w:t>
      </w:r>
    </w:p>
    <w:p>
      <w:pPr>
        <w:spacing w:after="0" w:line="114"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One of our suppliers, Fischer Scientific was awarded a judgment against us for $51,000 which is equal to the amount owed to them. We intend on settling that matter in the second quarter of 2015.</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13:SUBSEQUENT EVENTS</w:t>
      </w:r>
    </w:p>
    <w:p>
      <w:pPr>
        <w:spacing w:after="0" w:line="156" w:lineRule="exact"/>
        <w:rPr>
          <w:sz w:val="20"/>
          <w:szCs w:val="20"/>
          <w:color w:val="auto"/>
        </w:rPr>
      </w:pPr>
    </w:p>
    <w:p>
      <w:pPr>
        <w:ind w:left="420" w:right="40" w:hanging="210"/>
        <w:spacing w:after="0" w:line="256" w:lineRule="auto"/>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On January 12, 2015, the Company entered into a Securities Purchase Agreement with certain accredited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collectively,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29" w:lineRule="exact"/>
        <w:rPr>
          <w:rFonts w:ascii="Arial" w:cs="Arial" w:eastAsia="Arial" w:hAnsi="Arial"/>
          <w:sz w:val="12"/>
          <w:szCs w:val="12"/>
          <w:color w:val="auto"/>
        </w:rPr>
      </w:pPr>
    </w:p>
    <w:p>
      <w:pPr>
        <w:ind w:left="420" w:right="20"/>
        <w:spacing w:after="0" w:line="279" w:lineRule="auto"/>
        <w:rPr>
          <w:rFonts w:ascii="Arial" w:cs="Arial" w:eastAsia="Arial" w:hAnsi="Arial"/>
          <w:sz w:val="12"/>
          <w:szCs w:val="12"/>
          <w:color w:val="auto"/>
        </w:rPr>
      </w:pPr>
      <w:r>
        <w:rPr>
          <w:rFonts w:ascii="Arial" w:cs="Arial" w:eastAsia="Arial" w:hAnsi="Arial"/>
          <w:sz w:val="12"/>
          <w:szCs w:val="12"/>
          <w:color w:val="auto"/>
        </w:rPr>
        <w:t>Pursuant to a placement agent agreement, the Company agreed to issue warrants to purchase an aggregate of up to 5% of the aggregate number of shares of common stock sold in the offering to the placement agents. The placement agent warrants have substantially the same terms as the January 2015 Warrants.</w:t>
      </w:r>
    </w:p>
    <w:p>
      <w:pPr>
        <w:spacing w:after="0" w:line="114" w:lineRule="exact"/>
        <w:rPr>
          <w:rFonts w:ascii="Arial" w:cs="Arial" w:eastAsia="Arial" w:hAnsi="Arial"/>
          <w:sz w:val="12"/>
          <w:szCs w:val="12"/>
          <w:color w:val="auto"/>
        </w:rPr>
      </w:pPr>
    </w:p>
    <w:p>
      <w:pPr>
        <w:ind w:left="420" w:right="200" w:hanging="219"/>
        <w:spacing w:after="0" w:line="292" w:lineRule="auto"/>
        <w:tabs>
          <w:tab w:leader="none" w:pos="420" w:val="left"/>
        </w:tabs>
        <w:numPr>
          <w:ilvl w:val="0"/>
          <w:numId w:val="37"/>
        </w:numPr>
        <w:rPr>
          <w:rFonts w:ascii="Arial" w:cs="Arial" w:eastAsia="Arial" w:hAnsi="Arial"/>
          <w:sz w:val="11"/>
          <w:szCs w:val="11"/>
          <w:color w:val="auto"/>
        </w:rPr>
      </w:pPr>
      <w:r>
        <w:rPr>
          <w:rFonts w:ascii="Arial" w:cs="Arial" w:eastAsia="Arial" w:hAnsi="Arial"/>
          <w:sz w:val="11"/>
          <w:szCs w:val="11"/>
          <w:color w:val="auto"/>
        </w:rPr>
        <w:t>On March 9,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collectively, the “March 2015 Warrants”). The March 2015 Warrants have substantially the same terms as the January 2015 Warrants.</w:t>
      </w:r>
    </w:p>
    <w:p>
      <w:pPr>
        <w:spacing w:after="0" w:line="109" w:lineRule="exact"/>
        <w:rPr>
          <w:rFonts w:ascii="Arial" w:cs="Arial" w:eastAsia="Arial" w:hAnsi="Arial"/>
          <w:sz w:val="11"/>
          <w:szCs w:val="11"/>
          <w:color w:val="auto"/>
        </w:rPr>
      </w:pPr>
    </w:p>
    <w:p>
      <w:pPr>
        <w:ind w:left="420" w:right="20"/>
        <w:spacing w:after="0" w:line="279" w:lineRule="auto"/>
        <w:rPr>
          <w:rFonts w:ascii="Arial" w:cs="Arial" w:eastAsia="Arial" w:hAnsi="Arial"/>
          <w:sz w:val="11"/>
          <w:szCs w:val="11"/>
          <w:color w:val="auto"/>
        </w:rPr>
      </w:pPr>
      <w:r>
        <w:rPr>
          <w:rFonts w:ascii="Arial" w:cs="Arial" w:eastAsia="Arial" w:hAnsi="Arial"/>
          <w:sz w:val="12"/>
          <w:szCs w:val="12"/>
          <w:color w:val="auto"/>
        </w:rPr>
        <w:t>Pursuant to a placement agent agreement, the Company agreed to issue warrants to purchase an aggregate of up to 2.5% of the aggregate number of shares of common stock sold in the offering to the placement agents. The placement agent warrants have substantially the same terms as the March 2015 Warrants.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89" w:right="199" w:bottom="1440" w:gutter="0" w:footer="0" w:header="0"/>
        </w:sectPr>
      </w:pPr>
    </w:p>
    <w:bookmarkStart w:id="65" w:name="page66"/>
    <w:bookmarkEnd w:id="65"/>
    <w:p>
      <w:pPr>
        <w:jc w:val="center"/>
        <w:spacing w:after="0"/>
        <w:rPr>
          <w:sz w:val="20"/>
          <w:szCs w:val="20"/>
          <w:color w:val="auto"/>
        </w:rPr>
      </w:pPr>
      <w:r>
        <w:rPr>
          <w:rFonts w:ascii="Arial" w:cs="Arial" w:eastAsia="Arial" w:hAnsi="Arial"/>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67310</wp:posOffset>
            </wp:positionV>
            <wp:extent cx="7298690"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2"/>
          <w:szCs w:val="12"/>
          <w:b w:val="1"/>
          <w:bCs w:val="1"/>
          <w:color w:val="auto"/>
        </w:rPr>
        <w:t>TAPIMMUNE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700" w:type="dxa"/>
            <w:vAlign w:val="bottom"/>
            <w:tcBorders>
              <w:top w:val="single" w:sz="8" w:color="auto"/>
            </w:tcBorders>
          </w:tcPr>
          <w:p>
            <w:pPr>
              <w:spacing w:after="0"/>
              <w:rPr>
                <w:sz w:val="13"/>
                <w:szCs w:val="13"/>
                <w:color w:val="auto"/>
              </w:rPr>
            </w:pPr>
          </w:p>
        </w:tc>
        <w:tc>
          <w:tcPr>
            <w:tcW w:w="49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2"/>
                <w:szCs w:val="12"/>
                <w:color w:val="auto"/>
                <w:w w:val="93"/>
              </w:rPr>
              <w:t>March 31,</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54"/>
        </w:trPr>
        <w:tc>
          <w:tcPr>
            <w:tcW w:w="370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color w:val="auto"/>
                <w:w w:val="89"/>
              </w:rPr>
              <w:t>2015</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5220" w:type="dxa"/>
            <w:vAlign w:val="bottom"/>
            <w:gridSpan w:val="3"/>
            <w:vMerge w:val="restart"/>
          </w:tcPr>
          <w:p>
            <w:pPr>
              <w:jc w:val="right"/>
              <w:ind w:right="2970"/>
              <w:spacing w:after="0"/>
              <w:rPr>
                <w:sz w:val="20"/>
                <w:szCs w:val="20"/>
                <w:color w:val="auto"/>
              </w:rPr>
            </w:pPr>
            <w:r>
              <w:rPr>
                <w:rFonts w:ascii="Arial" w:cs="Arial" w:eastAsia="Arial" w:hAnsi="Arial"/>
                <w:sz w:val="12"/>
                <w:szCs w:val="12"/>
                <w:b w:val="1"/>
                <w:bCs w:val="1"/>
                <w:color w:val="auto"/>
              </w:rPr>
              <w:t>ASSETS</w:t>
            </w:r>
          </w:p>
        </w:tc>
        <w:tc>
          <w:tcPr>
            <w:tcW w:w="1000" w:type="dxa"/>
            <w:vAlign w:val="bottom"/>
          </w:tcPr>
          <w:p>
            <w:pPr>
              <w:jc w:val="center"/>
              <w:ind w:right="120"/>
              <w:spacing w:after="0"/>
              <w:rPr>
                <w:sz w:val="20"/>
                <w:szCs w:val="20"/>
                <w:color w:val="auto"/>
              </w:rPr>
            </w:pPr>
            <w:r>
              <w:rPr>
                <w:rFonts w:ascii="Arial" w:cs="Arial" w:eastAsia="Arial" w:hAnsi="Arial"/>
                <w:sz w:val="12"/>
                <w:szCs w:val="12"/>
                <w:color w:val="auto"/>
                <w:w w:val="92"/>
              </w:rPr>
              <w:t>(Unaudited)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700" w:type="dxa"/>
            <w:vAlign w:val="bottom"/>
            <w:vMerge w:val="restart"/>
          </w:tcPr>
          <w:p>
            <w:pPr>
              <w:spacing w:after="0"/>
              <w:rPr>
                <w:sz w:val="20"/>
                <w:szCs w:val="20"/>
                <w:color w:val="auto"/>
              </w:rPr>
            </w:pPr>
            <w:r>
              <w:rPr>
                <w:rFonts w:ascii="Arial" w:cs="Arial" w:eastAsia="Arial" w:hAnsi="Arial"/>
                <w:sz w:val="12"/>
                <w:szCs w:val="12"/>
                <w:b w:val="1"/>
                <w:bCs w:val="1"/>
                <w:color w:val="auto"/>
              </w:rPr>
              <w:t>Current Assets</w:t>
            </w:r>
          </w:p>
        </w:tc>
        <w:tc>
          <w:tcPr>
            <w:tcW w:w="522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70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700" w:type="dxa"/>
            <w:vAlign w:val="bottom"/>
          </w:tcPr>
          <w:p>
            <w:pPr>
              <w:ind w:left="60"/>
              <w:spacing w:after="0"/>
              <w:rPr>
                <w:sz w:val="20"/>
                <w:szCs w:val="20"/>
                <w:color w:val="auto"/>
              </w:rPr>
            </w:pPr>
            <w:r>
              <w:rPr>
                <w:rFonts w:ascii="Arial" w:cs="Arial" w:eastAsia="Arial" w:hAnsi="Arial"/>
                <w:sz w:val="12"/>
                <w:szCs w:val="12"/>
                <w:color w:val="auto"/>
              </w:rPr>
              <w:t>Cash</w:t>
            </w:r>
          </w:p>
        </w:tc>
        <w:tc>
          <w:tcPr>
            <w:tcW w:w="5220" w:type="dxa"/>
            <w:vAlign w:val="bottom"/>
            <w:gridSpan w:val="3"/>
          </w:tcPr>
          <w:p>
            <w:pPr>
              <w:jc w:val="right"/>
              <w:ind w:right="7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1,453,505</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141,944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00" w:type="dxa"/>
            <w:vAlign w:val="bottom"/>
          </w:tcPr>
          <w:p>
            <w:pPr>
              <w:ind w:left="60"/>
              <w:spacing w:after="0"/>
              <w:rPr>
                <w:sz w:val="20"/>
                <w:szCs w:val="20"/>
                <w:color w:val="auto"/>
              </w:rPr>
            </w:pPr>
            <w:r>
              <w:rPr>
                <w:rFonts w:ascii="Arial" w:cs="Arial" w:eastAsia="Arial" w:hAnsi="Arial"/>
                <w:sz w:val="12"/>
                <w:szCs w:val="12"/>
                <w:color w:val="auto"/>
              </w:rPr>
              <w:t>Prepaid expenses and deposits</w:t>
            </w:r>
          </w:p>
        </w:tc>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82,504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82,504</w:t>
            </w:r>
          </w:p>
        </w:tc>
        <w:tc>
          <w:tcPr>
            <w:tcW w:w="0" w:type="dxa"/>
            <w:vAlign w:val="bottom"/>
          </w:tcPr>
          <w:p>
            <w:pPr>
              <w:spacing w:after="0"/>
              <w:rPr>
                <w:sz w:val="1"/>
                <w:szCs w:val="1"/>
                <w:color w:val="auto"/>
              </w:rPr>
            </w:pPr>
          </w:p>
        </w:tc>
      </w:tr>
      <w:tr>
        <w:trPr>
          <w:trHeight w:val="288"/>
        </w:trPr>
        <w:tc>
          <w:tcPr>
            <w:tcW w:w="3700" w:type="dxa"/>
            <w:vAlign w:val="bottom"/>
            <w:tcBorders>
              <w:top w:val="single" w:sz="8" w:color="auto"/>
              <w:bottom w:val="single" w:sz="8" w:color="auto"/>
            </w:tcBorders>
          </w:tcPr>
          <w:p>
            <w:pPr>
              <w:spacing w:after="0"/>
              <w:rPr>
                <w:sz w:val="24"/>
                <w:szCs w:val="24"/>
                <w:color w:val="auto"/>
              </w:rPr>
            </w:pPr>
          </w:p>
        </w:tc>
        <w:tc>
          <w:tcPr>
            <w:tcW w:w="492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1,536,009</w:t>
            </w:r>
          </w:p>
        </w:tc>
        <w:tc>
          <w:tcPr>
            <w:tcW w:w="24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224,448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700" w:type="dxa"/>
            <w:vAlign w:val="bottom"/>
            <w:vMerge w:val="restart"/>
          </w:tcPr>
          <w:p>
            <w:pPr>
              <w:spacing w:after="0"/>
              <w:rPr>
                <w:sz w:val="20"/>
                <w:szCs w:val="20"/>
                <w:color w:val="auto"/>
              </w:rPr>
            </w:pPr>
            <w:r>
              <w:rPr>
                <w:rFonts w:ascii="Arial" w:cs="Arial" w:eastAsia="Arial" w:hAnsi="Arial"/>
                <w:sz w:val="12"/>
                <w:szCs w:val="12"/>
                <w:b w:val="1"/>
                <w:bCs w:val="1"/>
                <w:color w:val="auto"/>
              </w:rPr>
              <w:t>Current Liabilities</w:t>
            </w:r>
          </w:p>
        </w:tc>
        <w:tc>
          <w:tcPr>
            <w:tcW w:w="5220" w:type="dxa"/>
            <w:vAlign w:val="bottom"/>
            <w:gridSpan w:val="3"/>
          </w:tcPr>
          <w:p>
            <w:pPr>
              <w:jc w:val="right"/>
              <w:ind w:right="1570"/>
              <w:spacing w:after="0"/>
              <w:rPr>
                <w:sz w:val="20"/>
                <w:szCs w:val="20"/>
                <w:color w:val="auto"/>
              </w:rPr>
            </w:pPr>
            <w:r>
              <w:rPr>
                <w:rFonts w:ascii="Arial" w:cs="Arial" w:eastAsia="Arial" w:hAnsi="Arial"/>
                <w:sz w:val="12"/>
                <w:szCs w:val="12"/>
                <w:b w:val="1"/>
                <w:bCs w:val="1"/>
                <w:color w:val="auto"/>
              </w:rPr>
              <w:t>LIABILITIES AND STOCKHOLDERS’ EQUITY (DEFICIT)</w:t>
            </w: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370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700" w:type="dxa"/>
            <w:vAlign w:val="bottom"/>
          </w:tcPr>
          <w:p>
            <w:pPr>
              <w:ind w:left="40"/>
              <w:spacing w:after="0"/>
              <w:rPr>
                <w:sz w:val="20"/>
                <w:szCs w:val="20"/>
                <w:color w:val="auto"/>
              </w:rPr>
            </w:pPr>
            <w:r>
              <w:rPr>
                <w:rFonts w:ascii="Arial" w:cs="Arial" w:eastAsia="Arial" w:hAnsi="Arial"/>
                <w:sz w:val="12"/>
                <w:szCs w:val="12"/>
                <w:color w:val="auto"/>
              </w:rPr>
              <w:t>Accounts payable and accrued liabilities</w:t>
            </w:r>
          </w:p>
        </w:tc>
        <w:tc>
          <w:tcPr>
            <w:tcW w:w="5220" w:type="dxa"/>
            <w:vAlign w:val="bottom"/>
            <w:gridSpan w:val="3"/>
          </w:tcPr>
          <w:p>
            <w:pPr>
              <w:jc w:val="right"/>
              <w:ind w:right="7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703,323</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693,362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ind w:left="60"/>
              <w:spacing w:after="0"/>
              <w:rPr>
                <w:sz w:val="20"/>
                <w:szCs w:val="20"/>
                <w:color w:val="auto"/>
              </w:rPr>
            </w:pPr>
            <w:r>
              <w:rPr>
                <w:rFonts w:ascii="Arial" w:cs="Arial" w:eastAsia="Arial" w:hAnsi="Arial"/>
                <w:sz w:val="12"/>
                <w:szCs w:val="12"/>
                <w:color w:val="auto"/>
              </w:rPr>
              <w:t>Research agreement obligations</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492,365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492,365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ind w:left="60"/>
              <w:spacing w:after="0"/>
              <w:rPr>
                <w:sz w:val="20"/>
                <w:szCs w:val="20"/>
                <w:color w:val="auto"/>
              </w:rPr>
            </w:pPr>
            <w:r>
              <w:rPr>
                <w:rFonts w:ascii="Arial" w:cs="Arial" w:eastAsia="Arial" w:hAnsi="Arial"/>
                <w:sz w:val="12"/>
                <w:szCs w:val="12"/>
                <w:color w:val="auto"/>
              </w:rPr>
              <w:t>Derivative liability – warrants</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2,052,975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9,415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00" w:type="dxa"/>
            <w:vAlign w:val="bottom"/>
          </w:tcPr>
          <w:p>
            <w:pPr>
              <w:ind w:left="60"/>
              <w:spacing w:after="0"/>
              <w:rPr>
                <w:sz w:val="20"/>
                <w:szCs w:val="20"/>
                <w:color w:val="auto"/>
              </w:rPr>
            </w:pPr>
            <w:r>
              <w:rPr>
                <w:rFonts w:ascii="Arial" w:cs="Arial" w:eastAsia="Arial" w:hAnsi="Arial"/>
                <w:sz w:val="12"/>
                <w:szCs w:val="12"/>
                <w:color w:val="auto"/>
              </w:rPr>
              <w:t>Promissory notes</w:t>
            </w:r>
          </w:p>
        </w:tc>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52,942</w:t>
            </w:r>
          </w:p>
        </w:tc>
        <w:tc>
          <w:tcPr>
            <w:tcW w:w="16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52,942</w:t>
            </w:r>
          </w:p>
        </w:tc>
        <w:tc>
          <w:tcPr>
            <w:tcW w:w="0" w:type="dxa"/>
            <w:vAlign w:val="bottom"/>
          </w:tcPr>
          <w:p>
            <w:pPr>
              <w:spacing w:after="0"/>
              <w:rPr>
                <w:sz w:val="1"/>
                <w:szCs w:val="1"/>
                <w:color w:val="auto"/>
              </w:rPr>
            </w:pPr>
          </w:p>
        </w:tc>
      </w:tr>
      <w:tr>
        <w:trPr>
          <w:trHeight w:val="143"/>
        </w:trPr>
        <w:tc>
          <w:tcPr>
            <w:tcW w:w="3700" w:type="dxa"/>
            <w:vAlign w:val="bottom"/>
            <w:tcBorders>
              <w:top w:val="single" w:sz="8" w:color="auto"/>
              <w:bottom w:val="single" w:sz="8" w:color="auto"/>
            </w:tcBorders>
          </w:tcPr>
          <w:p>
            <w:pPr>
              <w:spacing w:after="0"/>
              <w:rPr>
                <w:sz w:val="12"/>
                <w:szCs w:val="12"/>
                <w:color w:val="auto"/>
              </w:rPr>
            </w:pPr>
          </w:p>
        </w:tc>
        <w:tc>
          <w:tcPr>
            <w:tcW w:w="49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3,301,605</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1,248,084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3700" w:type="dxa"/>
            <w:vAlign w:val="bottom"/>
          </w:tcPr>
          <w:p>
            <w:pPr>
              <w:spacing w:after="0"/>
              <w:rPr>
                <w:sz w:val="20"/>
                <w:szCs w:val="20"/>
                <w:color w:val="auto"/>
              </w:rPr>
            </w:pPr>
            <w:r>
              <w:rPr>
                <w:rFonts w:ascii="Arial" w:cs="Arial" w:eastAsia="Arial" w:hAnsi="Arial"/>
                <w:sz w:val="12"/>
                <w:szCs w:val="12"/>
                <w:b w:val="1"/>
                <w:bCs w:val="1"/>
                <w:color w:val="auto"/>
              </w:rPr>
              <w:t>COMMITMENTS AND CONTINGENCIES</w:t>
            </w:r>
          </w:p>
        </w:tc>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700" w:type="dxa"/>
            <w:vAlign w:val="bottom"/>
          </w:tcPr>
          <w:p>
            <w:pPr>
              <w:spacing w:after="0"/>
              <w:rPr>
                <w:sz w:val="20"/>
                <w:szCs w:val="20"/>
                <w:color w:val="auto"/>
              </w:rPr>
            </w:pPr>
            <w:r>
              <w:rPr>
                <w:rFonts w:ascii="Arial" w:cs="Arial" w:eastAsia="Arial" w:hAnsi="Arial"/>
                <w:sz w:val="12"/>
                <w:szCs w:val="12"/>
                <w:b w:val="1"/>
                <w:bCs w:val="1"/>
                <w:color w:val="auto"/>
              </w:rPr>
              <w:t>Stockholders’ Equity (Deficit)</w:t>
            </w:r>
          </w:p>
        </w:tc>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8920" w:type="dxa"/>
            <w:vAlign w:val="bottom"/>
            <w:gridSpan w:val="4"/>
          </w:tcPr>
          <w:p>
            <w:pPr>
              <w:spacing w:after="0"/>
              <w:rPr>
                <w:sz w:val="20"/>
                <w:szCs w:val="20"/>
                <w:color w:val="auto"/>
              </w:rPr>
            </w:pPr>
            <w:r>
              <w:rPr>
                <w:rFonts w:ascii="Arial" w:cs="Arial" w:eastAsia="Arial" w:hAnsi="Arial"/>
                <w:sz w:val="12"/>
                <w:szCs w:val="12"/>
                <w:color w:val="auto"/>
              </w:rPr>
              <w:t>Convertible preferred stock, $0.001 par value — 10,000,000 shares authorized:</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920" w:type="dxa"/>
            <w:vAlign w:val="bottom"/>
            <w:gridSpan w:val="4"/>
          </w:tcPr>
          <w:p>
            <w:pPr>
              <w:ind w:left="100"/>
              <w:spacing w:after="0"/>
              <w:rPr>
                <w:sz w:val="20"/>
                <w:szCs w:val="20"/>
                <w:color w:val="auto"/>
              </w:rPr>
            </w:pPr>
            <w:r>
              <w:rPr>
                <w:rFonts w:ascii="Arial" w:cs="Arial" w:eastAsia="Arial" w:hAnsi="Arial"/>
                <w:sz w:val="12"/>
                <w:szCs w:val="12"/>
                <w:color w:val="auto"/>
              </w:rPr>
              <w:t>Series A, $0.001 par value, 1,250,000 shares designated, -0- shares issued and outstanding as of March 31, 2015 and December 31, 2014</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ind w:left="100"/>
              <w:spacing w:after="0"/>
              <w:rPr>
                <w:sz w:val="20"/>
                <w:szCs w:val="20"/>
                <w:color w:val="auto"/>
              </w:rPr>
            </w:pPr>
            <w:r>
              <w:rPr>
                <w:rFonts w:ascii="Arial" w:cs="Arial" w:eastAsia="Arial" w:hAnsi="Arial"/>
                <w:sz w:val="12"/>
                <w:szCs w:val="12"/>
                <w:color w:val="auto"/>
                <w:w w:val="89"/>
              </w:rPr>
              <w:t>Series B, $0.001 par value, 1,500,000 shares designated, -0- shares issued</w:t>
            </w:r>
          </w:p>
        </w:tc>
        <w:tc>
          <w:tcPr>
            <w:tcW w:w="5220" w:type="dxa"/>
            <w:vAlign w:val="bottom"/>
            <w:gridSpan w:val="3"/>
          </w:tcPr>
          <w:p>
            <w:pPr>
              <w:jc w:val="right"/>
              <w:ind w:right="2130"/>
              <w:spacing w:after="0"/>
              <w:rPr>
                <w:sz w:val="20"/>
                <w:szCs w:val="20"/>
                <w:color w:val="auto"/>
              </w:rPr>
            </w:pPr>
            <w:r>
              <w:rPr>
                <w:rFonts w:ascii="Arial" w:cs="Arial" w:eastAsia="Arial" w:hAnsi="Arial"/>
                <w:sz w:val="12"/>
                <w:szCs w:val="12"/>
                <w:color w:val="auto"/>
                <w:w w:val="90"/>
              </w:rPr>
              <w:t>and outstanding as of March 31, 2015 and December 31, 2014</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spacing w:after="0"/>
              <w:rPr>
                <w:sz w:val="20"/>
                <w:szCs w:val="20"/>
                <w:color w:val="auto"/>
              </w:rPr>
            </w:pPr>
            <w:r>
              <w:rPr>
                <w:rFonts w:ascii="Arial" w:cs="Arial" w:eastAsia="Arial" w:hAnsi="Arial"/>
                <w:sz w:val="12"/>
                <w:szCs w:val="12"/>
                <w:color w:val="auto"/>
              </w:rPr>
              <w:t>Common stock, $0.001 par value, 500,000,000 shares authorized</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tcPr>
          <w:p>
            <w:pPr>
              <w:spacing w:after="0"/>
              <w:rPr>
                <w:sz w:val="20"/>
                <w:szCs w:val="20"/>
                <w:color w:val="auto"/>
              </w:rPr>
            </w:pPr>
            <w:r>
              <w:rPr>
                <w:rFonts w:ascii="Arial" w:cs="Arial" w:eastAsia="Arial" w:hAnsi="Arial"/>
                <w:sz w:val="12"/>
                <w:szCs w:val="12"/>
                <w:color w:val="auto"/>
              </w:rPr>
              <w:t>32,638,811 shares issued and outstanding (2014 – 20,318,815)</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32,639</w:t>
            </w:r>
          </w:p>
        </w:tc>
        <w:tc>
          <w:tcPr>
            <w:tcW w:w="16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20,319</w:t>
            </w:r>
          </w:p>
        </w:tc>
        <w:tc>
          <w:tcPr>
            <w:tcW w:w="0" w:type="dxa"/>
            <w:vAlign w:val="bottom"/>
          </w:tcPr>
          <w:p>
            <w:pPr>
              <w:spacing w:after="0"/>
              <w:rPr>
                <w:sz w:val="1"/>
                <w:szCs w:val="1"/>
                <w:color w:val="auto"/>
              </w:rPr>
            </w:pPr>
          </w:p>
        </w:tc>
      </w:tr>
      <w:tr>
        <w:trPr>
          <w:trHeight w:val="145"/>
        </w:trPr>
        <w:tc>
          <w:tcPr>
            <w:tcW w:w="370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85,493,220</w:t>
            </w: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85,265,776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00" w:type="dxa"/>
            <w:vAlign w:val="bottom"/>
          </w:tcPr>
          <w:p>
            <w:pPr>
              <w:spacing w:after="0"/>
              <w:rPr>
                <w:sz w:val="20"/>
                <w:szCs w:val="20"/>
                <w:color w:val="auto"/>
              </w:rPr>
            </w:pPr>
            <w:r>
              <w:rPr>
                <w:rFonts w:ascii="Arial" w:cs="Arial" w:eastAsia="Arial" w:hAnsi="Arial"/>
                <w:sz w:val="12"/>
                <w:szCs w:val="12"/>
                <w:color w:val="auto"/>
              </w:rPr>
              <w:t>Accumulated deficit</w:t>
            </w:r>
          </w:p>
        </w:tc>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(87,291,455)</w:t>
            </w:r>
          </w:p>
        </w:tc>
        <w:tc>
          <w:tcPr>
            <w:tcW w:w="160" w:type="dxa"/>
            <w:vAlign w:val="bottom"/>
          </w:tcPr>
          <w:p>
            <w:pPr>
              <w:spacing w:after="0"/>
              <w:rPr>
                <w:sz w:val="13"/>
                <w:szCs w:val="13"/>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(86,309,731)</w:t>
            </w:r>
          </w:p>
        </w:tc>
        <w:tc>
          <w:tcPr>
            <w:tcW w:w="0" w:type="dxa"/>
            <w:vAlign w:val="bottom"/>
          </w:tcPr>
          <w:p>
            <w:pPr>
              <w:spacing w:after="0"/>
              <w:rPr>
                <w:sz w:val="1"/>
                <w:szCs w:val="1"/>
                <w:color w:val="auto"/>
              </w:rPr>
            </w:pPr>
          </w:p>
        </w:tc>
      </w:tr>
      <w:tr>
        <w:trPr>
          <w:trHeight w:val="143"/>
        </w:trPr>
        <w:tc>
          <w:tcPr>
            <w:tcW w:w="3700" w:type="dxa"/>
            <w:vAlign w:val="bottom"/>
            <w:tcBorders>
              <w:top w:val="single" w:sz="8" w:color="auto"/>
              <w:bottom w:val="single" w:sz="8" w:color="auto"/>
            </w:tcBorders>
          </w:tcPr>
          <w:p>
            <w:pPr>
              <w:spacing w:after="0"/>
              <w:rPr>
                <w:sz w:val="12"/>
                <w:szCs w:val="12"/>
                <w:color w:val="auto"/>
              </w:rPr>
            </w:pPr>
          </w:p>
        </w:tc>
        <w:tc>
          <w:tcPr>
            <w:tcW w:w="49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(1,765,596</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(1,023,636</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88"/>
        </w:trPr>
        <w:tc>
          <w:tcPr>
            <w:tcW w:w="3700" w:type="dxa"/>
            <w:vAlign w:val="bottom"/>
          </w:tcPr>
          <w:p>
            <w:pPr>
              <w:spacing w:after="0"/>
              <w:rPr>
                <w:sz w:val="24"/>
                <w:szCs w:val="24"/>
                <w:color w:val="auto"/>
              </w:rPr>
            </w:pPr>
          </w:p>
        </w:tc>
        <w:tc>
          <w:tcPr>
            <w:tcW w:w="5220" w:type="dxa"/>
            <w:vAlign w:val="bottom"/>
            <w:gridSpan w:val="3"/>
          </w:tcPr>
          <w:p>
            <w:pPr>
              <w:jc w:val="right"/>
              <w:ind w:right="7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1,536,009</w:t>
            </w:r>
          </w:p>
        </w:tc>
        <w:tc>
          <w:tcPr>
            <w:tcW w:w="240" w:type="dxa"/>
            <w:vAlign w:val="bottom"/>
          </w:tcPr>
          <w:p>
            <w:pPr>
              <w:spacing w:after="0"/>
              <w:rPr>
                <w:sz w:val="24"/>
                <w:szCs w:val="2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224,448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auto"/>
              <w:bottom w:val="single" w:sz="8" w:color="auto"/>
            </w:tcBorders>
          </w:tcPr>
          <w:p>
            <w:pPr>
              <w:spacing w:after="0" w:line="20" w:lineRule="exact"/>
              <w:rPr>
                <w:sz w:val="1"/>
                <w:szCs w:val="1"/>
                <w:color w:val="auto"/>
              </w:rPr>
            </w:pPr>
          </w:p>
        </w:tc>
        <w:tc>
          <w:tcPr>
            <w:tcW w:w="4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3" w:right="19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2"/>
          <w:szCs w:val="12"/>
          <w:b w:val="1"/>
          <w:bCs w:val="1"/>
          <w:color w:val="auto"/>
        </w:rPr>
        <w:t>TAPIMMUNE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OPERATIONS AND COMPREHENSIVE LOSS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1"/>
              </w:rPr>
              <w:t>Three Months</w:t>
            </w: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1"/>
              </w:rPr>
              <w:t>Three Months</w:t>
            </w:r>
          </w:p>
        </w:tc>
        <w:tc>
          <w:tcPr>
            <w:tcW w:w="140" w:type="dxa"/>
            <w:vAlign w:val="bottom"/>
            <w:tcBorders>
              <w:top w:val="single" w:sz="8" w:color="auto"/>
            </w:tcBorders>
          </w:tcPr>
          <w:p>
            <w:pPr>
              <w:spacing w:after="0"/>
              <w:rPr>
                <w:sz w:val="13"/>
                <w:szCs w:val="13"/>
                <w:color w:val="auto"/>
              </w:rPr>
            </w:pPr>
          </w:p>
        </w:tc>
      </w:tr>
      <w:tr>
        <w:trPr>
          <w:trHeight w:val="145"/>
        </w:trPr>
        <w:tc>
          <w:tcPr>
            <w:tcW w:w="8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Ended</w:t>
            </w:r>
          </w:p>
        </w:tc>
        <w:tc>
          <w:tcPr>
            <w:tcW w:w="24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Ended</w:t>
            </w:r>
          </w:p>
        </w:tc>
        <w:tc>
          <w:tcPr>
            <w:tcW w:w="140" w:type="dxa"/>
            <w:vAlign w:val="bottom"/>
          </w:tcPr>
          <w:p>
            <w:pPr>
              <w:spacing w:after="0"/>
              <w:rPr>
                <w:sz w:val="12"/>
                <w:szCs w:val="12"/>
                <w:color w:val="auto"/>
              </w:rPr>
            </w:pPr>
          </w:p>
        </w:tc>
      </w:tr>
      <w:tr>
        <w:trPr>
          <w:trHeight w:val="145"/>
        </w:trPr>
        <w:tc>
          <w:tcPr>
            <w:tcW w:w="8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color w:val="auto"/>
                <w:w w:val="93"/>
              </w:rPr>
              <w:t>March 31,</w:t>
            </w:r>
          </w:p>
        </w:tc>
        <w:tc>
          <w:tcPr>
            <w:tcW w:w="24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color w:val="auto"/>
                <w:w w:val="93"/>
              </w:rPr>
              <w:t>March 31,</w:t>
            </w:r>
          </w:p>
        </w:tc>
        <w:tc>
          <w:tcPr>
            <w:tcW w:w="140" w:type="dxa"/>
            <w:vAlign w:val="bottom"/>
          </w:tcPr>
          <w:p>
            <w:pPr>
              <w:spacing w:after="0"/>
              <w:rPr>
                <w:sz w:val="12"/>
                <w:szCs w:val="12"/>
                <w:color w:val="auto"/>
              </w:rPr>
            </w:pPr>
          </w:p>
        </w:tc>
      </w:tr>
      <w:tr>
        <w:trPr>
          <w:trHeight w:val="154"/>
        </w:trPr>
        <w:tc>
          <w:tcPr>
            <w:tcW w:w="8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2015</w:t>
            </w:r>
          </w:p>
        </w:tc>
        <w:tc>
          <w:tcPr>
            <w:tcW w:w="24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2014</w:t>
            </w:r>
          </w:p>
        </w:tc>
        <w:tc>
          <w:tcPr>
            <w:tcW w:w="140" w:type="dxa"/>
            <w:vAlign w:val="bottom"/>
          </w:tcPr>
          <w:p>
            <w:pPr>
              <w:spacing w:after="0"/>
              <w:rPr>
                <w:sz w:val="13"/>
                <w:szCs w:val="13"/>
                <w:color w:val="auto"/>
              </w:rPr>
            </w:pPr>
          </w:p>
        </w:tc>
      </w:tr>
    </w:tbl>
    <w:p>
      <w:pPr>
        <w:spacing w:after="0" w:line="132" w:lineRule="exact"/>
        <w:rPr>
          <w:sz w:val="20"/>
          <w:szCs w:val="20"/>
          <w:color w:val="auto"/>
        </w:rPr>
      </w:pPr>
    </w:p>
    <w:p>
      <w:pPr>
        <w:sectPr>
          <w:pgSz w:w="11900" w:h="16838" w:orient="portrait"/>
          <w:cols w:equalWidth="0" w:num="1">
            <w:col w:w="11480"/>
          </w:cols>
          <w:pgMar w:left="220" w:top="553" w:right="199" w:bottom="1440" w:gutter="0" w:footer="0" w:header="0"/>
        </w:sectPr>
      </w:pPr>
    </w:p>
    <w:p>
      <w:pPr>
        <w:spacing w:after="0"/>
        <w:rPr>
          <w:sz w:val="20"/>
          <w:szCs w:val="20"/>
          <w:color w:val="auto"/>
        </w:rPr>
      </w:pPr>
      <w:r>
        <w:rPr>
          <w:rFonts w:ascii="Arial" w:cs="Arial" w:eastAsia="Arial" w:hAnsi="Arial"/>
          <w:sz w:val="12"/>
          <w:szCs w:val="12"/>
          <w:b w:val="1"/>
          <w:bCs w:val="1"/>
          <w:color w:val="auto"/>
        </w:rPr>
        <w:t>Operating expenses:</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General and administrative</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2"/>
          <w:szCs w:val="12"/>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5484495"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Loss from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(Expense)</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1"/>
          <w:szCs w:val="11"/>
          <w:color w:val="auto"/>
        </w:rPr>
        <w:t>Changes in fair value of derivative liabilities</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1"/>
          <w:szCs w:val="11"/>
          <w:color w:val="auto"/>
        </w:rPr>
        <w:t>Accretion of discount on convertible notes</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2"/>
          <w:szCs w:val="12"/>
          <w:color w:val="auto"/>
        </w:rPr>
        <w:t>Interest and financing charges</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2"/>
          <w:szCs w:val="12"/>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5484495"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484495"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comprehensive income</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1"/>
          <w:szCs w:val="11"/>
          <w:color w:val="auto"/>
        </w:rPr>
        <w:t>Foreign exchange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484495"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48449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8449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548449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84495"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Basic and Diluted Net Loss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548449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8449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21590</wp:posOffset>
            </wp:positionV>
            <wp:extent cx="548449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84495" cy="571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Weighted Average Number of</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548449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8449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21590</wp:posOffset>
            </wp:positionV>
            <wp:extent cx="548449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8449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418,786</w:t>
            </w:r>
          </w:p>
        </w:tc>
        <w:tc>
          <w:tcPr>
            <w:tcW w:w="24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1,164,098</w:t>
            </w:r>
          </w:p>
        </w:tc>
        <w:tc>
          <w:tcPr>
            <w:tcW w:w="40" w:type="dxa"/>
            <w:vAlign w:val="bottom"/>
          </w:tcPr>
          <w:p>
            <w:pPr>
              <w:spacing w:after="0"/>
              <w:rPr>
                <w:sz w:val="12"/>
                <w:szCs w:val="12"/>
                <w:color w:val="auto"/>
              </w:rPr>
            </w:pPr>
          </w:p>
        </w:tc>
      </w:tr>
      <w:tr>
        <w:trPr>
          <w:trHeight w:val="154"/>
        </w:trPr>
        <w:tc>
          <w:tcPr>
            <w:tcW w:w="3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609,378</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22,500</w:t>
            </w:r>
          </w:p>
        </w:tc>
      </w:tr>
      <w:tr>
        <w:trPr>
          <w:trHeight w:val="20"/>
        </w:trPr>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3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2"/>
                <w:szCs w:val="12"/>
                <w:color w:val="auto"/>
              </w:rPr>
              <w:t>(1,028,164)</w:t>
            </w:r>
          </w:p>
        </w:tc>
        <w:tc>
          <w:tcPr>
            <w:tcW w:w="3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(1,186,598)</w:t>
            </w:r>
          </w:p>
        </w:tc>
      </w:tr>
      <w:tr>
        <w:trPr>
          <w:trHeight w:val="426"/>
        </w:trPr>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46,440</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(338,297)</w:t>
            </w:r>
          </w:p>
        </w:tc>
      </w:tr>
      <w:tr>
        <w:trPr>
          <w:trHeight w:val="145"/>
        </w:trPr>
        <w:tc>
          <w:tcPr>
            <w:tcW w:w="3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483,636)</w:t>
            </w:r>
          </w:p>
        </w:tc>
      </w:tr>
      <w:tr>
        <w:trPr>
          <w:trHeight w:val="145"/>
        </w:trPr>
        <w:tc>
          <w:tcPr>
            <w:tcW w:w="3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(35,269)</w:t>
            </w:r>
          </w:p>
        </w:tc>
      </w:tr>
      <w:tr>
        <w:trPr>
          <w:trHeight w:val="154"/>
        </w:trPr>
        <w:tc>
          <w:tcPr>
            <w:tcW w:w="3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(27,663,430)</w:t>
            </w:r>
          </w:p>
        </w:tc>
      </w:tr>
      <w:tr>
        <w:trPr>
          <w:trHeight w:val="20"/>
        </w:trPr>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3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2"/>
                <w:szCs w:val="12"/>
                <w:color w:val="auto"/>
              </w:rPr>
              <w:t>(981,724)</w:t>
            </w:r>
          </w:p>
        </w:tc>
        <w:tc>
          <w:tcPr>
            <w:tcW w:w="3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(29,707,230)</w:t>
            </w:r>
          </w:p>
        </w:tc>
      </w:tr>
      <w:tr>
        <w:trPr>
          <w:trHeight w:val="20"/>
        </w:trPr>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(1,249)</w:t>
            </w:r>
          </w:p>
        </w:tc>
      </w:tr>
      <w:tr>
        <w:trPr>
          <w:trHeight w:val="20"/>
        </w:trPr>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00"/>
              <w:spacing w:after="0" w:line="270" w:lineRule="exact"/>
              <w:rPr>
                <w:sz w:val="20"/>
                <w:szCs w:val="20"/>
                <w:color w:val="auto"/>
              </w:rPr>
            </w:pPr>
            <w:r>
              <w:rPr>
                <w:rFonts w:ascii="Arial" w:cs="Arial" w:eastAsia="Arial" w:hAnsi="Arial"/>
                <w:sz w:val="12"/>
                <w:szCs w:val="12"/>
                <w:color w:val="auto"/>
              </w:rPr>
              <w:t>(981,724</w:t>
            </w:r>
            <w:r>
              <w:rPr>
                <w:rFonts w:ascii="Arial" w:cs="Arial" w:eastAsia="Arial" w:hAnsi="Arial"/>
                <w:sz w:val="24"/>
                <w:szCs w:val="24"/>
                <w:color w:val="auto"/>
                <w:vertAlign w:val="subscript"/>
              </w:rPr>
              <w:t>)</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spacing w:after="0" w:line="270" w:lineRule="exact"/>
              <w:rPr>
                <w:sz w:val="20"/>
                <w:szCs w:val="20"/>
                <w:color w:val="auto"/>
              </w:rPr>
            </w:pPr>
            <w:r>
              <w:rPr>
                <w:rFonts w:ascii="Arial" w:cs="Arial" w:eastAsia="Arial" w:hAnsi="Arial"/>
                <w:sz w:val="12"/>
                <w:szCs w:val="12"/>
                <w:color w:val="auto"/>
              </w:rPr>
              <w:t>(29,708,479</w:t>
            </w:r>
            <w:r>
              <w:rPr>
                <w:rFonts w:ascii="Arial" w:cs="Arial" w:eastAsia="Arial" w:hAnsi="Arial"/>
                <w:sz w:val="24"/>
                <w:szCs w:val="24"/>
                <w:color w:val="auto"/>
                <w:vertAlign w:val="subscript"/>
              </w:rPr>
              <w:t>)</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1"/>
        </w:trPr>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2"/>
                <w:szCs w:val="12"/>
                <w:color w:val="auto"/>
              </w:rPr>
              <w:t>(0.04</w:t>
            </w:r>
            <w:r>
              <w:rPr>
                <w:rFonts w:ascii="Arial" w:cs="Arial" w:eastAsia="Arial" w:hAnsi="Arial"/>
                <w:sz w:val="24"/>
                <w:szCs w:val="24"/>
                <w:color w:val="auto"/>
                <w:vertAlign w:val="subscript"/>
              </w:rPr>
              <w:t>)</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(3.89</w:t>
            </w:r>
            <w:r>
              <w:rPr>
                <w:rFonts w:ascii="Arial" w:cs="Arial" w:eastAsia="Arial" w:hAnsi="Arial"/>
                <w:sz w:val="24"/>
                <w:szCs w:val="24"/>
                <w:color w:val="auto"/>
                <w:vertAlign w:val="subscript"/>
              </w:rPr>
              <w:t>)</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1"/>
        </w:trPr>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27,611,255</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7,631,669</w:t>
            </w:r>
          </w:p>
        </w:tc>
        <w:tc>
          <w:tcPr>
            <w:tcW w:w="40" w:type="dxa"/>
            <w:vAlign w:val="bottom"/>
          </w:tcPr>
          <w:p>
            <w:pPr>
              <w:spacing w:after="0"/>
              <w:rPr>
                <w:sz w:val="24"/>
                <w:szCs w:val="24"/>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20" w:space="720"/>
            <w:col w:w="2740"/>
          </w:cols>
          <w:pgMar w:left="220" w:top="553" w:right="199" w:bottom="1440" w:gutter="0" w:footer="0" w:header="0"/>
          <w:type w:val="continuous"/>
        </w:sectPr>
      </w:pPr>
    </w:p>
    <w:p>
      <w:pPr>
        <w:spacing w:after="0" w:line="8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3" w:right="199" w:bottom="1440" w:gutter="0" w:footer="0" w:header="0"/>
          <w:type w:val="continuous"/>
        </w:sectPr>
      </w:pPr>
    </w:p>
    <w:bookmarkStart w:id="68" w:name="page69"/>
    <w:bookmarkEnd w:id="68"/>
    <w:p>
      <w:pPr>
        <w:jc w:val="center"/>
        <w:ind w:right="20"/>
        <w:spacing w:after="0"/>
        <w:rPr>
          <w:sz w:val="20"/>
          <w:szCs w:val="20"/>
          <w:color w:val="auto"/>
        </w:rPr>
      </w:pPr>
      <w:r>
        <w:rPr>
          <w:rFonts w:ascii="Arial" w:cs="Arial" w:eastAsia="Arial" w:hAnsi="Arial"/>
          <w:sz w:val="12"/>
          <w:szCs w:val="12"/>
          <w:b w:val="1"/>
          <w:bCs w:val="1"/>
          <w:color w:val="auto"/>
        </w:rPr>
        <w:t>TAPIMMUNE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 OF STOCKHOLDERS’ EQUITY (DEFICIT)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0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2"/>
              </w:rPr>
              <w:t>Accumulated</w:t>
            </w: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r>
      <w:tr>
        <w:trPr>
          <w:trHeight w:val="154"/>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2"/>
                <w:szCs w:val="12"/>
                <w:color w:val="auto"/>
              </w:rPr>
              <w:t>Common Stock</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2"/>
                <w:szCs w:val="12"/>
                <w:color w:val="auto"/>
              </w:rPr>
              <w:t>Additional</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Other</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1"/>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3"/>
          </w:tcPr>
          <w:p>
            <w:pPr>
              <w:jc w:val="center"/>
              <w:ind w:right="560"/>
              <w:spacing w:after="0"/>
              <w:rPr>
                <w:sz w:val="20"/>
                <w:szCs w:val="20"/>
                <w:color w:val="auto"/>
              </w:rPr>
            </w:pPr>
            <w:r>
              <w:rPr>
                <w:rFonts w:ascii="Arial" w:cs="Arial" w:eastAsia="Arial" w:hAnsi="Arial"/>
                <w:sz w:val="12"/>
                <w:szCs w:val="12"/>
                <w:color w:val="auto"/>
                <w:w w:val="96"/>
              </w:rPr>
              <w:t>Number of</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2"/>
                <w:szCs w:val="12"/>
                <w:color w:val="auto"/>
              </w:rPr>
              <w:t>Paid In</w:t>
            </w:r>
          </w:p>
        </w:tc>
        <w:tc>
          <w:tcPr>
            <w:tcW w:w="1280" w:type="dxa"/>
            <w:vAlign w:val="bottom"/>
            <w:gridSpan w:val="2"/>
          </w:tcPr>
          <w:p>
            <w:pPr>
              <w:jc w:val="right"/>
              <w:ind w:right="340"/>
              <w:spacing w:after="0"/>
              <w:rPr>
                <w:sz w:val="20"/>
                <w:szCs w:val="20"/>
                <w:color w:val="auto"/>
              </w:rPr>
            </w:pPr>
            <w:r>
              <w:rPr>
                <w:rFonts w:ascii="Arial" w:cs="Arial" w:eastAsia="Arial" w:hAnsi="Arial"/>
                <w:sz w:val="12"/>
                <w:szCs w:val="12"/>
                <w:color w:val="auto"/>
              </w:rPr>
              <w:t>Accumulated</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2"/>
                <w:szCs w:val="12"/>
                <w:color w:val="auto"/>
                <w:w w:val="90"/>
              </w:rPr>
              <w:t>Comprehensive</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5"/>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tcPr>
          <w:p>
            <w:pPr>
              <w:jc w:val="center"/>
              <w:ind w:right="560"/>
              <w:spacing w:after="0"/>
              <w:rPr>
                <w:sz w:val="20"/>
                <w:szCs w:val="20"/>
                <w:color w:val="auto"/>
              </w:rPr>
            </w:pPr>
            <w:r>
              <w:rPr>
                <w:rFonts w:ascii="Arial" w:cs="Arial" w:eastAsia="Arial" w:hAnsi="Arial"/>
                <w:sz w:val="12"/>
                <w:szCs w:val="12"/>
                <w:color w:val="auto"/>
                <w:w w:val="83"/>
              </w:rPr>
              <w:t>shares</w:t>
            </w:r>
          </w:p>
        </w:tc>
        <w:tc>
          <w:tcPr>
            <w:tcW w:w="1060" w:type="dxa"/>
            <w:vAlign w:val="bottom"/>
            <w:gridSpan w:val="2"/>
          </w:tcPr>
          <w:p>
            <w:pPr>
              <w:jc w:val="right"/>
              <w:ind w:right="600"/>
              <w:spacing w:after="0"/>
              <w:rPr>
                <w:sz w:val="20"/>
                <w:szCs w:val="20"/>
                <w:color w:val="auto"/>
              </w:rPr>
            </w:pPr>
            <w:r>
              <w:rPr>
                <w:rFonts w:ascii="Arial" w:cs="Arial" w:eastAsia="Arial" w:hAnsi="Arial"/>
                <w:sz w:val="12"/>
                <w:szCs w:val="12"/>
                <w:color w:val="auto"/>
              </w:rPr>
              <w:t>Amount</w:t>
            </w:r>
          </w:p>
        </w:tc>
        <w:tc>
          <w:tcPr>
            <w:tcW w:w="1400" w:type="dxa"/>
            <w:vAlign w:val="bottom"/>
            <w:gridSpan w:val="2"/>
          </w:tcPr>
          <w:p>
            <w:pPr>
              <w:jc w:val="right"/>
              <w:ind w:right="640"/>
              <w:spacing w:after="0"/>
              <w:rPr>
                <w:sz w:val="20"/>
                <w:szCs w:val="20"/>
                <w:color w:val="auto"/>
              </w:rPr>
            </w:pPr>
            <w:r>
              <w:rPr>
                <w:rFonts w:ascii="Arial" w:cs="Arial" w:eastAsia="Arial" w:hAnsi="Arial"/>
                <w:sz w:val="12"/>
                <w:szCs w:val="12"/>
                <w:color w:val="auto"/>
              </w:rPr>
              <w:t>Capital</w:t>
            </w:r>
          </w:p>
        </w:tc>
        <w:tc>
          <w:tcPr>
            <w:tcW w:w="1280" w:type="dxa"/>
            <w:vAlign w:val="bottom"/>
            <w:gridSpan w:val="2"/>
          </w:tcPr>
          <w:p>
            <w:pPr>
              <w:jc w:val="right"/>
              <w:ind w:right="500"/>
              <w:spacing w:after="0"/>
              <w:rPr>
                <w:sz w:val="20"/>
                <w:szCs w:val="20"/>
                <w:color w:val="auto"/>
              </w:rPr>
            </w:pPr>
            <w:r>
              <w:rPr>
                <w:rFonts w:ascii="Arial" w:cs="Arial" w:eastAsia="Arial" w:hAnsi="Arial"/>
                <w:sz w:val="12"/>
                <w:szCs w:val="12"/>
                <w:color w:val="auto"/>
              </w:rPr>
              <w:t>Deficit</w:t>
            </w:r>
          </w:p>
        </w:tc>
        <w:tc>
          <w:tcPr>
            <w:tcW w:w="10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Loss</w:t>
            </w:r>
          </w:p>
        </w:tc>
        <w:tc>
          <w:tcPr>
            <w:tcW w:w="240" w:type="dxa"/>
            <w:vAlign w:val="bottom"/>
          </w:tcPr>
          <w:p>
            <w:pPr>
              <w:spacing w:after="0"/>
              <w:rPr>
                <w:sz w:val="12"/>
                <w:szCs w:val="12"/>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2"/>
                <w:szCs w:val="12"/>
                <w:color w:val="auto"/>
              </w:rPr>
              <w:t>Total</w:t>
            </w:r>
          </w:p>
        </w:tc>
      </w:tr>
      <w:tr>
        <w:trPr>
          <w:trHeight w:val="154"/>
        </w:trPr>
        <w:tc>
          <w:tcPr>
            <w:tcW w:w="3080" w:type="dxa"/>
            <w:vAlign w:val="bottom"/>
          </w:tcPr>
          <w:p>
            <w:pPr>
              <w:spacing w:after="0"/>
              <w:rPr>
                <w:sz w:val="13"/>
                <w:szCs w:val="13"/>
                <w:color w:val="auto"/>
              </w:rPr>
            </w:pPr>
          </w:p>
        </w:tc>
        <w:tc>
          <w:tcPr>
            <w:tcW w:w="1820" w:type="dxa"/>
            <w:vAlign w:val="bottom"/>
            <w:gridSpan w:val="4"/>
          </w:tcPr>
          <w:p>
            <w:pPr>
              <w:jc w:val="right"/>
              <w:ind w:right="26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1041"/>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3"/>
                <w:szCs w:val="13"/>
                <w:color w:val="auto"/>
              </w:rPr>
            </w:pPr>
          </w:p>
        </w:tc>
        <w:tc>
          <w:tcPr>
            <w:tcW w:w="1160" w:type="dxa"/>
            <w:vAlign w:val="bottom"/>
          </w:tcPr>
          <w:p>
            <w:pPr>
              <w:jc w:val="right"/>
              <w:ind w:right="1041"/>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3"/>
                <w:szCs w:val="13"/>
                <w:color w:val="auto"/>
              </w:rPr>
            </w:pPr>
          </w:p>
        </w:tc>
        <w:tc>
          <w:tcPr>
            <w:tcW w:w="1280" w:type="dxa"/>
            <w:vAlign w:val="bottom"/>
            <w:gridSpan w:val="2"/>
          </w:tcPr>
          <w:p>
            <w:pPr>
              <w:jc w:val="right"/>
              <w:ind w:right="1060"/>
              <w:spacing w:after="0"/>
              <w:rPr>
                <w:sz w:val="20"/>
                <w:szCs w:val="20"/>
                <w:color w:val="auto"/>
              </w:rPr>
            </w:pPr>
            <w:r>
              <w:rPr>
                <w:rFonts w:ascii="Arial" w:cs="Arial" w:eastAsia="Arial" w:hAnsi="Arial"/>
                <w:sz w:val="12"/>
                <w:szCs w:val="12"/>
                <w:color w:val="auto"/>
              </w:rPr>
              <w:t>$</w:t>
            </w:r>
          </w:p>
        </w:tc>
        <w:tc>
          <w:tcPr>
            <w:tcW w:w="1420" w:type="dxa"/>
            <w:vAlign w:val="bottom"/>
            <w:gridSpan w:val="2"/>
          </w:tcPr>
          <w:p>
            <w:pPr>
              <w:jc w:val="right"/>
              <w:ind w:right="10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r>
      <w:tr>
        <w:trPr>
          <w:trHeight w:val="152"/>
        </w:trPr>
        <w:tc>
          <w:tcPr>
            <w:tcW w:w="30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Balance, December 31, 2014</w:t>
            </w:r>
          </w:p>
        </w:tc>
        <w:tc>
          <w:tcPr>
            <w:tcW w:w="120" w:type="dxa"/>
            <w:vAlign w:val="bottom"/>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20,318,816</w:t>
            </w: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20,319</w:t>
            </w:r>
          </w:p>
        </w:tc>
        <w:tc>
          <w:tcPr>
            <w:tcW w:w="240" w:type="dxa"/>
            <w:vAlign w:val="bottom"/>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85,265,776</w:t>
            </w:r>
          </w:p>
        </w:tc>
        <w:tc>
          <w:tcPr>
            <w:tcW w:w="240" w:type="dxa"/>
            <w:vAlign w:val="bottom"/>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(86,309,731)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(1,023,636)</w:t>
            </w:r>
          </w:p>
        </w:tc>
        <w:tc>
          <w:tcPr>
            <w:tcW w:w="140" w:type="dxa"/>
            <w:vAlign w:val="bottom"/>
          </w:tcPr>
          <w:p>
            <w:pPr>
              <w:spacing w:after="0"/>
              <w:rPr>
                <w:sz w:val="13"/>
                <w:szCs w:val="13"/>
                <w:color w:val="auto"/>
              </w:rPr>
            </w:pPr>
          </w:p>
        </w:tc>
      </w:tr>
      <w:tr>
        <w:trPr>
          <w:trHeight w:val="273"/>
        </w:trPr>
        <w:tc>
          <w:tcPr>
            <w:tcW w:w="3080" w:type="dxa"/>
            <w:vAlign w:val="bottom"/>
          </w:tcPr>
          <w:p>
            <w:pPr>
              <w:spacing w:after="0"/>
              <w:rPr>
                <w:sz w:val="20"/>
                <w:szCs w:val="20"/>
                <w:color w:val="auto"/>
              </w:rPr>
            </w:pPr>
            <w:r>
              <w:rPr>
                <w:rFonts w:ascii="Arial" w:cs="Arial" w:eastAsia="Arial" w:hAnsi="Arial"/>
                <w:sz w:val="12"/>
                <w:szCs w:val="12"/>
                <w:color w:val="auto"/>
              </w:rPr>
              <w:t>Private placement (net of finders’ fee of $140,000)</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12,319,995</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12,320</w:t>
            </w: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2,313,694</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2,326,014</w:t>
            </w:r>
          </w:p>
        </w:tc>
        <w:tc>
          <w:tcPr>
            <w:tcW w:w="140" w:type="dxa"/>
            <w:vAlign w:val="bottom"/>
          </w:tcPr>
          <w:p>
            <w:pPr>
              <w:spacing w:after="0"/>
              <w:rPr>
                <w:sz w:val="23"/>
                <w:szCs w:val="23"/>
                <w:color w:val="auto"/>
              </w:rPr>
            </w:pPr>
          </w:p>
        </w:tc>
      </w:tr>
      <w:tr>
        <w:trPr>
          <w:trHeight w:val="145"/>
        </w:trPr>
        <w:tc>
          <w:tcPr>
            <w:tcW w:w="3080" w:type="dxa"/>
            <w:vAlign w:val="bottom"/>
          </w:tcPr>
          <w:p>
            <w:pPr>
              <w:spacing w:after="0"/>
              <w:rPr>
                <w:sz w:val="20"/>
                <w:szCs w:val="20"/>
                <w:color w:val="auto"/>
              </w:rPr>
            </w:pPr>
            <w:r>
              <w:rPr>
                <w:rFonts w:ascii="Arial" w:cs="Arial" w:eastAsia="Arial" w:hAnsi="Arial"/>
                <w:sz w:val="12"/>
                <w:szCs w:val="12"/>
                <w:color w:val="auto"/>
              </w:rPr>
              <w:t>Fair value of warrants recognized as derivative liabilities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(2,090,000)</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560" w:type="dxa"/>
            <w:vAlign w:val="bottom"/>
            <w:gridSpan w:val="3"/>
          </w:tcPr>
          <w:p>
            <w:pPr>
              <w:jc w:val="right"/>
              <w:ind w:right="60"/>
              <w:spacing w:after="0"/>
              <w:rPr>
                <w:sz w:val="20"/>
                <w:szCs w:val="20"/>
                <w:color w:val="auto"/>
              </w:rPr>
            </w:pPr>
            <w:r>
              <w:rPr>
                <w:rFonts w:ascii="Arial" w:cs="Arial" w:eastAsia="Arial" w:hAnsi="Arial"/>
                <w:sz w:val="12"/>
                <w:szCs w:val="12"/>
                <w:color w:val="auto"/>
              </w:rPr>
              <w:t>(2,090,000)</w:t>
            </w:r>
          </w:p>
        </w:tc>
      </w:tr>
      <w:tr>
        <w:trPr>
          <w:trHeight w:val="145"/>
        </w:trPr>
        <w:tc>
          <w:tcPr>
            <w:tcW w:w="3080" w:type="dxa"/>
            <w:vAlign w:val="bottom"/>
          </w:tcPr>
          <w:p>
            <w:pPr>
              <w:spacing w:after="0"/>
              <w:rPr>
                <w:sz w:val="20"/>
                <w:szCs w:val="20"/>
                <w:color w:val="auto"/>
              </w:rPr>
            </w:pPr>
            <w:r>
              <w:rPr>
                <w:rFonts w:ascii="Arial" w:cs="Arial" w:eastAsia="Arial" w:hAnsi="Arial"/>
                <w:sz w:val="12"/>
                <w:szCs w:val="12"/>
                <w:color w:val="auto"/>
              </w:rPr>
              <w:t>Stock- based compensation</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3,750</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3,750</w:t>
            </w:r>
          </w:p>
        </w:tc>
        <w:tc>
          <w:tcPr>
            <w:tcW w:w="140" w:type="dxa"/>
            <w:vAlign w:val="bottom"/>
          </w:tcPr>
          <w:p>
            <w:pPr>
              <w:spacing w:after="0"/>
              <w:rPr>
                <w:sz w:val="12"/>
                <w:szCs w:val="12"/>
                <w:color w:val="auto"/>
              </w:rPr>
            </w:pPr>
          </w:p>
        </w:tc>
      </w:tr>
      <w:tr>
        <w:trPr>
          <w:trHeight w:val="154"/>
        </w:trPr>
        <w:tc>
          <w:tcPr>
            <w:tcW w:w="3080" w:type="dxa"/>
            <w:vAlign w:val="bottom"/>
          </w:tcPr>
          <w:p>
            <w:pPr>
              <w:spacing w:after="0"/>
              <w:rPr>
                <w:sz w:val="20"/>
                <w:szCs w:val="20"/>
                <w:color w:val="auto"/>
              </w:rPr>
            </w:pPr>
            <w:r>
              <w:rPr>
                <w:rFonts w:ascii="Arial" w:cs="Arial" w:eastAsia="Arial" w:hAnsi="Arial"/>
                <w:sz w:val="12"/>
                <w:szCs w:val="12"/>
                <w:color w:val="auto"/>
              </w:rPr>
              <w:t>Net loss</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2"/>
                <w:szCs w:val="12"/>
                <w:color w:val="auto"/>
              </w:rPr>
              <w:t>(981,724)</w:t>
            </w: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560" w:type="dxa"/>
            <w:vAlign w:val="bottom"/>
            <w:gridSpan w:val="3"/>
          </w:tcPr>
          <w:p>
            <w:pPr>
              <w:jc w:val="right"/>
              <w:ind w:right="60"/>
              <w:spacing w:after="0"/>
              <w:rPr>
                <w:sz w:val="20"/>
                <w:szCs w:val="20"/>
                <w:color w:val="auto"/>
              </w:rPr>
            </w:pPr>
            <w:r>
              <w:rPr>
                <w:rFonts w:ascii="Arial" w:cs="Arial" w:eastAsia="Arial" w:hAnsi="Arial"/>
                <w:sz w:val="12"/>
                <w:szCs w:val="12"/>
                <w:color w:val="auto"/>
              </w:rPr>
              <w:t>(981,724)</w:t>
            </w:r>
          </w:p>
        </w:tc>
      </w:tr>
      <w:tr>
        <w:trPr>
          <w:trHeight w:val="143"/>
        </w:trPr>
        <w:tc>
          <w:tcPr>
            <w:tcW w:w="3080" w:type="dxa"/>
            <w:vAlign w:val="bottom"/>
            <w:tcBorders>
              <w:top w:val="single" w:sz="8" w:color="auto"/>
              <w:bottom w:val="single" w:sz="8" w:color="auto"/>
            </w:tcBorders>
          </w:tcPr>
          <w:p>
            <w:pPr>
              <w:spacing w:after="0" w:line="125" w:lineRule="exact"/>
              <w:rPr>
                <w:sz w:val="20"/>
                <w:szCs w:val="20"/>
                <w:color w:val="auto"/>
              </w:rPr>
            </w:pPr>
            <w:r>
              <w:rPr>
                <w:rFonts w:ascii="Arial" w:cs="Arial" w:eastAsia="Arial" w:hAnsi="Arial"/>
                <w:sz w:val="12"/>
                <w:szCs w:val="12"/>
                <w:color w:val="auto"/>
              </w:rPr>
              <w:t>Balance, March 31, 2015</w:t>
            </w:r>
          </w:p>
        </w:tc>
        <w:tc>
          <w:tcPr>
            <w:tcW w:w="1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32,638,811</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32,639</w:t>
            </w:r>
          </w:p>
        </w:tc>
        <w:tc>
          <w:tcPr>
            <w:tcW w:w="24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85,493,220</w:t>
            </w:r>
          </w:p>
        </w:tc>
        <w:tc>
          <w:tcPr>
            <w:tcW w:w="24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(87,291,455</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(1,765,596</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3" w:right="199" w:bottom="1440" w:gutter="0" w:footer="0" w:header="0"/>
        </w:sectPr>
      </w:pPr>
    </w:p>
    <w:bookmarkStart w:id="69" w:name="page70"/>
    <w:bookmarkEnd w:id="69"/>
    <w:p>
      <w:pPr>
        <w:jc w:val="center"/>
        <w:ind w:right="-79"/>
        <w:spacing w:after="0"/>
        <w:rPr>
          <w:sz w:val="20"/>
          <w:szCs w:val="20"/>
          <w:color w:val="auto"/>
        </w:rPr>
      </w:pPr>
      <w:r>
        <w:rPr>
          <w:rFonts w:ascii="Arial" w:cs="Arial" w:eastAsia="Arial" w:hAnsi="Arial"/>
          <w:sz w:val="12"/>
          <w:szCs w:val="12"/>
          <w:b w:val="1"/>
          <w:bCs w:val="1"/>
          <w:color w:val="auto"/>
        </w:rPr>
        <w:t>TAPIMMUNE INC.</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CONDENSED CONSOLIDATED STATEMENTS OF CASH FLOWS</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212090</wp:posOffset>
            </wp:positionV>
            <wp:extent cx="7291705"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705" cy="11430"/>
                    </a:xfrm>
                    <a:prstGeom prst="rect">
                      <a:avLst/>
                    </a:prstGeom>
                    <a:noFill/>
                  </pic:spPr>
                </pic:pic>
              </a:graphicData>
            </a:graphic>
          </wp:anchor>
        </w:drawing>
      </w:r>
    </w:p>
    <w:p>
      <w:pPr>
        <w:sectPr>
          <w:pgSz w:w="11900" w:h="16838" w:orient="portrait"/>
          <w:cols w:equalWidth="0" w:num="1">
            <w:col w:w="11380"/>
          </w:cols>
          <w:pgMar w:left="220" w:top="553"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-182245</wp:posOffset>
            </wp:positionV>
            <wp:extent cx="5484495"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Net loss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Adjustments to reconcile net loss to</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net cash from operating activities: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2"/>
          <w:szCs w:val="12"/>
          <w:color w:val="auto"/>
        </w:rPr>
        <w:t>Changes in fair value of derivative liabilities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2"/>
          <w:szCs w:val="12"/>
          <w:color w:val="auto"/>
        </w:rPr>
        <w:t>Loss on extinguishment of debt</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2"/>
          <w:szCs w:val="12"/>
          <w:color w:val="auto"/>
        </w:rPr>
        <w:t>Non-cash interest and finance charges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Stock based compensation</w:t>
      </w:r>
    </w:p>
    <w:p>
      <w:pPr>
        <w:spacing w:after="0" w:line="7" w:lineRule="exact"/>
        <w:rPr>
          <w:sz w:val="20"/>
          <w:szCs w:val="20"/>
          <w:color w:val="auto"/>
        </w:rPr>
      </w:pPr>
    </w:p>
    <w:p>
      <w:pPr>
        <w:jc w:val="center"/>
        <w:ind w:right="5980"/>
        <w:spacing w:after="0"/>
        <w:rPr>
          <w:sz w:val="20"/>
          <w:szCs w:val="20"/>
          <w:color w:val="auto"/>
        </w:rPr>
      </w:pPr>
      <w:r>
        <w:rPr>
          <w:rFonts w:ascii="Arial" w:cs="Arial" w:eastAsia="Arial" w:hAnsi="Arial"/>
          <w:sz w:val="10"/>
          <w:szCs w:val="10"/>
          <w:color w:val="auto"/>
        </w:rPr>
        <w:t>Changes in operating assets and liabilities:</w:t>
      </w:r>
    </w:p>
    <w:p>
      <w:pPr>
        <w:spacing w:after="0" w:line="30" w:lineRule="exact"/>
        <w:rPr>
          <w:sz w:val="20"/>
          <w:szCs w:val="20"/>
          <w:color w:val="auto"/>
        </w:rPr>
      </w:pPr>
    </w:p>
    <w:p>
      <w:pPr>
        <w:jc w:val="center"/>
        <w:ind w:right="5960"/>
        <w:spacing w:after="0"/>
        <w:rPr>
          <w:sz w:val="20"/>
          <w:szCs w:val="20"/>
          <w:color w:val="auto"/>
        </w:rPr>
      </w:pPr>
      <w:r>
        <w:rPr>
          <w:rFonts w:ascii="Arial" w:cs="Arial" w:eastAsia="Arial" w:hAnsi="Arial"/>
          <w:sz w:val="11"/>
          <w:szCs w:val="11"/>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484495"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484495"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 FROM FINANCING ACTIVITIES</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2"/>
          <w:szCs w:val="12"/>
          <w:color w:val="auto"/>
        </w:rPr>
        <w:t>Issuance of shares, net of issuance costs of $140,000</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2"/>
          <w:szCs w:val="12"/>
          <w:color w:val="auto"/>
        </w:rPr>
        <w:t>Convertible note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5484495"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484495"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INCREASE IN CASH</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484495"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48449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8449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548449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8449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2"/>
                <w:szCs w:val="12"/>
                <w:color w:val="auto"/>
                <w:w w:val="90"/>
              </w:rPr>
              <w:t>Three Months Ended</w:t>
            </w:r>
          </w:p>
        </w:tc>
        <w:tc>
          <w:tcPr>
            <w:tcW w:w="80" w:type="dxa"/>
            <w:vAlign w:val="bottom"/>
          </w:tcPr>
          <w:p>
            <w:pPr>
              <w:spacing w:after="0"/>
              <w:rPr>
                <w:sz w:val="12"/>
                <w:szCs w:val="12"/>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Three Months Ended</w:t>
            </w:r>
          </w:p>
        </w:tc>
      </w:tr>
      <w:tr>
        <w:trPr>
          <w:trHeight w:val="145"/>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2"/>
                <w:szCs w:val="12"/>
                <w:color w:val="auto"/>
                <w:w w:val="93"/>
              </w:rPr>
              <w:t>March 31,</w:t>
            </w:r>
          </w:p>
        </w:tc>
        <w:tc>
          <w:tcPr>
            <w:tcW w:w="80" w:type="dxa"/>
            <w:vAlign w:val="bottom"/>
          </w:tcPr>
          <w:p>
            <w:pPr>
              <w:spacing w:after="0"/>
              <w:rPr>
                <w:sz w:val="12"/>
                <w:szCs w:val="12"/>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2"/>
                <w:szCs w:val="12"/>
                <w:color w:val="auto"/>
                <w:w w:val="93"/>
              </w:rPr>
              <w:t>March 31,</w:t>
            </w:r>
          </w:p>
        </w:tc>
      </w:tr>
      <w:tr>
        <w:trPr>
          <w:trHeight w:val="154"/>
        </w:trPr>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2015</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2014</w:t>
            </w:r>
          </w:p>
        </w:tc>
        <w:tc>
          <w:tcPr>
            <w:tcW w:w="40" w:type="dxa"/>
            <w:vAlign w:val="bottom"/>
          </w:tcPr>
          <w:p>
            <w:pPr>
              <w:spacing w:after="0"/>
              <w:rPr>
                <w:sz w:val="13"/>
                <w:szCs w:val="13"/>
                <w:color w:val="auto"/>
              </w:rPr>
            </w:pPr>
          </w:p>
        </w:tc>
      </w:tr>
      <w:tr>
        <w:trPr>
          <w:trHeight w:val="433"/>
        </w:trPr>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gridSpan w:val="3"/>
          </w:tcPr>
          <w:p>
            <w:pPr>
              <w:jc w:val="right"/>
              <w:ind w:right="200"/>
              <w:spacing w:after="0"/>
              <w:rPr>
                <w:sz w:val="20"/>
                <w:szCs w:val="20"/>
                <w:color w:val="auto"/>
              </w:rPr>
            </w:pPr>
            <w:r>
              <w:rPr>
                <w:rFonts w:ascii="Arial" w:cs="Arial" w:eastAsia="Arial" w:hAnsi="Arial"/>
                <w:sz w:val="12"/>
                <w:szCs w:val="12"/>
                <w:color w:val="auto"/>
              </w:rPr>
              <w:t>(981,724)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(29,707,230)</w:t>
            </w:r>
          </w:p>
        </w:tc>
      </w:tr>
      <w:tr>
        <w:trPr>
          <w:trHeight w:val="426"/>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2"/>
                <w:szCs w:val="12"/>
                <w:color w:val="auto"/>
              </w:rPr>
              <w:t>(46,440)</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338,297</w:t>
            </w:r>
          </w:p>
        </w:tc>
        <w:tc>
          <w:tcPr>
            <w:tcW w:w="40" w:type="dxa"/>
            <w:vAlign w:val="bottom"/>
          </w:tcPr>
          <w:p>
            <w:pPr>
              <w:spacing w:after="0"/>
              <w:rPr>
                <w:sz w:val="24"/>
                <w:szCs w:val="24"/>
                <w:color w:val="auto"/>
              </w:rPr>
            </w:pPr>
          </w:p>
        </w:tc>
      </w:tr>
      <w:tr>
        <w:trPr>
          <w:trHeight w:val="145"/>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27,663,430</w:t>
            </w:r>
          </w:p>
        </w:tc>
        <w:tc>
          <w:tcPr>
            <w:tcW w:w="4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483,636</w:t>
            </w:r>
          </w:p>
        </w:tc>
        <w:tc>
          <w:tcPr>
            <w:tcW w:w="4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3,750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690,000</w:t>
            </w:r>
          </w:p>
        </w:tc>
        <w:tc>
          <w:tcPr>
            <w:tcW w:w="40" w:type="dxa"/>
            <w:vAlign w:val="bottom"/>
          </w:tcPr>
          <w:p>
            <w:pPr>
              <w:spacing w:after="0"/>
              <w:rPr>
                <w:sz w:val="13"/>
                <w:szCs w:val="13"/>
                <w:color w:val="auto"/>
              </w:rPr>
            </w:pPr>
          </w:p>
        </w:tc>
      </w:tr>
      <w:tr>
        <w:trPr>
          <w:trHeight w:val="290"/>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2"/>
                <w:szCs w:val="12"/>
                <w:color w:val="auto"/>
              </w:rPr>
              <w:t>9, 961</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158,913</w:t>
            </w:r>
          </w:p>
        </w:tc>
        <w:tc>
          <w:tcPr>
            <w:tcW w:w="40" w:type="dxa"/>
            <w:vAlign w:val="bottom"/>
          </w:tcPr>
          <w:p>
            <w:pPr>
              <w:spacing w:after="0"/>
              <w:rPr>
                <w:sz w:val="24"/>
                <w:szCs w:val="24"/>
                <w:color w:val="auto"/>
              </w:rPr>
            </w:pPr>
          </w:p>
        </w:tc>
      </w:tr>
      <w:tr>
        <w:trPr>
          <w:trHeight w:val="143"/>
        </w:trPr>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(1,014,453</w:t>
            </w:r>
          </w:p>
        </w:tc>
        <w:tc>
          <w:tcPr>
            <w:tcW w:w="240" w:type="dxa"/>
            <w:vAlign w:val="bottom"/>
            <w:gridSpan w:val="2"/>
          </w:tcPr>
          <w:p>
            <w:pPr>
              <w:jc w:val="right"/>
              <w:ind w:right="20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(372,954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424"/>
        </w:trPr>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2,326,014</w:t>
            </w: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418,000</w:t>
            </w:r>
          </w:p>
        </w:tc>
        <w:tc>
          <w:tcPr>
            <w:tcW w:w="40" w:type="dxa"/>
            <w:vAlign w:val="bottom"/>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2,326,014</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418,000</w:t>
            </w:r>
          </w:p>
        </w:tc>
        <w:tc>
          <w:tcPr>
            <w:tcW w:w="40" w:type="dxa"/>
            <w:vAlign w:val="bottom"/>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1,311,561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45,046</w:t>
            </w:r>
          </w:p>
        </w:tc>
      </w:tr>
      <w:tr>
        <w:trPr>
          <w:trHeight w:val="290"/>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141,944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48,589</w:t>
            </w:r>
          </w:p>
        </w:tc>
      </w:tr>
      <w:tr>
        <w:trPr>
          <w:trHeight w:val="143"/>
        </w:trPr>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1,453,505</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93,635</w:t>
            </w:r>
          </w:p>
        </w:tc>
        <w:tc>
          <w:tcPr>
            <w:tcW w:w="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20" w:space="720"/>
            <w:col w:w="2640"/>
          </w:cols>
          <w:pgMar w:left="220" w:top="553" w:right="299" w:bottom="1440" w:gutter="0" w:footer="0" w:header="0"/>
          <w:type w:val="continuous"/>
        </w:sectPr>
      </w:pP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0"/>
          <w:szCs w:val="10"/>
          <w:color w:val="auto"/>
        </w:rPr>
        <w:t>The accompanying notes are an integral part of these condensed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380"/>
          </w:cols>
          <w:pgMar w:left="220" w:top="553" w:right="299" w:bottom="1440" w:gutter="0" w:footer="0" w:header="0"/>
          <w:type w:val="continuous"/>
        </w:sectPr>
      </w:pPr>
    </w:p>
    <w:bookmarkStart w:id="70" w:name="page71"/>
    <w:bookmarkEnd w:id="70"/>
    <w:p>
      <w:pPr>
        <w:jc w:val="center"/>
        <w:ind w:right="20"/>
        <w:spacing w:after="0"/>
        <w:rPr>
          <w:sz w:val="20"/>
          <w:szCs w:val="20"/>
          <w:color w:val="auto"/>
        </w:rPr>
      </w:pPr>
      <w:r>
        <w:rPr>
          <w:rFonts w:ascii="Arial" w:cs="Arial" w:eastAsia="Arial" w:hAnsi="Arial"/>
          <w:sz w:val="12"/>
          <w:szCs w:val="12"/>
          <w:b w:val="1"/>
          <w:bCs w:val="1"/>
          <w:color w:val="auto"/>
        </w:rPr>
        <w:t>TAPIMMUNE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left="100"/>
              <w:spacing w:after="0"/>
              <w:rPr>
                <w:sz w:val="20"/>
                <w:szCs w:val="20"/>
                <w:color w:val="auto"/>
              </w:rPr>
            </w:pPr>
            <w:r>
              <w:rPr>
                <w:rFonts w:ascii="Arial" w:cs="Arial" w:eastAsia="Arial" w:hAnsi="Arial"/>
                <w:sz w:val="12"/>
                <w:szCs w:val="12"/>
                <w:color w:val="auto"/>
                <w:w w:val="91"/>
              </w:rPr>
              <w:t>Three Months</w:t>
            </w: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r>
      <w:tr>
        <w:trPr>
          <w:trHeight w:val="145"/>
        </w:trPr>
        <w:tc>
          <w:tcPr>
            <w:tcW w:w="8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80"/>
              <w:spacing w:after="0"/>
              <w:rPr>
                <w:sz w:val="20"/>
                <w:szCs w:val="20"/>
                <w:color w:val="auto"/>
              </w:rPr>
            </w:pPr>
            <w:r>
              <w:rPr>
                <w:rFonts w:ascii="Arial" w:cs="Arial" w:eastAsia="Arial" w:hAnsi="Arial"/>
                <w:sz w:val="12"/>
                <w:szCs w:val="12"/>
                <w:color w:val="auto"/>
                <w:w w:val="86"/>
              </w:rPr>
              <w:t>Ended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color w:val="auto"/>
                <w:w w:val="90"/>
              </w:rPr>
              <w:t>Three Months Ended</w:t>
            </w:r>
          </w:p>
        </w:tc>
      </w:tr>
      <w:tr>
        <w:trPr>
          <w:trHeight w:val="145"/>
        </w:trPr>
        <w:tc>
          <w:tcPr>
            <w:tcW w:w="8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80"/>
              <w:spacing w:after="0"/>
              <w:rPr>
                <w:sz w:val="20"/>
                <w:szCs w:val="20"/>
                <w:color w:val="auto"/>
              </w:rPr>
            </w:pPr>
            <w:r>
              <w:rPr>
                <w:rFonts w:ascii="Arial" w:cs="Arial" w:eastAsia="Arial" w:hAnsi="Arial"/>
                <w:sz w:val="12"/>
                <w:szCs w:val="12"/>
                <w:color w:val="auto"/>
                <w:w w:val="93"/>
              </w:rPr>
              <w:t>March 31,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color w:val="auto"/>
                <w:w w:val="93"/>
              </w:rPr>
              <w:t>March 31,</w:t>
            </w:r>
          </w:p>
        </w:tc>
      </w:tr>
      <w:tr>
        <w:trPr>
          <w:trHeight w:val="154"/>
        </w:trPr>
        <w:tc>
          <w:tcPr>
            <w:tcW w:w="8620" w:type="dxa"/>
            <w:vAlign w:val="bottom"/>
          </w:tcPr>
          <w:p>
            <w:pPr>
              <w:spacing w:after="0"/>
              <w:rPr>
                <w:sz w:val="13"/>
                <w:szCs w:val="13"/>
                <w:color w:val="auto"/>
              </w:rPr>
            </w:pPr>
          </w:p>
        </w:tc>
        <w:tc>
          <w:tcPr>
            <w:tcW w:w="1160" w:type="dxa"/>
            <w:vAlign w:val="bottom"/>
            <w:gridSpan w:val="2"/>
          </w:tcPr>
          <w:p>
            <w:pPr>
              <w:jc w:val="center"/>
              <w:ind w:left="220"/>
              <w:spacing w:after="0"/>
              <w:rPr>
                <w:sz w:val="20"/>
                <w:szCs w:val="20"/>
                <w:color w:val="auto"/>
              </w:rPr>
            </w:pPr>
            <w:r>
              <w:rPr>
                <w:rFonts w:ascii="Arial" w:cs="Arial" w:eastAsia="Arial" w:hAnsi="Arial"/>
                <w:sz w:val="12"/>
                <w:szCs w:val="12"/>
                <w:color w:val="auto"/>
                <w:w w:val="89"/>
              </w:rPr>
              <w:t>2015</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9"/>
              </w:rPr>
              <w:t>2014</w:t>
            </w:r>
          </w:p>
        </w:tc>
        <w:tc>
          <w:tcPr>
            <w:tcW w:w="140" w:type="dxa"/>
            <w:vAlign w:val="bottom"/>
          </w:tcPr>
          <w:p>
            <w:pPr>
              <w:spacing w:after="0"/>
              <w:rPr>
                <w:sz w:val="13"/>
                <w:szCs w:val="13"/>
                <w:color w:val="auto"/>
              </w:rPr>
            </w:pPr>
          </w:p>
        </w:tc>
      </w:tr>
      <w:tr>
        <w:trPr>
          <w:trHeight w:val="288"/>
        </w:trPr>
        <w:tc>
          <w:tcPr>
            <w:tcW w:w="86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SUPPLEMENTAL SCHEDULE OF NON-CASH ACTIVITIES</w:t>
            </w: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8620" w:type="dxa"/>
            <w:vAlign w:val="bottom"/>
          </w:tcPr>
          <w:p>
            <w:pPr>
              <w:spacing w:after="0"/>
              <w:rPr>
                <w:sz w:val="20"/>
                <w:szCs w:val="20"/>
                <w:color w:val="auto"/>
              </w:rPr>
            </w:pPr>
            <w:r>
              <w:rPr>
                <w:rFonts w:ascii="Arial" w:cs="Arial" w:eastAsia="Arial" w:hAnsi="Arial"/>
                <w:sz w:val="12"/>
                <w:szCs w:val="12"/>
                <w:color w:val="auto"/>
              </w:rPr>
              <w:t>Accounts payable settled in common stock</w:t>
            </w:r>
          </w:p>
        </w:tc>
        <w:tc>
          <w:tcPr>
            <w:tcW w:w="1160" w:type="dxa"/>
            <w:vAlign w:val="bottom"/>
            <w:gridSpan w:val="2"/>
          </w:tcPr>
          <w:p>
            <w:pPr>
              <w:jc w:val="right"/>
              <w:ind w:right="9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513,000</w:t>
            </w:r>
          </w:p>
        </w:tc>
        <w:tc>
          <w:tcPr>
            <w:tcW w:w="140" w:type="dxa"/>
            <w:vAlign w:val="bottom"/>
          </w:tcPr>
          <w:p>
            <w:pPr>
              <w:spacing w:after="0"/>
              <w:rPr>
                <w:sz w:val="24"/>
                <w:szCs w:val="24"/>
                <w:color w:val="auto"/>
              </w:rPr>
            </w:pPr>
          </w:p>
        </w:tc>
      </w:tr>
      <w:tr>
        <w:trPr>
          <w:trHeight w:val="281"/>
        </w:trPr>
        <w:tc>
          <w:tcPr>
            <w:tcW w:w="8620" w:type="dxa"/>
            <w:vAlign w:val="bottom"/>
          </w:tcPr>
          <w:p>
            <w:pPr>
              <w:spacing w:after="0"/>
              <w:rPr>
                <w:sz w:val="20"/>
                <w:szCs w:val="20"/>
                <w:color w:val="auto"/>
              </w:rPr>
            </w:pPr>
            <w:r>
              <w:rPr>
                <w:rFonts w:ascii="Arial" w:cs="Arial" w:eastAsia="Arial" w:hAnsi="Arial"/>
                <w:sz w:val="12"/>
                <w:szCs w:val="12"/>
                <w:b w:val="1"/>
                <w:bCs w:val="1"/>
                <w:color w:val="auto"/>
              </w:rPr>
              <w:t>Conversion of debt obligations into common stock:</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Accrued interest</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476,000</w:t>
            </w:r>
          </w:p>
        </w:tc>
        <w:tc>
          <w:tcPr>
            <w:tcW w:w="140" w:type="dxa"/>
            <w:vAlign w:val="bottom"/>
          </w:tcPr>
          <w:p>
            <w:pPr>
              <w:spacing w:after="0"/>
              <w:rPr>
                <w:sz w:val="12"/>
                <w:szCs w:val="12"/>
                <w:color w:val="auto"/>
              </w:rPr>
            </w:pP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Convertible notes payable</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3,293,000</w:t>
            </w:r>
          </w:p>
        </w:tc>
        <w:tc>
          <w:tcPr>
            <w:tcW w:w="140" w:type="dxa"/>
            <w:vAlign w:val="bottom"/>
          </w:tcPr>
          <w:p>
            <w:pPr>
              <w:spacing w:after="0"/>
              <w:rPr>
                <w:sz w:val="12"/>
                <w:szCs w:val="12"/>
                <w:color w:val="auto"/>
              </w:rPr>
            </w:pP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Loans payable, related party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42,000</w:t>
            </w: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Promissory notes, related party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210,000</w:t>
            </w:r>
          </w:p>
        </w:tc>
        <w:tc>
          <w:tcPr>
            <w:tcW w:w="140" w:type="dxa"/>
            <w:vAlign w:val="bottom"/>
          </w:tcPr>
          <w:p>
            <w:pPr>
              <w:spacing w:after="0"/>
              <w:rPr>
                <w:sz w:val="12"/>
                <w:szCs w:val="12"/>
                <w:color w:val="auto"/>
              </w:rPr>
            </w:pP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Due to related parties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369,000</w:t>
            </w:r>
          </w:p>
        </w:tc>
        <w:tc>
          <w:tcPr>
            <w:tcW w:w="140" w:type="dxa"/>
            <w:vAlign w:val="bottom"/>
          </w:tcPr>
          <w:p>
            <w:pPr>
              <w:spacing w:after="0"/>
              <w:rPr>
                <w:sz w:val="12"/>
                <w:szCs w:val="12"/>
                <w:color w:val="auto"/>
              </w:rPr>
            </w:pPr>
          </w:p>
        </w:tc>
      </w:tr>
      <w:tr>
        <w:trPr>
          <w:trHeight w:val="154"/>
        </w:trPr>
        <w:tc>
          <w:tcPr>
            <w:tcW w:w="8620" w:type="dxa"/>
            <w:vAlign w:val="bottom"/>
          </w:tcPr>
          <w:p>
            <w:pPr>
              <w:spacing w:after="0"/>
              <w:rPr>
                <w:sz w:val="20"/>
                <w:szCs w:val="20"/>
                <w:color w:val="auto"/>
              </w:rPr>
            </w:pPr>
            <w:r>
              <w:rPr>
                <w:rFonts w:ascii="Arial" w:cs="Arial" w:eastAsia="Arial" w:hAnsi="Arial"/>
                <w:sz w:val="12"/>
                <w:szCs w:val="12"/>
                <w:color w:val="auto"/>
              </w:rPr>
              <w:t>Fair value derivative liability – conversion option at conversion</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708,000</w:t>
            </w:r>
          </w:p>
        </w:tc>
        <w:tc>
          <w:tcPr>
            <w:tcW w:w="140" w:type="dxa"/>
            <w:vAlign w:val="bottom"/>
          </w:tcPr>
          <w:p>
            <w:pPr>
              <w:spacing w:after="0"/>
              <w:rPr>
                <w:sz w:val="13"/>
                <w:szCs w:val="13"/>
                <w:color w:val="auto"/>
              </w:rPr>
            </w:pPr>
          </w:p>
        </w:tc>
      </w:tr>
      <w:tr>
        <w:trPr>
          <w:trHeight w:val="290"/>
        </w:trPr>
        <w:tc>
          <w:tcPr>
            <w:tcW w:w="8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716" w:right="199" w:bottom="1440" w:gutter="0" w:footer="0" w:header="0"/>
        </w:sectPr>
      </w:pPr>
    </w:p>
    <w:bookmarkStart w:id="71" w:name="page72"/>
    <w:bookmarkEnd w:id="71"/>
    <w:p>
      <w:pPr>
        <w:jc w:val="center"/>
        <w:spacing w:after="0"/>
        <w:rPr>
          <w:sz w:val="20"/>
          <w:szCs w:val="20"/>
          <w:color w:val="auto"/>
        </w:rPr>
      </w:pPr>
      <w:r>
        <w:rPr>
          <w:rFonts w:ascii="Arial" w:cs="Arial" w:eastAsia="Arial" w:hAnsi="Arial"/>
          <w:sz w:val="12"/>
          <w:szCs w:val="12"/>
          <w:b w:val="1"/>
          <w:bCs w:val="1"/>
          <w:i w:val="1"/>
          <w:iCs w:val="1"/>
          <w:color w:val="auto"/>
        </w:rPr>
        <w:t>TAPIMMUNE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March 31, 2015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NATURE OF OPERATIONS</w:t>
      </w:r>
    </w:p>
    <w:p>
      <w:pPr>
        <w:spacing w:after="0" w:line="143"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BASIS OF PRESENTATION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March 31, 2015,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125" w:lineRule="exact"/>
        <w:rPr>
          <w:sz w:val="20"/>
          <w:szCs w:val="20"/>
          <w:color w:val="auto"/>
        </w:rPr>
      </w:pPr>
    </w:p>
    <w:p>
      <w:pPr>
        <w:jc w:val="both"/>
        <w:ind w:firstLine="35"/>
        <w:spacing w:after="0" w:line="265" w:lineRule="auto"/>
        <w:rPr>
          <w:sz w:val="20"/>
          <w:szCs w:val="20"/>
          <w:color w:val="auto"/>
        </w:rPr>
      </w:pPr>
      <w:r>
        <w:rPr>
          <w:rFonts w:ascii="Arial" w:cs="Arial" w:eastAsia="Arial" w:hAnsi="Arial"/>
          <w:sz w:val="12"/>
          <w:szCs w:val="12"/>
          <w:color w:val="auto"/>
        </w:rPr>
        <w:t>The results for the statement of operations are not necessarily indicative of results to be expected for the year ending December 31, 2015 or for any future interim period. The condensed balance sheet at December 31, 2014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2014, and notes thereto included in the Company’s annual report on Form 10-K.</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LIQUIDITY AND FINANCIAL CONDITION</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As of March 31, 2015, the Company had cash and cash equivalents of approximately $1,454,000.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SIGNIFICANT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material changes in the Company’s significant accounting policies to those previously disclosed in the Company’s annual report on Form 10-K, which was filed with the SEC on April 15, 2015.</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Prior Period Reclassifications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Certain prior period amounts that were combined in the March 31, 2014 consolidated financial statements have been reclassified for comparability with the March 31, 2015 presentation. These reclassifications had no effect on previously reported net loss.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557" w:right="1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58"/>
        </w:trPr>
        <w:tc>
          <w:tcPr>
            <w:tcW w:w="8740" w:type="dxa"/>
            <w:vAlign w:val="bottom"/>
          </w:tcPr>
          <w:p>
            <w:pPr>
              <w:spacing w:after="0"/>
              <w:rPr>
                <w:sz w:val="20"/>
                <w:szCs w:val="20"/>
                <w:color w:val="auto"/>
              </w:rPr>
            </w:pPr>
            <w:r>
              <w:rPr>
                <w:rFonts w:ascii="Arial" w:cs="Arial" w:eastAsia="Arial" w:hAnsi="Arial"/>
                <w:sz w:val="12"/>
                <w:szCs w:val="12"/>
                <w:b w:val="1"/>
                <w:bCs w:val="1"/>
                <w:color w:val="auto"/>
              </w:rPr>
              <w:t>NOTE 5: POTENTIALLY DILUTIVE SECURITIES</w:t>
            </w: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90"/>
        </w:trPr>
        <w:tc>
          <w:tcPr>
            <w:tcW w:w="8740" w:type="dxa"/>
            <w:vAlign w:val="bottom"/>
          </w:tcPr>
          <w:p>
            <w:pPr>
              <w:spacing w:after="0"/>
              <w:rPr>
                <w:sz w:val="20"/>
                <w:szCs w:val="20"/>
                <w:color w:val="auto"/>
              </w:rPr>
            </w:pPr>
            <w:r>
              <w:rPr>
                <w:rFonts w:ascii="Arial" w:cs="Arial" w:eastAsia="Arial" w:hAnsi="Arial"/>
                <w:sz w:val="12"/>
                <w:szCs w:val="12"/>
                <w:color w:val="auto"/>
              </w:rPr>
              <w:t>Options, warrants, and convertible debt outstanding were all considered anti-dilutive for the three months ended March 31, 2015 and 2014, due to net losses.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0"/>
        </w:trPr>
        <w:tc>
          <w:tcPr>
            <w:tcW w:w="8740" w:type="dxa"/>
            <w:vAlign w:val="bottom"/>
          </w:tcPr>
          <w:p>
            <w:pPr>
              <w:spacing w:after="0"/>
              <w:rPr>
                <w:sz w:val="20"/>
                <w:szCs w:val="20"/>
                <w:color w:val="auto"/>
              </w:rPr>
            </w:pPr>
            <w:r>
              <w:rPr>
                <w:rFonts w:ascii="Arial" w:cs="Arial" w:eastAsia="Arial" w:hAnsi="Arial"/>
                <w:sz w:val="12"/>
                <w:szCs w:val="12"/>
                <w:color w:val="auto"/>
              </w:rPr>
              <w:t>The following securities were not included in the diluted net loss per share calculation because their effect was anti-dilutive as of the periods presented:</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8"/>
        </w:trPr>
        <w:tc>
          <w:tcPr>
            <w:tcW w:w="8740" w:type="dxa"/>
            <w:vAlign w:val="bottom"/>
          </w:tcPr>
          <w:p>
            <w:pPr>
              <w:spacing w:after="0"/>
              <w:rPr>
                <w:sz w:val="24"/>
                <w:szCs w:val="24"/>
                <w:color w:val="auto"/>
              </w:rPr>
            </w:pPr>
          </w:p>
        </w:tc>
        <w:tc>
          <w:tcPr>
            <w:tcW w:w="1720" w:type="dxa"/>
            <w:vAlign w:val="bottom"/>
            <w:tcBorders>
              <w:bottom w:val="single" w:sz="8" w:color="auto"/>
            </w:tcBorders>
            <w:gridSpan w:val="3"/>
          </w:tcPr>
          <w:p>
            <w:pPr>
              <w:ind w:left="1000"/>
              <w:spacing w:after="0"/>
              <w:rPr>
                <w:sz w:val="20"/>
                <w:szCs w:val="20"/>
                <w:color w:val="auto"/>
              </w:rPr>
            </w:pPr>
            <w:r>
              <w:rPr>
                <w:rFonts w:ascii="Arial" w:cs="Arial" w:eastAsia="Arial" w:hAnsi="Arial"/>
                <w:sz w:val="12"/>
                <w:szCs w:val="12"/>
                <w:b w:val="1"/>
                <w:bCs w:val="1"/>
                <w:color w:val="auto"/>
              </w:rPr>
              <w:t>March 31,</w:t>
            </w:r>
          </w:p>
        </w:tc>
        <w:tc>
          <w:tcPr>
            <w:tcW w:w="880" w:type="dxa"/>
            <w:vAlign w:val="bottom"/>
            <w:tcBorders>
              <w:bottom w:val="single" w:sz="8" w:color="auto"/>
            </w:tcBorders>
          </w:tcPr>
          <w:p>
            <w:pPr>
              <w:spacing w:after="0"/>
              <w:rPr>
                <w:sz w:val="24"/>
                <w:szCs w:val="24"/>
                <w:color w:val="auto"/>
              </w:rPr>
            </w:pPr>
          </w:p>
        </w:tc>
      </w:tr>
      <w:tr>
        <w:trPr>
          <w:trHeight w:val="143"/>
        </w:trPr>
        <w:tc>
          <w:tcPr>
            <w:tcW w:w="8740" w:type="dxa"/>
            <w:vAlign w:val="bottom"/>
          </w:tcPr>
          <w:p>
            <w:pPr>
              <w:spacing w:after="0"/>
              <w:rPr>
                <w:sz w:val="12"/>
                <w:szCs w:val="12"/>
                <w:color w:val="auto"/>
              </w:rPr>
            </w:pPr>
          </w:p>
        </w:tc>
        <w:tc>
          <w:tcPr>
            <w:tcW w:w="11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2014</w:t>
            </w:r>
          </w:p>
        </w:tc>
      </w:tr>
      <w:tr>
        <w:trPr>
          <w:trHeight w:val="134"/>
        </w:trPr>
        <w:tc>
          <w:tcPr>
            <w:tcW w:w="8740" w:type="dxa"/>
            <w:vAlign w:val="bottom"/>
          </w:tcPr>
          <w:p>
            <w:pPr>
              <w:spacing w:after="0" w:line="134" w:lineRule="exact"/>
              <w:rPr>
                <w:sz w:val="20"/>
                <w:szCs w:val="20"/>
                <w:color w:val="auto"/>
              </w:rPr>
            </w:pPr>
            <w:r>
              <w:rPr>
                <w:rFonts w:ascii="Arial" w:cs="Arial" w:eastAsia="Arial" w:hAnsi="Arial"/>
                <w:sz w:val="12"/>
                <w:szCs w:val="12"/>
                <w:color w:val="auto"/>
              </w:rPr>
              <w:t>Common stock options</w:t>
            </w:r>
          </w:p>
        </w:tc>
        <w:tc>
          <w:tcPr>
            <w:tcW w:w="1180" w:type="dxa"/>
            <w:vAlign w:val="bottom"/>
          </w:tcPr>
          <w:p>
            <w:pPr>
              <w:jc w:val="right"/>
              <w:spacing w:after="0" w:line="134" w:lineRule="exact"/>
              <w:rPr>
                <w:sz w:val="20"/>
                <w:szCs w:val="20"/>
                <w:color w:val="auto"/>
              </w:rPr>
            </w:pPr>
            <w:r>
              <w:rPr>
                <w:rFonts w:ascii="Arial" w:cs="Arial" w:eastAsia="Arial" w:hAnsi="Arial"/>
                <w:sz w:val="12"/>
                <w:szCs w:val="12"/>
                <w:color w:val="auto"/>
              </w:rPr>
              <w:t>65,000</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65,000</w:t>
            </w:r>
          </w:p>
        </w:tc>
      </w:tr>
      <w:tr>
        <w:trPr>
          <w:trHeight w:val="145"/>
        </w:trPr>
        <w:tc>
          <w:tcPr>
            <w:tcW w:w="8740" w:type="dxa"/>
            <w:vAlign w:val="bottom"/>
          </w:tcPr>
          <w:p>
            <w:pPr>
              <w:spacing w:after="0"/>
              <w:rPr>
                <w:sz w:val="20"/>
                <w:szCs w:val="20"/>
                <w:color w:val="auto"/>
              </w:rPr>
            </w:pPr>
            <w:r>
              <w:rPr>
                <w:rFonts w:ascii="Arial" w:cs="Arial" w:eastAsia="Arial" w:hAnsi="Arial"/>
                <w:sz w:val="12"/>
                <w:szCs w:val="12"/>
                <w:color w:val="auto"/>
              </w:rPr>
              <w:t>Common stock warrants - equity treatment</w:t>
            </w:r>
          </w:p>
        </w:tc>
        <w:tc>
          <w:tcPr>
            <w:tcW w:w="1180" w:type="dxa"/>
            <w:vAlign w:val="bottom"/>
          </w:tcPr>
          <w:p>
            <w:pPr>
              <w:jc w:val="right"/>
              <w:spacing w:after="0"/>
              <w:rPr>
                <w:sz w:val="20"/>
                <w:szCs w:val="20"/>
                <w:color w:val="auto"/>
              </w:rPr>
            </w:pPr>
            <w:r>
              <w:rPr>
                <w:rFonts w:ascii="Arial" w:cs="Arial" w:eastAsia="Arial" w:hAnsi="Arial"/>
                <w:sz w:val="12"/>
                <w:szCs w:val="12"/>
                <w:color w:val="auto"/>
              </w:rPr>
              <w:t>52,229,000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193,000</w:t>
            </w:r>
          </w:p>
        </w:tc>
      </w:tr>
      <w:tr>
        <w:trPr>
          <w:trHeight w:val="145"/>
        </w:trPr>
        <w:tc>
          <w:tcPr>
            <w:tcW w:w="8740" w:type="dxa"/>
            <w:vAlign w:val="bottom"/>
          </w:tcPr>
          <w:p>
            <w:pPr>
              <w:spacing w:after="0"/>
              <w:rPr>
                <w:sz w:val="20"/>
                <w:szCs w:val="20"/>
                <w:color w:val="auto"/>
              </w:rPr>
            </w:pPr>
            <w:r>
              <w:rPr>
                <w:rFonts w:ascii="Arial" w:cs="Arial" w:eastAsia="Arial" w:hAnsi="Arial"/>
                <w:sz w:val="12"/>
                <w:szCs w:val="12"/>
                <w:color w:val="auto"/>
              </w:rPr>
              <w:t>Common stock warrants - liability treatment</w:t>
            </w:r>
          </w:p>
        </w:tc>
        <w:tc>
          <w:tcPr>
            <w:tcW w:w="1180" w:type="dxa"/>
            <w:vAlign w:val="bottom"/>
          </w:tcPr>
          <w:p>
            <w:pPr>
              <w:jc w:val="right"/>
              <w:spacing w:after="0"/>
              <w:rPr>
                <w:sz w:val="20"/>
                <w:szCs w:val="20"/>
                <w:color w:val="auto"/>
              </w:rPr>
            </w:pPr>
            <w:r>
              <w:rPr>
                <w:rFonts w:ascii="Arial" w:cs="Arial" w:eastAsia="Arial" w:hAnsi="Arial"/>
                <w:sz w:val="12"/>
                <w:szCs w:val="12"/>
                <w:color w:val="auto"/>
              </w:rPr>
              <w:t>12,514,000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57,000</w:t>
            </w:r>
          </w:p>
        </w:tc>
      </w:tr>
      <w:tr>
        <w:trPr>
          <w:trHeight w:val="154"/>
        </w:trPr>
        <w:tc>
          <w:tcPr>
            <w:tcW w:w="8740" w:type="dxa"/>
            <w:vAlign w:val="bottom"/>
          </w:tcPr>
          <w:p>
            <w:pPr>
              <w:spacing w:after="0"/>
              <w:rPr>
                <w:sz w:val="20"/>
                <w:szCs w:val="20"/>
                <w:color w:val="auto"/>
              </w:rPr>
            </w:pPr>
            <w:r>
              <w:rPr>
                <w:rFonts w:ascii="Arial" w:cs="Arial" w:eastAsia="Arial" w:hAnsi="Arial"/>
                <w:sz w:val="12"/>
                <w:szCs w:val="12"/>
                <w:color w:val="auto"/>
              </w:rPr>
              <w:t>Convertible notes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15,000</w:t>
            </w:r>
          </w:p>
        </w:tc>
      </w:tr>
      <w:tr>
        <w:trPr>
          <w:trHeight w:val="143"/>
        </w:trPr>
        <w:tc>
          <w:tcPr>
            <w:tcW w:w="8740" w:type="dxa"/>
            <w:vAlign w:val="bottom"/>
          </w:tcPr>
          <w:p>
            <w:pPr>
              <w:spacing w:after="0" w:line="125" w:lineRule="exact"/>
              <w:rPr>
                <w:sz w:val="20"/>
                <w:szCs w:val="20"/>
                <w:color w:val="auto"/>
              </w:rPr>
            </w:pPr>
            <w:r>
              <w:rPr>
                <w:rFonts w:ascii="Arial" w:cs="Arial" w:eastAsia="Arial" w:hAnsi="Arial"/>
                <w:sz w:val="12"/>
                <w:szCs w:val="12"/>
                <w:color w:val="auto"/>
              </w:rPr>
              <w:t>Potentially dilutive securities</w:t>
            </w:r>
          </w:p>
        </w:tc>
        <w:tc>
          <w:tcPr>
            <w:tcW w:w="11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64,808,000</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330,000</w:t>
            </w:r>
          </w:p>
        </w:tc>
      </w:tr>
      <w:tr>
        <w:trPr>
          <w:trHeight w:val="20"/>
        </w:trPr>
        <w:tc>
          <w:tcPr>
            <w:tcW w:w="8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DERIVATIVE LIABILITY - WARRANTS AND DERIVATIVE LIABILITY – CONVERSION OPTION</w:t>
      </w:r>
    </w:p>
    <w:p>
      <w:pPr>
        <w:spacing w:after="0" w:line="156"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2015 and 2014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620" w:type="dxa"/>
            <w:vAlign w:val="bottom"/>
          </w:tcPr>
          <w:p>
            <w:pPr>
              <w:spacing w:after="0"/>
              <w:rPr>
                <w:sz w:val="20"/>
                <w:szCs w:val="20"/>
                <w:color w:val="auto"/>
              </w:rPr>
            </w:pPr>
            <w:r>
              <w:rPr>
                <w:rFonts w:ascii="Arial" w:cs="Arial" w:eastAsia="Arial" w:hAnsi="Arial"/>
                <w:sz w:val="12"/>
                <w:szCs w:val="12"/>
                <w:b w:val="1"/>
                <w:bCs w:val="1"/>
                <w:color w:val="auto"/>
              </w:rPr>
              <w:t>Share Purchase Warrants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5"/>
          </w:tcPr>
          <w:p>
            <w:pPr>
              <w:jc w:val="right"/>
              <w:ind w:right="360"/>
              <w:spacing w:after="0"/>
              <w:rPr>
                <w:sz w:val="20"/>
                <w:szCs w:val="20"/>
                <w:color w:val="auto"/>
              </w:rPr>
            </w:pPr>
            <w:r>
              <w:rPr>
                <w:rFonts w:ascii="Arial" w:cs="Arial" w:eastAsia="Arial" w:hAnsi="Arial"/>
                <w:sz w:val="12"/>
                <w:szCs w:val="12"/>
                <w:b w:val="1"/>
                <w:bCs w:val="1"/>
                <w:color w:val="auto"/>
                <w:w w:val="98"/>
              </w:rPr>
              <w:t>Weighted Average Inputs for the Period</w:t>
            </w:r>
          </w:p>
        </w:tc>
      </w:tr>
      <w:tr>
        <w:trPr>
          <w:trHeight w:val="130"/>
        </w:trPr>
        <w:tc>
          <w:tcPr>
            <w:tcW w:w="8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340"/>
              <w:spacing w:after="0" w:line="130" w:lineRule="exact"/>
              <w:rPr>
                <w:sz w:val="20"/>
                <w:szCs w:val="20"/>
                <w:color w:val="auto"/>
              </w:rPr>
            </w:pPr>
            <w:r>
              <w:rPr>
                <w:rFonts w:ascii="Arial" w:cs="Arial" w:eastAsia="Arial" w:hAnsi="Arial"/>
                <w:sz w:val="12"/>
                <w:szCs w:val="12"/>
                <w:b w:val="1"/>
                <w:bCs w:val="1"/>
                <w:color w:val="auto"/>
                <w:w w:val="93"/>
              </w:rPr>
              <w:t>For the Quarter</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20"/>
              <w:spacing w:after="0" w:line="130" w:lineRule="exact"/>
              <w:rPr>
                <w:sz w:val="20"/>
                <w:szCs w:val="20"/>
                <w:color w:val="auto"/>
              </w:rPr>
            </w:pPr>
            <w:r>
              <w:rPr>
                <w:rFonts w:ascii="Arial" w:cs="Arial" w:eastAsia="Arial" w:hAnsi="Arial"/>
                <w:sz w:val="12"/>
                <w:szCs w:val="12"/>
                <w:b w:val="1"/>
                <w:bCs w:val="1"/>
                <w:color w:val="auto"/>
                <w:w w:val="96"/>
              </w:rPr>
              <w:t>For the Quarter</w:t>
            </w:r>
          </w:p>
        </w:tc>
        <w:tc>
          <w:tcPr>
            <w:tcW w:w="100" w:type="dxa"/>
            <w:vAlign w:val="bottom"/>
          </w:tcPr>
          <w:p>
            <w:pPr>
              <w:spacing w:after="0"/>
              <w:rPr>
                <w:sz w:val="11"/>
                <w:szCs w:val="11"/>
                <w:color w:val="auto"/>
              </w:rPr>
            </w:pPr>
          </w:p>
        </w:tc>
      </w:tr>
      <w:tr>
        <w:trPr>
          <w:trHeight w:val="145"/>
        </w:trPr>
        <w:tc>
          <w:tcPr>
            <w:tcW w:w="8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Ending March 31,</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Ending March 31,</w:t>
            </w:r>
          </w:p>
        </w:tc>
      </w:tr>
      <w:tr>
        <w:trPr>
          <w:trHeight w:val="158"/>
        </w:trPr>
        <w:tc>
          <w:tcPr>
            <w:tcW w:w="8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Date of valuation</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9"/>
              </w:rPr>
              <w:t>2015</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9"/>
              </w:rPr>
              <w:t>2014</w:t>
            </w:r>
          </w:p>
        </w:tc>
        <w:tc>
          <w:tcPr>
            <w:tcW w:w="100" w:type="dxa"/>
            <w:vAlign w:val="bottom"/>
          </w:tcPr>
          <w:p>
            <w:pPr>
              <w:spacing w:after="0"/>
              <w:rPr>
                <w:sz w:val="13"/>
                <w:szCs w:val="13"/>
                <w:color w:val="auto"/>
              </w:rPr>
            </w:pPr>
          </w:p>
        </w:tc>
      </w:tr>
      <w:tr>
        <w:trPr>
          <w:trHeight w:val="134"/>
        </w:trPr>
        <w:tc>
          <w:tcPr>
            <w:tcW w:w="8620" w:type="dxa"/>
            <w:vAlign w:val="bottom"/>
          </w:tcPr>
          <w:p>
            <w:pPr>
              <w:spacing w:after="0" w:line="134" w:lineRule="exact"/>
              <w:rPr>
                <w:sz w:val="20"/>
                <w:szCs w:val="20"/>
                <w:color w:val="auto"/>
              </w:rPr>
            </w:pPr>
            <w:r>
              <w:rPr>
                <w:rFonts w:ascii="Arial" w:cs="Arial" w:eastAsia="Arial" w:hAnsi="Arial"/>
                <w:sz w:val="12"/>
                <w:szCs w:val="12"/>
                <w:color w:val="auto"/>
              </w:rPr>
              <w:t>Dividend yield (per share)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0%</w:t>
            </w:r>
          </w:p>
        </w:tc>
        <w:tc>
          <w:tcPr>
            <w:tcW w:w="100" w:type="dxa"/>
            <w:vAlign w:val="bottom"/>
          </w:tcPr>
          <w:p>
            <w:pPr>
              <w:spacing w:after="0"/>
              <w:rPr>
                <w:sz w:val="11"/>
                <w:szCs w:val="11"/>
                <w:color w:val="auto"/>
              </w:rPr>
            </w:pPr>
          </w:p>
        </w:tc>
        <w:tc>
          <w:tcPr>
            <w:tcW w:w="11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0%</w:t>
            </w: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Strike price</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5.84</w:t>
            </w: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Volatility (annual)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155.00%</w:t>
            </w:r>
          </w:p>
        </w:tc>
        <w:tc>
          <w:tcPr>
            <w:tcW w:w="100" w:type="dxa"/>
            <w:vAlign w:val="bottom"/>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159.00%</w:t>
            </w:r>
          </w:p>
        </w:tc>
      </w:tr>
      <w:tr>
        <w:trPr>
          <w:trHeight w:val="145"/>
        </w:trPr>
        <w:tc>
          <w:tcPr>
            <w:tcW w:w="8620" w:type="dxa"/>
            <w:vAlign w:val="bottom"/>
          </w:tcPr>
          <w:p>
            <w:pPr>
              <w:spacing w:after="0"/>
              <w:rPr>
                <w:sz w:val="20"/>
                <w:szCs w:val="20"/>
                <w:color w:val="auto"/>
              </w:rPr>
            </w:pPr>
            <w:r>
              <w:rPr>
                <w:rFonts w:ascii="Arial" w:cs="Arial" w:eastAsia="Arial" w:hAnsi="Arial"/>
                <w:sz w:val="12"/>
                <w:szCs w:val="12"/>
                <w:color w:val="auto"/>
              </w:rPr>
              <w:t>Risk-free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1.37%</w:t>
            </w:r>
          </w:p>
        </w:tc>
        <w:tc>
          <w:tcPr>
            <w:tcW w:w="100" w:type="dxa"/>
            <w:vAlign w:val="bottom"/>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0.65%</w:t>
            </w:r>
          </w:p>
        </w:tc>
      </w:tr>
      <w:tr>
        <w:trPr>
          <w:trHeight w:val="154"/>
        </w:trPr>
        <w:tc>
          <w:tcPr>
            <w:tcW w:w="8620" w:type="dxa"/>
            <w:vAlign w:val="bottom"/>
          </w:tcPr>
          <w:p>
            <w:pPr>
              <w:spacing w:after="0"/>
              <w:rPr>
                <w:sz w:val="20"/>
                <w:szCs w:val="20"/>
                <w:color w:val="auto"/>
              </w:rPr>
            </w:pPr>
            <w:r>
              <w:rPr>
                <w:rFonts w:ascii="Arial" w:cs="Arial" w:eastAsia="Arial" w:hAnsi="Arial"/>
                <w:sz w:val="12"/>
                <w:szCs w:val="12"/>
                <w:color w:val="auto"/>
              </w:rPr>
              <w:t>Contractual term (years)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4.85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3.83</w:t>
            </w:r>
          </w:p>
        </w:tc>
      </w:tr>
      <w:tr>
        <w:trPr>
          <w:trHeight w:val="20"/>
        </w:trPr>
        <w:tc>
          <w:tcPr>
            <w:tcW w:w="8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Financial Assets and Liabilities Measured at Fair Value on a Recurring Basis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Financial assets and liabilities measured at fair value on a recurring basis are summarized below and disclosed on the balance sheet under Derivative liability – warrants and Derivative liability – conversion option: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w w:val="95"/>
              </w:rPr>
              <w:t>As of March 31, 2015</w:t>
            </w:r>
          </w:p>
        </w:tc>
        <w:tc>
          <w:tcPr>
            <w:tcW w:w="3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r>
      <w:tr>
        <w:trPr>
          <w:trHeight w:val="143"/>
        </w:trPr>
        <w:tc>
          <w:tcPr>
            <w:tcW w:w="4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5"/>
              </w:rPr>
              <w:t>Fair Value Measurements</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4"/>
        </w:trPr>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Fair Value</w:t>
            </w:r>
          </w:p>
        </w:tc>
        <w:tc>
          <w:tcPr>
            <w:tcW w:w="1220" w:type="dxa"/>
            <w:vAlign w:val="bottom"/>
            <w:gridSpan w:val="2"/>
          </w:tcPr>
          <w:p>
            <w:pPr>
              <w:jc w:val="right"/>
              <w:ind w:right="80"/>
              <w:spacing w:after="0" w:line="134" w:lineRule="exact"/>
              <w:rPr>
                <w:sz w:val="20"/>
                <w:szCs w:val="20"/>
                <w:color w:val="auto"/>
              </w:rPr>
            </w:pPr>
            <w:r>
              <w:rPr>
                <w:rFonts w:ascii="Arial" w:cs="Arial" w:eastAsia="Arial" w:hAnsi="Arial"/>
                <w:sz w:val="12"/>
                <w:szCs w:val="12"/>
                <w:b w:val="1"/>
                <w:bCs w:val="1"/>
                <w:color w:val="auto"/>
              </w:rPr>
              <w:t>Level 1</w:t>
            </w:r>
          </w:p>
        </w:tc>
        <w:tc>
          <w:tcPr>
            <w:tcW w:w="140" w:type="dxa"/>
            <w:vAlign w:val="bottom"/>
          </w:tcPr>
          <w:p>
            <w:pPr>
              <w:spacing w:after="0"/>
              <w:rPr>
                <w:sz w:val="11"/>
                <w:szCs w:val="11"/>
                <w:color w:val="auto"/>
              </w:rPr>
            </w:pPr>
          </w:p>
        </w:tc>
        <w:tc>
          <w:tcPr>
            <w:tcW w:w="1400" w:type="dxa"/>
            <w:vAlign w:val="bottom"/>
            <w:gridSpan w:val="2"/>
          </w:tcPr>
          <w:p>
            <w:pPr>
              <w:jc w:val="right"/>
              <w:ind w:right="240"/>
              <w:spacing w:after="0" w:line="134" w:lineRule="exact"/>
              <w:rPr>
                <w:sz w:val="20"/>
                <w:szCs w:val="20"/>
                <w:color w:val="auto"/>
              </w:rPr>
            </w:pPr>
            <w:r>
              <w:rPr>
                <w:rFonts w:ascii="Arial" w:cs="Arial" w:eastAsia="Arial" w:hAnsi="Arial"/>
                <w:sz w:val="12"/>
                <w:szCs w:val="12"/>
                <w:b w:val="1"/>
                <w:bCs w:val="1"/>
                <w:color w:val="auto"/>
              </w:rPr>
              <w:t>Level 2</w:t>
            </w:r>
          </w:p>
        </w:tc>
        <w:tc>
          <w:tcPr>
            <w:tcW w:w="360" w:type="dxa"/>
            <w:vAlign w:val="bottom"/>
          </w:tcPr>
          <w:p>
            <w:pPr>
              <w:spacing w:after="0"/>
              <w:rPr>
                <w:sz w:val="11"/>
                <w:szCs w:val="11"/>
                <w:color w:val="auto"/>
              </w:rPr>
            </w:pPr>
          </w:p>
        </w:tc>
        <w:tc>
          <w:tcPr>
            <w:tcW w:w="80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Level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ind w:left="540"/>
              <w:spacing w:after="0" w:line="134" w:lineRule="exact"/>
              <w:rPr>
                <w:sz w:val="20"/>
                <w:szCs w:val="20"/>
                <w:color w:val="auto"/>
              </w:rPr>
            </w:pPr>
            <w:r>
              <w:rPr>
                <w:rFonts w:ascii="Arial" w:cs="Arial" w:eastAsia="Arial" w:hAnsi="Arial"/>
                <w:sz w:val="12"/>
                <w:szCs w:val="12"/>
                <w:b w:val="1"/>
                <w:bCs w:val="1"/>
                <w:color w:val="auto"/>
              </w:rPr>
              <w:t>Total</w:t>
            </w:r>
          </w:p>
        </w:tc>
      </w:tr>
      <w:tr>
        <w:trPr>
          <w:trHeight w:val="154"/>
        </w:trPr>
        <w:tc>
          <w:tcPr>
            <w:tcW w:w="4620" w:type="dxa"/>
            <w:vAlign w:val="bottom"/>
            <w:gridSpan w:val="2"/>
          </w:tcPr>
          <w:p>
            <w:pPr>
              <w:spacing w:after="0"/>
              <w:rPr>
                <w:sz w:val="20"/>
                <w:szCs w:val="20"/>
                <w:color w:val="auto"/>
              </w:rPr>
            </w:pPr>
            <w:r>
              <w:rPr>
                <w:rFonts w:ascii="Arial" w:cs="Arial" w:eastAsia="Arial" w:hAnsi="Arial"/>
                <w:sz w:val="12"/>
                <w:szCs w:val="12"/>
                <w:color w:val="auto"/>
              </w:rPr>
              <w:t>Derivative liability - warrants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2,053,000</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54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2,053,000</w:t>
            </w:r>
          </w:p>
        </w:tc>
        <w:tc>
          <w:tcPr>
            <w:tcW w:w="620" w:type="dxa"/>
            <w:vAlign w:val="bottom"/>
            <w:gridSpan w:val="2"/>
          </w:tcPr>
          <w:p>
            <w:pPr>
              <w:jc w:val="right"/>
              <w:ind w:right="27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2,053,000</w:t>
            </w:r>
          </w:p>
        </w:tc>
        <w:tc>
          <w:tcPr>
            <w:tcW w:w="140" w:type="dxa"/>
            <w:vAlign w:val="bottom"/>
          </w:tcPr>
          <w:p>
            <w:pPr>
              <w:spacing w:after="0"/>
              <w:rPr>
                <w:sz w:val="13"/>
                <w:szCs w:val="13"/>
                <w:color w:val="auto"/>
              </w:rPr>
            </w:pPr>
          </w:p>
        </w:tc>
      </w:tr>
      <w:tr>
        <w:trPr>
          <w:trHeight w:val="143"/>
        </w:trPr>
        <w:tc>
          <w:tcPr>
            <w:tcW w:w="4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2,053,000</w:t>
            </w:r>
          </w:p>
        </w:tc>
        <w:tc>
          <w:tcPr>
            <w:tcW w:w="2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2,053,000</w:t>
            </w:r>
          </w:p>
        </w:tc>
        <w:tc>
          <w:tcPr>
            <w:tcW w:w="2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2,053,000</w:t>
            </w:r>
          </w:p>
        </w:tc>
        <w:tc>
          <w:tcPr>
            <w:tcW w:w="140" w:type="dxa"/>
            <w:vAlign w:val="bottom"/>
          </w:tcPr>
          <w:p>
            <w:pPr>
              <w:spacing w:after="0"/>
              <w:rPr>
                <w:sz w:val="12"/>
                <w:szCs w:val="12"/>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4"/>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43"/>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w w:val="97"/>
              </w:rPr>
              <w:t>As of December 31, 2014</w:t>
            </w: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3"/>
        </w:trPr>
        <w:tc>
          <w:tcPr>
            <w:tcW w:w="4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5"/>
              </w:rPr>
              <w:t>Fair Value Measurements</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4"/>
        </w:trPr>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Fair Value</w:t>
            </w:r>
          </w:p>
        </w:tc>
        <w:tc>
          <w:tcPr>
            <w:tcW w:w="1220" w:type="dxa"/>
            <w:vAlign w:val="bottom"/>
            <w:gridSpan w:val="2"/>
          </w:tcPr>
          <w:p>
            <w:pPr>
              <w:jc w:val="right"/>
              <w:ind w:right="80"/>
              <w:spacing w:after="0" w:line="134" w:lineRule="exact"/>
              <w:rPr>
                <w:sz w:val="20"/>
                <w:szCs w:val="20"/>
                <w:color w:val="auto"/>
              </w:rPr>
            </w:pPr>
            <w:r>
              <w:rPr>
                <w:rFonts w:ascii="Arial" w:cs="Arial" w:eastAsia="Arial" w:hAnsi="Arial"/>
                <w:sz w:val="12"/>
                <w:szCs w:val="12"/>
                <w:b w:val="1"/>
                <w:bCs w:val="1"/>
                <w:color w:val="auto"/>
              </w:rPr>
              <w:t>Level 1</w:t>
            </w:r>
          </w:p>
        </w:tc>
        <w:tc>
          <w:tcPr>
            <w:tcW w:w="140" w:type="dxa"/>
            <w:vAlign w:val="bottom"/>
          </w:tcPr>
          <w:p>
            <w:pPr>
              <w:spacing w:after="0"/>
              <w:rPr>
                <w:sz w:val="11"/>
                <w:szCs w:val="11"/>
                <w:color w:val="auto"/>
              </w:rPr>
            </w:pPr>
          </w:p>
        </w:tc>
        <w:tc>
          <w:tcPr>
            <w:tcW w:w="1400" w:type="dxa"/>
            <w:vAlign w:val="bottom"/>
            <w:gridSpan w:val="2"/>
          </w:tcPr>
          <w:p>
            <w:pPr>
              <w:jc w:val="right"/>
              <w:ind w:right="240"/>
              <w:spacing w:after="0" w:line="134" w:lineRule="exact"/>
              <w:rPr>
                <w:sz w:val="20"/>
                <w:szCs w:val="20"/>
                <w:color w:val="auto"/>
              </w:rPr>
            </w:pPr>
            <w:r>
              <w:rPr>
                <w:rFonts w:ascii="Arial" w:cs="Arial" w:eastAsia="Arial" w:hAnsi="Arial"/>
                <w:sz w:val="12"/>
                <w:szCs w:val="12"/>
                <w:b w:val="1"/>
                <w:bCs w:val="1"/>
                <w:color w:val="auto"/>
              </w:rPr>
              <w:t>Level 2</w:t>
            </w:r>
          </w:p>
        </w:tc>
        <w:tc>
          <w:tcPr>
            <w:tcW w:w="360" w:type="dxa"/>
            <w:vAlign w:val="bottom"/>
          </w:tcPr>
          <w:p>
            <w:pPr>
              <w:spacing w:after="0"/>
              <w:rPr>
                <w:sz w:val="11"/>
                <w:szCs w:val="11"/>
                <w:color w:val="auto"/>
              </w:rPr>
            </w:pPr>
          </w:p>
        </w:tc>
        <w:tc>
          <w:tcPr>
            <w:tcW w:w="80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Level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ind w:left="540"/>
              <w:spacing w:after="0" w:line="134" w:lineRule="exact"/>
              <w:rPr>
                <w:sz w:val="20"/>
                <w:szCs w:val="20"/>
                <w:color w:val="auto"/>
              </w:rPr>
            </w:pPr>
            <w:r>
              <w:rPr>
                <w:rFonts w:ascii="Arial" w:cs="Arial" w:eastAsia="Arial" w:hAnsi="Arial"/>
                <w:sz w:val="12"/>
                <w:szCs w:val="12"/>
                <w:b w:val="1"/>
                <w:bCs w:val="1"/>
                <w:color w:val="auto"/>
              </w:rPr>
              <w:t>Total</w:t>
            </w:r>
          </w:p>
        </w:tc>
      </w:tr>
      <w:tr>
        <w:trPr>
          <w:trHeight w:val="154"/>
        </w:trPr>
        <w:tc>
          <w:tcPr>
            <w:tcW w:w="4620" w:type="dxa"/>
            <w:vAlign w:val="bottom"/>
            <w:gridSpan w:val="2"/>
          </w:tcPr>
          <w:p>
            <w:pPr>
              <w:spacing w:after="0"/>
              <w:rPr>
                <w:sz w:val="20"/>
                <w:szCs w:val="20"/>
                <w:color w:val="auto"/>
              </w:rPr>
            </w:pPr>
            <w:r>
              <w:rPr>
                <w:rFonts w:ascii="Arial" w:cs="Arial" w:eastAsia="Arial" w:hAnsi="Arial"/>
                <w:sz w:val="12"/>
                <w:szCs w:val="12"/>
                <w:color w:val="auto"/>
              </w:rPr>
              <w:t>Derivative liability - warrants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9,000</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54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9,000</w:t>
            </w:r>
          </w:p>
        </w:tc>
        <w:tc>
          <w:tcPr>
            <w:tcW w:w="620" w:type="dxa"/>
            <w:vAlign w:val="bottom"/>
            <w:gridSpan w:val="2"/>
          </w:tcPr>
          <w:p>
            <w:pPr>
              <w:jc w:val="right"/>
              <w:ind w:right="27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9,000</w:t>
            </w:r>
          </w:p>
        </w:tc>
        <w:tc>
          <w:tcPr>
            <w:tcW w:w="140" w:type="dxa"/>
            <w:vAlign w:val="bottom"/>
          </w:tcPr>
          <w:p>
            <w:pPr>
              <w:spacing w:after="0"/>
              <w:rPr>
                <w:sz w:val="13"/>
                <w:szCs w:val="13"/>
                <w:color w:val="auto"/>
              </w:rPr>
            </w:pPr>
          </w:p>
        </w:tc>
      </w:tr>
      <w:tr>
        <w:trPr>
          <w:trHeight w:val="143"/>
        </w:trPr>
        <w:tc>
          <w:tcPr>
            <w:tcW w:w="4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9,000</w:t>
            </w:r>
          </w:p>
        </w:tc>
        <w:tc>
          <w:tcPr>
            <w:tcW w:w="2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9,000</w:t>
            </w:r>
          </w:p>
        </w:tc>
        <w:tc>
          <w:tcPr>
            <w:tcW w:w="2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9,000</w:t>
            </w:r>
          </w:p>
        </w:tc>
        <w:tc>
          <w:tcPr>
            <w:tcW w:w="140" w:type="dxa"/>
            <w:vAlign w:val="bottom"/>
          </w:tcPr>
          <w:p>
            <w:pPr>
              <w:spacing w:after="0"/>
              <w:rPr>
                <w:sz w:val="12"/>
                <w:szCs w:val="12"/>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There were no transfers between Level 1, 2 or 3 during the three months ended March 31, 2015.</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89" w:right="199" w:bottom="1440" w:gutter="0" w:footer="0" w:header="0"/>
        </w:sectPr>
      </w:pPr>
    </w:p>
    <w:bookmarkStart w:id="73" w:name="page74"/>
    <w:bookmarkEnd w:id="73"/>
    <w:p>
      <w:pPr>
        <w:spacing w:after="0"/>
        <w:rPr>
          <w:sz w:val="20"/>
          <w:szCs w:val="20"/>
          <w:color w:val="auto"/>
        </w:rPr>
      </w:pPr>
      <w:r>
        <w:rPr>
          <w:rFonts w:ascii="Arial" w:cs="Arial" w:eastAsia="Arial" w:hAnsi="Arial"/>
          <w:sz w:val="10"/>
          <w:szCs w:val="10"/>
          <w:color w:val="auto"/>
        </w:rPr>
        <w:t>The following table presents changes in Level 3 liabilities measured at fair value for the three months ended March 31, 2015:</w:t>
      </w: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Balance – December 31, 2014</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Additions during the quarter</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Change in fair value of warrant liability</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Balance – March 31, 2015</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130"/>
        <w:spacing w:after="0"/>
        <w:rPr>
          <w:sz w:val="20"/>
          <w:szCs w:val="20"/>
          <w:color w:val="auto"/>
        </w:rPr>
      </w:pPr>
      <w:r>
        <w:rPr>
          <w:rFonts w:ascii="Arial" w:cs="Arial" w:eastAsia="Arial" w:hAnsi="Arial"/>
          <w:sz w:val="12"/>
          <w:szCs w:val="12"/>
          <w:color w:val="auto"/>
        </w:rPr>
        <w:t>Derivative liability –</w:t>
      </w:r>
    </w:p>
    <w:p>
      <w:pPr>
        <w:spacing w:after="0" w:line="16" w:lineRule="exact"/>
        <w:rPr>
          <w:sz w:val="20"/>
          <w:szCs w:val="20"/>
          <w:color w:val="auto"/>
        </w:rPr>
      </w:pPr>
    </w:p>
    <w:p>
      <w:pPr>
        <w:jc w:val="center"/>
        <w:ind w:right="130"/>
        <w:spacing w:after="0"/>
        <w:rPr>
          <w:sz w:val="20"/>
          <w:szCs w:val="20"/>
          <w:color w:val="auto"/>
        </w:rPr>
      </w:pPr>
      <w:r>
        <w:rPr>
          <w:rFonts w:ascii="Arial" w:cs="Arial" w:eastAsia="Arial" w:hAnsi="Arial"/>
          <w:sz w:val="12"/>
          <w:szCs w:val="12"/>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4803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48030" cy="11430"/>
                    </a:xfrm>
                    <a:prstGeom prst="rect">
                      <a:avLst/>
                    </a:prstGeom>
                    <a:noFill/>
                  </pic:spPr>
                </pic:pic>
              </a:graphicData>
            </a:graphic>
          </wp:anchor>
        </w:drawing>
      </w:r>
    </w:p>
    <w:p>
      <w:pPr>
        <w:ind w:left="910" w:hanging="910"/>
        <w:spacing w:after="0"/>
        <w:tabs>
          <w:tab w:leader="none" w:pos="910" w:val="left"/>
        </w:tabs>
        <w:numPr>
          <w:ilvl w:val="0"/>
          <w:numId w:val="38"/>
        </w:numPr>
        <w:rPr>
          <w:rFonts w:ascii="Arial" w:cs="Arial" w:eastAsia="Arial" w:hAnsi="Arial"/>
          <w:sz w:val="11"/>
          <w:szCs w:val="11"/>
          <w:color w:val="auto"/>
        </w:rPr>
      </w:pPr>
      <w:r>
        <w:rPr>
          <w:rFonts w:ascii="Arial" w:cs="Arial" w:eastAsia="Arial" w:hAnsi="Arial"/>
          <w:sz w:val="11"/>
          <w:szCs w:val="11"/>
          <w:color w:val="auto"/>
        </w:rPr>
        <w:t>9,000</w:t>
      </w:r>
    </w:p>
    <w:p>
      <w:pPr>
        <w:spacing w:after="0" w:line="27" w:lineRule="exact"/>
        <w:rPr>
          <w:rFonts w:ascii="Arial" w:cs="Arial" w:eastAsia="Arial" w:hAnsi="Arial"/>
          <w:sz w:val="11"/>
          <w:szCs w:val="11"/>
          <w:color w:val="auto"/>
        </w:rPr>
      </w:pPr>
    </w:p>
    <w:p>
      <w:pPr>
        <w:ind w:left="690"/>
        <w:spacing w:after="0"/>
        <w:rPr>
          <w:rFonts w:ascii="Arial" w:cs="Arial" w:eastAsia="Arial" w:hAnsi="Arial"/>
          <w:sz w:val="11"/>
          <w:szCs w:val="11"/>
          <w:color w:val="auto"/>
        </w:rPr>
      </w:pPr>
      <w:r>
        <w:rPr>
          <w:rFonts w:ascii="Arial" w:cs="Arial" w:eastAsia="Arial" w:hAnsi="Arial"/>
          <w:sz w:val="11"/>
          <w:szCs w:val="11"/>
          <w:color w:val="auto"/>
        </w:rPr>
        <w:t>2,090,000</w:t>
      </w:r>
    </w:p>
    <w:p>
      <w:pPr>
        <w:spacing w:after="0" w:line="18" w:lineRule="exact"/>
        <w:rPr>
          <w:rFonts w:ascii="Arial" w:cs="Arial" w:eastAsia="Arial" w:hAnsi="Arial"/>
          <w:sz w:val="11"/>
          <w:szCs w:val="11"/>
          <w:color w:val="auto"/>
        </w:rPr>
      </w:pPr>
    </w:p>
    <w:p>
      <w:pPr>
        <w:ind w:left="810"/>
        <w:spacing w:after="0"/>
        <w:rPr>
          <w:rFonts w:ascii="Arial" w:cs="Arial" w:eastAsia="Arial" w:hAnsi="Arial"/>
          <w:sz w:val="11"/>
          <w:szCs w:val="11"/>
          <w:color w:val="auto"/>
        </w:rPr>
      </w:pPr>
      <w:r>
        <w:rPr>
          <w:rFonts w:ascii="Arial" w:cs="Arial" w:eastAsia="Arial" w:hAnsi="Arial"/>
          <w:sz w:val="10"/>
          <w:szCs w:val="10"/>
          <w:color w:val="auto"/>
        </w:rPr>
        <w:t>(46,000)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4803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48030" cy="11430"/>
                    </a:xfrm>
                    <a:prstGeom prst="rect">
                      <a:avLst/>
                    </a:prstGeom>
                    <a:noFill/>
                  </pic:spPr>
                </pic:pic>
              </a:graphicData>
            </a:graphic>
          </wp:anchor>
        </w:drawing>
      </w:r>
    </w:p>
    <w:p>
      <w:pPr>
        <w:spacing w:after="0" w:line="28" w:lineRule="exact"/>
        <w:rPr>
          <w:sz w:val="20"/>
          <w:szCs w:val="20"/>
          <w:color w:val="auto"/>
        </w:rPr>
      </w:pPr>
    </w:p>
    <w:p>
      <w:pPr>
        <w:ind w:left="690" w:hanging="690"/>
        <w:spacing w:after="0"/>
        <w:tabs>
          <w:tab w:leader="none" w:pos="690" w:val="left"/>
        </w:tabs>
        <w:numPr>
          <w:ilvl w:val="0"/>
          <w:numId w:val="39"/>
        </w:numPr>
        <w:rPr>
          <w:rFonts w:ascii="Arial" w:cs="Arial" w:eastAsia="Arial" w:hAnsi="Arial"/>
          <w:sz w:val="11"/>
          <w:szCs w:val="11"/>
          <w:color w:val="auto"/>
        </w:rPr>
      </w:pPr>
      <w:r>
        <w:rPr>
          <w:rFonts w:ascii="Arial" w:cs="Arial" w:eastAsia="Arial" w:hAnsi="Arial"/>
          <w:sz w:val="11"/>
          <w:szCs w:val="11"/>
          <w:color w:val="auto"/>
        </w:rPr>
        <w:t>2,053,000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4803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4803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74803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48030" cy="571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9450" w:space="720"/>
            <w:col w:w="1310"/>
          </w:cols>
          <w:pgMar w:left="220" w:top="393" w:right="199" w:bottom="1440" w:gutter="0" w:footer="0" w:header="0"/>
        </w:sectPr>
      </w:pPr>
    </w:p>
    <w:p>
      <w:pPr>
        <w:jc w:val="both"/>
        <w:ind w:right="20"/>
        <w:spacing w:after="0" w:line="292" w:lineRule="auto"/>
        <w:rPr>
          <w:sz w:val="20"/>
          <w:szCs w:val="20"/>
          <w:color w:val="auto"/>
        </w:rPr>
      </w:pPr>
      <w:r>
        <w:rPr>
          <w:rFonts w:ascii="Arial" w:cs="Arial" w:eastAsia="Arial" w:hAnsi="Arial"/>
          <w:sz w:val="11"/>
          <w:szCs w:val="11"/>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ectPr>
          <w:pgSz w:w="11900" w:h="16838" w:orient="portrait"/>
          <w:cols w:equalWidth="0" w:num="1">
            <w:col w:w="11480"/>
          </w:cols>
          <w:pgMar w:left="220" w:top="393" w:right="19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Conversion Option</w:t>
      </w: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Date of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484495"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Dividend yield (per share)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Strike price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Volatility (annual)</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Risk-free rate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Contractual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5484495"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Fair value of Conversion Option at extinguishment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5484495"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84495" cy="1143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7: PROMISSORY NOTES, RELATED PARTY</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Weighted Average Inputs for the Period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280"/>
              <w:spacing w:after="0" w:line="130" w:lineRule="exact"/>
              <w:rPr>
                <w:sz w:val="20"/>
                <w:szCs w:val="20"/>
                <w:color w:val="auto"/>
              </w:rPr>
            </w:pPr>
            <w:r>
              <w:rPr>
                <w:rFonts w:ascii="Arial" w:cs="Arial" w:eastAsia="Arial" w:hAnsi="Arial"/>
                <w:sz w:val="12"/>
                <w:szCs w:val="12"/>
                <w:b w:val="1"/>
                <w:bCs w:val="1"/>
                <w:color w:val="auto"/>
                <w:w w:val="93"/>
              </w:rPr>
              <w:t>For the Quarter</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20"/>
              <w:spacing w:after="0" w:line="130" w:lineRule="exact"/>
              <w:rPr>
                <w:sz w:val="20"/>
                <w:szCs w:val="20"/>
                <w:color w:val="auto"/>
              </w:rPr>
            </w:pPr>
            <w:r>
              <w:rPr>
                <w:rFonts w:ascii="Arial" w:cs="Arial" w:eastAsia="Arial" w:hAnsi="Arial"/>
                <w:sz w:val="12"/>
                <w:szCs w:val="12"/>
                <w:b w:val="1"/>
                <w:bCs w:val="1"/>
                <w:color w:val="auto"/>
                <w:w w:val="96"/>
              </w:rPr>
              <w:t>For the Quarter</w:t>
            </w:r>
          </w:p>
        </w:tc>
        <w:tc>
          <w:tcPr>
            <w:tcW w:w="100" w:type="dxa"/>
            <w:vAlign w:val="bottom"/>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Ending March 31,</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Ending March 31,</w:t>
            </w:r>
          </w:p>
        </w:tc>
      </w:tr>
      <w:tr>
        <w:trPr>
          <w:trHeight w:val="158"/>
        </w:trPr>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9"/>
              <w:spacing w:after="0"/>
              <w:rPr>
                <w:sz w:val="20"/>
                <w:szCs w:val="20"/>
                <w:color w:val="auto"/>
              </w:rPr>
            </w:pPr>
            <w:r>
              <w:rPr>
                <w:rFonts w:ascii="Arial" w:cs="Arial" w:eastAsia="Arial" w:hAnsi="Arial"/>
                <w:sz w:val="12"/>
                <w:szCs w:val="12"/>
                <w:b w:val="1"/>
                <w:bCs w:val="1"/>
                <w:color w:val="auto"/>
                <w:w w:val="89"/>
              </w:rPr>
              <w:t>2015</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9"/>
              </w:rPr>
              <w:t>2014</w:t>
            </w:r>
          </w:p>
        </w:tc>
        <w:tc>
          <w:tcPr>
            <w:tcW w:w="10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ind w:left="1040"/>
              <w:spacing w:after="0"/>
              <w:rPr>
                <w:sz w:val="20"/>
                <w:szCs w:val="20"/>
                <w:color w:val="auto"/>
              </w:rPr>
            </w:pPr>
            <w:r>
              <w:rPr>
                <w:rFonts w:ascii="Arial" w:cs="Arial" w:eastAsia="Arial" w:hAnsi="Arial"/>
                <w:sz w:val="8"/>
                <w:szCs w:val="8"/>
                <w:color w:val="auto"/>
                <w:w w:val="73"/>
              </w:rPr>
              <w:t>-</w:t>
            </w:r>
          </w:p>
        </w:tc>
        <w:tc>
          <w:tcPr>
            <w:tcW w:w="240" w:type="dxa"/>
            <w:vAlign w:val="bottom"/>
          </w:tcPr>
          <w:p>
            <w:pPr>
              <w:jc w:val="right"/>
              <w:ind w:right="80"/>
              <w:spacing w:after="0" w:line="134" w:lineRule="exact"/>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1"/>
                <w:szCs w:val="11"/>
                <w:color w:val="auto"/>
              </w:rPr>
            </w:pPr>
          </w:p>
        </w:tc>
        <w:tc>
          <w:tcPr>
            <w:tcW w:w="11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0%</w:t>
            </w:r>
          </w:p>
        </w:tc>
      </w:tr>
      <w:tr>
        <w:trPr>
          <w:trHeight w:val="145"/>
        </w:trPr>
        <w:tc>
          <w:tcPr>
            <w:tcW w:w="100" w:type="dxa"/>
            <w:vAlign w:val="bottom"/>
            <w:gridSpan w:val="2"/>
          </w:tcPr>
          <w:p>
            <w:pPr>
              <w:jc w:val="right"/>
              <w:ind w:right="15"/>
              <w:spacing w:after="0"/>
              <w:rPr>
                <w:sz w:val="20"/>
                <w:szCs w:val="20"/>
                <w:color w:val="auto"/>
              </w:rPr>
            </w:pPr>
            <w:r>
              <w:rPr>
                <w:rFonts w:ascii="Arial" w:cs="Arial" w:eastAsia="Arial" w:hAnsi="Arial"/>
                <w:sz w:val="10"/>
                <w:szCs w:val="10"/>
                <w:color w:val="auto"/>
                <w:w w:val="71"/>
              </w:rPr>
              <w:t>$</w:t>
            </w:r>
          </w:p>
        </w:tc>
        <w:tc>
          <w:tcPr>
            <w:tcW w:w="1080" w:type="dxa"/>
            <w:vAlign w:val="bottom"/>
          </w:tcPr>
          <w:p>
            <w:pPr>
              <w:ind w:left="104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1.03</w:t>
            </w: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ind w:left="10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199.00%</w:t>
            </w: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ind w:left="10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0.05%</w:t>
            </w: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ind w:left="104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0.24</w:t>
            </w:r>
          </w:p>
        </w:tc>
      </w:tr>
      <w:tr>
        <w:trPr>
          <w:trHeight w:val="145"/>
        </w:trPr>
        <w:tc>
          <w:tcPr>
            <w:tcW w:w="10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108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708,000</w:t>
            </w:r>
          </w:p>
        </w:tc>
        <w:tc>
          <w:tcPr>
            <w:tcW w:w="100" w:type="dxa"/>
            <w:vAlign w:val="bottom"/>
          </w:tcPr>
          <w:p>
            <w:pPr>
              <w:spacing w:after="0"/>
              <w:rPr>
                <w:sz w:val="12"/>
                <w:szCs w:val="12"/>
                <w:color w:val="auto"/>
              </w:rPr>
            </w:pPr>
          </w:p>
        </w:tc>
      </w:tr>
    </w:tbl>
    <w:p>
      <w:pPr>
        <w:spacing w:after="0" w:line="426" w:lineRule="exact"/>
        <w:rPr>
          <w:sz w:val="20"/>
          <w:szCs w:val="20"/>
          <w:color w:val="auto"/>
        </w:rPr>
      </w:pPr>
    </w:p>
    <w:p>
      <w:pPr>
        <w:sectPr>
          <w:pgSz w:w="11900" w:h="16838" w:orient="portrait"/>
          <w:cols w:equalWidth="0" w:num="2">
            <w:col w:w="8020" w:space="720"/>
            <w:col w:w="2740"/>
          </w:cols>
          <w:pgMar w:left="220" w:top="393" w:right="199" w:bottom="1440" w:gutter="0" w:footer="0" w:header="0"/>
          <w:type w:val="continuous"/>
        </w:sectPr>
      </w:pPr>
    </w:p>
    <w:p>
      <w:pPr>
        <w:jc w:val="both"/>
        <w:spacing w:after="0" w:line="279" w:lineRule="auto"/>
        <w:rPr>
          <w:sz w:val="20"/>
          <w:szCs w:val="20"/>
          <w:color w:val="auto"/>
        </w:rPr>
      </w:pPr>
      <w:r>
        <w:rPr>
          <w:rFonts w:ascii="Arial" w:cs="Arial" w:eastAsia="Arial" w:hAnsi="Arial"/>
          <w:sz w:val="12"/>
          <w:szCs w:val="12"/>
          <w:color w:val="auto"/>
        </w:rPr>
        <w:t>The Company has outstanding promissory notes in the amount of $52,942 (December 31, 2014 - $52,942), of which $23,000 of promissory notes are from an officer and a director of the Company. The promissory notes bear no interest charges and have no fixed repayment terms.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CAPITAL STOCK</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2015 Share Transactions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Private placements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2"/>
          <w:szCs w:val="12"/>
          <w:color w:val="auto"/>
        </w:rPr>
        <w:t>Pursuant to a placement agent agreement, the Company agreed to issue warrants to purchase 366,000 common shares with substantially the same terms as the January 2015 Warrants.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Series A warrants were issued with price reset features. The fair value of these warrants was determined to be $1,346,000 and recognized as a derivative liability.</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Series B, C, D &amp; E warrants was determined to be $4,635,000 and was included within equity.</w:t>
      </w:r>
    </w:p>
    <w:p>
      <w:pPr>
        <w:spacing w:after="0" w:line="152"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Pursuant to a placement agent agreement, the Company agreed to issue warrants to purchase 125,000 common shares with substantially the same terms as the March 2015 Warrants.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Series A warrants were issued with price reset features. The fair value of these warrants was determined to be $744,000 and recognized as a derivative liability.</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Series B, C, D &amp; E warrants was determined to be $2,588,000 and was included within equity.</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Purchase Warrants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Company’s share purchase warrants as of March 31, 2015 and changes during the period is presented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2"/>
                <w:szCs w:val="12"/>
                <w:color w:val="auto"/>
              </w:rPr>
              <w:t>Number of</w:t>
            </w: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40"/>
              <w:spacing w:after="0"/>
              <w:rPr>
                <w:sz w:val="20"/>
                <w:szCs w:val="20"/>
                <w:color w:val="auto"/>
              </w:rPr>
            </w:pPr>
            <w:r>
              <w:rPr>
                <w:rFonts w:ascii="Arial" w:cs="Arial" w:eastAsia="Arial" w:hAnsi="Arial"/>
                <w:sz w:val="12"/>
                <w:szCs w:val="12"/>
                <w:color w:val="auto"/>
              </w:rPr>
              <w:t>Weighted Average</w:t>
            </w:r>
          </w:p>
        </w:tc>
        <w:tc>
          <w:tcPr>
            <w:tcW w:w="13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Weighted Average</w:t>
            </w:r>
          </w:p>
        </w:tc>
      </w:tr>
      <w:tr>
        <w:trPr>
          <w:trHeight w:val="154"/>
        </w:trPr>
        <w:tc>
          <w:tcPr>
            <w:tcW w:w="7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Warrants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Exercise Price</w:t>
            </w:r>
          </w:p>
        </w:tc>
        <w:tc>
          <w:tcPr>
            <w:tcW w:w="240" w:type="dxa"/>
            <w:vAlign w:val="bottom"/>
          </w:tcPr>
          <w:p>
            <w:pPr>
              <w:spacing w:after="0"/>
              <w:rPr>
                <w:sz w:val="13"/>
                <w:szCs w:val="13"/>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Remaining Life</w:t>
            </w:r>
          </w:p>
        </w:tc>
        <w:tc>
          <w:tcPr>
            <w:tcW w:w="140" w:type="dxa"/>
            <w:vAlign w:val="bottom"/>
          </w:tcPr>
          <w:p>
            <w:pPr>
              <w:spacing w:after="0"/>
              <w:rPr>
                <w:sz w:val="13"/>
                <w:szCs w:val="13"/>
                <w:color w:val="auto"/>
              </w:rPr>
            </w:pPr>
          </w:p>
        </w:tc>
      </w:tr>
      <w:tr>
        <w:trPr>
          <w:trHeight w:val="279"/>
        </w:trPr>
        <w:tc>
          <w:tcPr>
            <w:tcW w:w="7260" w:type="dxa"/>
            <w:vAlign w:val="bottom"/>
          </w:tcPr>
          <w:p>
            <w:pPr>
              <w:spacing w:after="0"/>
              <w:rPr>
                <w:sz w:val="20"/>
                <w:szCs w:val="20"/>
                <w:color w:val="auto"/>
              </w:rPr>
            </w:pPr>
            <w:r>
              <w:rPr>
                <w:rFonts w:ascii="Arial" w:cs="Arial" w:eastAsia="Arial" w:hAnsi="Arial"/>
                <w:sz w:val="12"/>
                <w:szCs w:val="12"/>
                <w:b w:val="1"/>
                <w:bCs w:val="1"/>
                <w:color w:val="auto"/>
              </w:rPr>
              <w:t>Balance, December 31, 2014</w:t>
            </w:r>
          </w:p>
        </w:tc>
        <w:tc>
          <w:tcPr>
            <w:tcW w:w="1500" w:type="dxa"/>
            <w:vAlign w:val="bottom"/>
            <w:gridSpan w:val="3"/>
          </w:tcPr>
          <w:p>
            <w:pPr>
              <w:jc w:val="right"/>
              <w:ind w:right="240"/>
              <w:spacing w:after="0"/>
              <w:rPr>
                <w:sz w:val="20"/>
                <w:szCs w:val="20"/>
                <w:color w:val="auto"/>
              </w:rPr>
            </w:pPr>
            <w:r>
              <w:rPr>
                <w:rFonts w:ascii="Arial" w:cs="Arial" w:eastAsia="Arial" w:hAnsi="Arial"/>
                <w:sz w:val="12"/>
                <w:szCs w:val="12"/>
                <w:color w:val="auto"/>
              </w:rPr>
              <w:t>2,659,417</w:t>
            </w:r>
          </w:p>
        </w:tc>
        <w:tc>
          <w:tcPr>
            <w:tcW w:w="10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1.83</w:t>
            </w: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4.15</w:t>
            </w:r>
          </w:p>
        </w:tc>
      </w:tr>
      <w:tr>
        <w:trPr>
          <w:trHeight w:val="145"/>
        </w:trPr>
        <w:tc>
          <w:tcPr>
            <w:tcW w:w="7260" w:type="dxa"/>
            <w:vAlign w:val="bottom"/>
          </w:tcPr>
          <w:p>
            <w:pPr>
              <w:ind w:left="60"/>
              <w:spacing w:after="0"/>
              <w:rPr>
                <w:sz w:val="20"/>
                <w:szCs w:val="20"/>
                <w:color w:val="auto"/>
              </w:rPr>
            </w:pPr>
            <w:r>
              <w:rPr>
                <w:rFonts w:ascii="Arial" w:cs="Arial" w:eastAsia="Arial" w:hAnsi="Arial"/>
                <w:sz w:val="12"/>
                <w:szCs w:val="12"/>
                <w:color w:val="auto"/>
              </w:rPr>
              <w:t>Issued</w:t>
            </w:r>
          </w:p>
        </w:tc>
        <w:tc>
          <w:tcPr>
            <w:tcW w:w="1500" w:type="dxa"/>
            <w:vAlign w:val="bottom"/>
            <w:gridSpan w:val="3"/>
          </w:tcPr>
          <w:p>
            <w:pPr>
              <w:jc w:val="right"/>
              <w:ind w:right="240"/>
              <w:spacing w:after="0"/>
              <w:rPr>
                <w:sz w:val="20"/>
                <w:szCs w:val="20"/>
                <w:color w:val="auto"/>
              </w:rPr>
            </w:pPr>
            <w:r>
              <w:rPr>
                <w:rFonts w:ascii="Arial" w:cs="Arial" w:eastAsia="Arial" w:hAnsi="Arial"/>
                <w:sz w:val="12"/>
                <w:szCs w:val="12"/>
                <w:color w:val="auto"/>
              </w:rPr>
              <w:t>62,090,975</w:t>
            </w: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1.03</w:t>
            </w: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3.96</w:t>
            </w:r>
          </w:p>
        </w:tc>
      </w:tr>
      <w:tr>
        <w:trPr>
          <w:trHeight w:val="145"/>
        </w:trPr>
        <w:tc>
          <w:tcPr>
            <w:tcW w:w="7260" w:type="dxa"/>
            <w:vAlign w:val="bottom"/>
          </w:tcPr>
          <w:p>
            <w:pPr>
              <w:ind w:left="60"/>
              <w:spacing w:after="0"/>
              <w:rPr>
                <w:sz w:val="20"/>
                <w:szCs w:val="20"/>
                <w:color w:val="auto"/>
              </w:rPr>
            </w:pPr>
            <w:r>
              <w:rPr>
                <w:rFonts w:ascii="Arial" w:cs="Arial" w:eastAsia="Arial" w:hAnsi="Arial"/>
                <w:sz w:val="12"/>
                <w:szCs w:val="12"/>
                <w:color w:val="auto"/>
              </w:rPr>
              <w:t>Exercised</w:t>
            </w:r>
          </w:p>
        </w:tc>
        <w:tc>
          <w:tcPr>
            <w:tcW w:w="15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r>
      <w:tr>
        <w:trPr>
          <w:trHeight w:val="154"/>
        </w:trPr>
        <w:tc>
          <w:tcPr>
            <w:tcW w:w="7260" w:type="dxa"/>
            <w:vAlign w:val="bottom"/>
          </w:tcPr>
          <w:p>
            <w:pPr>
              <w:ind w:left="60"/>
              <w:spacing w:after="0"/>
              <w:rPr>
                <w:sz w:val="20"/>
                <w:szCs w:val="20"/>
                <w:color w:val="auto"/>
              </w:rPr>
            </w:pPr>
            <w:r>
              <w:rPr>
                <w:rFonts w:ascii="Arial" w:cs="Arial" w:eastAsia="Arial" w:hAnsi="Arial"/>
                <w:sz w:val="12"/>
                <w:szCs w:val="12"/>
                <w:color w:val="auto"/>
              </w:rPr>
              <w:t>Extinguished or expired</w:t>
            </w:r>
          </w:p>
        </w:tc>
        <w:tc>
          <w:tcPr>
            <w:tcW w:w="1500" w:type="dxa"/>
            <w:vAlign w:val="bottom"/>
            <w:gridSpan w:val="3"/>
          </w:tcPr>
          <w:p>
            <w:pPr>
              <w:jc w:val="right"/>
              <w:ind w:right="200"/>
              <w:spacing w:after="0"/>
              <w:rPr>
                <w:sz w:val="20"/>
                <w:szCs w:val="20"/>
                <w:color w:val="auto"/>
              </w:rPr>
            </w:pPr>
            <w:r>
              <w:rPr>
                <w:rFonts w:ascii="Arial" w:cs="Arial" w:eastAsia="Arial" w:hAnsi="Arial"/>
                <w:sz w:val="12"/>
                <w:szCs w:val="12"/>
                <w:color w:val="auto"/>
              </w:rPr>
              <w:t>(7,500)</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50.00</w:t>
            </w: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r>
      <w:tr>
        <w:trPr>
          <w:trHeight w:val="143"/>
        </w:trPr>
        <w:tc>
          <w:tcPr>
            <w:tcW w:w="7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Balance, March 31, 2015</w:t>
            </w:r>
          </w:p>
        </w:tc>
        <w:tc>
          <w:tcPr>
            <w:tcW w:w="10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64,742,892</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1.01</w:t>
            </w:r>
          </w:p>
        </w:tc>
        <w:tc>
          <w:tcPr>
            <w:tcW w:w="2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3.95</w:t>
            </w:r>
          </w:p>
        </w:tc>
        <w:tc>
          <w:tcPr>
            <w:tcW w:w="140" w:type="dxa"/>
            <w:vAlign w:val="bottom"/>
          </w:tcPr>
          <w:p>
            <w:pPr>
              <w:spacing w:after="0"/>
              <w:rPr>
                <w:sz w:val="12"/>
                <w:szCs w:val="12"/>
                <w:color w:val="auto"/>
              </w:rPr>
            </w:pP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CONTINGENCIES AND COMMITMENTS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Consultant Litigation</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In May 2012, the Company issued 112,000 post-consolidated shares of common stock to two consultants. The Company contested the validity of the services provided and initially was able to delay the sale of the contested shares. The Company was not successful in recovering the contested shares. A claim for alleged damages of approximately $362,000 plus costs by one of the consultants as a result of the contesting of the issuance of the shares was filed in the Supreme Court of New York. The claim was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2014 the arbitrator ordered (on July 18, 2014) the consultant to pay Tapimmune $196,204 plus 9% interest from the date of the award. The Company is attempting to collect the award from Mr. Michael Gardner.</w:t>
      </w:r>
    </w:p>
    <w:p>
      <w:pPr>
        <w:spacing w:after="0" w:line="128" w:lineRule="exact"/>
        <w:rPr>
          <w:sz w:val="20"/>
          <w:szCs w:val="20"/>
          <w:color w:val="auto"/>
        </w:rPr>
      </w:pPr>
    </w:p>
    <w:p>
      <w:pPr>
        <w:jc w:val="both"/>
        <w:ind w:right="20"/>
        <w:spacing w:after="0" w:line="255" w:lineRule="auto"/>
        <w:rPr>
          <w:sz w:val="20"/>
          <w:szCs w:val="20"/>
          <w:color w:val="auto"/>
        </w:rPr>
      </w:pPr>
      <w:r>
        <w:rPr>
          <w:rFonts w:ascii="Arial" w:cs="Arial" w:eastAsia="Arial" w:hAnsi="Arial"/>
          <w:sz w:val="12"/>
          <w:szCs w:val="12"/>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Vendor Litigation</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One of our suppliers, Fischer Scientific was awarded a judgment against us for $51,000 which is equal to the amount owed to them and is currently accrued on the balance sheet. We intend on settling that matter in the second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393" w:right="199" w:bottom="1440" w:gutter="0" w:footer="0" w:header="0"/>
        </w:sectPr>
      </w:pPr>
    </w:p>
    <w:bookmarkStart w:id="75" w:name="page76"/>
    <w:bookmarkEnd w:id="75"/>
    <w:p>
      <w:pPr>
        <w:jc w:val="center"/>
        <w:spacing w:after="0"/>
        <w:rPr>
          <w:sz w:val="20"/>
          <w:szCs w:val="20"/>
          <w:color w:val="auto"/>
        </w:rPr>
      </w:pPr>
      <w:r>
        <w:rPr>
          <w:rFonts w:ascii="Arial" w:cs="Arial" w:eastAsia="Arial" w:hAnsi="Arial"/>
          <w:sz w:val="12"/>
          <w:szCs w:val="12"/>
          <w:b w:val="1"/>
          <w:bCs w:val="1"/>
          <w:color w:val="auto"/>
        </w:rPr>
        <w:t>PROSPECTUS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TAPIMMUNE INC.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68,486,792 Shares of Common Stock</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 2015]</w:t>
      </w:r>
    </w:p>
    <w:p>
      <w:pPr>
        <w:spacing w:after="0" w:line="200" w:lineRule="exact"/>
        <w:rPr>
          <w:sz w:val="20"/>
          <w:szCs w:val="20"/>
          <w:color w:val="auto"/>
        </w:rPr>
      </w:pP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Until [[♦], 2015] (the 90th day after the date of this Prospectus), all dealers that buy, sell or trade our common stock, whether or not participating in this offering, may be required to deliver a Prospectus. This delivery requirement is in addition to the dealers’ obligation to deliver a Prospectus when acting as underwriters and with respect to unsold allotments or subscriptions.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us. This Prospectus does not constitute an offer to sell, or a solicitation of an offer to buy the offered securities in any jurisdiction where, or to any person to whom, it is unlawful to make any such offer or solicitation. Neither the delivery of this Prospectus nor any offer or sale made hereunder shall, under any circumstances, create an implication that there has not been any change in the facts set forth in this Prospectus or in our affairs since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716" w:right="199" w:bottom="1440" w:gutter="0" w:footer="0" w:header="0"/>
        </w:sectPr>
      </w:pPr>
    </w:p>
    <w:bookmarkStart w:id="76" w:name="page77"/>
    <w:bookmarkEnd w:id="76"/>
    <w:p>
      <w:pPr>
        <w:jc w:val="center"/>
        <w:spacing w:after="0"/>
        <w:rPr>
          <w:sz w:val="20"/>
          <w:szCs w:val="20"/>
          <w:color w:val="auto"/>
        </w:rPr>
      </w:pPr>
      <w:r>
        <w:rPr>
          <w:rFonts w:ascii="Arial" w:cs="Arial" w:eastAsia="Arial" w:hAnsi="Arial"/>
          <w:sz w:val="12"/>
          <w:szCs w:val="12"/>
          <w:b w:val="1"/>
          <w:bCs w:val="1"/>
          <w:color w:val="auto"/>
        </w:rPr>
        <w:t>PART II</w:t>
      </w:r>
    </w:p>
    <w:p>
      <w:pPr>
        <w:spacing w:after="0" w:line="152" w:lineRule="exact"/>
        <w:rPr>
          <w:sz w:val="20"/>
          <w:szCs w:val="20"/>
          <w:color w:val="auto"/>
        </w:rPr>
      </w:pPr>
    </w:p>
    <w:p>
      <w:pPr>
        <w:ind w:left="4160"/>
        <w:spacing w:after="0"/>
        <w:rPr>
          <w:sz w:val="20"/>
          <w:szCs w:val="20"/>
          <w:color w:val="auto"/>
        </w:rPr>
      </w:pPr>
      <w:r>
        <w:rPr>
          <w:rFonts w:ascii="Arial" w:cs="Arial" w:eastAsia="Arial" w:hAnsi="Arial"/>
          <w:sz w:val="12"/>
          <w:szCs w:val="12"/>
          <w:b w:val="1"/>
          <w:bCs w:val="1"/>
          <w:color w:val="auto"/>
        </w:rPr>
        <w:t>INFORMATION NOT REQUIRED IN THE PROSPECTUS</w:t>
      </w:r>
    </w:p>
    <w:p>
      <w:pPr>
        <w:spacing w:after="0" w:line="152" w:lineRule="exact"/>
        <w:rPr>
          <w:sz w:val="20"/>
          <w:szCs w:val="20"/>
          <w:color w:val="auto"/>
        </w:rPr>
      </w:pPr>
    </w:p>
    <w:p>
      <w:pPr>
        <w:spacing w:after="0"/>
        <w:tabs>
          <w:tab w:leader="none" w:pos="112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2"/>
          <w:szCs w:val="12"/>
          <w:b w:val="1"/>
          <w:bCs w:val="1"/>
          <w:color w:val="auto"/>
        </w:rPr>
        <w:t>OTHER EXPENSES OF ISSUANCE AND DISTRIBUTION.</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table below itemizes the expenses payable by the registrant in connection with the registration and issuance of the securities being registered hereunder, other than underwriting discounts and commissions. All amounts except the Securities and Exchange Commission registration fee are estimated.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960" w:type="dxa"/>
            <w:vAlign w:val="bottom"/>
          </w:tcPr>
          <w:p>
            <w:pPr>
              <w:spacing w:after="0"/>
              <w:rPr>
                <w:sz w:val="20"/>
                <w:szCs w:val="20"/>
                <w:color w:val="auto"/>
              </w:rPr>
            </w:pPr>
            <w:r>
              <w:rPr>
                <w:rFonts w:ascii="Arial" w:cs="Arial" w:eastAsia="Arial" w:hAnsi="Arial"/>
                <w:sz w:val="12"/>
                <w:szCs w:val="12"/>
                <w:color w:val="auto"/>
              </w:rPr>
              <w:t>Securities and Exchange Commission Registration Fee</w:t>
            </w:r>
          </w:p>
        </w:tc>
        <w:tc>
          <w:tcPr>
            <w:tcW w:w="7500" w:type="dxa"/>
            <w:vAlign w:val="bottom"/>
          </w:tcPr>
          <w:p>
            <w:pPr>
              <w:jc w:val="right"/>
              <w:ind w:right="3440"/>
              <w:spacing w:after="0"/>
              <w:rPr>
                <w:sz w:val="20"/>
                <w:szCs w:val="20"/>
                <w:color w:val="auto"/>
              </w:rPr>
            </w:pPr>
            <w:r>
              <w:rPr>
                <w:rFonts w:ascii="Arial" w:cs="Arial" w:eastAsia="Arial" w:hAnsi="Arial"/>
                <w:sz w:val="12"/>
                <w:szCs w:val="12"/>
                <w:color w:val="auto"/>
              </w:rPr>
              <w:t>$2,606†</w:t>
            </w:r>
          </w:p>
        </w:tc>
      </w:tr>
      <w:tr>
        <w:trPr>
          <w:trHeight w:val="145"/>
        </w:trPr>
        <w:tc>
          <w:tcPr>
            <w:tcW w:w="3960" w:type="dxa"/>
            <w:vAlign w:val="bottom"/>
          </w:tcPr>
          <w:p>
            <w:pPr>
              <w:spacing w:after="0"/>
              <w:rPr>
                <w:sz w:val="20"/>
                <w:szCs w:val="20"/>
                <w:color w:val="auto"/>
              </w:rPr>
            </w:pPr>
            <w:r>
              <w:rPr>
                <w:rFonts w:ascii="Arial" w:cs="Arial" w:eastAsia="Arial" w:hAnsi="Arial"/>
                <w:sz w:val="12"/>
                <w:szCs w:val="12"/>
                <w:color w:val="auto"/>
              </w:rPr>
              <w:t>Legal Fees and Expenses</w:t>
            </w:r>
          </w:p>
        </w:tc>
        <w:tc>
          <w:tcPr>
            <w:tcW w:w="7500" w:type="dxa"/>
            <w:vAlign w:val="bottom"/>
          </w:tcPr>
          <w:p>
            <w:pPr>
              <w:jc w:val="right"/>
              <w:ind w:right="3440"/>
              <w:spacing w:after="0"/>
              <w:rPr>
                <w:sz w:val="20"/>
                <w:szCs w:val="20"/>
                <w:color w:val="auto"/>
              </w:rPr>
            </w:pPr>
            <w:r>
              <w:rPr>
                <w:rFonts w:ascii="Arial" w:cs="Arial" w:eastAsia="Arial" w:hAnsi="Arial"/>
                <w:sz w:val="12"/>
                <w:szCs w:val="12"/>
                <w:color w:val="auto"/>
              </w:rPr>
              <w:t>$25,000†</w:t>
            </w:r>
          </w:p>
        </w:tc>
      </w:tr>
      <w:tr>
        <w:trPr>
          <w:trHeight w:val="145"/>
        </w:trPr>
        <w:tc>
          <w:tcPr>
            <w:tcW w:w="3960" w:type="dxa"/>
            <w:vAlign w:val="bottom"/>
          </w:tcPr>
          <w:p>
            <w:pPr>
              <w:spacing w:after="0"/>
              <w:rPr>
                <w:sz w:val="20"/>
                <w:szCs w:val="20"/>
                <w:color w:val="auto"/>
              </w:rPr>
            </w:pPr>
            <w:r>
              <w:rPr>
                <w:rFonts w:ascii="Arial" w:cs="Arial" w:eastAsia="Arial" w:hAnsi="Arial"/>
                <w:sz w:val="12"/>
                <w:szCs w:val="12"/>
                <w:color w:val="auto"/>
              </w:rPr>
              <w:t>Accountants’ Fees and Expenses</w:t>
            </w:r>
          </w:p>
        </w:tc>
        <w:tc>
          <w:tcPr>
            <w:tcW w:w="7500" w:type="dxa"/>
            <w:vAlign w:val="bottom"/>
          </w:tcPr>
          <w:p>
            <w:pPr>
              <w:jc w:val="right"/>
              <w:ind w:right="3440"/>
              <w:spacing w:after="0"/>
              <w:rPr>
                <w:sz w:val="20"/>
                <w:szCs w:val="20"/>
                <w:color w:val="auto"/>
              </w:rPr>
            </w:pPr>
            <w:r>
              <w:rPr>
                <w:rFonts w:ascii="Arial" w:cs="Arial" w:eastAsia="Arial" w:hAnsi="Arial"/>
                <w:sz w:val="12"/>
                <w:szCs w:val="12"/>
                <w:color w:val="auto"/>
              </w:rPr>
              <w:t>$10,000†</w:t>
            </w:r>
          </w:p>
        </w:tc>
      </w:tr>
      <w:tr>
        <w:trPr>
          <w:trHeight w:val="145"/>
        </w:trPr>
        <w:tc>
          <w:tcPr>
            <w:tcW w:w="3960" w:type="dxa"/>
            <w:vAlign w:val="bottom"/>
          </w:tcPr>
          <w:p>
            <w:pPr>
              <w:spacing w:after="0"/>
              <w:rPr>
                <w:sz w:val="20"/>
                <w:szCs w:val="20"/>
                <w:color w:val="auto"/>
              </w:rPr>
            </w:pPr>
            <w:r>
              <w:rPr>
                <w:rFonts w:ascii="Arial" w:cs="Arial" w:eastAsia="Arial" w:hAnsi="Arial"/>
                <w:sz w:val="12"/>
                <w:szCs w:val="12"/>
                <w:color w:val="auto"/>
              </w:rPr>
              <w:t>Transfer agent and registrar’s fees and expenses</w:t>
            </w:r>
          </w:p>
        </w:tc>
        <w:tc>
          <w:tcPr>
            <w:tcW w:w="7500" w:type="dxa"/>
            <w:vAlign w:val="bottom"/>
          </w:tcPr>
          <w:p>
            <w:pPr>
              <w:jc w:val="right"/>
              <w:ind w:right="3440"/>
              <w:spacing w:after="0"/>
              <w:rPr>
                <w:sz w:val="20"/>
                <w:szCs w:val="20"/>
                <w:color w:val="auto"/>
              </w:rPr>
            </w:pPr>
            <w:r>
              <w:rPr>
                <w:rFonts w:ascii="Arial" w:cs="Arial" w:eastAsia="Arial" w:hAnsi="Arial"/>
                <w:sz w:val="12"/>
                <w:szCs w:val="12"/>
                <w:color w:val="auto"/>
              </w:rPr>
              <w:t>$2,500†</w:t>
            </w:r>
          </w:p>
        </w:tc>
      </w:tr>
      <w:tr>
        <w:trPr>
          <w:trHeight w:val="145"/>
        </w:trPr>
        <w:tc>
          <w:tcPr>
            <w:tcW w:w="3960" w:type="dxa"/>
            <w:vAlign w:val="bottom"/>
          </w:tcPr>
          <w:p>
            <w:pPr>
              <w:spacing w:after="0"/>
              <w:rPr>
                <w:sz w:val="20"/>
                <w:szCs w:val="20"/>
                <w:color w:val="auto"/>
              </w:rPr>
            </w:pPr>
            <w:r>
              <w:rPr>
                <w:rFonts w:ascii="Arial" w:cs="Arial" w:eastAsia="Arial" w:hAnsi="Arial"/>
                <w:sz w:val="12"/>
                <w:szCs w:val="12"/>
                <w:color w:val="auto"/>
              </w:rPr>
              <w:t>Miscellaneous Expenses</w:t>
            </w:r>
          </w:p>
        </w:tc>
        <w:tc>
          <w:tcPr>
            <w:tcW w:w="7500" w:type="dxa"/>
            <w:vAlign w:val="bottom"/>
          </w:tcPr>
          <w:p>
            <w:pPr>
              <w:jc w:val="right"/>
              <w:ind w:right="3440"/>
              <w:spacing w:after="0"/>
              <w:rPr>
                <w:sz w:val="20"/>
                <w:szCs w:val="20"/>
                <w:color w:val="auto"/>
              </w:rPr>
            </w:pPr>
            <w:r>
              <w:rPr>
                <w:rFonts w:ascii="Arial" w:cs="Arial" w:eastAsia="Arial" w:hAnsi="Arial"/>
                <w:sz w:val="12"/>
                <w:szCs w:val="12"/>
                <w:color w:val="auto"/>
              </w:rPr>
              <w:t>$2,000†</w:t>
            </w:r>
          </w:p>
        </w:tc>
      </w:tr>
      <w:tr>
        <w:trPr>
          <w:trHeight w:val="154"/>
        </w:trPr>
        <w:tc>
          <w:tcPr>
            <w:tcW w:w="3960" w:type="dxa"/>
            <w:vAlign w:val="bottom"/>
          </w:tcPr>
          <w:p>
            <w:pPr>
              <w:spacing w:after="0"/>
              <w:rPr>
                <w:sz w:val="20"/>
                <w:szCs w:val="20"/>
                <w:color w:val="auto"/>
              </w:rPr>
            </w:pPr>
            <w:r>
              <w:rPr>
                <w:rFonts w:ascii="Arial" w:cs="Arial" w:eastAsia="Arial" w:hAnsi="Arial"/>
                <w:sz w:val="12"/>
                <w:szCs w:val="12"/>
                <w:color w:val="auto"/>
              </w:rPr>
              <w:t>Total</w:t>
            </w:r>
          </w:p>
        </w:tc>
        <w:tc>
          <w:tcPr>
            <w:tcW w:w="7500" w:type="dxa"/>
            <w:vAlign w:val="bottom"/>
          </w:tcPr>
          <w:p>
            <w:pPr>
              <w:jc w:val="right"/>
              <w:ind w:right="3440"/>
              <w:spacing w:after="0"/>
              <w:rPr>
                <w:sz w:val="20"/>
                <w:szCs w:val="20"/>
                <w:color w:val="auto"/>
              </w:rPr>
            </w:pPr>
            <w:r>
              <w:rPr>
                <w:rFonts w:ascii="Arial" w:cs="Arial" w:eastAsia="Arial" w:hAnsi="Arial"/>
                <w:sz w:val="12"/>
                <w:szCs w:val="12"/>
                <w:color w:val="auto"/>
              </w:rPr>
              <w:t>$42,106†</w:t>
            </w:r>
          </w:p>
        </w:tc>
      </w:tr>
      <w:tr>
        <w:trPr>
          <w:trHeight w:val="281"/>
        </w:trPr>
        <w:tc>
          <w:tcPr>
            <w:tcW w:w="3960" w:type="dxa"/>
            <w:vAlign w:val="bottom"/>
          </w:tcPr>
          <w:p>
            <w:pPr>
              <w:ind w:left="3020"/>
              <w:spacing w:after="0"/>
              <w:rPr>
                <w:sz w:val="20"/>
                <w:szCs w:val="20"/>
                <w:color w:val="auto"/>
              </w:rPr>
            </w:pPr>
            <w:r>
              <w:rPr>
                <w:rFonts w:ascii="Arial" w:cs="Arial" w:eastAsia="Arial" w:hAnsi="Arial"/>
                <w:sz w:val="12"/>
                <w:szCs w:val="12"/>
                <w:color w:val="auto"/>
              </w:rPr>
              <w:t>†</w:t>
            </w:r>
          </w:p>
        </w:tc>
        <w:tc>
          <w:tcPr>
            <w:tcW w:w="7500" w:type="dxa"/>
            <w:vAlign w:val="bottom"/>
          </w:tcPr>
          <w:p>
            <w:pPr>
              <w:ind w:left="900"/>
              <w:spacing w:after="0"/>
              <w:rPr>
                <w:sz w:val="20"/>
                <w:szCs w:val="20"/>
                <w:color w:val="auto"/>
              </w:rPr>
            </w:pPr>
            <w:r>
              <w:rPr>
                <w:rFonts w:ascii="Arial" w:cs="Arial" w:eastAsia="Arial" w:hAnsi="Arial"/>
                <w:sz w:val="12"/>
                <w:szCs w:val="12"/>
                <w:color w:val="auto"/>
                <w:w w:val="95"/>
              </w:rPr>
              <w:t>Estimated expenses are not presently known. The foregoing sets forth the general categories of expenses (other than underwriting</w:t>
            </w:r>
          </w:p>
        </w:tc>
      </w:tr>
      <w:tr>
        <w:trPr>
          <w:trHeight w:val="145"/>
        </w:trPr>
        <w:tc>
          <w:tcPr>
            <w:tcW w:w="3960" w:type="dxa"/>
            <w:vAlign w:val="bottom"/>
          </w:tcPr>
          <w:p>
            <w:pPr>
              <w:spacing w:after="0"/>
              <w:rPr>
                <w:sz w:val="12"/>
                <w:szCs w:val="12"/>
                <w:color w:val="auto"/>
              </w:rPr>
            </w:pPr>
          </w:p>
        </w:tc>
        <w:tc>
          <w:tcPr>
            <w:tcW w:w="7500" w:type="dxa"/>
            <w:vAlign w:val="bottom"/>
          </w:tcPr>
          <w:p>
            <w:pPr>
              <w:ind w:left="900"/>
              <w:spacing w:after="0"/>
              <w:rPr>
                <w:sz w:val="20"/>
                <w:szCs w:val="20"/>
                <w:color w:val="auto"/>
              </w:rPr>
            </w:pPr>
            <w:r>
              <w:rPr>
                <w:rFonts w:ascii="Arial" w:cs="Arial" w:eastAsia="Arial" w:hAnsi="Arial"/>
                <w:sz w:val="12"/>
                <w:szCs w:val="12"/>
                <w:color w:val="auto"/>
                <w:w w:val="92"/>
              </w:rPr>
              <w:t>discounts and commissions) that the Company anticipates it will incur in connection with the offering of securities under the registration</w:t>
            </w:r>
          </w:p>
        </w:tc>
      </w:tr>
      <w:tr>
        <w:trPr>
          <w:trHeight w:val="154"/>
        </w:trPr>
        <w:tc>
          <w:tcPr>
            <w:tcW w:w="3960" w:type="dxa"/>
            <w:vAlign w:val="bottom"/>
          </w:tcPr>
          <w:p>
            <w:pPr>
              <w:spacing w:after="0"/>
              <w:rPr>
                <w:sz w:val="13"/>
                <w:szCs w:val="13"/>
                <w:color w:val="auto"/>
              </w:rPr>
            </w:pPr>
          </w:p>
        </w:tc>
        <w:tc>
          <w:tcPr>
            <w:tcW w:w="7500" w:type="dxa"/>
            <w:vAlign w:val="bottom"/>
          </w:tcPr>
          <w:p>
            <w:pPr>
              <w:ind w:left="900"/>
              <w:spacing w:after="0"/>
              <w:rPr>
                <w:sz w:val="20"/>
                <w:szCs w:val="20"/>
                <w:color w:val="auto"/>
              </w:rPr>
            </w:pPr>
            <w:r>
              <w:rPr>
                <w:rFonts w:ascii="Arial" w:cs="Arial" w:eastAsia="Arial" w:hAnsi="Arial"/>
                <w:sz w:val="12"/>
                <w:szCs w:val="12"/>
                <w:color w:val="auto"/>
              </w:rPr>
              <w:t>statement.</w:t>
            </w:r>
          </w:p>
        </w:tc>
      </w:tr>
    </w:tbl>
    <w:p>
      <w:pPr>
        <w:spacing w:after="0" w:line="277"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2"/>
          <w:szCs w:val="12"/>
          <w:b w:val="1"/>
          <w:bCs w:val="1"/>
          <w:color w:val="auto"/>
        </w:rPr>
        <w:t>INDEMNIFICATION OF DIRECTORS AND OFFICERS.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2"/>
          <w:szCs w:val="12"/>
          <w:color w:val="auto"/>
        </w:rPr>
        <w:t>Our officers and directors are indemnified under Nevada law. Our Amended and Restated Articles of Incorporation and our By-laws are silent as to director and officer indemnification.</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Nevada Revised Statute. The registrant is a Nevada corporation.</w:t>
      </w:r>
    </w:p>
    <w:p>
      <w:pPr>
        <w:spacing w:after="0" w:line="152"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Section 78.138 of the Nevada Revised Statutes provides that a director or officer will not be personally liable to the corporation and its stockholders unless it is proven that (i) the director's or officer's acts or omissions constituted a breach of his fiduciary duties, and (ii) such breach involved intentional misconduct, fraud or a knowing violation of the law. The provisions of the Nevada Revised Statutes with respect to limiting personal liability for directors and officers are self-executing and, to the extent the provisions of our Amended and Restated Articles of Incorporation and By-laws would be deemed to be inconsistent therewith, the provisions of the Nevada Revised Statutes will control.</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Section 78.7502 of the Nevada Revised Statutes permits a corporation to indemnify a present or former director, officer, employee or agent of the corporation, or of another entity or enterprise for which such person is or was serving in such capacity at the request of the corporation, who was or is a party or is threatened to be made a party to any threatened, pending or completed action, suit or proceeding, except an action by or in the right of the corporation, against expenses, including attorneys’ fees, judgments, fines and amounts paid in settlement actually and reasonably incurred in connection therewith, arising by reason of such person’s service in such capacity if such person (i) is not liable pursuant to Section 78.138 of the Nevada Revised Statutes, or (ii) acted in good faith and in a manner which he or she reasonably believed to be in or not opposed to the best interests of the corporation and, with respect to a criminal action or proceeding, had no reasonable cause to believe his or her conduct was unlawful. In the case of actions brought by or in the right of the corporation, however, no indemnification may be made for any claim, issue or matter as to which such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such person is fairly and reasonably entitled to indemnity for such expenses as the court deems proper.</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Section 78.751 of the Nevada Revised Statutes permits any discretionary indemnification under Section 78.7502 of the Nevada Revised Statutes, unless ordered by a court or advanced to a director or officer by the corporation in accordance with the Nevada Revised Statutes, to be made by a corporation only as authorized in each specific case upon a determination that indemnification of the director, officer, employee or agent is proper in the circumstances. Such determination must be made (1) by the stockholders, (2) by the board of directors by majority vote of a quorum consisting of directors who were not parties to the action, suit or proceeding, (3) if a majority vote of a quorum consisting of directors who were not parties to the action, suit or proceeding so orders, by independent legal counsel in a written opinion, or (4) if a quorum consisting of directors who were not parties to the action, suit or proceeding cannot be obtained, by independent legal counsel in a written opinion.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861" w:right="1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58"/>
        </w:trPr>
        <w:tc>
          <w:tcPr>
            <w:tcW w:w="900" w:type="dxa"/>
            <w:vAlign w:val="bottom"/>
          </w:tcPr>
          <w:p>
            <w:pPr>
              <w:spacing w:after="0"/>
              <w:rPr>
                <w:sz w:val="20"/>
                <w:szCs w:val="20"/>
                <w:color w:val="auto"/>
              </w:rPr>
            </w:pPr>
            <w:r>
              <w:rPr>
                <w:rFonts w:ascii="Arial" w:cs="Arial" w:eastAsia="Arial" w:hAnsi="Arial"/>
                <w:sz w:val="12"/>
                <w:szCs w:val="12"/>
                <w:b w:val="1"/>
                <w:bCs w:val="1"/>
                <w:color w:val="auto"/>
              </w:rPr>
              <w:t>ITEM 16.</w:t>
            </w:r>
          </w:p>
        </w:tc>
        <w:tc>
          <w:tcPr>
            <w:tcW w:w="10580" w:type="dxa"/>
            <w:vAlign w:val="bottom"/>
            <w:gridSpan w:val="2"/>
          </w:tcPr>
          <w:p>
            <w:pPr>
              <w:ind w:left="120"/>
              <w:spacing w:after="0"/>
              <w:rPr>
                <w:sz w:val="20"/>
                <w:szCs w:val="20"/>
                <w:color w:val="auto"/>
              </w:rPr>
            </w:pPr>
            <w:r>
              <w:rPr>
                <w:rFonts w:ascii="Arial" w:cs="Arial" w:eastAsia="Arial" w:hAnsi="Arial"/>
                <w:sz w:val="12"/>
                <w:szCs w:val="12"/>
                <w:b w:val="1"/>
                <w:bCs w:val="1"/>
                <w:color w:val="auto"/>
              </w:rPr>
              <w:t>EXHIBITS.</w:t>
            </w:r>
          </w:p>
        </w:tc>
      </w:tr>
      <w:tr>
        <w:trPr>
          <w:trHeight w:val="277"/>
        </w:trPr>
        <w:tc>
          <w:tcPr>
            <w:tcW w:w="900" w:type="dxa"/>
            <w:vAlign w:val="bottom"/>
          </w:tcPr>
          <w:p>
            <w:pPr>
              <w:spacing w:after="0"/>
              <w:rPr>
                <w:sz w:val="20"/>
                <w:szCs w:val="20"/>
                <w:color w:val="auto"/>
              </w:rPr>
            </w:pPr>
            <w:r>
              <w:rPr>
                <w:rFonts w:ascii="Arial" w:cs="Arial" w:eastAsia="Arial" w:hAnsi="Arial"/>
                <w:sz w:val="12"/>
                <w:szCs w:val="12"/>
                <w:b w:val="1"/>
                <w:bCs w:val="1"/>
                <w:color w:val="auto"/>
              </w:rPr>
              <w:t>Exhibit</w:t>
            </w:r>
          </w:p>
        </w:tc>
        <w:tc>
          <w:tcPr>
            <w:tcW w:w="260" w:type="dxa"/>
            <w:vAlign w:val="bottom"/>
          </w:tcPr>
          <w:p>
            <w:pPr>
              <w:spacing w:after="0"/>
              <w:rPr>
                <w:sz w:val="24"/>
                <w:szCs w:val="24"/>
                <w:color w:val="auto"/>
              </w:rPr>
            </w:pPr>
          </w:p>
        </w:tc>
        <w:tc>
          <w:tcPr>
            <w:tcW w:w="10320" w:type="dxa"/>
            <w:vAlign w:val="bottom"/>
          </w:tcPr>
          <w:p>
            <w:pPr>
              <w:spacing w:after="0"/>
              <w:rPr>
                <w:sz w:val="24"/>
                <w:szCs w:val="24"/>
                <w:color w:val="auto"/>
              </w:rPr>
            </w:pPr>
          </w:p>
        </w:tc>
      </w:tr>
      <w:tr>
        <w:trPr>
          <w:trHeight w:val="158"/>
        </w:trPr>
        <w:tc>
          <w:tcPr>
            <w:tcW w:w="900" w:type="dxa"/>
            <w:vAlign w:val="bottom"/>
          </w:tcPr>
          <w:p>
            <w:pPr>
              <w:spacing w:after="0"/>
              <w:rPr>
                <w:sz w:val="20"/>
                <w:szCs w:val="20"/>
                <w:color w:val="auto"/>
              </w:rPr>
            </w:pPr>
            <w:r>
              <w:rPr>
                <w:rFonts w:ascii="Arial" w:cs="Arial" w:eastAsia="Arial" w:hAnsi="Arial"/>
                <w:sz w:val="12"/>
                <w:szCs w:val="12"/>
                <w:b w:val="1"/>
                <w:bCs w:val="1"/>
                <w:color w:val="auto"/>
              </w:rPr>
              <w:t>Number</w:t>
            </w:r>
          </w:p>
        </w:tc>
        <w:tc>
          <w:tcPr>
            <w:tcW w:w="10580" w:type="dxa"/>
            <w:vAlign w:val="bottom"/>
            <w:gridSpan w:val="2"/>
          </w:tcPr>
          <w:p>
            <w:pPr>
              <w:ind w:left="260"/>
              <w:spacing w:after="0"/>
              <w:rPr>
                <w:sz w:val="20"/>
                <w:szCs w:val="20"/>
                <w:color w:val="auto"/>
              </w:rPr>
            </w:pPr>
            <w:r>
              <w:rPr>
                <w:rFonts w:ascii="Arial" w:cs="Arial" w:eastAsia="Arial" w:hAnsi="Arial"/>
                <w:sz w:val="12"/>
                <w:szCs w:val="12"/>
                <w:b w:val="1"/>
                <w:bCs w:val="1"/>
                <w:color w:val="auto"/>
              </w:rPr>
              <w:t>Description</w:t>
            </w: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32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900" w:type="dxa"/>
            <w:vAlign w:val="bottom"/>
          </w:tcPr>
          <w:p>
            <w:pPr>
              <w:spacing w:after="0"/>
              <w:rPr>
                <w:sz w:val="20"/>
                <w:szCs w:val="20"/>
                <w:color w:val="auto"/>
              </w:rPr>
            </w:pPr>
            <w:r>
              <w:rPr>
                <w:rFonts w:ascii="Arial" w:cs="Arial" w:eastAsia="Arial" w:hAnsi="Arial"/>
                <w:sz w:val="12"/>
                <w:szCs w:val="12"/>
                <w:color w:val="auto"/>
              </w:rPr>
              <w:t>3.1</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Amended Articles of Incorporation dated February 3, 2009 as filed as Exhibit 3.1 to Form 8-K filed on February 6, 2009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3.2</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Amended Articles of Incorporation dated May 19, 1999 as filed as Exhibit 2.1 to the Registration Statement filed on Form 10-SB on September 3, 1999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3.3</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w w:val="94"/>
              </w:rPr>
              <w:t>Amended and Restated Bylaws of the company dated May 10, 2004 as filed as Exhibit 3.1 to the company's Quarterly Report on Form 10-QSB as filed on May 20, 2004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3.4</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w w:val="96"/>
              </w:rPr>
              <w:t>Certificate of Designation for the company’s Series A Convertible Preferred Stock, dated January 6, 2014 as filed as exhibit 3.2 to the company’s current report on Form 8-K filed on January 7, 2014 and</w:t>
            </w:r>
          </w:p>
        </w:tc>
      </w:tr>
      <w:tr>
        <w:trPr>
          <w:trHeight w:val="145"/>
        </w:trPr>
        <w:tc>
          <w:tcPr>
            <w:tcW w:w="900" w:type="dxa"/>
            <w:vAlign w:val="bottom"/>
          </w:tcPr>
          <w:p>
            <w:pPr>
              <w:spacing w:after="0"/>
              <w:rPr>
                <w:sz w:val="12"/>
                <w:szCs w:val="12"/>
                <w:color w:val="auto"/>
              </w:rPr>
            </w:pP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3.5</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w w:val="94"/>
              </w:rPr>
              <w:t>Certificate of Amendment to Articles of Incorporation dated February 20, 2014 as filed as Exhibit 3.3 to the company’s current report on Form 8-K filed on March 3, 2014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3.6</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w w:val="96"/>
              </w:rPr>
              <w:t>Certificate of Designation for the company’s Series B Convertible Preferred Stock, dated February 18, 2014 as filed as exhibit 3.2 to the company’s current report on Form 8-K filed on March 3, 2014 and</w:t>
            </w:r>
          </w:p>
        </w:tc>
      </w:tr>
      <w:tr>
        <w:trPr>
          <w:trHeight w:val="145"/>
        </w:trPr>
        <w:tc>
          <w:tcPr>
            <w:tcW w:w="900" w:type="dxa"/>
            <w:vAlign w:val="bottom"/>
          </w:tcPr>
          <w:p>
            <w:pPr>
              <w:spacing w:after="0"/>
              <w:rPr>
                <w:sz w:val="12"/>
                <w:szCs w:val="12"/>
                <w:color w:val="auto"/>
              </w:rPr>
            </w:pP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4.1</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w w:val="97"/>
              </w:rPr>
              <w:t>Form of Common Stock Purchase Warrant issued on August 13, 2014 as filed as Exhibit 4.1 to the company’s current report on Form 8-K filed on August 14, 2014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4.2</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Form of Common Stock Purchase Warrants-Series A as filed as filed as Exhibit 4.1 to the company’s current report on Form 8-K filed on January 12, 2015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4.3</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Form of Common Stock Purchase Warrants-Series B as filed as filed as Exhibit 4.2 to the company’s current report on Form 8-K filed on January 12, 2015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4.4</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Form of Common Stock Purchase Warrants-Series C as filed as filed as Exhibit 4.3 to the company’s current report on Form 8-K filed on January 12, 2015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4.5</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Form of Common Stock Purchase Warrants-Series D as filed as filed as Exhibit 4.4 to the company’s current report on Form 8-K filed on January 12, 2015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4.6</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Form of Common Stock Purchase Warrants-Series E as filed as filed as Exhibit 4.5 to the company’s current report on Form 8-K filed on January 12, 2015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4.7</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Form of Common Stock Purchase Warrants-Series A-1 as filed as filed as Exhibit 4.1 to the company’s current report on Form 8-K filed on March 10, 2015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4.8</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Form of Common Stock Purchase Warrants-Series B-1 as filed as filed as Exhibit 4.2 to the company’s current report on Form 8-K filed on March 10, 2015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4.9</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Form of Common Stock Purchase Warrants-Series C-1 as filed as filed as Exhibit 4.3 to the company’s current report on Form 8-K filed on March 10, 2015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4.10</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Form of Common Stock Purchase Warrants-Series D-1 as filed as filed as Exhibit 4.4 to the company’s current report on Form 8-K filed on March 10, 2015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4.11</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Form of Common Stock Purchase Warrants-Series E-1 as filed as filed as Exhibit 4.5 to the company’s current report on Form 8-K filed on March 10, 2015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5.1</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Opinion of Sanders Ortoli Vaughn-Flam Rosenstadt LLP*</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10.1</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w w:val="90"/>
              </w:rPr>
              <w:t>Form of Securities Purchase Agreement, dated as of August 11, 2014, by and among the company and the Purchasers in the August 2014 offering as filed as Exhibit 10.1 to the company’s current report on Form 8-</w:t>
            </w:r>
          </w:p>
        </w:tc>
      </w:tr>
      <w:tr>
        <w:trPr>
          <w:trHeight w:val="145"/>
        </w:trPr>
        <w:tc>
          <w:tcPr>
            <w:tcW w:w="900" w:type="dxa"/>
            <w:vAlign w:val="bottom"/>
          </w:tcPr>
          <w:p>
            <w:pPr>
              <w:spacing w:after="0"/>
              <w:rPr>
                <w:sz w:val="12"/>
                <w:szCs w:val="12"/>
                <w:color w:val="auto"/>
              </w:rPr>
            </w:pP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K filed on August 14, 2014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10.2</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w w:val="91"/>
              </w:rPr>
              <w:t>Form of Securities Purchase Agreement, dated as of January 12, 2015, by and among the Company and the Purchasers in the January offering as filed as Exhibit 10.1 to the company’s current report on Form 8-K</w:t>
            </w:r>
          </w:p>
        </w:tc>
      </w:tr>
      <w:tr>
        <w:trPr>
          <w:trHeight w:val="145"/>
        </w:trPr>
        <w:tc>
          <w:tcPr>
            <w:tcW w:w="900" w:type="dxa"/>
            <w:vAlign w:val="bottom"/>
          </w:tcPr>
          <w:p>
            <w:pPr>
              <w:spacing w:after="0"/>
              <w:rPr>
                <w:sz w:val="12"/>
                <w:szCs w:val="12"/>
                <w:color w:val="auto"/>
              </w:rPr>
            </w:pP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filed on January 12, 2015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10.3</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w w:val="93"/>
              </w:rPr>
              <w:t>Securities Purchase Agreement, dated as of March 9, 2015, between the Company and Eastern Capital Limited as filed as Exhibit 10.1 to the company’s current report on Form 8-K filed on March 10, 2015 and</w:t>
            </w:r>
          </w:p>
        </w:tc>
      </w:tr>
      <w:tr>
        <w:trPr>
          <w:trHeight w:val="145"/>
        </w:trPr>
        <w:tc>
          <w:tcPr>
            <w:tcW w:w="900" w:type="dxa"/>
            <w:vAlign w:val="bottom"/>
          </w:tcPr>
          <w:p>
            <w:pPr>
              <w:spacing w:after="0"/>
              <w:rPr>
                <w:sz w:val="12"/>
                <w:szCs w:val="12"/>
                <w:color w:val="auto"/>
              </w:rPr>
            </w:pP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10.4</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w w:val="93"/>
              </w:rPr>
              <w:t>Form of Restructuring Agreement, dated as of May 28, 2015, among the company and the purchasers in the January 2015 offering and the March 2015 offering as filed as Exhibit 10.1 to the company’s current</w:t>
            </w:r>
          </w:p>
        </w:tc>
      </w:tr>
      <w:tr>
        <w:trPr>
          <w:trHeight w:val="145"/>
        </w:trPr>
        <w:tc>
          <w:tcPr>
            <w:tcW w:w="900" w:type="dxa"/>
            <w:vAlign w:val="bottom"/>
          </w:tcPr>
          <w:p>
            <w:pPr>
              <w:spacing w:after="0"/>
              <w:rPr>
                <w:sz w:val="12"/>
                <w:szCs w:val="12"/>
                <w:color w:val="auto"/>
              </w:rPr>
            </w:pP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report on Form 8-K filed on June 3, 2015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10.5</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w w:val="92"/>
              </w:rPr>
              <w:t>Amended and Restated Restructuring Agreement, dated as June 2, 2015, between the company and Eastern Capital Limited as filed as Exhibit 10.1 to the company’s current report on Form 8-K filed on June 5,</w:t>
            </w:r>
          </w:p>
        </w:tc>
      </w:tr>
      <w:tr>
        <w:trPr>
          <w:trHeight w:val="145"/>
        </w:trPr>
        <w:tc>
          <w:tcPr>
            <w:tcW w:w="900" w:type="dxa"/>
            <w:vAlign w:val="bottom"/>
          </w:tcPr>
          <w:p>
            <w:pPr>
              <w:spacing w:after="0"/>
              <w:rPr>
                <w:sz w:val="12"/>
                <w:szCs w:val="12"/>
                <w:color w:val="auto"/>
              </w:rPr>
            </w:pP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2015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21.1</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List of subsidiaries as filed as Exhibit 21.2 to the company’s registration statement on Form S-1 filed on June 16, 2010 and incorporated herein by reference</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23.1</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Consent of Dale Matheson Carr-Hilton LaBonte LLP*</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23.2</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Consent of Marcum LLP*</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23.3</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Consent of Sanders Ortoli Vaughn-Flam Rosenstadt LLP (included in the opinion filed as Exhibit 5.1)</w:t>
            </w:r>
          </w:p>
        </w:tc>
      </w:tr>
      <w:tr>
        <w:trPr>
          <w:trHeight w:val="154"/>
        </w:trPr>
        <w:tc>
          <w:tcPr>
            <w:tcW w:w="900" w:type="dxa"/>
            <w:vAlign w:val="bottom"/>
          </w:tcPr>
          <w:p>
            <w:pPr>
              <w:spacing w:after="0"/>
              <w:rPr>
                <w:sz w:val="20"/>
                <w:szCs w:val="20"/>
                <w:color w:val="auto"/>
              </w:rPr>
            </w:pPr>
            <w:r>
              <w:rPr>
                <w:rFonts w:ascii="Arial" w:cs="Arial" w:eastAsia="Arial" w:hAnsi="Arial"/>
                <w:sz w:val="12"/>
                <w:szCs w:val="12"/>
                <w:color w:val="auto"/>
              </w:rPr>
              <w:t>24.1</w:t>
            </w:r>
          </w:p>
        </w:tc>
        <w:tc>
          <w:tcPr>
            <w:tcW w:w="10580" w:type="dxa"/>
            <w:vAlign w:val="bottom"/>
            <w:gridSpan w:val="2"/>
          </w:tcPr>
          <w:p>
            <w:pPr>
              <w:ind w:left="260"/>
              <w:spacing w:after="0"/>
              <w:rPr>
                <w:sz w:val="20"/>
                <w:szCs w:val="20"/>
                <w:color w:val="auto"/>
              </w:rPr>
            </w:pPr>
            <w:r>
              <w:rPr>
                <w:rFonts w:ascii="Arial" w:cs="Arial" w:eastAsia="Arial" w:hAnsi="Arial"/>
                <w:sz w:val="12"/>
                <w:szCs w:val="12"/>
                <w:color w:val="auto"/>
              </w:rPr>
              <w:t>Power of Attorney (included on the signature page to this Registration Statement)*</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8690" cy="18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0"/>
          </w:cols>
          <w:pgMar w:left="220" w:top="698" w:right="199" w:bottom="1440" w:gutter="0" w:footer="0" w:header="0"/>
        </w:sectPr>
      </w:pPr>
    </w:p>
    <w:bookmarkStart w:id="78" w:name="page79"/>
    <w:bookmarkEnd w:id="78"/>
    <w:p>
      <w:pPr>
        <w:ind w:left="7"/>
        <w:spacing w:after="0"/>
        <w:tabs>
          <w:tab w:leader="none" w:pos="1127" w:val="left"/>
        </w:tabs>
        <w:rPr>
          <w:sz w:val="20"/>
          <w:szCs w:val="20"/>
          <w:color w:val="auto"/>
        </w:rPr>
      </w:pPr>
      <w:r>
        <w:rPr>
          <w:rFonts w:ascii="Arial" w:cs="Arial" w:eastAsia="Arial" w:hAnsi="Arial"/>
          <w:sz w:val="12"/>
          <w:szCs w:val="12"/>
          <w:b w:val="1"/>
          <w:bCs w:val="1"/>
          <w:color w:val="auto"/>
        </w:rPr>
        <w:t>ITEM 17.</w:t>
      </w:r>
      <w:r>
        <w:rPr>
          <w:sz w:val="20"/>
          <w:szCs w:val="20"/>
          <w:color w:val="auto"/>
        </w:rPr>
        <w:tab/>
      </w:r>
      <w:r>
        <w:rPr>
          <w:rFonts w:ascii="Arial" w:cs="Arial" w:eastAsia="Arial" w:hAnsi="Arial"/>
          <w:sz w:val="12"/>
          <w:szCs w:val="12"/>
          <w:b w:val="1"/>
          <w:bCs w:val="1"/>
          <w:color w:val="auto"/>
        </w:rPr>
        <w:t>UNDERTAKINGS.</w:t>
      </w:r>
    </w:p>
    <w:p>
      <w:pPr>
        <w:spacing w:after="0" w:line="156" w:lineRule="exact"/>
        <w:rPr>
          <w:sz w:val="20"/>
          <w:szCs w:val="20"/>
          <w:color w:val="auto"/>
        </w:rPr>
      </w:pPr>
    </w:p>
    <w:p>
      <w:pPr>
        <w:ind w:left="7" w:right="9180" w:hanging="7"/>
        <w:spacing w:after="0" w:line="550" w:lineRule="auto"/>
        <w:tabs>
          <w:tab w:leader="none" w:pos="1158" w:val="left"/>
        </w:tabs>
        <w:numPr>
          <w:ilvl w:val="0"/>
          <w:numId w:val="40"/>
        </w:numPr>
        <w:rPr>
          <w:rFonts w:ascii="Arial" w:cs="Arial" w:eastAsia="Arial" w:hAnsi="Arial"/>
          <w:sz w:val="11"/>
          <w:szCs w:val="11"/>
          <w:color w:val="auto"/>
        </w:rPr>
      </w:pPr>
      <w:r>
        <w:rPr>
          <w:rFonts w:ascii="Arial" w:cs="Arial" w:eastAsia="Arial" w:hAnsi="Arial"/>
          <w:sz w:val="11"/>
          <w:szCs w:val="11"/>
          <w:color w:val="auto"/>
        </w:rPr>
        <w:t>RULE 415 OFFERING The undersigned registrant hereby undertakes:</w:t>
      </w:r>
    </w:p>
    <w:p>
      <w:pPr>
        <w:ind w:left="7"/>
        <w:spacing w:after="0"/>
        <w:rPr>
          <w:rFonts w:ascii="Arial" w:cs="Arial" w:eastAsia="Arial" w:hAnsi="Arial"/>
          <w:sz w:val="11"/>
          <w:szCs w:val="11"/>
          <w:color w:val="auto"/>
        </w:rPr>
      </w:pPr>
      <w:r>
        <w:rPr>
          <w:rFonts w:ascii="Arial" w:cs="Arial" w:eastAsia="Arial" w:hAnsi="Arial"/>
          <w:sz w:val="12"/>
          <w:szCs w:val="12"/>
          <w:color w:val="auto"/>
        </w:rPr>
        <w:t>(1) To file, during any period in which offers or sales are being made, a post-effective amendment to this Registration Statement:</w:t>
      </w:r>
    </w:p>
    <w:p>
      <w:pPr>
        <w:spacing w:after="0" w:line="152" w:lineRule="exact"/>
        <w:rPr>
          <w:rFonts w:ascii="Arial" w:cs="Arial" w:eastAsia="Arial" w:hAnsi="Arial"/>
          <w:sz w:val="11"/>
          <w:szCs w:val="11"/>
          <w:color w:val="auto"/>
        </w:rPr>
      </w:pPr>
    </w:p>
    <w:p>
      <w:pPr>
        <w:ind w:left="607" w:hanging="172"/>
        <w:spacing w:after="0"/>
        <w:tabs>
          <w:tab w:leader="none" w:pos="607" w:val="left"/>
        </w:tabs>
        <w:numPr>
          <w:ilvl w:val="1"/>
          <w:numId w:val="40"/>
        </w:numPr>
        <w:rPr>
          <w:rFonts w:ascii="Arial" w:cs="Arial" w:eastAsia="Arial" w:hAnsi="Arial"/>
          <w:sz w:val="12"/>
          <w:szCs w:val="12"/>
          <w:color w:val="auto"/>
        </w:rPr>
      </w:pPr>
      <w:r>
        <w:rPr>
          <w:rFonts w:ascii="Arial" w:cs="Arial" w:eastAsia="Arial" w:hAnsi="Arial"/>
          <w:sz w:val="12"/>
          <w:szCs w:val="12"/>
          <w:color w:val="auto"/>
        </w:rPr>
        <w:t>To include any prospectus required by Section 10(a)(3) of the Securities Act of 1933, as amended;</w:t>
      </w:r>
    </w:p>
    <w:p>
      <w:pPr>
        <w:spacing w:after="0" w:line="152" w:lineRule="exact"/>
        <w:rPr>
          <w:rFonts w:ascii="Arial" w:cs="Arial" w:eastAsia="Arial" w:hAnsi="Arial"/>
          <w:sz w:val="12"/>
          <w:szCs w:val="12"/>
          <w:color w:val="auto"/>
        </w:rPr>
      </w:pPr>
    </w:p>
    <w:p>
      <w:pPr>
        <w:jc w:val="both"/>
        <w:ind w:left="427" w:firstLine="8"/>
        <w:spacing w:after="0" w:line="292" w:lineRule="auto"/>
        <w:tabs>
          <w:tab w:leader="none" w:pos="669" w:val="left"/>
        </w:tabs>
        <w:numPr>
          <w:ilvl w:val="1"/>
          <w:numId w:val="40"/>
        </w:numPr>
        <w:rPr>
          <w:rFonts w:ascii="Arial" w:cs="Arial" w:eastAsia="Arial" w:hAnsi="Arial"/>
          <w:sz w:val="11"/>
          <w:szCs w:val="11"/>
          <w:color w:val="auto"/>
        </w:rPr>
      </w:pPr>
      <w:r>
        <w:rPr>
          <w:rFonts w:ascii="Arial" w:cs="Arial" w:eastAsia="Arial" w:hAnsi="Arial"/>
          <w:sz w:val="11"/>
          <w:szCs w:val="11"/>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09" w:lineRule="exact"/>
        <w:rPr>
          <w:rFonts w:ascii="Arial" w:cs="Arial" w:eastAsia="Arial" w:hAnsi="Arial"/>
          <w:sz w:val="11"/>
          <w:szCs w:val="11"/>
          <w:color w:val="auto"/>
        </w:rPr>
      </w:pPr>
    </w:p>
    <w:p>
      <w:pPr>
        <w:ind w:left="667" w:hanging="232"/>
        <w:spacing w:after="0"/>
        <w:tabs>
          <w:tab w:leader="none" w:pos="667" w:val="left"/>
        </w:tabs>
        <w:numPr>
          <w:ilvl w:val="1"/>
          <w:numId w:val="40"/>
        </w:numPr>
        <w:rPr>
          <w:rFonts w:ascii="Arial" w:cs="Arial" w:eastAsia="Arial" w:hAnsi="Arial"/>
          <w:sz w:val="12"/>
          <w:szCs w:val="12"/>
          <w:color w:val="auto"/>
        </w:rPr>
      </w:pPr>
      <w:r>
        <w:rPr>
          <w:rFonts w:ascii="Arial" w:cs="Arial" w:eastAsia="Arial" w:hAnsi="Arial"/>
          <w:sz w:val="12"/>
          <w:szCs w:val="12"/>
          <w:color w:val="auto"/>
        </w:rPr>
        <w:t>To include any material information with respect to the plan of distribution not previously disclosed in the registration statement or any material change to such information in the registration statement;</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2"/>
          <w:szCs w:val="12"/>
          <w:color w:val="auto"/>
        </w:rPr>
        <w:t>Provided, however, That:</w:t>
      </w:r>
    </w:p>
    <w:p>
      <w:pPr>
        <w:spacing w:after="0" w:line="152" w:lineRule="exact"/>
        <w:rPr>
          <w:sz w:val="20"/>
          <w:szCs w:val="20"/>
          <w:color w:val="auto"/>
        </w:rPr>
      </w:pPr>
    </w:p>
    <w:p>
      <w:pPr>
        <w:ind w:left="427" w:firstLine="8"/>
        <w:spacing w:after="0" w:line="326" w:lineRule="auto"/>
        <w:tabs>
          <w:tab w:leader="none" w:pos="626" w:val="left"/>
        </w:tabs>
        <w:numPr>
          <w:ilvl w:val="1"/>
          <w:numId w:val="41"/>
        </w:numPr>
        <w:rPr>
          <w:rFonts w:ascii="Arial" w:cs="Arial" w:eastAsia="Arial" w:hAnsi="Arial"/>
          <w:sz w:val="11"/>
          <w:szCs w:val="11"/>
          <w:color w:val="auto"/>
        </w:rPr>
      </w:pPr>
      <w:r>
        <w:rPr>
          <w:rFonts w:ascii="Arial" w:cs="Arial" w:eastAsia="Arial" w:hAnsi="Arial"/>
          <w:sz w:val="11"/>
          <w:szCs w:val="11"/>
          <w:color w:val="auto"/>
        </w:rPr>
        <w:t>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and</w:t>
      </w:r>
    </w:p>
    <w:p>
      <w:pPr>
        <w:spacing w:after="0" w:line="91" w:lineRule="exact"/>
        <w:rPr>
          <w:rFonts w:ascii="Arial" w:cs="Arial" w:eastAsia="Arial" w:hAnsi="Arial"/>
          <w:sz w:val="11"/>
          <w:szCs w:val="11"/>
          <w:color w:val="auto"/>
        </w:rPr>
      </w:pPr>
    </w:p>
    <w:p>
      <w:pPr>
        <w:jc w:val="both"/>
        <w:ind w:left="427" w:firstLine="8"/>
        <w:spacing w:after="0" w:line="265" w:lineRule="auto"/>
        <w:tabs>
          <w:tab w:leader="none" w:pos="619" w:val="left"/>
        </w:tabs>
        <w:numPr>
          <w:ilvl w:val="1"/>
          <w:numId w:val="41"/>
        </w:numPr>
        <w:rPr>
          <w:rFonts w:ascii="Arial" w:cs="Arial" w:eastAsia="Arial" w:hAnsi="Arial"/>
          <w:sz w:val="12"/>
          <w:szCs w:val="12"/>
          <w:color w:val="auto"/>
        </w:rPr>
      </w:pPr>
      <w:r>
        <w:rPr>
          <w:rFonts w:ascii="Arial" w:cs="Arial" w:eastAsia="Arial" w:hAnsi="Arial"/>
          <w:sz w:val="12"/>
          <w:szCs w:val="12"/>
          <w:color w:val="auto"/>
        </w:rPr>
        <w:t>Paragraphs (a)(1)(i), (a)(1)(ii), and (a)(1)(iii)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22" w:lineRule="exact"/>
        <w:rPr>
          <w:rFonts w:ascii="Arial" w:cs="Arial" w:eastAsia="Arial" w:hAnsi="Arial"/>
          <w:sz w:val="12"/>
          <w:szCs w:val="12"/>
          <w:color w:val="auto"/>
        </w:rPr>
      </w:pPr>
    </w:p>
    <w:p>
      <w:pPr>
        <w:ind w:left="7" w:right="20" w:hanging="7"/>
        <w:spacing w:after="0" w:line="279" w:lineRule="auto"/>
        <w:tabs>
          <w:tab w:leader="none" w:pos="20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as amended, each such post- effective amendment shall be deemed to be a new registration statement relating to the securities offered therein, and the offering of such securities at that time shall be deemed to be initial bona fide offering thereof.</w:t>
      </w:r>
    </w:p>
    <w:p>
      <w:pPr>
        <w:spacing w:after="0" w:line="114" w:lineRule="exact"/>
        <w:rPr>
          <w:rFonts w:ascii="Arial" w:cs="Arial" w:eastAsia="Arial" w:hAnsi="Arial"/>
          <w:sz w:val="12"/>
          <w:szCs w:val="12"/>
          <w:color w:val="auto"/>
        </w:rPr>
      </w:pPr>
    </w:p>
    <w:p>
      <w:pPr>
        <w:ind w:left="207" w:hanging="207"/>
        <w:spacing w:after="0"/>
        <w:tabs>
          <w:tab w:leader="none" w:pos="207"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being registered which remain unsold at the termination of the offering.</w:t>
      </w:r>
    </w:p>
    <w:p>
      <w:pPr>
        <w:spacing w:after="0" w:line="152" w:lineRule="exact"/>
        <w:rPr>
          <w:rFonts w:ascii="Arial" w:cs="Arial" w:eastAsia="Arial" w:hAnsi="Arial"/>
          <w:sz w:val="12"/>
          <w:szCs w:val="12"/>
          <w:color w:val="auto"/>
        </w:rPr>
      </w:pPr>
    </w:p>
    <w:p>
      <w:pPr>
        <w:ind w:left="207" w:hanging="207"/>
        <w:spacing w:after="0"/>
        <w:tabs>
          <w:tab w:leader="none" w:pos="207"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That, for the purpose of determining liability under the Securities Act of 1933, as amended, to any purchaser:</w:t>
      </w:r>
    </w:p>
    <w:p>
      <w:pPr>
        <w:spacing w:after="0" w:line="152" w:lineRule="exact"/>
        <w:rPr>
          <w:rFonts w:ascii="Arial" w:cs="Arial" w:eastAsia="Arial" w:hAnsi="Arial"/>
          <w:sz w:val="12"/>
          <w:szCs w:val="12"/>
          <w:color w:val="auto"/>
        </w:rPr>
      </w:pPr>
    </w:p>
    <w:p>
      <w:pPr>
        <w:ind w:left="647" w:hanging="212"/>
        <w:spacing w:after="0"/>
        <w:tabs>
          <w:tab w:leader="none" w:pos="647" w:val="left"/>
        </w:tabs>
        <w:numPr>
          <w:ilvl w:val="1"/>
          <w:numId w:val="42"/>
        </w:numPr>
        <w:rPr>
          <w:rFonts w:ascii="Arial" w:cs="Arial" w:eastAsia="Arial" w:hAnsi="Arial"/>
          <w:sz w:val="11"/>
          <w:szCs w:val="11"/>
          <w:color w:val="auto"/>
        </w:rPr>
      </w:pPr>
      <w:r>
        <w:rPr>
          <w:rFonts w:ascii="Arial" w:cs="Arial" w:eastAsia="Arial" w:hAnsi="Arial"/>
          <w:sz w:val="11"/>
          <w:szCs w:val="11"/>
          <w:color w:val="auto"/>
        </w:rPr>
        <w:t>Each prospectus filed by the registrant pursuant to Rule 424(b)(3) shall be deemed to be part of the Registration Statement as of the date the filed prospectus was deemed part of and included in the Registration Statement;</w:t>
      </w:r>
    </w:p>
    <w:p>
      <w:pPr>
        <w:spacing w:after="0" w:line="27" w:lineRule="exact"/>
        <w:rPr>
          <w:rFonts w:ascii="Arial" w:cs="Arial" w:eastAsia="Arial" w:hAnsi="Arial"/>
          <w:sz w:val="11"/>
          <w:szCs w:val="11"/>
          <w:color w:val="auto"/>
        </w:rPr>
      </w:pPr>
    </w:p>
    <w:p>
      <w:pPr>
        <w:ind w:left="427"/>
        <w:spacing w:after="0"/>
        <w:rPr>
          <w:rFonts w:ascii="Arial" w:cs="Arial" w:eastAsia="Arial" w:hAnsi="Arial"/>
          <w:sz w:val="11"/>
          <w:szCs w:val="11"/>
          <w:color w:val="auto"/>
        </w:rPr>
      </w:pPr>
      <w:r>
        <w:rPr>
          <w:rFonts w:ascii="Arial" w:cs="Arial" w:eastAsia="Arial" w:hAnsi="Arial"/>
          <w:sz w:val="12"/>
          <w:szCs w:val="12"/>
          <w:color w:val="auto"/>
        </w:rPr>
        <w:t>and</w:t>
      </w:r>
    </w:p>
    <w:p>
      <w:pPr>
        <w:spacing w:after="0" w:line="143" w:lineRule="exact"/>
        <w:rPr>
          <w:rFonts w:ascii="Arial" w:cs="Arial" w:eastAsia="Arial" w:hAnsi="Arial"/>
          <w:sz w:val="11"/>
          <w:szCs w:val="11"/>
          <w:color w:val="auto"/>
        </w:rPr>
      </w:pPr>
    </w:p>
    <w:p>
      <w:pPr>
        <w:jc w:val="both"/>
        <w:ind w:left="427" w:firstLine="8"/>
        <w:spacing w:after="0" w:line="283" w:lineRule="auto"/>
        <w:tabs>
          <w:tab w:leader="none" w:pos="626" w:val="left"/>
        </w:tabs>
        <w:numPr>
          <w:ilvl w:val="1"/>
          <w:numId w:val="42"/>
        </w:numPr>
        <w:rPr>
          <w:rFonts w:ascii="Arial" w:cs="Arial" w:eastAsia="Arial" w:hAnsi="Arial"/>
          <w:sz w:val="11"/>
          <w:szCs w:val="11"/>
          <w:color w:val="auto"/>
        </w:rPr>
      </w:pPr>
      <w:r>
        <w:rPr>
          <w:rFonts w:ascii="Arial" w:cs="Arial" w:eastAsia="Arial" w:hAnsi="Arial"/>
          <w:sz w:val="11"/>
          <w:szCs w:val="11"/>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the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98690" cy="1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7"/>
          </w:cols>
          <w:pgMar w:left="213" w:top="697" w:right="199" w:bottom="1440" w:gutter="0" w:footer="0" w:header="0"/>
        </w:sectPr>
      </w:pPr>
    </w:p>
    <w:bookmarkStart w:id="79" w:name="page80"/>
    <w:bookmarkEnd w:id="79"/>
    <w:p>
      <w:pPr>
        <w:jc w:val="both"/>
        <w:ind w:left="7" w:hanging="7"/>
        <w:spacing w:after="0" w:line="265" w:lineRule="auto"/>
        <w:tabs>
          <w:tab w:leader="none" w:pos="213"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3" w:lineRule="exact"/>
        <w:rPr>
          <w:sz w:val="20"/>
          <w:szCs w:val="20"/>
          <w:color w:val="auto"/>
        </w:rPr>
      </w:pPr>
    </w:p>
    <w:p>
      <w:pPr>
        <w:ind w:left="147" w:hanging="147"/>
        <w:spacing w:after="0"/>
        <w:tabs>
          <w:tab w:leader="none" w:pos="147" w:val="left"/>
        </w:tabs>
        <w:numPr>
          <w:ilvl w:val="0"/>
          <w:numId w:val="44"/>
        </w:numPr>
        <w:rPr>
          <w:rFonts w:ascii="Arial" w:cs="Arial" w:eastAsia="Arial" w:hAnsi="Arial"/>
          <w:sz w:val="12"/>
          <w:szCs w:val="12"/>
          <w:color w:val="auto"/>
        </w:rPr>
      </w:pPr>
      <w:r>
        <w:rPr>
          <w:rFonts w:ascii="Arial" w:cs="Arial" w:eastAsia="Arial" w:hAnsi="Arial"/>
          <w:sz w:val="12"/>
          <w:szCs w:val="12"/>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2"/>
          <w:szCs w:val="12"/>
          <w:color w:val="auto"/>
        </w:rPr>
      </w:pPr>
    </w:p>
    <w:p>
      <w:pPr>
        <w:ind w:left="187" w:hanging="187"/>
        <w:spacing w:after="0"/>
        <w:tabs>
          <w:tab w:leader="none" w:pos="187" w:val="left"/>
        </w:tabs>
        <w:numPr>
          <w:ilvl w:val="0"/>
          <w:numId w:val="44"/>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2"/>
          <w:szCs w:val="12"/>
          <w:color w:val="auto"/>
        </w:rPr>
      </w:pPr>
    </w:p>
    <w:p>
      <w:pPr>
        <w:ind w:left="207" w:hanging="207"/>
        <w:spacing w:after="0"/>
        <w:tabs>
          <w:tab w:leader="none" w:pos="207"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portion of any other free writing prospectuses relating to the offering containing material information about the undersigned registrant or its securities provided by or on behalf of the undersigned registrant; and</w:t>
      </w:r>
    </w:p>
    <w:p>
      <w:pPr>
        <w:spacing w:after="0" w:line="152" w:lineRule="exact"/>
        <w:rPr>
          <w:rFonts w:ascii="Arial" w:cs="Arial" w:eastAsia="Arial" w:hAnsi="Arial"/>
          <w:sz w:val="12"/>
          <w:szCs w:val="12"/>
          <w:color w:val="auto"/>
        </w:rPr>
      </w:pPr>
    </w:p>
    <w:p>
      <w:pPr>
        <w:ind w:left="207" w:hanging="207"/>
        <w:spacing w:after="0"/>
        <w:tabs>
          <w:tab w:leader="none" w:pos="207" w:val="left"/>
        </w:tabs>
        <w:numPr>
          <w:ilvl w:val="0"/>
          <w:numId w:val="44"/>
        </w:numPr>
        <w:rPr>
          <w:rFonts w:ascii="Arial" w:cs="Arial" w:eastAsia="Arial" w:hAnsi="Arial"/>
          <w:sz w:val="12"/>
          <w:szCs w:val="12"/>
          <w:color w:val="auto"/>
        </w:rPr>
      </w:pPr>
      <w:r>
        <w:rPr>
          <w:rFonts w:ascii="Arial" w:cs="Arial" w:eastAsia="Arial" w:hAnsi="Arial"/>
          <w:sz w:val="12"/>
          <w:szCs w:val="12"/>
          <w:color w:val="auto"/>
        </w:rPr>
        <w:t>Any other communication that is an offer in the offering made by the undersigned registrant to the purchaser.</w:t>
      </w:r>
    </w:p>
    <w:p>
      <w:pPr>
        <w:spacing w:after="0" w:line="152" w:lineRule="exact"/>
        <w:rPr>
          <w:sz w:val="20"/>
          <w:szCs w:val="20"/>
          <w:color w:val="auto"/>
        </w:rPr>
      </w:pPr>
    </w:p>
    <w:p>
      <w:pPr>
        <w:jc w:val="both"/>
        <w:ind w:left="7" w:hanging="7"/>
        <w:spacing w:after="0" w:line="261" w:lineRule="auto"/>
        <w:tabs>
          <w:tab w:leader="none" w:pos="203"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25" w:lineRule="exact"/>
        <w:rPr>
          <w:sz w:val="20"/>
          <w:szCs w:val="20"/>
          <w:color w:val="auto"/>
        </w:rPr>
      </w:pPr>
    </w:p>
    <w:p>
      <w:pPr>
        <w:jc w:val="both"/>
        <w:ind w:left="7" w:hanging="7"/>
        <w:spacing w:after="0" w:line="288" w:lineRule="auto"/>
        <w:tabs>
          <w:tab w:leader="none" w:pos="223" w:val="left"/>
        </w:tabs>
        <w:numPr>
          <w:ilvl w:val="0"/>
          <w:numId w:val="46"/>
        </w:numPr>
        <w:rPr>
          <w:rFonts w:ascii="Arial" w:cs="Arial" w:eastAsia="Arial" w:hAnsi="Arial"/>
          <w:sz w:val="11"/>
          <w:szCs w:val="11"/>
          <w:color w:val="auto"/>
        </w:rPr>
      </w:pPr>
      <w:r>
        <w:rPr>
          <w:rFonts w:ascii="Arial" w:cs="Arial" w:eastAsia="Arial" w:hAnsi="Arial"/>
          <w:sz w:val="11"/>
          <w:szCs w:val="11"/>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98690"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8690" cy="18415"/>
                    </a:xfrm>
                    <a:prstGeom prst="rect">
                      <a:avLst/>
                    </a:prstGeom>
                    <a:noFill/>
                  </pic:spPr>
                </pic:pic>
              </a:graphicData>
            </a:graphic>
          </wp:anchor>
        </w:drawing>
      </w:r>
    </w:p>
    <w:p>
      <w:pPr>
        <w:sectPr>
          <w:pgSz w:w="11900" w:h="16838" w:orient="portrait"/>
          <w:cols w:equalWidth="0" w:num="1">
            <w:col w:w="11487"/>
          </w:cols>
          <w:pgMar w:left="213" w:top="538" w:right="199" w:bottom="1440" w:gutter="0" w:footer="0" w:header="0"/>
        </w:sectPr>
      </w:pPr>
    </w:p>
    <w:bookmarkStart w:id="80" w:name="page81"/>
    <w:bookmarkEnd w:id="80"/>
    <w:p>
      <w:pPr>
        <w:ind w:left="7"/>
        <w:spacing w:after="0"/>
        <w:rPr>
          <w:sz w:val="20"/>
          <w:szCs w:val="20"/>
          <w:color w:val="auto"/>
        </w:rPr>
      </w:pPr>
      <w:r>
        <w:rPr>
          <w:rFonts w:ascii="Arial" w:cs="Arial" w:eastAsia="Arial" w:hAnsi="Arial"/>
          <w:sz w:val="12"/>
          <w:szCs w:val="12"/>
          <w:b w:val="1"/>
          <w:bCs w:val="1"/>
          <w:color w:val="auto"/>
        </w:rPr>
        <w:t>SIGNATURES</w:t>
      </w:r>
    </w:p>
    <w:p>
      <w:pPr>
        <w:spacing w:after="0" w:line="301" w:lineRule="exact"/>
        <w:rPr>
          <w:sz w:val="20"/>
          <w:szCs w:val="20"/>
          <w:color w:val="auto"/>
        </w:rPr>
      </w:pPr>
    </w:p>
    <w:p>
      <w:pPr>
        <w:ind w:left="327"/>
        <w:spacing w:after="0"/>
        <w:rPr>
          <w:sz w:val="20"/>
          <w:szCs w:val="20"/>
          <w:color w:val="auto"/>
        </w:rPr>
      </w:pPr>
      <w:r>
        <w:rPr>
          <w:rFonts w:ascii="Arial" w:cs="Arial" w:eastAsia="Arial" w:hAnsi="Arial"/>
          <w:sz w:val="12"/>
          <w:szCs w:val="12"/>
          <w:color w:val="auto"/>
        </w:rPr>
        <w:t>Pursuant to the requirements of the Securities Act of 1933, the registrant has duly caused this registration statement to be signed on its behalf by the undersigned, thereunto duly authorized, on July 8, 2015.</w:t>
      </w:r>
    </w:p>
    <w:p>
      <w:pPr>
        <w:spacing w:after="0" w:line="297" w:lineRule="exact"/>
        <w:rPr>
          <w:sz w:val="20"/>
          <w:szCs w:val="20"/>
          <w:color w:val="auto"/>
        </w:rPr>
      </w:pPr>
    </w:p>
    <w:tbl>
      <w:tblPr>
        <w:tblLayout w:type="fixed"/>
        <w:tblInd w:w="7" w:type="dxa"/>
        <w:tblCellMar>
          <w:top w:w="0" w:type="dxa"/>
          <w:left w:w="0" w:type="dxa"/>
          <w:bottom w:w="0" w:type="dxa"/>
          <w:right w:w="0" w:type="dxa"/>
        </w:tblCellMar>
      </w:tblPr>
      <w:tr>
        <w:trPr>
          <w:trHeight w:val="154"/>
        </w:trPr>
        <w:tc>
          <w:tcPr>
            <w:tcW w:w="4600" w:type="dxa"/>
            <w:vAlign w:val="bottom"/>
          </w:tcPr>
          <w:p>
            <w:pPr>
              <w:spacing w:after="0"/>
              <w:rPr>
                <w:sz w:val="20"/>
                <w:szCs w:val="20"/>
                <w:color w:val="auto"/>
              </w:rPr>
            </w:pPr>
            <w:r>
              <w:rPr>
                <w:rFonts w:ascii="Arial" w:cs="Arial" w:eastAsia="Arial" w:hAnsi="Arial"/>
                <w:sz w:val="12"/>
                <w:szCs w:val="12"/>
                <w:color w:val="auto"/>
              </w:rPr>
              <w:t>TapImmune Inc.</w:t>
            </w:r>
          </w:p>
        </w:tc>
        <w:tc>
          <w:tcPr>
            <w:tcW w:w="82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63"/>
        </w:trPr>
        <w:tc>
          <w:tcPr>
            <w:tcW w:w="4600" w:type="dxa"/>
            <w:vAlign w:val="bottom"/>
          </w:tcPr>
          <w:p>
            <w:pPr>
              <w:spacing w:after="0"/>
              <w:rPr>
                <w:sz w:val="20"/>
                <w:szCs w:val="20"/>
                <w:color w:val="auto"/>
              </w:rPr>
            </w:pPr>
            <w:r>
              <w:rPr>
                <w:rFonts w:ascii="Arial" w:cs="Arial" w:eastAsia="Arial" w:hAnsi="Arial"/>
                <w:sz w:val="12"/>
                <w:szCs w:val="12"/>
                <w:color w:val="auto"/>
              </w:rPr>
              <w:t>By:</w:t>
            </w:r>
          </w:p>
        </w:tc>
        <w:tc>
          <w:tcPr>
            <w:tcW w:w="2640" w:type="dxa"/>
            <w:vAlign w:val="bottom"/>
            <w:gridSpan w:val="2"/>
          </w:tcPr>
          <w:p>
            <w:pPr>
              <w:spacing w:after="0"/>
              <w:rPr>
                <w:sz w:val="20"/>
                <w:szCs w:val="20"/>
                <w:color w:val="auto"/>
              </w:rPr>
            </w:pPr>
            <w:r>
              <w:rPr>
                <w:rFonts w:ascii="Arial" w:cs="Arial" w:eastAsia="Arial" w:hAnsi="Arial"/>
                <w:sz w:val="12"/>
                <w:szCs w:val="12"/>
                <w:color w:val="auto"/>
              </w:rPr>
              <w:t>/s/ Glynn Wilson</w:t>
            </w:r>
          </w:p>
        </w:tc>
      </w:tr>
      <w:tr>
        <w:trPr>
          <w:trHeight w:val="143"/>
        </w:trPr>
        <w:tc>
          <w:tcPr>
            <w:tcW w:w="4600" w:type="dxa"/>
            <w:vAlign w:val="bottom"/>
          </w:tcPr>
          <w:p>
            <w:pPr>
              <w:spacing w:after="0"/>
              <w:rPr>
                <w:sz w:val="12"/>
                <w:szCs w:val="12"/>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Glynn Wilson</w:t>
            </w:r>
          </w:p>
        </w:tc>
        <w:tc>
          <w:tcPr>
            <w:tcW w:w="1820" w:type="dxa"/>
            <w:vAlign w:val="bottom"/>
          </w:tcPr>
          <w:p>
            <w:pPr>
              <w:spacing w:after="0"/>
              <w:rPr>
                <w:sz w:val="12"/>
                <w:szCs w:val="12"/>
                <w:color w:val="auto"/>
              </w:rPr>
            </w:pPr>
          </w:p>
        </w:tc>
      </w:tr>
      <w:tr>
        <w:trPr>
          <w:trHeight w:val="145"/>
        </w:trPr>
        <w:tc>
          <w:tcPr>
            <w:tcW w:w="46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w w:val="94"/>
              </w:rPr>
              <w:t>Chief Executive Officer (Principal Executive Officer),</w:t>
            </w:r>
          </w:p>
        </w:tc>
      </w:tr>
      <w:tr>
        <w:trPr>
          <w:trHeight w:val="154"/>
        </w:trPr>
        <w:tc>
          <w:tcPr>
            <w:tcW w:w="4600" w:type="dxa"/>
            <w:vAlign w:val="bottom"/>
          </w:tcPr>
          <w:p>
            <w:pPr>
              <w:spacing w:after="0"/>
              <w:rPr>
                <w:sz w:val="13"/>
                <w:szCs w:val="13"/>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w w:val="94"/>
              </w:rPr>
              <w:t>Chief Financial Officer (Principal Accounting Officer)</w:t>
            </w:r>
          </w:p>
        </w:tc>
      </w:tr>
    </w:tbl>
    <w:p>
      <w:pPr>
        <w:spacing w:after="0" w:line="200" w:lineRule="exact"/>
        <w:rPr>
          <w:sz w:val="20"/>
          <w:szCs w:val="20"/>
          <w:color w:val="auto"/>
        </w:rPr>
      </w:pPr>
    </w:p>
    <w:p>
      <w:pPr>
        <w:spacing w:after="0" w:line="226" w:lineRule="exact"/>
        <w:rPr>
          <w:sz w:val="20"/>
          <w:szCs w:val="20"/>
          <w:color w:val="auto"/>
        </w:rPr>
      </w:pPr>
    </w:p>
    <w:p>
      <w:pPr>
        <w:ind w:left="7"/>
        <w:spacing w:after="0"/>
        <w:rPr>
          <w:sz w:val="20"/>
          <w:szCs w:val="20"/>
          <w:color w:val="auto"/>
        </w:rPr>
      </w:pPr>
      <w:r>
        <w:rPr>
          <w:rFonts w:ascii="Arial" w:cs="Arial" w:eastAsia="Arial" w:hAnsi="Arial"/>
          <w:sz w:val="12"/>
          <w:szCs w:val="12"/>
          <w:color w:val="auto"/>
        </w:rPr>
        <w:t>Pursuant to the requirements of the Securities Act of 1933, as amended, this Registration Statement has been signed by the following persons in the capacities and on the dates indicated.</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58"/>
        </w:trPr>
        <w:tc>
          <w:tcPr>
            <w:tcW w:w="290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rPr>
              <w:t>Signature</w:t>
            </w:r>
          </w:p>
        </w:tc>
        <w:tc>
          <w:tcPr>
            <w:tcW w:w="780" w:type="dxa"/>
            <w:vAlign w:val="bottom"/>
          </w:tcPr>
          <w:p>
            <w:pPr>
              <w:spacing w:after="0"/>
              <w:rPr>
                <w:sz w:val="13"/>
                <w:szCs w:val="13"/>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13"/>
                <w:szCs w:val="13"/>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Date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39"/>
        </w:trPr>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w w:val="90"/>
              </w:rPr>
              <w:t>/s/ Sherry Grisewood*</w:t>
            </w:r>
          </w:p>
        </w:tc>
        <w:tc>
          <w:tcPr>
            <w:tcW w:w="1820" w:type="dxa"/>
            <w:vAlign w:val="bottom"/>
            <w:gridSpan w:val="2"/>
          </w:tcPr>
          <w:p>
            <w:pPr>
              <w:spacing w:after="0"/>
              <w:rPr>
                <w:sz w:val="20"/>
                <w:szCs w:val="20"/>
                <w:color w:val="auto"/>
              </w:rPr>
            </w:pPr>
          </w:p>
        </w:tc>
        <w:tc>
          <w:tcPr>
            <w:tcW w:w="7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2"/>
                <w:szCs w:val="12"/>
                <w:color w:val="auto"/>
              </w:rPr>
              <w:t>July 8, 2015</w:t>
            </w:r>
          </w:p>
        </w:tc>
      </w:tr>
      <w:tr>
        <w:trPr>
          <w:trHeight w:val="152"/>
        </w:trPr>
        <w:tc>
          <w:tcPr>
            <w:tcW w:w="2900" w:type="dxa"/>
            <w:vAlign w:val="bottom"/>
            <w:gridSpan w:val="5"/>
          </w:tcPr>
          <w:p>
            <w:pPr>
              <w:spacing w:after="0"/>
              <w:rPr>
                <w:sz w:val="20"/>
                <w:szCs w:val="20"/>
                <w:color w:val="auto"/>
              </w:rPr>
            </w:pPr>
            <w:r>
              <w:rPr>
                <w:rFonts w:ascii="Arial" w:cs="Arial" w:eastAsia="Arial" w:hAnsi="Arial"/>
                <w:sz w:val="12"/>
                <w:szCs w:val="12"/>
                <w:color w:val="auto"/>
              </w:rPr>
              <w:t>Sherry Grisewood</w:t>
            </w:r>
          </w:p>
        </w:tc>
        <w:tc>
          <w:tcPr>
            <w:tcW w:w="7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263"/>
        </w:trPr>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92"/>
              </w:rPr>
              <w:t>/s/ Glynn Wilson</w:t>
            </w:r>
          </w:p>
        </w:tc>
        <w:tc>
          <w:tcPr>
            <w:tcW w:w="2080" w:type="dxa"/>
            <w:vAlign w:val="bottom"/>
            <w:gridSpan w:val="3"/>
          </w:tcPr>
          <w:p>
            <w:pPr>
              <w:spacing w:after="0"/>
              <w:rPr>
                <w:sz w:val="22"/>
                <w:szCs w:val="22"/>
                <w:color w:val="auto"/>
              </w:rPr>
            </w:pPr>
          </w:p>
        </w:tc>
        <w:tc>
          <w:tcPr>
            <w:tcW w:w="780" w:type="dxa"/>
            <w:vAlign w:val="bottom"/>
          </w:tcPr>
          <w:p>
            <w:pPr>
              <w:spacing w:after="0"/>
              <w:rPr>
                <w:sz w:val="22"/>
                <w:szCs w:val="2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22"/>
                <w:szCs w:val="22"/>
                <w:color w:val="auto"/>
              </w:rPr>
            </w:pPr>
          </w:p>
        </w:tc>
        <w:tc>
          <w:tcPr>
            <w:tcW w:w="2120" w:type="dxa"/>
            <w:vAlign w:val="bottom"/>
          </w:tcPr>
          <w:p>
            <w:pPr>
              <w:spacing w:after="0"/>
              <w:rPr>
                <w:sz w:val="20"/>
                <w:szCs w:val="20"/>
                <w:color w:val="auto"/>
              </w:rPr>
            </w:pPr>
            <w:r>
              <w:rPr>
                <w:rFonts w:ascii="Arial" w:cs="Arial" w:eastAsia="Arial" w:hAnsi="Arial"/>
                <w:sz w:val="12"/>
                <w:szCs w:val="12"/>
                <w:color w:val="auto"/>
              </w:rPr>
              <w:t>July 8, 2015</w:t>
            </w:r>
          </w:p>
        </w:tc>
      </w:tr>
      <w:tr>
        <w:trPr>
          <w:trHeight w:val="152"/>
        </w:trPr>
        <w:tc>
          <w:tcPr>
            <w:tcW w:w="2900" w:type="dxa"/>
            <w:vAlign w:val="bottom"/>
            <w:gridSpan w:val="5"/>
          </w:tcPr>
          <w:p>
            <w:pPr>
              <w:spacing w:after="0"/>
              <w:rPr>
                <w:sz w:val="20"/>
                <w:szCs w:val="20"/>
                <w:color w:val="auto"/>
              </w:rPr>
            </w:pPr>
            <w:r>
              <w:rPr>
                <w:rFonts w:ascii="Arial" w:cs="Arial" w:eastAsia="Arial" w:hAnsi="Arial"/>
                <w:sz w:val="12"/>
                <w:szCs w:val="12"/>
                <w:color w:val="auto"/>
              </w:rPr>
              <w:t>Glynn Wilson</w:t>
            </w:r>
          </w:p>
        </w:tc>
        <w:tc>
          <w:tcPr>
            <w:tcW w:w="7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263"/>
        </w:trPr>
        <w:tc>
          <w:tcPr>
            <w:tcW w:w="2900" w:type="dxa"/>
            <w:vAlign w:val="bottom"/>
            <w:gridSpan w:val="5"/>
          </w:tcPr>
          <w:p>
            <w:pPr>
              <w:spacing w:after="0"/>
              <w:rPr>
                <w:sz w:val="20"/>
                <w:szCs w:val="20"/>
                <w:color w:val="auto"/>
              </w:rPr>
            </w:pPr>
            <w:r>
              <w:rPr>
                <w:rFonts w:ascii="Arial" w:cs="Arial" w:eastAsia="Arial" w:hAnsi="Arial"/>
                <w:sz w:val="12"/>
                <w:szCs w:val="12"/>
                <w:color w:val="auto"/>
              </w:rPr>
              <w:t>/s/David Laskow-Pooley*</w:t>
            </w:r>
          </w:p>
        </w:tc>
        <w:tc>
          <w:tcPr>
            <w:tcW w:w="78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52"/>
        </w:trPr>
        <w:tc>
          <w:tcPr>
            <w:tcW w:w="2900" w:type="dxa"/>
            <w:vAlign w:val="bottom"/>
            <w:gridSpan w:val="5"/>
          </w:tcPr>
          <w:p>
            <w:pPr>
              <w:spacing w:after="0"/>
              <w:rPr>
                <w:sz w:val="20"/>
                <w:szCs w:val="20"/>
                <w:color w:val="auto"/>
              </w:rPr>
            </w:pPr>
            <w:r>
              <w:rPr>
                <w:rFonts w:ascii="Arial" w:cs="Arial" w:eastAsia="Arial" w:hAnsi="Arial"/>
                <w:sz w:val="12"/>
                <w:szCs w:val="12"/>
                <w:color w:val="auto"/>
              </w:rPr>
              <w:t>David Laskow-Pooley</w:t>
            </w:r>
          </w:p>
        </w:tc>
        <w:tc>
          <w:tcPr>
            <w:tcW w:w="78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13"/>
                <w:szCs w:val="13"/>
                <w:color w:val="auto"/>
              </w:rPr>
            </w:pPr>
          </w:p>
        </w:tc>
        <w:tc>
          <w:tcPr>
            <w:tcW w:w="2120" w:type="dxa"/>
            <w:vAlign w:val="bottom"/>
          </w:tcPr>
          <w:p>
            <w:pPr>
              <w:spacing w:after="0"/>
              <w:rPr>
                <w:sz w:val="20"/>
                <w:szCs w:val="20"/>
                <w:color w:val="auto"/>
              </w:rPr>
            </w:pPr>
            <w:r>
              <w:rPr>
                <w:rFonts w:ascii="Arial" w:cs="Arial" w:eastAsia="Arial" w:hAnsi="Arial"/>
                <w:sz w:val="12"/>
                <w:szCs w:val="12"/>
                <w:color w:val="auto"/>
              </w:rPr>
              <w:t>July 8, 2015</w:t>
            </w:r>
          </w:p>
        </w:tc>
      </w:tr>
    </w:tbl>
    <w:p>
      <w:pPr>
        <w:spacing w:after="0" w:line="155" w:lineRule="exact"/>
        <w:rPr>
          <w:sz w:val="20"/>
          <w:szCs w:val="20"/>
          <w:color w:val="auto"/>
        </w:rPr>
      </w:pPr>
    </w:p>
    <w:p>
      <w:pPr>
        <w:ind w:left="387" w:right="180" w:hanging="387"/>
        <w:spacing w:after="0" w:line="279" w:lineRule="auto"/>
        <w:tabs>
          <w:tab w:leader="none" w:pos="387" w:val="left"/>
        </w:tabs>
        <w:numPr>
          <w:ilvl w:val="0"/>
          <w:numId w:val="47"/>
        </w:numPr>
        <w:rPr>
          <w:rFonts w:ascii="Arial" w:cs="Arial" w:eastAsia="Arial" w:hAnsi="Arial"/>
          <w:sz w:val="12"/>
          <w:szCs w:val="12"/>
          <w:color w:val="auto"/>
        </w:rPr>
      </w:pPr>
      <w:r>
        <w:rPr>
          <w:rFonts w:ascii="Arial" w:cs="Arial" w:eastAsia="Arial" w:hAnsi="Arial"/>
          <w:sz w:val="12"/>
          <w:szCs w:val="12"/>
          <w:color w:val="auto"/>
        </w:rPr>
        <w:t>Glynn Wilson has signed this Post-Effective Amendment No. 2 to the Registration statement on behalf of the above-named directors on July 8, 2015 pursuant to a power of attorney executed by such directors and filed with the Securities and Exchange Commission as Exhibit 24 to Post-Effective Amendment No. 1 to the Registration Statement.</w:t>
      </w:r>
    </w:p>
    <w:p>
      <w:pPr>
        <w:spacing w:after="0" w:line="127" w:lineRule="exact"/>
        <w:rPr>
          <w:sz w:val="20"/>
          <w:szCs w:val="20"/>
          <w:color w:val="auto"/>
        </w:rPr>
      </w:pPr>
    </w:p>
    <w:p>
      <w:pPr>
        <w:jc w:val="center"/>
        <w:ind w:right="13"/>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98690"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8690" cy="32385"/>
                    </a:xfrm>
                    <a:prstGeom prst="rect">
                      <a:avLst/>
                    </a:prstGeom>
                    <a:noFill/>
                  </pic:spPr>
                </pic:pic>
              </a:graphicData>
            </a:graphic>
          </wp:anchor>
        </w:drawing>
      </w:r>
    </w:p>
    <w:p>
      <w:pPr>
        <w:sectPr>
          <w:pgSz w:w="11900" w:h="16838" w:orient="portrait"/>
          <w:cols w:equalWidth="0" w:num="1">
            <w:col w:w="11487"/>
          </w:cols>
          <w:pgMar w:left="213" w:top="516" w:right="199" w:bottom="1440" w:gutter="0" w:footer="0" w:header="0"/>
        </w:sectPr>
      </w:pPr>
    </w:p>
    <w:bookmarkStart w:id="81" w:name="page82"/>
    <w:bookmarkEnd w:id="81"/>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160020</wp:posOffset>
            </wp:positionV>
            <wp:extent cx="72986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8690" cy="29845"/>
                    </a:xfrm>
                    <a:prstGeom prst="rect">
                      <a:avLst/>
                    </a:prstGeom>
                    <a:noFill/>
                  </pic:spPr>
                </pic:pic>
              </a:graphicData>
            </a:graphic>
          </wp:anchor>
        </w:drawing>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5869940" cy="13811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69940" cy="138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337"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We consent to the use of our report dated April 14, 2014 relating to the consolidated financial statements of TapImmune Inc. (the "Company") appearing in the Prospectus which is part of the Company's Post-Effective Amendment No. 2 to Form S-3 on Form S-1 for the registration of up to 68,486,792 shares of its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In addition, we also consent to the reference to our firm included under the heading "Experts" in such Registration Statement.</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2"/>
          <w:szCs w:val="12"/>
          <w:b w:val="1"/>
          <w:bCs w:val="1"/>
          <w:i w:val="1"/>
          <w:iCs w:val="1"/>
          <w:color w:val="auto"/>
        </w:rPr>
        <w:t>"DMCL"</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Dale Matheson Carr-Hilton LaBonte LLP</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Chartered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2642870</wp:posOffset>
            </wp:positionV>
            <wp:extent cx="7298690"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8690" cy="32385"/>
                    </a:xfrm>
                    <a:prstGeom prst="rect">
                      <a:avLst/>
                    </a:prstGeom>
                    <a:noFill/>
                  </pic:spPr>
                </pic:pic>
              </a:graphicData>
            </a:graphic>
          </wp:anchor>
        </w:drawing>
      </w:r>
    </w:p>
    <w:p>
      <w:pPr>
        <w:sectPr>
          <w:pgSz w:w="11900" w:h="16838" w:orient="portrait"/>
          <w:cols w:equalWidth="0" w:num="1">
            <w:col w:w="11480"/>
          </w:cols>
          <w:pgMar w:left="220" w:top="507" w:right="199" w:bottom="1440" w:gutter="0" w:footer="0" w:header="0"/>
        </w:sectPr>
      </w:pPr>
    </w:p>
    <w:bookmarkStart w:id="82" w:name="page83"/>
    <w:bookmarkEnd w:id="82"/>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160020</wp:posOffset>
            </wp:positionV>
            <wp:extent cx="72986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8690" cy="29845"/>
                    </a:xfrm>
                    <a:prstGeom prst="rect">
                      <a:avLst/>
                    </a:prstGeom>
                    <a:noFill/>
                  </pic:spPr>
                </pic:pic>
              </a:graphicData>
            </a:graphic>
          </wp:anchor>
        </w:drawing>
        <w:t>EXHIBIT 5.1</w:t>
      </w: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auto"/>
        </w:rPr>
        <w:t>July 8, 2015</w:t>
      </w:r>
    </w:p>
    <w:p>
      <w:pPr>
        <w:spacing w:after="0" w:line="333" w:lineRule="exact"/>
        <w:rPr>
          <w:sz w:val="20"/>
          <w:szCs w:val="20"/>
          <w:color w:val="auto"/>
        </w:rPr>
      </w:pPr>
    </w:p>
    <w:p>
      <w:pPr>
        <w:spacing w:after="0"/>
        <w:rPr>
          <w:sz w:val="20"/>
          <w:szCs w:val="20"/>
          <w:color w:val="auto"/>
        </w:rPr>
      </w:pPr>
      <w:r>
        <w:rPr>
          <w:rFonts w:ascii="Arial" w:cs="Arial" w:eastAsia="Arial" w:hAnsi="Arial"/>
          <w:sz w:val="12"/>
          <w:szCs w:val="12"/>
          <w:color w:val="auto"/>
        </w:rPr>
        <w:t>TapImmune Inc.</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1551 Eastlake Avenue East,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Suite 100, Seattle, WA</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170" w:lineRule="exact"/>
        <w:rPr>
          <w:sz w:val="20"/>
          <w:szCs w:val="20"/>
          <w:color w:val="auto"/>
        </w:rPr>
      </w:pPr>
    </w:p>
    <w:p>
      <w:pPr>
        <w:jc w:val="both"/>
        <w:ind w:right="200" w:firstLine="435"/>
        <w:spacing w:after="0" w:line="265" w:lineRule="auto"/>
        <w:rPr>
          <w:sz w:val="20"/>
          <w:szCs w:val="20"/>
          <w:color w:val="auto"/>
        </w:rPr>
      </w:pPr>
      <w:r>
        <w:rPr>
          <w:rFonts w:ascii="Arial" w:cs="Arial" w:eastAsia="Arial" w:hAnsi="Arial"/>
          <w:sz w:val="12"/>
          <w:szCs w:val="12"/>
          <w:color w:val="auto"/>
        </w:rPr>
        <w:t>We have acted as counsel for TapImmune Inc. (the “Company”) in connection with the preparation of the Company’s Post-Effective Amendment No. 2 to its Registration Statement Form S-3/A on Form S-1 (the “Registration Statement”) filed with the Securities and Exchange Commission on July 8, 2015, concerning the registration of up to 68,486,792 shares of the Company’s common stock (the “Common Stock”) by certain stockholders of the Company (the “Selling Stockholders”).</w:t>
      </w:r>
    </w:p>
    <w:p>
      <w:pPr>
        <w:spacing w:after="0" w:line="123" w:lineRule="exact"/>
        <w:rPr>
          <w:sz w:val="20"/>
          <w:szCs w:val="20"/>
          <w:color w:val="auto"/>
        </w:rPr>
      </w:pPr>
    </w:p>
    <w:p>
      <w:pPr>
        <w:jc w:val="both"/>
        <w:ind w:right="160" w:firstLine="435"/>
        <w:spacing w:after="0" w:line="292" w:lineRule="auto"/>
        <w:rPr>
          <w:sz w:val="20"/>
          <w:szCs w:val="20"/>
          <w:color w:val="auto"/>
        </w:rPr>
      </w:pPr>
      <w:r>
        <w:rPr>
          <w:rFonts w:ascii="Arial" w:cs="Arial" w:eastAsia="Arial" w:hAnsi="Arial"/>
          <w:sz w:val="11"/>
          <w:szCs w:val="11"/>
          <w:color w:val="auto"/>
        </w:rPr>
        <w:t>We have examined the Articles of Incorporation, as amended, and the Bylaws, as amended, of the Company and the record of the Company’s corporate proceedings concerning the registration described above. In addition, we have examined such other certificates, agreements, documents and papers, and we have made such other inquiries and investigations of law as we have deemed appropriate and necessary to express the opinion set forth in this letter. In our examinations, we have assumed the genuineness of all signatures, the authenticity of all documents submitted to us as originals, photostatic, or conformed copies and the authenticity of the originals of all such latter documents. In addition, as to certain matters we have relied upon certificates and advice from various state authorities and public officials, and we have assumed the accuracy of the material and the factual matters contained herein.</w:t>
      </w:r>
    </w:p>
    <w:p>
      <w:pPr>
        <w:spacing w:after="0" w:line="109" w:lineRule="exact"/>
        <w:rPr>
          <w:sz w:val="20"/>
          <w:szCs w:val="20"/>
          <w:color w:val="auto"/>
        </w:rPr>
      </w:pPr>
    </w:p>
    <w:p>
      <w:pPr>
        <w:ind w:right="80" w:firstLine="435"/>
        <w:spacing w:after="0" w:line="279" w:lineRule="auto"/>
        <w:rPr>
          <w:sz w:val="20"/>
          <w:szCs w:val="20"/>
          <w:color w:val="auto"/>
        </w:rPr>
      </w:pPr>
      <w:r>
        <w:rPr>
          <w:rFonts w:ascii="Arial" w:cs="Arial" w:eastAsia="Arial" w:hAnsi="Arial"/>
          <w:sz w:val="12"/>
          <w:szCs w:val="12"/>
          <w:color w:val="auto"/>
        </w:rPr>
        <w:t>Subject to the foregoing and on the basis of the aforementioned examinations and investigations, it is our opinion that the shares of Common Stock that may be issued to the Selling Stockholders, when issued in accordance with the terms described in the constituent documents and the Articles of Incorporation, as amended, will be validly issued and fully paid and non-assessable.</w:t>
      </w:r>
    </w:p>
    <w:p>
      <w:pPr>
        <w:spacing w:after="0" w:line="114" w:lineRule="exact"/>
        <w:rPr>
          <w:sz w:val="20"/>
          <w:szCs w:val="20"/>
          <w:color w:val="auto"/>
        </w:rPr>
      </w:pPr>
    </w:p>
    <w:p>
      <w:pPr>
        <w:ind w:right="420" w:firstLine="435"/>
        <w:spacing w:after="0" w:line="279" w:lineRule="auto"/>
        <w:rPr>
          <w:sz w:val="20"/>
          <w:szCs w:val="20"/>
          <w:color w:val="auto"/>
        </w:rPr>
      </w:pPr>
      <w:r>
        <w:rPr>
          <w:rFonts w:ascii="Arial" w:cs="Arial" w:eastAsia="Arial" w:hAnsi="Arial"/>
          <w:sz w:val="12"/>
          <w:szCs w:val="12"/>
          <w:color w:val="auto"/>
        </w:rPr>
        <w:t>We hereby consent (a) to be named in the Registration Statement and in the prospectus that constitutes a part of the Registration Statement as acting as counsel in connection with the offering, including with respect to the issuance of securities offered in the offering; and (b) to the filing of this opinion as an exhibit to the Registration Statement.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opinion is to be used solely for the purpose of the registration of the Common Stock and may not be used for any other purpose.</w:t>
      </w:r>
    </w:p>
    <w:p>
      <w:pPr>
        <w:spacing w:after="0" w:line="297"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Very truly yours,</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2"/>
          <w:szCs w:val="12"/>
          <w:u w:val="single" w:color="auto"/>
          <w:color w:val="auto"/>
        </w:rPr>
        <w:t>/s/ SANDERS ORTOLI VAUGHN-FLAM ROSENSTADT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749300</wp:posOffset>
            </wp:positionV>
            <wp:extent cx="7298690"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8690" cy="32385"/>
                    </a:xfrm>
                    <a:prstGeom prst="rect">
                      <a:avLst/>
                    </a:prstGeom>
                    <a:noFill/>
                  </pic:spPr>
                </pic:pic>
              </a:graphicData>
            </a:graphic>
          </wp:anchor>
        </w:drawing>
      </w:r>
    </w:p>
    <w:p>
      <w:pPr>
        <w:sectPr>
          <w:pgSz w:w="11900" w:h="16838" w:orient="portrait"/>
          <w:cols w:equalWidth="0" w:num="1">
            <w:col w:w="11480"/>
          </w:cols>
          <w:pgMar w:left="220" w:top="344" w:right="199" w:bottom="1440" w:gutter="0" w:footer="0" w:header="0"/>
        </w:sectPr>
      </w:pPr>
    </w:p>
    <w:bookmarkStart w:id="83" w:name="page84"/>
    <w:bookmarkEnd w:id="83"/>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131445</wp:posOffset>
            </wp:positionH>
            <wp:positionV relativeFrom="page">
              <wp:posOffset>263525</wp:posOffset>
            </wp:positionV>
            <wp:extent cx="72986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8690" cy="29845"/>
                    </a:xfrm>
                    <a:prstGeom prst="rect">
                      <a:avLst/>
                    </a:prstGeom>
                    <a:noFill/>
                  </pic:spPr>
                </pic:pic>
              </a:graphicData>
            </a:graphic>
          </wp:anchor>
        </w:drawing>
        <w:t>EXHIBIT 23.2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INDEPENDENT REGISTERED PUBLIC ACCOUNTING FIRM’S CONSENT</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We consent to the inclusion in this Registration Statement of TapImmune Inc. on Form S-1, Amendment No. 2 (File No. 333-196115) of our report dated April 15, 2015, which includes an explanatory paragraph as to the Company’s ability to continue as a going concern, with respect to our audits of the consolidated financial statements of TapImmune Inc. as of December 31, 2014 and for the year then ended, which report appears in the Prospectus, which is part of this Registration Statement. We also consent to the reference to our Firm under the heading “Experts” in such Prospectus.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 xml:space="preserve">/s/ Marcum </w:t>
      </w:r>
      <w:r>
        <w:rPr>
          <w:rFonts w:ascii="Arial" w:cs="Arial" w:eastAsia="Arial" w:hAnsi="Arial"/>
          <w:sz w:val="8"/>
          <w:szCs w:val="8"/>
          <w:u w:val="single" w:color="auto"/>
          <w:color w:val="auto"/>
        </w:rPr>
        <w:t>LLP</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New York, NY</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July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260350</wp:posOffset>
            </wp:positionV>
            <wp:extent cx="729869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8690" cy="32385"/>
                    </a:xfrm>
                    <a:prstGeom prst="rect">
                      <a:avLst/>
                    </a:prstGeom>
                    <a:noFill/>
                  </pic:spPr>
                </pic:pic>
              </a:graphicData>
            </a:graphic>
          </wp:anchor>
        </w:drawing>
      </w:r>
    </w:p>
    <w:sectPr>
      <w:pgSz w:w="11900" w:h="16838" w:orient="portrait"/>
      <w:cols w:equalWidth="0" w:num="1">
        <w:col w:w="11480"/>
      </w:cols>
      <w:pgMar w:left="220" w:top="50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lowerLetter"/>
      <w:start w:val="9"/>
    </w:lvl>
    <w:lvl w:ilvl="1">
      <w:lvlJc w:val="left"/>
      <w:lvlText w:val="(%2)"/>
      <w:numFmt w:val="lowerLetter"/>
      <w:start w:val="1"/>
    </w:lvl>
  </w:abstractNum>
  <w:abstractNum w:abstractNumId="2">
    <w:nsid w:val="79838CB2"/>
    <w:multiLevelType w:val="hybridMultilevel"/>
    <w:lvl w:ilvl="0">
      <w:lvlJc w:val="left"/>
      <w:lvlText w:val="(%1)"/>
      <w:numFmt w:val="lowerRoman"/>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
    </w:lvl>
    <w:lvl w:ilvl="1">
      <w:lvlJc w:val="left"/>
      <w:lvlText w:val="(%2)"/>
      <w:numFmt w:val="decimal"/>
      <w:start w:val="4"/>
    </w:lvl>
  </w:abstractNum>
  <w:abstractNum w:abstractNumId="12">
    <w:nsid w:val="8138641"/>
    <w:multiLevelType w:val="hybridMultilevel"/>
    <w:lvl w:ilvl="0">
      <w:lvlJc w:val="left"/>
      <w:lvlText w:val="(%1)"/>
      <w:numFmt w:val="decimal"/>
      <w:start w:val="5"/>
    </w:lvl>
  </w:abstractNum>
  <w:abstractNum w:abstractNumId="13">
    <w:nsid w:val="1E7FF521"/>
    <w:multiLevelType w:val="hybridMultilevel"/>
    <w:lvl w:ilvl="0">
      <w:lvlJc w:val="left"/>
      <w:lvlText w:val="(%1)"/>
      <w:numFmt w:val="lowerRoman"/>
      <w:start w:val="2"/>
    </w:lvl>
  </w:abstractNum>
  <w:abstractNum w:abstractNumId="14">
    <w:nsid w:val="7C3DBD3D"/>
    <w:multiLevelType w:val="hybridMultilevel"/>
    <w:lvl w:ilvl="0">
      <w:lvlJc w:val="left"/>
      <w:lvlText w:val="(%1)"/>
      <w:numFmt w:val="decimal"/>
      <w:start w:val="8"/>
    </w:lvl>
  </w:abstractNum>
  <w:abstractNum w:abstractNumId="15">
    <w:nsid w:val="737B8DDC"/>
    <w:multiLevelType w:val="hybridMultilevel"/>
    <w:lvl w:ilvl="0">
      <w:lvlJc w:val="left"/>
      <w:lvlText w:val="(%1)"/>
      <w:numFmt w:val="lowerRoman"/>
      <w:start w:val="2"/>
    </w:lvl>
  </w:abstractNum>
  <w:abstractNum w:abstractNumId="16">
    <w:nsid w:val="6CEAF087"/>
    <w:multiLevelType w:val="hybridMultilevel"/>
    <w:lvl w:ilvl="0">
      <w:lvlJc w:val="left"/>
      <w:lvlText w:val="(%1)"/>
      <w:numFmt w:val="decimal"/>
      <w:start w:val="9"/>
    </w:lvl>
    <w:lvl w:ilvl="1">
      <w:lvlJc w:val="left"/>
      <w:lvlText w:val="(%2)"/>
      <w:numFmt w:val="lowerRoman"/>
      <w:start w:val="2"/>
    </w:lvl>
  </w:abstractNum>
  <w:abstractNum w:abstractNumId="17">
    <w:nsid w:val="22221A70"/>
    <w:multiLevelType w:val="hybridMultilevel"/>
    <w:lvl w:ilvl="0">
      <w:lvlJc w:val="left"/>
      <w:lvlText w:val="(%1)"/>
      <w:numFmt w:val="decimal"/>
      <w:start w:val="10"/>
    </w:lvl>
  </w:abstractNum>
  <w:abstractNum w:abstractNumId="18">
    <w:nsid w:val="4516DDE9"/>
    <w:multiLevelType w:val="hybridMultilevel"/>
    <w:lvl w:ilvl="0">
      <w:lvlJc w:val="left"/>
      <w:lvlText w:val="(%1)"/>
      <w:numFmt w:val="lowerRoman"/>
      <w:start w:val="2"/>
    </w:lvl>
  </w:abstractNum>
  <w:abstractNum w:abstractNumId="19">
    <w:nsid w:val="3006C83E"/>
    <w:multiLevelType w:val="hybridMultilevel"/>
    <w:lvl w:ilvl="0">
      <w:lvlJc w:val="left"/>
      <w:lvlText w:val="(%1)"/>
      <w:numFmt w:val="decimal"/>
      <w:start w:val="11"/>
    </w:lvl>
  </w:abstractNum>
  <w:abstractNum w:abstractNumId="20">
    <w:nsid w:val="614FD4A1"/>
    <w:multiLevelType w:val="hybridMultilevel"/>
    <w:lvl w:ilvl="0">
      <w:lvlJc w:val="left"/>
      <w:lvlText w:val="(%1)"/>
      <w:numFmt w:val="decimal"/>
      <w:start w:val="12"/>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lowerRoman"/>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7"/>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upperLetter"/>
      <w:start w:val="1"/>
    </w:lvl>
    <w:lvl w:ilvl="1">
      <w:lvlJc w:val="left"/>
      <w:lvlText w:val="(%2)"/>
      <w:numFmt w:val="lowerRoman"/>
      <w:start w:val="1"/>
    </w:lvl>
  </w:abstractNum>
  <w:abstractNum w:abstractNumId="40">
    <w:nsid w:val="725A06FB"/>
    <w:multiLevelType w:val="hybridMultilevel"/>
    <w:lvl w:ilvl="0">
      <w:lvlJc w:val="left"/>
      <w:lvlText w:val="%1"/>
      <w:numFmt w:val="decimal"/>
      <w:start w:val="1"/>
    </w:lvl>
    <w:lvl w:ilvl="1">
      <w:lvlJc w:val="left"/>
      <w:lvlText w:val="(%2)"/>
      <w:numFmt w:val="upperLetter"/>
      <w:start w:val="1"/>
    </w:lvl>
  </w:abstractNum>
  <w:abstractNum w:abstractNumId="41">
    <w:nsid w:val="2CD89A32"/>
    <w:multiLevelType w:val="hybridMultilevel"/>
    <w:lvl w:ilvl="0">
      <w:lvlJc w:val="left"/>
      <w:lvlText w:val="(%1)"/>
      <w:numFmt w:val="decimal"/>
      <w:start w:val="2"/>
    </w:lvl>
    <w:lvl w:ilvl="1">
      <w:lvlJc w:val="left"/>
      <w:lvlText w:val="(%2)"/>
      <w:numFmt w:val="upperLetter"/>
      <w:start w:val="1"/>
    </w:lvl>
  </w:abstractNum>
  <w:abstractNum w:abstractNumId="42">
    <w:nsid w:val="57E4CCAF"/>
    <w:multiLevelType w:val="hybridMultilevel"/>
    <w:lvl w:ilvl="0">
      <w:lvlJc w:val="left"/>
      <w:lvlText w:val="(%1)"/>
      <w:numFmt w:val="decimal"/>
      <w:start w:val="5"/>
    </w:lvl>
  </w:abstractNum>
  <w:abstractNum w:abstractNumId="43">
    <w:nsid w:val="7A6D8D3C"/>
    <w:multiLevelType w:val="hybridMultilevel"/>
    <w:lvl w:ilvl="0">
      <w:lvlJc w:val="left"/>
      <w:lvlText w:val="(%1)"/>
      <w:numFmt w:val="lowerRoman"/>
      <w:start w:val="1"/>
    </w:lvl>
  </w:abstractNum>
  <w:abstractNum w:abstractNumId="44">
    <w:nsid w:val="4B588F54"/>
    <w:multiLevelType w:val="hybridMultilevel"/>
    <w:lvl w:ilvl="0">
      <w:lvlJc w:val="left"/>
      <w:lvlText w:val="(%1)"/>
      <w:numFmt w:val="lowerLetter"/>
      <w:start w:val="5"/>
    </w:lvl>
  </w:abstractNum>
  <w:abstractNum w:abstractNumId="45">
    <w:nsid w:val="542289EC"/>
    <w:multiLevelType w:val="hybridMultilevel"/>
    <w:lvl w:ilvl="0">
      <w:lvlJc w:val="left"/>
      <w:lvlText w:val="(%1)"/>
      <w:numFmt w:val="lowerLetter"/>
      <w:start w:val="8"/>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2020-01-23T23:52:52Z</dcterms:created>
  <dcterms:modified xsi:type="dcterms:W3CDTF">2020-01-23T23:52:52Z</dcterms:modified>
</cp:coreProperties>
</file>