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November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gridSpan w:val="2"/>
          </w:tcPr>
          <w:p>
            <w:pPr>
              <w:spacing w:after="0"/>
              <w:rPr>
                <w:sz w:val="17"/>
                <w:szCs w:val="17"/>
                <w:color w:val="auto"/>
              </w:rPr>
            </w:pPr>
          </w:p>
        </w:tc>
        <w:tc>
          <w:tcPr>
            <w:tcW w:w="2880" w:type="dxa"/>
            <w:vAlign w:val="bottom"/>
            <w:gridSpan w:val="6"/>
          </w:tcPr>
          <w:p>
            <w:pPr>
              <w:jc w:val="center"/>
              <w:ind w:left="1690"/>
              <w:spacing w:after="0"/>
              <w:rPr>
                <w:sz w:val="20"/>
                <w:szCs w:val="20"/>
                <w:color w:val="auto"/>
              </w:rPr>
            </w:pPr>
            <w:r>
              <w:rPr>
                <w:rFonts w:ascii="Arial" w:cs="Arial" w:eastAsia="Arial" w:hAnsi="Arial"/>
                <w:sz w:val="18"/>
                <w:szCs w:val="18"/>
                <w:b w:val="1"/>
                <w:bCs w:val="1"/>
                <w:color w:val="auto"/>
                <w:w w:val="90"/>
              </w:rPr>
              <w:t>001-37939</w:t>
            </w:r>
          </w:p>
        </w:tc>
        <w:tc>
          <w:tcPr>
            <w:tcW w:w="2120" w:type="dxa"/>
            <w:vAlign w:val="bottom"/>
          </w:tcPr>
          <w:p>
            <w:pPr>
              <w:spacing w:after="0"/>
              <w:rPr>
                <w:sz w:val="17"/>
                <w:szCs w:val="17"/>
                <w:color w:val="auto"/>
              </w:rPr>
            </w:pPr>
          </w:p>
        </w:tc>
        <w:tc>
          <w:tcPr>
            <w:tcW w:w="18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5000" w:type="dxa"/>
            <w:vAlign w:val="bottom"/>
            <w:gridSpan w:val="7"/>
          </w:tcPr>
          <w:p>
            <w:pPr>
              <w:jc w:val="center"/>
              <w:ind w:right="360"/>
              <w:spacing w:after="0"/>
              <w:rPr>
                <w:sz w:val="20"/>
                <w:szCs w:val="20"/>
                <w:color w:val="auto"/>
              </w:rPr>
            </w:pPr>
            <w:r>
              <w:rPr>
                <w:rFonts w:ascii="Arial" w:cs="Arial" w:eastAsia="Arial" w:hAnsi="Arial"/>
                <w:sz w:val="18"/>
                <w:szCs w:val="18"/>
                <w:color w:val="auto"/>
                <w:w w:val="93"/>
              </w:rPr>
              <w:t>(Commission File Number)</w:t>
            </w: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800" w:type="dxa"/>
            <w:vAlign w:val="bottom"/>
          </w:tcPr>
          <w:p>
            <w:pPr>
              <w:spacing w:after="0"/>
              <w:rPr>
                <w:sz w:val="20"/>
                <w:szCs w:val="20"/>
                <w:color w:val="auto"/>
              </w:rPr>
            </w:pPr>
          </w:p>
        </w:tc>
        <w:tc>
          <w:tcPr>
            <w:tcW w:w="214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20" w:type="dxa"/>
            <w:vAlign w:val="bottom"/>
            <w:gridSpan w:val="5"/>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5 West Forsyth Street</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8"/>
              </w:rPr>
              <w:t>Suite 200</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240" w:type="dxa"/>
            <w:vAlign w:val="bottom"/>
          </w:tcPr>
          <w:p>
            <w:pPr>
              <w:spacing w:after="0"/>
              <w:rPr>
                <w:sz w:val="16"/>
                <w:szCs w:val="16"/>
                <w:color w:val="auto"/>
              </w:rPr>
            </w:pPr>
          </w:p>
        </w:tc>
      </w:tr>
      <w:tr>
        <w:trPr>
          <w:trHeight w:val="20"/>
        </w:trPr>
        <w:tc>
          <w:tcPr>
            <w:tcW w:w="29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24"/>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6"/>
          </w:tcPr>
          <w:p>
            <w:pPr>
              <w:jc w:val="center"/>
              <w:ind w:left="1670"/>
              <w:spacing w:after="0"/>
              <w:rPr>
                <w:sz w:val="20"/>
                <w:szCs w:val="20"/>
                <w:color w:val="auto"/>
              </w:rPr>
            </w:pPr>
            <w:r>
              <w:rPr>
                <w:rFonts w:ascii="Arial" w:cs="Arial" w:eastAsia="Arial" w:hAnsi="Arial"/>
                <w:sz w:val="18"/>
                <w:szCs w:val="18"/>
                <w:b w:val="1"/>
                <w:bCs w:val="1"/>
                <w:color w:val="auto"/>
                <w:w w:val="90"/>
              </w:rPr>
              <w:t>(904) 516-5436</w:t>
            </w: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0" w:type="dxa"/>
            <w:vAlign w:val="bottom"/>
            <w:gridSpan w:val="7"/>
          </w:tcPr>
          <w:p>
            <w:pPr>
              <w:jc w:val="center"/>
              <w:ind w:right="380"/>
              <w:spacing w:after="0"/>
              <w:rPr>
                <w:sz w:val="20"/>
                <w:szCs w:val="20"/>
                <w:color w:val="auto"/>
              </w:rPr>
            </w:pPr>
            <w:r>
              <w:rPr>
                <w:rFonts w:ascii="Arial" w:cs="Arial" w:eastAsia="Arial" w:hAnsi="Arial"/>
                <w:sz w:val="18"/>
                <w:szCs w:val="18"/>
                <w:color w:val="auto"/>
                <w:w w:val="89"/>
              </w:rPr>
              <w:t>Registrant’s telephone number, including area code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center"/>
              <w:ind w:right="2540"/>
              <w:spacing w:after="0"/>
              <w:rPr>
                <w:sz w:val="20"/>
                <w:szCs w:val="20"/>
                <w:color w:val="auto"/>
              </w:rPr>
            </w:pPr>
            <w:r>
              <w:rPr>
                <w:rFonts w:ascii="Arial" w:cs="Arial" w:eastAsia="Arial" w:hAnsi="Arial"/>
                <w:sz w:val="18"/>
                <w:szCs w:val="18"/>
                <w:b w:val="1"/>
                <w:bCs w:val="1"/>
                <w:color w:val="auto"/>
                <w:w w:val="96"/>
              </w:rPr>
              <w:t>N/A</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0" w:type="dxa"/>
            <w:vAlign w:val="bottom"/>
            <w:gridSpan w:val="7"/>
          </w:tcPr>
          <w:p>
            <w:pPr>
              <w:jc w:val="center"/>
              <w:ind w:right="3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November 27, 2018, the Company issued a press release that the Center for Cell and Gene Therapy at Baylor College of Medicine was to present data</w:t>
      </w:r>
    </w:p>
    <w:p>
      <w:pPr>
        <w:spacing w:after="0" w:line="46" w:lineRule="exact"/>
        <w:rPr>
          <w:sz w:val="20"/>
          <w:szCs w:val="20"/>
          <w:color w:val="auto"/>
        </w:rPr>
      </w:pPr>
    </w:p>
    <w:p>
      <w:pPr>
        <w:ind w:right="200"/>
        <w:spacing w:after="0" w:line="205" w:lineRule="auto"/>
        <w:rPr>
          <w:sz w:val="20"/>
          <w:szCs w:val="20"/>
          <w:color w:val="auto"/>
        </w:rPr>
      </w:pPr>
      <w:r>
        <w:rPr>
          <w:rFonts w:ascii="Arial" w:cs="Arial" w:eastAsia="Arial" w:hAnsi="Arial"/>
          <w:sz w:val="18"/>
          <w:szCs w:val="18"/>
          <w:color w:val="auto"/>
        </w:rPr>
        <w:t>from three abstracts at the 60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American Society of Hematology Annual Meeting</w:t>
      </w:r>
      <w:r>
        <w:rPr>
          <w:rFonts w:ascii="Arial" w:cs="Arial" w:eastAsia="Arial" w:hAnsi="Arial"/>
          <w:sz w:val="18"/>
          <w:szCs w:val="18"/>
          <w:b w:val="1"/>
          <w:bCs w:val="1"/>
          <w:color w:val="auto"/>
        </w:rPr>
        <w:t>.</w:t>
      </w:r>
      <w:r>
        <w:rPr>
          <w:rFonts w:ascii="Arial" w:cs="Arial" w:eastAsia="Arial" w:hAnsi="Arial"/>
          <w:sz w:val="18"/>
          <w:szCs w:val="18"/>
          <w:color w:val="auto"/>
        </w:rPr>
        <w:t xml:space="preserve"> A copy of this press release is attached hereto as Exhibit 99.1 and is incorporated herein by reference.</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420"/>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issued on November 27,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4" w:right="5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2018.</w:t>
      </w: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148590</wp:posOffset>
            </wp:positionV>
            <wp:extent cx="174942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Center for Cell and Gene Therapy at Baylor College of Medicine to Present at the 60</w:t>
      </w:r>
      <w:r>
        <w:rPr>
          <w:rFonts w:ascii="Arial" w:cs="Arial" w:eastAsia="Arial" w:hAnsi="Arial"/>
          <w:sz w:val="33"/>
          <w:szCs w:val="33"/>
          <w:b w:val="1"/>
          <w:bCs w:val="1"/>
          <w:color w:val="auto"/>
          <w:vertAlign w:val="superscript"/>
        </w:rPr>
        <w:t>th</w:t>
      </w:r>
    </w:p>
    <w:p>
      <w:pPr>
        <w:jc w:val="center"/>
        <w:spacing w:after="0"/>
        <w:rPr>
          <w:sz w:val="20"/>
          <w:szCs w:val="20"/>
          <w:color w:val="auto"/>
        </w:rPr>
      </w:pPr>
      <w:r>
        <w:rPr>
          <w:rFonts w:ascii="Arial" w:cs="Arial" w:eastAsia="Arial" w:hAnsi="Arial"/>
          <w:sz w:val="20"/>
          <w:szCs w:val="20"/>
          <w:b w:val="1"/>
          <w:bCs w:val="1"/>
          <w:color w:val="auto"/>
        </w:rPr>
        <w:t>American Society of Hematology Annual Meeting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--Three abstracts accepted, including oral presentation on multiple myeloma clinical data--</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Houston, TX – November 27, 2018 </w:t>
      </w:r>
      <w:r>
        <w:rPr>
          <w:rFonts w:ascii="Arial" w:cs="Arial" w:eastAsia="Arial" w:hAnsi="Arial"/>
          <w:sz w:val="18"/>
          <w:szCs w:val="18"/>
          <w:color w:val="auto"/>
        </w:rPr>
        <w:t>– Marker Therapeutics, Inc. (NASDAQ:MRKR), a clinical-stage immuno-oncology company, today reported that data</w:t>
      </w:r>
      <w:r>
        <w:rPr>
          <w:rFonts w:ascii="Arial" w:cs="Arial" w:eastAsia="Arial" w:hAnsi="Arial"/>
          <w:sz w:val="18"/>
          <w:szCs w:val="18"/>
          <w:b w:val="1"/>
          <w:bCs w:val="1"/>
          <w:color w:val="auto"/>
        </w:rPr>
        <w:t xml:space="preserve"> </w:t>
      </w:r>
      <w:r>
        <w:rPr>
          <w:rFonts w:ascii="Arial" w:cs="Arial" w:eastAsia="Arial" w:hAnsi="Arial"/>
          <w:sz w:val="18"/>
          <w:szCs w:val="18"/>
          <w:color w:val="auto"/>
        </w:rPr>
        <w:t>from three abstracts—including an oral presentation—were accepted for presentation at the 60th American Society of Hematology Annual Meeting (ASH 2018). The studies describe results achieved using multi-tumor antigen specific T cells that were developed at the Baylor College of Medicine in the laboratories of Dr. Ann Leen and Dr. Juan Vera, and exclusively licensed to Marker.</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Among the highlights, results from an </w:t>
      </w:r>
      <w:r>
        <w:rPr>
          <w:rFonts w:ascii="Arial" w:cs="Arial" w:eastAsia="Arial" w:hAnsi="Arial"/>
          <w:sz w:val="18"/>
          <w:szCs w:val="18"/>
          <w:u w:val="single" w:color="auto"/>
          <w:color w:val="3265FF"/>
        </w:rPr>
        <w:t>ongoing Phase 1 study</w:t>
      </w:r>
      <w:r>
        <w:rPr>
          <w:rFonts w:ascii="Arial" w:cs="Arial" w:eastAsia="Arial" w:hAnsi="Arial"/>
          <w:sz w:val="18"/>
          <w:szCs w:val="18"/>
          <w:color w:val="auto"/>
        </w:rPr>
        <w:t xml:space="preserve"> in patients with multiple myeloma will be reviewed in an oral presentation by Premal Lulla, M.B.B.S., Assistant Professor of Medicine at the Center for Cell and Gene Therapy, Hematology-Oncology, at the Baylor College of Medicine. ASH 2018 will take place in San Diego, CA from December 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Oral Presentation Details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Safety and Efficacy of Multiantigen-Targeted T Cells for Multiple Myeloma (Abstract # 1014)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Monday, December 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7:30 p.m. PST (San Diego Convention Center, Ballroom 20D)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Poster Presentation Details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Targeting Lymphomas Using Non-Engineered, Multi-Antigen Specific T Cells (Abstract #1685)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Saturday, December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Presentation Time: </w:t>
      </w:r>
      <w:r>
        <w:rPr>
          <w:rFonts w:ascii="Arial" w:cs="Arial" w:eastAsia="Arial" w:hAnsi="Arial"/>
          <w:sz w:val="18"/>
          <w:szCs w:val="18"/>
          <w:color w:val="auto"/>
        </w:rPr>
        <w:t>6:15 p.m. – 8:15 p.m. PST (San Diego Convention Center, Hall GH)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Adoptive T-Cell Therapy for Acute Lymphoblastic Leukemia Targeting Multiple Tumor Associated Antigens (Abstract #2693)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Sunday, December 2,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Presentation Time: </w:t>
      </w:r>
      <w:r>
        <w:rPr>
          <w:rFonts w:ascii="Arial" w:cs="Arial" w:eastAsia="Arial" w:hAnsi="Arial"/>
          <w:sz w:val="18"/>
          <w:szCs w:val="18"/>
          <w:color w:val="auto"/>
        </w:rPr>
        <w:t>6:00 p.m. – 8:00 p.m. PST (San Diego Convention Center, Hall GH)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presentations will contain results beyond what are available in the abstracts on the ASH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activates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Marker is also advancing several innovative peptide- and gene-based immuno-therapeutics for the treatment of cancer and metastatic disease, including our Folate Receptor Alpha program (TPIV200) for breast and ovarian cancers and our HER2/neu+ peptide antigen program (TPIV100/110) in Phase II clinical trials. In parallel, we are developing a proprietary DNA expression technology named PolyStart™ to improve the ability of the cellular immune system to recognize and destroy diseased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862-6490 or visit: </w:t>
      </w:r>
      <w:r>
        <w:rPr>
          <w:rFonts w:ascii="Arial" w:cs="Arial" w:eastAsia="Arial" w:hAnsi="Arial"/>
          <w:sz w:val="18"/>
          <w:szCs w:val="18"/>
          <w:u w:val="single" w:color="auto"/>
          <w:color w:val="auto"/>
        </w:rPr>
        <w:t>markertherapeutics.com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@MRKRTherapeutic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Multi-TAA T cell clinical trials conducted by Baylor College of Medicine.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828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862-6490 EXT. 102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94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513-3125 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92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04"/>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2020-01-11T01:37:52Z</dcterms:created>
  <dcterms:modified xsi:type="dcterms:W3CDTF">2020-01-11T01:37:52Z</dcterms:modified>
</cp:coreProperties>
</file>