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SCHEDULE 13D</w:t>
      </w:r>
    </w:p>
    <w:p>
      <w:pPr>
        <w:spacing w:after="0" w:line="13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2)*</w:t>
      </w:r>
    </w:p>
    <w:p>
      <w:pPr>
        <w:spacing w:after="0" w:line="144"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COMMON,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June 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98" w:lineRule="exact"/>
        <w:rPr>
          <w:sz w:val="24"/>
          <w:szCs w:val="24"/>
          <w:color w:val="auto"/>
        </w:rPr>
      </w:pPr>
    </w:p>
    <w:p>
      <w:pPr>
        <w:ind w:right="240"/>
        <w:spacing w:after="0" w:line="220"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94" w:lineRule="exact"/>
        <w:rPr>
          <w:sz w:val="24"/>
          <w:szCs w:val="24"/>
          <w:color w:val="auto"/>
        </w:rPr>
      </w:pPr>
    </w:p>
    <w:p>
      <w:pPr>
        <w:ind w:right="80"/>
        <w:spacing w:after="0" w:line="271"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5" w:lineRule="exact"/>
        <w:rPr>
          <w:sz w:val="24"/>
          <w:szCs w:val="24"/>
          <w:color w:val="auto"/>
        </w:rPr>
      </w:pPr>
    </w:p>
    <w:p>
      <w:pPr>
        <w:ind w:right="640" w:firstLine="8"/>
        <w:spacing w:after="0" w:line="182" w:lineRule="auto"/>
        <w:tabs>
          <w:tab w:leader="none" w:pos="10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line="87" w:lineRule="exact"/>
        <w:rPr>
          <w:sz w:val="20"/>
          <w:szCs w:val="20"/>
          <w:color w:val="auto"/>
        </w:rPr>
      </w:pPr>
    </w:p>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ind w:left="3160" w:right="900" w:hanging="682"/>
        <w:spacing w:after="0" w:line="235"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90"/>
              <w:spacing w:after="0"/>
              <w:rPr>
                <w:sz w:val="20"/>
                <w:szCs w:val="20"/>
                <w:color w:val="auto"/>
              </w:rPr>
            </w:pPr>
            <w:r>
              <w:rPr>
                <w:rFonts w:ascii="Arial" w:cs="Arial" w:eastAsia="Arial" w:hAnsi="Arial"/>
                <w:sz w:val="18"/>
                <w:szCs w:val="18"/>
                <w:b w:val="1"/>
                <w:bCs w:val="1"/>
                <w:color w:val="auto"/>
              </w:rPr>
              <w:t>27,525,000*</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27,525,000*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27,525,000*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49.9%</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340" w:right="16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 5(c), Eastern Capital Limited beneficially owns 5,000,000 shares of Common Stock and 22,525,000 shares of Common Stock issuable upon exercise of Series B-1 Warrants, Series C-1 Warrants, Series D-1 Warrants or Series E-1 Warrants. As described in Item 5(c),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-2861945</wp:posOffset>
            </wp:positionV>
            <wp:extent cx="4716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-2493010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-1995805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-1609725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-1240790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160" w:right="900" w:hanging="682"/>
        <w:spacing w:after="0" w:line="235"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17"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-1857375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-1368425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-1119505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-751205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925" w:orient="portrait"/>
          <w:cols w:equalWidth="0" w:num="1">
            <w:col w:w="11420"/>
          </w:cols>
          <w:pgMar w:left="240" w:top="827" w:right="239" w:bottom="0" w:gutter="0" w:footer="0" w:header="0"/>
        </w:sectPr>
      </w:pPr>
    </w:p>
    <w:p>
      <w:pPr>
        <w:spacing w:after="0" w:line="220" w:lineRule="exact"/>
        <w:rPr>
          <w:sz w:val="20"/>
          <w:szCs w:val="20"/>
          <w:color w:val="auto"/>
        </w:rPr>
      </w:pPr>
    </w:p>
    <w:p>
      <w:pPr>
        <w:jc w:val="center"/>
        <w:ind w:left="240"/>
        <w:spacing w:after="0" w:line="258" w:lineRule="auto"/>
        <w:rPr>
          <w:sz w:val="20"/>
          <w:szCs w:val="20"/>
          <w:color w:val="auto"/>
        </w:rPr>
      </w:pPr>
      <w:r>
        <w:rPr>
          <w:rFonts w:ascii="Arial" w:cs="Arial" w:eastAsia="Arial" w:hAnsi="Arial"/>
          <w:sz w:val="17"/>
          <w:szCs w:val="17"/>
          <w:color w:val="auto"/>
        </w:rPr>
        <w:t>NUMBER OF SHARES BENEFICIALLY OWNED BY EACH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7. SOLE VOTING POWER</w:t>
      </w:r>
    </w:p>
    <w:p>
      <w:pPr>
        <w:sectPr>
          <w:pgSz w:w="11900" w:h="16925" w:orient="portrait"/>
          <w:cols w:equalWidth="0" w:num="2">
            <w:col w:w="3680" w:space="560"/>
            <w:col w:w="7180"/>
          </w:cols>
          <w:pgMar w:left="240" w:top="827" w:right="239" w:bottom="0" w:gutter="0" w:footer="0" w:header="0"/>
          <w:type w:val="continuous"/>
        </w:sectPr>
      </w:pPr>
    </w:p>
    <w:bookmarkStart w:id="2" w:name="page3"/>
    <w:bookmarkEnd w:id="2"/>
    <w:p>
      <w:pPr>
        <w:ind w:left="1720"/>
        <w:spacing w:after="0"/>
        <w:tabs>
          <w:tab w:leader="none" w:pos="4440" w:val="left"/>
        </w:tabs>
        <w:rPr>
          <w:sz w:val="20"/>
          <w:szCs w:val="20"/>
          <w:color w:val="auto"/>
        </w:rPr>
      </w:pPr>
      <w:r>
        <w:rPr>
          <w:rFonts w:ascii="Arial" w:cs="Arial" w:eastAsia="Arial" w:hAnsi="Arial"/>
          <w:sz w:val="18"/>
          <w:szCs w:val="18"/>
          <w:color w:val="auto"/>
        </w:rPr>
        <w:t>WITH</w:t>
      </w:r>
      <w:r>
        <w:rPr>
          <w:sz w:val="20"/>
          <w:szCs w:val="20"/>
          <w:color w:val="auto"/>
        </w:rPr>
        <w:tab/>
      </w:r>
      <w:r>
        <w:rPr>
          <w:rFonts w:ascii="Arial" w:cs="Arial" w:eastAsia="Arial" w:hAnsi="Arial"/>
          <w:sz w:val="18"/>
          <w:szCs w:val="18"/>
          <w:color w:val="auto"/>
        </w:rPr>
        <w:t>-0-</w:t>
      </w:r>
    </w:p>
    <w:p>
      <w:pPr>
        <w:ind w:left="4240"/>
        <w:spacing w:after="0"/>
        <w:rPr>
          <w:sz w:val="20"/>
          <w:szCs w:val="20"/>
          <w:color w:val="auto"/>
        </w:rPr>
      </w:pPr>
      <w:r>
        <w:rPr>
          <w:rFonts w:ascii="Arial" w:cs="Arial" w:eastAsia="Arial" w:hAnsi="Arial"/>
          <w:sz w:val="18"/>
          <w:szCs w:val="18"/>
          <w:color w:val="auto"/>
        </w:rPr>
        <w:t>8.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12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27,525,000*</w:t>
      </w:r>
    </w:p>
    <w:p>
      <w:pPr>
        <w:spacing w:after="0" w:line="18" w:lineRule="exact"/>
        <w:rPr>
          <w:sz w:val="20"/>
          <w:szCs w:val="20"/>
          <w:color w:val="auto"/>
        </w:rPr>
      </w:pPr>
    </w:p>
    <w:p>
      <w:pPr>
        <w:ind w:left="4460" w:right="4560" w:hanging="226"/>
        <w:spacing w:after="0" w:line="336" w:lineRule="auto"/>
        <w:tabs>
          <w:tab w:leader="none" w:pos="44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4460" w:hanging="326"/>
        <w:spacing w:after="0"/>
        <w:tabs>
          <w:tab w:leader="none" w:pos="44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27,525,000*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27,525,000*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49.9%</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spacing w:after="0" w:line="238"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 5(c), Portfolio Services Ltd. beneficially owns 5,000,000 shares of Common Stock, and 22,525,000 shares of Common Stock issuable upon exercise of Series B-1 Warrants, Series C-1 Warrants, Series D-1 Warrants or Series E-1 Warrants As described in Item 5(c),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-3274695</wp:posOffset>
            </wp:positionV>
            <wp:extent cx="4716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-2905760</wp:posOffset>
            </wp:positionV>
            <wp:extent cx="4716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-2537460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-1654175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160" w:right="900" w:hanging="682"/>
        <w:spacing w:after="0" w:line="235"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17"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line="219"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-2485390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-1997075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-118745</wp:posOffset>
            </wp:positionV>
            <wp:extent cx="4716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89"/>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50"/>
              <w:spacing w:after="0"/>
              <w:rPr>
                <w:sz w:val="20"/>
                <w:szCs w:val="20"/>
                <w:color w:val="auto"/>
              </w:rPr>
            </w:pPr>
            <w:r>
              <w:rPr>
                <w:rFonts w:ascii="Arial" w:cs="Arial" w:eastAsia="Arial" w:hAnsi="Arial"/>
                <w:sz w:val="18"/>
                <w:szCs w:val="18"/>
                <w:b w:val="1"/>
                <w:bCs w:val="1"/>
                <w:color w:val="auto"/>
              </w:rPr>
              <w:t>27,525,000*</w:t>
            </w:r>
          </w:p>
        </w:tc>
        <w:tc>
          <w:tcPr>
            <w:tcW w:w="0" w:type="dxa"/>
            <w:vAlign w:val="bottom"/>
          </w:tcPr>
          <w:p>
            <w:pPr>
              <w:spacing w:after="0"/>
              <w:rPr>
                <w:sz w:val="1"/>
                <w:szCs w:val="1"/>
                <w:color w:val="auto"/>
              </w:rPr>
            </w:pPr>
          </w:p>
        </w:tc>
      </w:tr>
      <w:tr>
        <w:trPr>
          <w:trHeight w:val="202"/>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6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9"/>
              </w:rPr>
              <w:t>WITH</w:t>
            </w:r>
          </w:p>
        </w:tc>
        <w:tc>
          <w:tcPr>
            <w:tcW w:w="7420" w:type="dxa"/>
            <w:vAlign w:val="bottom"/>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line="219" w:lineRule="auto"/>
        <w:tabs>
          <w:tab w:leader="none" w:pos="4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ind w:left="4520"/>
        <w:spacing w:after="0"/>
        <w:rPr>
          <w:rFonts w:ascii="Arial" w:cs="Arial" w:eastAsia="Arial" w:hAnsi="Arial"/>
          <w:sz w:val="18"/>
          <w:szCs w:val="18"/>
          <w:color w:val="auto"/>
        </w:rPr>
      </w:pPr>
      <w:r>
        <w:rPr>
          <w:rFonts w:ascii="Arial" w:cs="Arial" w:eastAsia="Arial" w:hAnsi="Arial"/>
          <w:sz w:val="18"/>
          <w:szCs w:val="18"/>
          <w:b w:val="1"/>
          <w:bCs w:val="1"/>
          <w:color w:val="auto"/>
        </w:rPr>
        <w:t>27,525,000*</w:t>
      </w:r>
    </w:p>
    <w:p>
      <w:pPr>
        <w:spacing w:after="0" w:line="198"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-507365</wp:posOffset>
            </wp:positionV>
            <wp:extent cx="47167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27,525,000*</w:t>
      </w:r>
    </w:p>
    <w:p>
      <w:pPr>
        <w:spacing w:after="0" w:line="18" w:lineRule="exact"/>
        <w:rPr>
          <w:sz w:val="20"/>
          <w:szCs w:val="20"/>
          <w:color w:val="auto"/>
        </w:rPr>
      </w:pPr>
    </w:p>
    <w:p>
      <w:pPr>
        <w:ind w:left="3160" w:right="840" w:hanging="782"/>
        <w:spacing w:after="0" w:line="213" w:lineRule="exact"/>
        <w:tabs>
          <w:tab w:leader="none" w:pos="3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49.9%</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0" w:lineRule="exact"/>
        <w:rPr>
          <w:rFonts w:ascii="Arial" w:cs="Arial" w:eastAsia="Arial" w:hAnsi="Arial"/>
          <w:sz w:val="18"/>
          <w:szCs w:val="18"/>
          <w:color w:val="auto"/>
        </w:rPr>
      </w:pPr>
    </w:p>
    <w:p>
      <w:pPr>
        <w:spacing w:after="0" w:line="344" w:lineRule="exact"/>
        <w:rPr>
          <w:rFonts w:ascii="Arial" w:cs="Arial" w:eastAsia="Arial" w:hAnsi="Arial"/>
          <w:sz w:val="18"/>
          <w:szCs w:val="18"/>
          <w:color w:val="auto"/>
        </w:rPr>
      </w:pPr>
    </w:p>
    <w:p>
      <w:pPr>
        <w:ind w:right="140" w:firstLine="648"/>
        <w:spacing w:after="0" w:line="229"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 5(c), Kenneth B. Dart beneficially owns 5,000,000 shares of Common Stock, and 22,525,000 shares of Common Stock issuable upon exercise of Series B-1 Warrants, Series C-1 Warrants, Series D-1 Warrants or Series E-1 Warrants. As described in Item 5(c), all Warrants are subject to a limit of exercise to the extent (and only to the extent) that Eastern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-1833245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-1447165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-1078230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3" w:name="page4"/>
    <w:bookmarkEnd w:id="3"/>
    <w:p>
      <w:pPr>
        <w:spacing w:after="0" w:line="235" w:lineRule="auto"/>
        <w:rPr>
          <w:sz w:val="20"/>
          <w:szCs w:val="20"/>
          <w:color w:val="auto"/>
        </w:rPr>
      </w:pPr>
      <w:r>
        <w:rPr>
          <w:rFonts w:ascii="Arial" w:cs="Arial" w:eastAsia="Arial" w:hAnsi="Arial"/>
          <w:sz w:val="18"/>
          <w:szCs w:val="18"/>
          <w:color w:val="auto"/>
        </w:rPr>
        <w:t>Limited or any of its affiliates would beneficially own in excess of 49.9% (the “Maximum Percentage”) of the Common Stock after giving effect to such exercise.</w:t>
      </w:r>
    </w:p>
    <w:p>
      <w:pPr>
        <w:sectPr>
          <w:pgSz w:w="11900" w:h="16838" w:orient="portrait"/>
          <w:cols w:equalWidth="0" w:num="1">
            <w:col w:w="11420"/>
          </w:cols>
          <w:pgMar w:left="240" w:top="126" w:right="239" w:bottom="1440" w:gutter="0" w:footer="0" w:header="0"/>
        </w:sectPr>
      </w:pPr>
    </w:p>
    <w:bookmarkStart w:id="4" w:name="page5"/>
    <w:bookmarkEnd w:id="4"/>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Amendment No. 2 to Schedule 13D (the “Schedule 13D”) relates to the common stock (“Common Stock”) of TapImmune Inc. (the “Issuer”), whose principal executive offices are located at 1551 Eastlake Avenue East, Suite 100, Seattle, WA 98102 United States.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2 to Schedule 13D (the “Schedule 13D”) is being filed by Eastern Capital Limited, Portfolio Services Ltd. and Kenneth B.</w:t>
      </w:r>
    </w:p>
    <w:p>
      <w:pPr>
        <w:spacing w:after="0"/>
        <w:rPr>
          <w:sz w:val="20"/>
          <w:szCs w:val="20"/>
          <w:color w:val="auto"/>
        </w:rPr>
      </w:pPr>
      <w:r>
        <w:rPr>
          <w:rFonts w:ascii="Arial" w:cs="Arial" w:eastAsia="Arial" w:hAnsi="Arial"/>
          <w:sz w:val="18"/>
          <w:szCs w:val="18"/>
          <w:color w:val="auto"/>
        </w:rPr>
        <w:t>Dart (collectively, the “Reporting Persons”).</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10 Market Street #773, Camana Bay, Grand Cayman, KY1-9006, Cayman Islands, a Cayman Islands corporation, is an investment entity that owns the shares of the Issuer’s common stock and warrants to purchase common stock reported in this Schedule 13D. Kenneth B. Dart and Mark R. VanDevelde are directors of Eastern Capital Limited.</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10 Market Street #773, Camana Bay, Grand Cayman, KY1-9006, Cayman Islands, a Cayman Islands corporation, is a holding company which owns all of the outstanding stock of Eastern Capital Limited. Kenneth B. Dart and Mark R. VanDevelde are directors of Portfolio Services Ltd.</w:t>
      </w:r>
    </w:p>
    <w:p>
      <w:pPr>
        <w:spacing w:after="0" w:line="11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Kenneth B. Dart, P. O. Box 31300 SMB, Grand Cayman, KY1 -1206, Cayman Islands, a British Overseas Territory Citizen / Cayman Islands and businessman, is the beneficial owner of all of the outstanding stock of Portfolio Services Ltd.</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last five years, none of the persons listed above have been convicted in a criminal proceeding (excluding traffic violations or similar misdemeanors).</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last five years, none of the persons listed above was a party to a civil proceeding of a judicial or administrative body of competent jurisdiction.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source of funds used to acquire the shares of the Issuer’s Common Stock and warrants was the working capital of Eastern Capital Limited.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Issuer’s securities for investment purposes.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5(a)–(b)</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27,525,000 shares of the Issuer’s Common Stock, representing 49.9% of the Issuer’s outstanding Common Stock. Eastern Capital Limited has shared voting and dispositive power of the shares it beneficially owns with its parent, Portfolio Services Ltd. and Kenneth B. Dart.</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27,525,000 shares of the Issuer’s Common Stock, representing 49.9% of the Issuer’s outstanding Common Stock. Portfolio Services Ltd. has shared voting and dispositive power of the shares it beneficially owns.</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27,525,000 shares of the Issuer’s Common Stock, representing 49.9% of the Issuer’s outstanding Common Stock. Kenneth B. Dart has shared voting and dispositive power of the shares he beneficially owns.</w:t>
      </w:r>
    </w:p>
    <w:p>
      <w:pPr>
        <w:sectPr>
          <w:pgSz w:w="11900" w:h="16838" w:orient="portrait"/>
          <w:cols w:equalWidth="0" w:num="1">
            <w:col w:w="11420"/>
          </w:cols>
          <w:pgMar w:left="240" w:top="827" w:right="239" w:bottom="1440" w:gutter="0" w:footer="0" w:header="0"/>
        </w:sectPr>
      </w:pPr>
    </w:p>
    <w:bookmarkStart w:id="5" w:name="page6"/>
    <w:bookmarkEnd w:id="5"/>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percentage ownership noted in this Schedule 13D/A is based on 32,638,811 shares of Common Stock outstanding as of May 15, 2015 as reported in the Issuer’s Form 10-Q filed with the U.S. Securities and Exchange Commission on May 15, 2015, plus an additional 22,525,000 shares of Common that would become outstanding upon exercise of the Issuer’s Series B-1, Series C-1, Series D-1 or Series E-1 Warrants.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Item 5(c)</w:t>
      </w:r>
    </w:p>
    <w:p>
      <w:pPr>
        <w:spacing w:after="0" w:line="13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On March 9th, 2015 as part of a primary offering of securities by the Issuer, Eastern Capital Limited agreed to purchase 5,000,000 Units at a price equal to $ 0.20. Each Unit consists of one share of Common Stock and one Series A-1 Warrant to Purchase one Share of Common Stock, one Series B-1 Warrant to Purchase one Share of Common Stock, one Series C-1 Warrant to Purchase one Share of Common Stock, one Series D-1 Warrant to Purchase one Share of Common Stock and one Series E-1 Warrant to Purchase one Share of Common Stock respectively (together, the “Warrants”). The purchase was effected directly through the Issuer pursuant to a Securities Purchase Agreement.</w:t>
      </w:r>
    </w:p>
    <w:p>
      <w:pPr>
        <w:spacing w:after="0" w:line="11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Pursuant to an Amended and Restated Restructuring Agreement dated June 2, 2015, the Series B-1 Warrants and the Series C-1 Warrants were amended to allow Eastern Capital Limited to acquire an additional 5,000,000 Units for each Series B-1 Warrant and Series C-1 Warrant respectively. In addition, the exercise price of the Series B-1 Warrants and Series C-1 Warrants was amended pursuant to the Amended and Restated Restructuring Agreement. The exercise price of the Series A-1 Warrants was amended and they are not exercisable until November 28, 2015. Finally, all Warrants were amended to limit the exercise to the extent (but only to the extent) that Eastern Capital Limited or any of its affiliates would beneficially own in excess of 49.9% (the “Maximum Percentage”) of the Common Stock after giving effect to such exercise.</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June 5, 2015, the Reporting Persons had reason to believe that they have the ability to exercise the Series B-1, Series C-1, Series D-1 or the Series E-1 Warrants on a cash basis, subject to the Maximum Percentage noted above and subject to the terms of the respective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Items 5(d) and (e) - Not applicable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conditions of the Securities Purchase Agreement and the Amended and Restated Restructuring Agreement:</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Series A-1 Warrant, as amended, will have an initial exercise price of $0.10 per share, will be exercisable beginning on November 28, 2015 and will expire on the five year anniversary of the date of issuance.</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Series B-1 Warrant, as amended, will have an initial exercise price of $ 0.20 per share, will be immediately exercisable and will expire on the six month anniversary of the date of issuance. The Issuer may force the exercise of the Series B-1 Warrants in the event that the closing price of the common stock is above $0.50 for 10 consecutive trading days (subject to certain conditions, including minimum trading volume requirements and the non-occurrence of an Equity Conditions Failure).</w:t>
      </w:r>
    </w:p>
    <w:p>
      <w:pPr>
        <w:spacing w:after="0" w:line="9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Series C-1 Warrant, as amended, will have an initial exercise price of $ 0.50 per share, will be immediately exercisable, and will expire on the five year anniversary of the date of issuance. The Issuer may force the exercise of the Series C-1 Warrants in the event that the closing price of the common stock is above $1.00 for 10 consecutive trading days (subject to certain conditions, including minimum trading volume requirements and the non-occurrence of an Equity Conditions Failure).</w:t>
      </w:r>
    </w:p>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Series D-1 Warrant will be exercisable only if and to the extent that the Series B-1 Warrants are exercised, will have an initial exercise price of $0.75 per share, and will expire on the five year anniversary of the date that the Series B-1 Warrant is initially exercised.</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Series E-1 Warrant will be exercisable only if and to the extent that the Series C-1 Warrants are exercised, will have an initial exercise price of $1.25 per share, and will expire on the five year anniversary of the date that the Series C-1 Warrant is initially exercised.</w:t>
      </w:r>
    </w:p>
    <w:p>
      <w:pPr>
        <w:sectPr>
          <w:pgSz w:w="11900" w:h="16838" w:orient="portrait"/>
          <w:cols w:equalWidth="0" w:num="1">
            <w:col w:w="11420"/>
          </w:cols>
          <w:pgMar w:left="240" w:top="827" w:right="239" w:bottom="1440" w:gutter="0" w:footer="0" w:header="0"/>
        </w:sectPr>
      </w:pPr>
    </w:p>
    <w:bookmarkStart w:id="6" w:name="page7"/>
    <w:bookmarkEnd w:id="6"/>
    <w:p>
      <w:pPr>
        <w:ind w:left="60"/>
        <w:spacing w:after="0"/>
        <w:tabs>
          <w:tab w:leader="none" w:pos="6220" w:val="left"/>
          <w:tab w:leader="none" w:pos="996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8"/>
          <w:szCs w:val="18"/>
          <w:color w:val="auto"/>
        </w:rPr>
        <w:t>Page 7of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Copies of the form of the respective warrants are included as Exhibits 4.1 – 4.5 to the Form 8-K filed by the Issuer with the U.S. Securities and Exchange Commission on March 10, 2015 and are incorporated by reference herein.</w:t>
      </w:r>
    </w:p>
    <w:p>
      <w:pPr>
        <w:spacing w:after="0" w:line="11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copy of the Amended and Restated Restructuring Agreement is included as Exhibit 2 to the Schedule 13 D/A filed by the Reporting Persons with the U.S. Securities and Exchange Commission on June 3, 2015 and is incorporated by reference herein.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131" w:lineRule="exact"/>
        <w:rPr>
          <w:sz w:val="20"/>
          <w:szCs w:val="20"/>
          <w:color w:val="auto"/>
        </w:rPr>
      </w:pPr>
    </w:p>
    <w:p>
      <w:pPr>
        <w:ind w:left="40" w:right="740"/>
        <w:spacing w:after="0" w:line="227" w:lineRule="auto"/>
        <w:rPr>
          <w:sz w:val="20"/>
          <w:szCs w:val="20"/>
          <w:color w:val="auto"/>
        </w:rPr>
      </w:pPr>
      <w:r>
        <w:rPr>
          <w:rFonts w:ascii="Arial" w:cs="Arial" w:eastAsia="Arial" w:hAnsi="Arial"/>
          <w:sz w:val="18"/>
          <w:szCs w:val="18"/>
          <w:color w:val="auto"/>
        </w:rPr>
        <w:t>Exhibit 2 – Amended and Restated Restructuring Agreement, dated June 2, 2015 (Incorporated herein by reference to Exhibit 2 to the Schedule 13D/A filed by the Reporting Persons with the U.S. Securities and Exchange Commission on June 3, 2015.</w:t>
      </w:r>
    </w:p>
    <w:p>
      <w:pPr>
        <w:spacing w:after="0" w:line="135" w:lineRule="exact"/>
        <w:rPr>
          <w:sz w:val="20"/>
          <w:szCs w:val="20"/>
          <w:color w:val="auto"/>
        </w:rPr>
      </w:pPr>
    </w:p>
    <w:p>
      <w:pPr>
        <w:ind w:left="40" w:right="60"/>
        <w:spacing w:after="0" w:line="227" w:lineRule="auto"/>
        <w:rPr>
          <w:sz w:val="20"/>
          <w:szCs w:val="20"/>
          <w:color w:val="auto"/>
        </w:rPr>
      </w:pPr>
      <w:r>
        <w:rPr>
          <w:rFonts w:ascii="Arial" w:cs="Arial" w:eastAsia="Arial" w:hAnsi="Arial"/>
          <w:sz w:val="18"/>
          <w:szCs w:val="18"/>
          <w:color w:val="auto"/>
        </w:rPr>
        <w:t>Exhibit 2.1 – Form of Series A-1 Warrant to Purchase Common Stock (Incorporated herein by reference to Exhibit 4.1 to the Issuer’s Form 8-K filed with the U.S. Securities and Exchange Commission on March 10, 2015)</w:t>
      </w:r>
    </w:p>
    <w:p>
      <w:pPr>
        <w:spacing w:after="0" w:line="135" w:lineRule="exact"/>
        <w:rPr>
          <w:sz w:val="20"/>
          <w:szCs w:val="20"/>
          <w:color w:val="auto"/>
        </w:rPr>
      </w:pPr>
    </w:p>
    <w:p>
      <w:pPr>
        <w:ind w:left="40" w:right="60"/>
        <w:spacing w:after="0" w:line="227" w:lineRule="auto"/>
        <w:rPr>
          <w:sz w:val="20"/>
          <w:szCs w:val="20"/>
          <w:color w:val="auto"/>
        </w:rPr>
      </w:pPr>
      <w:r>
        <w:rPr>
          <w:rFonts w:ascii="Arial" w:cs="Arial" w:eastAsia="Arial" w:hAnsi="Arial"/>
          <w:sz w:val="18"/>
          <w:szCs w:val="18"/>
          <w:color w:val="auto"/>
        </w:rPr>
        <w:t>Exhibit 2.2 – Form of Series B-1 Warrant to Purchase Common Stock (Incorporated herein by reference to Exhibit 4.2 to the Issuer’s Form 8-K filed with the U.S. Securities and Exchange Commission on March 10, 2015)</w:t>
      </w:r>
    </w:p>
    <w:p>
      <w:pPr>
        <w:spacing w:after="0" w:line="135" w:lineRule="exact"/>
        <w:rPr>
          <w:sz w:val="20"/>
          <w:szCs w:val="20"/>
          <w:color w:val="auto"/>
        </w:rPr>
      </w:pPr>
    </w:p>
    <w:p>
      <w:pPr>
        <w:ind w:left="40" w:right="100"/>
        <w:spacing w:after="0" w:line="227" w:lineRule="auto"/>
        <w:rPr>
          <w:sz w:val="20"/>
          <w:szCs w:val="20"/>
          <w:color w:val="auto"/>
        </w:rPr>
      </w:pPr>
      <w:r>
        <w:rPr>
          <w:rFonts w:ascii="Arial" w:cs="Arial" w:eastAsia="Arial" w:hAnsi="Arial"/>
          <w:sz w:val="18"/>
          <w:szCs w:val="18"/>
          <w:color w:val="auto"/>
        </w:rPr>
        <w:t>Exhibit 2.3 - Form of Series C-1 Warrant to Purchase Common Stock (Incorporated herein by reference to Exhibit 4.3 to the Issuer’s Form 8-K filed with the U.S. Securities and Exchange Commission on March 10, 2015)</w:t>
      </w:r>
    </w:p>
    <w:p>
      <w:pPr>
        <w:spacing w:after="0" w:line="135" w:lineRule="exact"/>
        <w:rPr>
          <w:sz w:val="20"/>
          <w:szCs w:val="20"/>
          <w:color w:val="auto"/>
        </w:rPr>
      </w:pPr>
    </w:p>
    <w:p>
      <w:pPr>
        <w:ind w:left="40" w:right="100"/>
        <w:spacing w:after="0" w:line="227" w:lineRule="auto"/>
        <w:rPr>
          <w:sz w:val="20"/>
          <w:szCs w:val="20"/>
          <w:color w:val="auto"/>
        </w:rPr>
      </w:pPr>
      <w:r>
        <w:rPr>
          <w:rFonts w:ascii="Arial" w:cs="Arial" w:eastAsia="Arial" w:hAnsi="Arial"/>
          <w:sz w:val="18"/>
          <w:szCs w:val="18"/>
          <w:color w:val="auto"/>
        </w:rPr>
        <w:t>Exhibit 2.4 - Form of Series D-1 Warrant to Purchase Common Stock (Incorporated herein by reference to Exhibit 4.4 to the Issuer’s Form 8-K filed with the U.S. Securities and Exchange Commission on March 10, 2015)</w:t>
      </w:r>
    </w:p>
    <w:p>
      <w:pPr>
        <w:spacing w:after="0" w:line="135" w:lineRule="exact"/>
        <w:rPr>
          <w:sz w:val="20"/>
          <w:szCs w:val="20"/>
          <w:color w:val="auto"/>
        </w:rPr>
      </w:pPr>
    </w:p>
    <w:p>
      <w:pPr>
        <w:ind w:left="40" w:right="100"/>
        <w:spacing w:after="0" w:line="227" w:lineRule="auto"/>
        <w:rPr>
          <w:sz w:val="20"/>
          <w:szCs w:val="20"/>
          <w:color w:val="auto"/>
        </w:rPr>
      </w:pPr>
      <w:r>
        <w:rPr>
          <w:rFonts w:ascii="Arial" w:cs="Arial" w:eastAsia="Arial" w:hAnsi="Arial"/>
          <w:sz w:val="18"/>
          <w:szCs w:val="18"/>
          <w:color w:val="auto"/>
        </w:rPr>
        <w:t>Exhibit 2.5 - Form of Series E-1 Warrant to Purchase Common Stock (Incorporated herein by reference to Exhibit 4.5 to the Issuer’s Form 8-K filed with the U.S. Securities and Exchange Commission on March 10, 2015)</w:t>
      </w:r>
    </w:p>
    <w:p>
      <w:pPr>
        <w:sectPr>
          <w:pgSz w:w="11900" w:h="16838" w:orient="portrait"/>
          <w:cols w:equalWidth="0" w:num="1">
            <w:col w:w="11420"/>
          </w:cols>
          <w:pgMar w:left="240" w:top="90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352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CUSIP No. 876033309</w:t>
            </w:r>
          </w:p>
        </w:tc>
        <w:tc>
          <w:tcPr>
            <w:tcW w:w="4640" w:type="dxa"/>
            <w:vAlign w:val="bottom"/>
            <w:tcBorders>
              <w:top w:val="single" w:sz="8" w:color="auto"/>
            </w:tcBorders>
          </w:tcPr>
          <w:p>
            <w:pPr>
              <w:ind w:left="2540"/>
              <w:spacing w:after="0" w:line="181" w:lineRule="exact"/>
              <w:rPr>
                <w:sz w:val="20"/>
                <w:szCs w:val="20"/>
                <w:color w:val="auto"/>
              </w:rPr>
            </w:pPr>
            <w:r>
              <w:rPr>
                <w:rFonts w:ascii="Arial" w:cs="Arial" w:eastAsia="Arial" w:hAnsi="Arial"/>
                <w:sz w:val="18"/>
                <w:szCs w:val="18"/>
                <w:color w:val="auto"/>
              </w:rPr>
              <w:t>13D</w:t>
            </w:r>
          </w:p>
        </w:tc>
        <w:tc>
          <w:tcPr>
            <w:tcW w:w="3260" w:type="dxa"/>
            <w:vAlign w:val="bottom"/>
            <w:tcBorders>
              <w:top w:val="single" w:sz="8" w:color="auto"/>
            </w:tcBorders>
          </w:tcPr>
          <w:p>
            <w:pPr>
              <w:ind w:left="1780"/>
              <w:spacing w:after="0" w:line="181" w:lineRule="exact"/>
              <w:rPr>
                <w:sz w:val="20"/>
                <w:szCs w:val="20"/>
                <w:color w:val="auto"/>
              </w:rPr>
            </w:pPr>
            <w:r>
              <w:rPr>
                <w:rFonts w:ascii="Arial" w:cs="Arial" w:eastAsia="Arial" w:hAnsi="Arial"/>
                <w:sz w:val="18"/>
                <w:szCs w:val="18"/>
                <w:color w:val="auto"/>
                <w:w w:val="98"/>
              </w:rPr>
              <w:t>Page 8 of 8 Pages</w:t>
            </w:r>
          </w:p>
        </w:tc>
      </w:tr>
      <w:tr>
        <w:trPr>
          <w:trHeight w:val="239"/>
        </w:trPr>
        <w:tc>
          <w:tcPr>
            <w:tcW w:w="3520" w:type="dxa"/>
            <w:vAlign w:val="bottom"/>
          </w:tcPr>
          <w:p>
            <w:pPr>
              <w:spacing w:after="0"/>
              <w:rPr>
                <w:sz w:val="20"/>
                <w:szCs w:val="20"/>
                <w:color w:val="auto"/>
              </w:rPr>
            </w:pPr>
          </w:p>
        </w:tc>
        <w:tc>
          <w:tcPr>
            <w:tcW w:w="4640" w:type="dxa"/>
            <w:vAlign w:val="bottom"/>
          </w:tcPr>
          <w:p>
            <w:pPr>
              <w:ind w:left="1680"/>
              <w:spacing w:after="0"/>
              <w:rPr>
                <w:sz w:val="20"/>
                <w:szCs w:val="20"/>
                <w:color w:val="auto"/>
              </w:rPr>
            </w:pPr>
            <w:r>
              <w:rPr>
                <w:rFonts w:ascii="Arial" w:cs="Arial" w:eastAsia="Arial" w:hAnsi="Arial"/>
                <w:sz w:val="18"/>
                <w:szCs w:val="18"/>
                <w:b w:val="1"/>
                <w:bCs w:val="1"/>
                <w:color w:val="auto"/>
              </w:rPr>
              <w:t>SIGNATURE</w:t>
            </w:r>
          </w:p>
        </w:tc>
        <w:tc>
          <w:tcPr>
            <w:tcW w:w="3260" w:type="dxa"/>
            <w:vAlign w:val="bottom"/>
          </w:tcPr>
          <w:p>
            <w:pPr>
              <w:spacing w:after="0"/>
              <w:rPr>
                <w:sz w:val="20"/>
                <w:szCs w:val="20"/>
                <w:color w:val="auto"/>
              </w:rPr>
            </w:pPr>
          </w:p>
        </w:tc>
      </w:tr>
    </w:tbl>
    <w:p>
      <w:pPr>
        <w:spacing w:after="0" w:line="1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06/05/2015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06/05/2015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06/05/2015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1145" w:right="239" w:bottom="1440" w:gutter="0" w:footer="0" w:header="0"/>
        </w:sectPr>
      </w:pPr>
    </w:p>
    <w:bookmarkStart w:id="8" w:name="page9"/>
    <w:bookmarkEnd w:id="8"/>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TapImmune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171" w:right="299" w:bottom="1440" w:gutter="0" w:footer="0" w:header="0"/>
        </w:sectPr>
      </w:pPr>
    </w:p>
    <w:bookmarkStart w:id="9" w:name="page10"/>
    <w:bookmarkEnd w:id="9"/>
    <w:p>
      <w:pPr>
        <w:spacing w:after="0"/>
        <w:tabs>
          <w:tab w:leader="none" w:pos="596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b w:val="1"/>
          <w:bCs w:val="1"/>
          <w:color w:val="auto"/>
        </w:rPr>
        <w:t>Exhibit 2</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Amended and Restated Restructuring Agreement, dated June 2, 2015 (Incorporated herein by reference to Exhibit 2 to the Schedule 13D/A filed by the Reporting Persons with the Securities and Exchange Commission on June 3, 2015.</w:t>
      </w:r>
    </w:p>
    <w:p>
      <w:pPr>
        <w:sectPr>
          <w:pgSz w:w="11900" w:h="16838" w:orient="portrait"/>
          <w:cols w:equalWidth="0" w:num="1">
            <w:col w:w="11100"/>
          </w:cols>
          <w:pgMar w:left="240" w:top="171" w:right="559" w:bottom="1440" w:gutter="0" w:footer="0" w:header="0"/>
        </w:sectPr>
      </w:pPr>
    </w:p>
    <w:bookmarkStart w:id="10" w:name="page11"/>
    <w:bookmarkEnd w:id="10"/>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2.1</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A-1 Warrant to Purchase Common Stock (Incorporated herein by reference to Exhibit 4.1 to the Issuer’s Form 8-K filed with the Securities and Exchange Commission on March 10, 2015)</w:t>
      </w:r>
    </w:p>
    <w:p>
      <w:pPr>
        <w:sectPr>
          <w:pgSz w:w="11900" w:h="16838" w:orient="portrait"/>
          <w:cols w:equalWidth="0" w:num="1">
            <w:col w:w="11360"/>
          </w:cols>
          <w:pgMar w:left="240" w:top="171" w:right="299" w:bottom="1440" w:gutter="0" w:footer="0" w:header="0"/>
        </w:sectPr>
      </w:pPr>
    </w:p>
    <w:bookmarkStart w:id="11" w:name="page12"/>
    <w:bookmarkEnd w:id="11"/>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2.2</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B-1 Warrant to Purchase Common Stock (Incorporated herein by reference to Exhibit 4.2 to the Issuer’s Form 8-K filed with the Securities and Exchange Commission on March 10, 2015)</w:t>
      </w:r>
    </w:p>
    <w:p>
      <w:pPr>
        <w:sectPr>
          <w:pgSz w:w="11900" w:h="16838" w:orient="portrait"/>
          <w:cols w:equalWidth="0" w:num="1">
            <w:col w:w="11360"/>
          </w:cols>
          <w:pgMar w:left="240" w:top="171" w:right="299" w:bottom="1440" w:gutter="0" w:footer="0" w:header="0"/>
        </w:sectPr>
      </w:pPr>
    </w:p>
    <w:bookmarkStart w:id="12" w:name="page13"/>
    <w:bookmarkEnd w:id="12"/>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C-1 Warrant to Purchase Common Stock (Incorporated herein by reference to Exhibit 4.3 to the Issuer’s Form 8-K filed with the Securities and Exchange Commission on March 10, 2015)</w:t>
      </w:r>
    </w:p>
    <w:p>
      <w:pPr>
        <w:sectPr>
          <w:pgSz w:w="11900" w:h="16838" w:orient="portrait"/>
          <w:cols w:equalWidth="0" w:num="1">
            <w:col w:w="11380"/>
          </w:cols>
          <w:pgMar w:left="240" w:top="171" w:right="279" w:bottom="1440" w:gutter="0" w:footer="0" w:header="0"/>
        </w:sectPr>
      </w:pPr>
    </w:p>
    <w:bookmarkStart w:id="13" w:name="page14"/>
    <w:bookmarkEnd w:id="13"/>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2.4</w:t>
      </w:r>
    </w:p>
    <w:p>
      <w:pPr>
        <w:spacing w:after="0" w:line="200" w:lineRule="exact"/>
        <w:rPr>
          <w:sz w:val="20"/>
          <w:szCs w:val="20"/>
          <w:color w:val="auto"/>
        </w:rPr>
      </w:pPr>
    </w:p>
    <w:p>
      <w:pPr>
        <w:spacing w:after="0" w:line="317"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D-1 Warrant to Purchase Common Stock (Incorporated herein by reference to Exhibit 4.4 to the Issuer’s Form 8-K filed with the Securities and Exchange Commission on March 10, 2015)</w:t>
      </w:r>
    </w:p>
    <w:p>
      <w:pPr>
        <w:sectPr>
          <w:pgSz w:w="11900" w:h="16838" w:orient="portrait"/>
          <w:cols w:equalWidth="0" w:num="1">
            <w:col w:w="11380"/>
          </w:cols>
          <w:pgMar w:left="240" w:top="171" w:right="279" w:bottom="1440" w:gutter="0" w:footer="0" w:header="0"/>
        </w:sectPr>
      </w:pPr>
    </w:p>
    <w:bookmarkStart w:id="14" w:name="page15"/>
    <w:bookmarkEnd w:id="14"/>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2.5</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E-1 Warrant to Purchase Common Stock (Incorporated herein by reference to Exhibit 4.5 to the Issuer’s Form 8-K filed with the Securities and Exchange Commission on March 10, 2015)</w:t>
      </w:r>
    </w:p>
    <w:sectPr>
      <w:pgSz w:w="11900" w:h="16838" w:orient="portrait"/>
      <w:cols w:equalWidth="0" w:num="1">
        <w:col w:w="11360"/>
      </w:cols>
      <w:pgMar w:left="240" w:top="1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9E2A9E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
      <w:numFmt w:val="bullet"/>
      <w:start w:val="1"/>
    </w:lvl>
    <w:lvl w:ilvl="1">
      <w:lvlJc w:val="left"/>
      <w:lvlText w:val="%2"/>
      <w:numFmt w:val="decimal"/>
      <w:start w:val="1"/>
    </w:lvl>
    <w:lvl w:ilvl="2">
      <w:lvlJc w:val="left"/>
      <w:lvlText w:val="%3."/>
      <w:numFmt w:val="decimal"/>
      <w:start w:val="9"/>
    </w:lvl>
  </w:abstractNum>
  <w:abstractNum w:abstractNumId="6">
    <w:nsid w:val="5BD062C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4DB127F8"/>
    <w:multiLevelType w:val="hybridMultilevel"/>
    <w:lvl w:ilvl="0">
      <w:lvlJc w:val="left"/>
      <w:lvlText w:val="%1"/>
      <w:numFmt w:val="decimal"/>
      <w:start w:val="1"/>
    </w:lvl>
    <w:lvl w:ilvl="1">
      <w:lvlJc w:val="left"/>
      <w:lvlText w:val="%2."/>
      <w:numFmt w:val="decimal"/>
      <w:start w:val="10"/>
    </w:lvl>
  </w:abstractNum>
  <w:abstractNum w:abstractNumId="9">
    <w:nsid w:val="216231B"/>
    <w:multiLevelType w:val="hybridMultilevel"/>
    <w:lvl w:ilvl="0">
      <w:lvlJc w:val="left"/>
      <w:lvlText w:val="%1."/>
      <w:numFmt w:val="decimal"/>
      <w:start w:val="11"/>
    </w:lvl>
    <w:lvl w:ilvl="1">
      <w:lvlJc w:val="left"/>
      <w:lvlText w:val="%2"/>
      <w:numFmt w:val="decimal"/>
      <w:start w:val="1"/>
    </w:lvl>
  </w:abstractNum>
  <w:abstractNum w:abstractNumId="10">
    <w:nsid w:val="1F16E9E8"/>
    <w:multiLevelType w:val="hybridMultilevel"/>
    <w:lvl w:ilvl="0">
      <w:lvlJc w:val="left"/>
      <w:lvlText w:val="*"/>
      <w:numFmt w:val="bullet"/>
      <w:start w:val="1"/>
    </w:lvl>
    <w:lvl w:ilvl="1">
      <w:lvlJc w:val="left"/>
      <w:lvlText w:val="%2."/>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2020-01-23T19:50:37Z</dcterms:created>
  <dcterms:modified xsi:type="dcterms:W3CDTF">2020-01-23T19:50:37Z</dcterms:modified>
</cp:coreProperties>
</file>