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November 12,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1420" w:type="dxa"/>
            <w:vAlign w:val="bottom"/>
            <w:gridSpan w:val="2"/>
          </w:tcPr>
          <w:p>
            <w:pPr>
              <w:spacing w:after="0"/>
              <w:rPr>
                <w:sz w:val="17"/>
                <w:szCs w:val="17"/>
                <w:color w:val="auto"/>
              </w:rPr>
            </w:pPr>
          </w:p>
        </w:tc>
        <w:tc>
          <w:tcPr>
            <w:tcW w:w="42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001-37939</w:t>
            </w:r>
          </w:p>
        </w:tc>
        <w:tc>
          <w:tcPr>
            <w:tcW w:w="28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6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(State or other jurisdiction of incorporation)</w:t>
            </w:r>
          </w:p>
        </w:tc>
        <w:tc>
          <w:tcPr>
            <w:tcW w:w="4260" w:type="dxa"/>
            <w:vAlign w:val="bottom"/>
            <w:gridSpan w:val="3"/>
          </w:tcPr>
          <w:p>
            <w:pPr>
              <w:jc w:val="center"/>
              <w:ind w:right="180"/>
              <w:spacing w:after="0"/>
              <w:rPr>
                <w:sz w:val="20"/>
                <w:szCs w:val="20"/>
                <w:color w:val="auto"/>
              </w:rPr>
            </w:pPr>
            <w:r>
              <w:rPr>
                <w:rFonts w:ascii="Arial" w:cs="Arial" w:eastAsia="Arial" w:hAnsi="Arial"/>
                <w:sz w:val="18"/>
                <w:szCs w:val="18"/>
                <w:color w:val="auto"/>
                <w:w w:val="93"/>
              </w:rPr>
              <w:t>(Commission File Number)</w:t>
            </w:r>
          </w:p>
        </w:tc>
        <w:tc>
          <w:tcPr>
            <w:tcW w:w="2840" w:type="dxa"/>
            <w:vAlign w:val="bottom"/>
            <w:gridSpan w:val="5"/>
          </w:tcPr>
          <w:p>
            <w:pPr>
              <w:jc w:val="center"/>
              <w:ind w:left="27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33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3200 Southwest Freeway</w:t>
            </w:r>
          </w:p>
        </w:tc>
        <w:tc>
          <w:tcPr>
            <w:tcW w:w="1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980" w:type="dxa"/>
            <w:vAlign w:val="bottom"/>
          </w:tcPr>
          <w:p>
            <w:pPr>
              <w:spacing w:after="0"/>
              <w:rPr>
                <w:sz w:val="18"/>
                <w:szCs w:val="18"/>
                <w:color w:val="auto"/>
              </w:rPr>
            </w:pPr>
          </w:p>
        </w:tc>
        <w:tc>
          <w:tcPr>
            <w:tcW w:w="2380" w:type="dxa"/>
            <w:vAlign w:val="bottom"/>
            <w:gridSpan w:val="4"/>
          </w:tcPr>
          <w:p>
            <w:pPr>
              <w:jc w:val="center"/>
              <w:ind w:right="1200"/>
              <w:spacing w:after="0"/>
              <w:rPr>
                <w:sz w:val="20"/>
                <w:szCs w:val="20"/>
                <w:color w:val="auto"/>
              </w:rPr>
            </w:pPr>
            <w:r>
              <w:rPr>
                <w:rFonts w:ascii="Arial" w:cs="Arial" w:eastAsia="Arial" w:hAnsi="Arial"/>
                <w:sz w:val="18"/>
                <w:szCs w:val="18"/>
                <w:b w:val="1"/>
                <w:bCs w:val="1"/>
                <w:color w:val="auto"/>
                <w:w w:val="87"/>
              </w:rPr>
              <w:t>Suite 2240</w:t>
            </w:r>
          </w:p>
        </w:tc>
        <w:tc>
          <w:tcPr>
            <w:tcW w:w="1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4"/>
        </w:trPr>
        <w:tc>
          <w:tcPr>
            <w:tcW w:w="980" w:type="dxa"/>
            <w:vAlign w:val="bottom"/>
          </w:tcPr>
          <w:p>
            <w:pPr>
              <w:spacing w:after="0"/>
              <w:rPr>
                <w:sz w:val="16"/>
                <w:szCs w:val="16"/>
                <w:color w:val="auto"/>
              </w:rPr>
            </w:pPr>
          </w:p>
        </w:tc>
        <w:tc>
          <w:tcPr>
            <w:tcW w:w="118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88"/>
              </w:rPr>
              <w:t>Houston, Texas</w:t>
            </w:r>
          </w:p>
        </w:tc>
        <w:tc>
          <w:tcPr>
            <w:tcW w:w="1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40" w:type="dxa"/>
            <w:vAlign w:val="bottom"/>
            <w:gridSpan w:val="4"/>
          </w:tcPr>
          <w:p>
            <w:pPr>
              <w:jc w:val="right"/>
              <w:ind w:right="220"/>
              <w:spacing w:after="0" w:line="188" w:lineRule="exact"/>
              <w:rPr>
                <w:sz w:val="20"/>
                <w:szCs w:val="20"/>
                <w:color w:val="auto"/>
              </w:rPr>
            </w:pPr>
            <w:r>
              <w:rPr>
                <w:rFonts w:ascii="Arial" w:cs="Arial" w:eastAsia="Arial" w:hAnsi="Arial"/>
                <w:sz w:val="18"/>
                <w:szCs w:val="18"/>
                <w:b w:val="1"/>
                <w:bCs w:val="1"/>
                <w:color w:val="auto"/>
              </w:rPr>
              <w:t>77027</w:t>
            </w:r>
          </w:p>
        </w:tc>
        <w:tc>
          <w:tcPr>
            <w:tcW w:w="800" w:type="dxa"/>
            <w:vAlign w:val="bottom"/>
          </w:tcPr>
          <w:p>
            <w:pPr>
              <w:spacing w:after="0"/>
              <w:rPr>
                <w:sz w:val="16"/>
                <w:szCs w:val="16"/>
                <w:color w:val="auto"/>
              </w:rPr>
            </w:pPr>
          </w:p>
        </w:tc>
      </w:tr>
      <w:tr>
        <w:trPr>
          <w:trHeight w:val="20"/>
        </w:trPr>
        <w:tc>
          <w:tcPr>
            <w:tcW w:w="3360" w:type="dxa"/>
            <w:vAlign w:val="bottom"/>
            <w:gridSpan w:val="5"/>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24"/>
        </w:trPr>
        <w:tc>
          <w:tcPr>
            <w:tcW w:w="3360" w:type="dxa"/>
            <w:vAlign w:val="bottom"/>
            <w:gridSpan w:val="5"/>
          </w:tcPr>
          <w:p>
            <w:pPr>
              <w:jc w:val="center"/>
              <w:ind w:right="22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80" w:type="dxa"/>
            <w:vAlign w:val="bottom"/>
            <w:gridSpan w:val="4"/>
          </w:tcPr>
          <w:p>
            <w:pPr>
              <w:jc w:val="center"/>
              <w:ind w:right="800"/>
              <w:spacing w:after="0"/>
              <w:rPr>
                <w:sz w:val="20"/>
                <w:szCs w:val="20"/>
                <w:color w:val="auto"/>
              </w:rPr>
            </w:pPr>
            <w:r>
              <w:rPr>
                <w:rFonts w:ascii="Arial" w:cs="Arial" w:eastAsia="Arial" w:hAnsi="Arial"/>
                <w:sz w:val="18"/>
                <w:szCs w:val="18"/>
                <w:color w:val="auto"/>
                <w:w w:val="94"/>
              </w:rPr>
              <w:t>(Zip Code)</w:t>
            </w:r>
          </w:p>
        </w:tc>
      </w:tr>
      <w:tr>
        <w:trPr>
          <w:trHeight w:val="418"/>
        </w:trPr>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(713) 400-6400</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6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Registrant’s telephone number, including area code</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30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18"/>
        </w:trPr>
        <w:tc>
          <w:tcPr>
            <w:tcW w:w="4760" w:type="dxa"/>
            <w:vAlign w:val="bottom"/>
          </w:tcPr>
          <w:p>
            <w:pPr>
              <w:spacing w:after="0"/>
              <w:rPr>
                <w:sz w:val="24"/>
                <w:szCs w:val="24"/>
                <w:color w:val="auto"/>
              </w:rPr>
            </w:pPr>
          </w:p>
        </w:tc>
        <w:tc>
          <w:tcPr>
            <w:tcW w:w="2300" w:type="dxa"/>
            <w:vAlign w:val="bottom"/>
          </w:tcPr>
          <w:p>
            <w:pPr>
              <w:jc w:val="center"/>
              <w:ind w:right="290"/>
              <w:spacing w:after="0"/>
              <w:rPr>
                <w:sz w:val="20"/>
                <w:szCs w:val="20"/>
                <w:color w:val="auto"/>
              </w:rPr>
            </w:pPr>
            <w:r>
              <w:rPr>
                <w:rFonts w:ascii="Arial" w:cs="Arial" w:eastAsia="Arial" w:hAnsi="Arial"/>
                <w:sz w:val="18"/>
                <w:szCs w:val="18"/>
                <w:color w:val="auto"/>
                <w:w w:val="91"/>
              </w:rPr>
              <w:t>Trading</w:t>
            </w:r>
          </w:p>
        </w:tc>
        <w:tc>
          <w:tcPr>
            <w:tcW w:w="4360" w:type="dxa"/>
            <w:vAlign w:val="bottom"/>
          </w:tcPr>
          <w:p>
            <w:pPr>
              <w:spacing w:after="0"/>
              <w:rPr>
                <w:sz w:val="24"/>
                <w:szCs w:val="24"/>
                <w:color w:val="auto"/>
              </w:rPr>
            </w:pPr>
          </w:p>
        </w:tc>
      </w:tr>
      <w:tr>
        <w:trPr>
          <w:trHeight w:val="230"/>
        </w:trPr>
        <w:tc>
          <w:tcPr>
            <w:tcW w:w="4760" w:type="dxa"/>
            <w:vAlign w:val="bottom"/>
            <w:tcBorders>
              <w:bottom w:val="single" w:sz="8" w:color="auto"/>
            </w:tcBorders>
          </w:tcPr>
          <w:p>
            <w:pPr>
              <w:jc w:val="center"/>
              <w:ind w:right="1010"/>
              <w:spacing w:after="0"/>
              <w:rPr>
                <w:sz w:val="20"/>
                <w:szCs w:val="20"/>
                <w:color w:val="auto"/>
              </w:rPr>
            </w:pPr>
            <w:r>
              <w:rPr>
                <w:rFonts w:ascii="Arial" w:cs="Arial" w:eastAsia="Arial" w:hAnsi="Arial"/>
                <w:sz w:val="18"/>
                <w:szCs w:val="18"/>
                <w:color w:val="auto"/>
                <w:w w:val="90"/>
              </w:rPr>
              <w:t>Title of each class</w:t>
            </w:r>
          </w:p>
        </w:tc>
        <w:tc>
          <w:tcPr>
            <w:tcW w:w="230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91"/>
              </w:rPr>
              <w:t>Symbol(s)</w:t>
            </w:r>
          </w:p>
        </w:tc>
        <w:tc>
          <w:tcPr>
            <w:tcW w:w="436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760" w:type="dxa"/>
            <w:vAlign w:val="bottom"/>
          </w:tcPr>
          <w:p>
            <w:pPr>
              <w:jc w:val="center"/>
              <w:ind w:right="990"/>
              <w:spacing w:after="0"/>
              <w:rPr>
                <w:sz w:val="20"/>
                <w:szCs w:val="20"/>
                <w:color w:val="auto"/>
              </w:rPr>
            </w:pPr>
            <w:r>
              <w:rPr>
                <w:rFonts w:ascii="Arial" w:cs="Arial" w:eastAsia="Arial" w:hAnsi="Arial"/>
                <w:sz w:val="18"/>
                <w:szCs w:val="18"/>
                <w:color w:val="auto"/>
                <w:w w:val="89"/>
              </w:rPr>
              <w:t>Common Stock, par value $0.001 per share</w:t>
            </w:r>
          </w:p>
        </w:tc>
        <w:tc>
          <w:tcPr>
            <w:tcW w:w="2300" w:type="dxa"/>
            <w:vAlign w:val="bottom"/>
          </w:tcPr>
          <w:p>
            <w:pPr>
              <w:jc w:val="center"/>
              <w:ind w:right="270"/>
              <w:spacing w:after="0"/>
              <w:rPr>
                <w:sz w:val="20"/>
                <w:szCs w:val="20"/>
                <w:color w:val="auto"/>
              </w:rPr>
            </w:pPr>
            <w:r>
              <w:rPr>
                <w:rFonts w:ascii="Arial" w:cs="Arial" w:eastAsia="Arial" w:hAnsi="Arial"/>
                <w:sz w:val="18"/>
                <w:szCs w:val="18"/>
                <w:color w:val="auto"/>
              </w:rPr>
              <w:t>MRKR</w:t>
            </w:r>
          </w:p>
        </w:tc>
        <w:tc>
          <w:tcPr>
            <w:tcW w:w="4360" w:type="dxa"/>
            <w:vAlign w:val="bottom"/>
          </w:tcPr>
          <w:p>
            <w:pPr>
              <w:jc w:val="center"/>
              <w:ind w:left="630"/>
              <w:spacing w:after="0"/>
              <w:rPr>
                <w:sz w:val="20"/>
                <w:szCs w:val="20"/>
                <w:color w:val="auto"/>
              </w:rPr>
            </w:pPr>
            <w:r>
              <w:rPr>
                <w:rFonts w:ascii="Arial" w:cs="Arial" w:eastAsia="Arial" w:hAnsi="Arial"/>
                <w:sz w:val="18"/>
                <w:szCs w:val="18"/>
                <w:color w:val="auto"/>
                <w:w w:val="92"/>
              </w:rPr>
              <w:t>The Nasdaq Stock Market LLC</w:t>
            </w:r>
          </w:p>
        </w:tc>
      </w:tr>
    </w:tbl>
    <w:p>
      <w:pPr>
        <w:spacing w:after="0" w:line="187" w:lineRule="exact"/>
        <w:rPr>
          <w:sz w:val="24"/>
          <w:szCs w:val="24"/>
          <w:color w:val="auto"/>
        </w:rPr>
      </w:pPr>
    </w:p>
    <w:p>
      <w:pPr>
        <w:ind w:right="6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61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November 12, 2019, Marker Therapeutics, Inc. (the “Company”) reported financial results for the quarter ended September 30, 2019 and other recent corporate updates. A copy of the press release is furnished as Exhibit 99.1 to this report and incorporated by reference.</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information in this Item 2.02 of this Current Report on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7020" w:type="dxa"/>
            <w:vAlign w:val="bottom"/>
          </w:tcPr>
          <w:p>
            <w:pPr>
              <w:spacing w:after="0"/>
              <w:rPr>
                <w:sz w:val="20"/>
                <w:szCs w:val="20"/>
                <w:color w:val="auto"/>
              </w:rPr>
            </w:pPr>
          </w:p>
        </w:tc>
      </w:tr>
      <w:tr>
        <w:trPr>
          <w:trHeight w:val="392"/>
        </w:trPr>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340" w:type="dxa"/>
            <w:vAlign w:val="bottom"/>
            <w:gridSpan w:val="4"/>
          </w:tcPr>
          <w:p>
            <w:pPr>
              <w:ind w:left="16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200" w:type="dxa"/>
            <w:vAlign w:val="bottom"/>
          </w:tcPr>
          <w:p>
            <w:pPr>
              <w:spacing w:after="0"/>
              <w:rPr>
                <w:sz w:val="17"/>
                <w:szCs w:val="17"/>
                <w:color w:val="auto"/>
              </w:rPr>
            </w:pPr>
          </w:p>
        </w:tc>
        <w:tc>
          <w:tcPr>
            <w:tcW w:w="10340" w:type="dxa"/>
            <w:vAlign w:val="bottom"/>
            <w:gridSpan w:val="4"/>
          </w:tcPr>
          <w:p>
            <w:pPr>
              <w:ind w:left="160"/>
              <w:spacing w:after="0" w:line="196" w:lineRule="exact"/>
              <w:rPr>
                <w:sz w:val="20"/>
                <w:szCs w:val="20"/>
                <w:color w:val="auto"/>
              </w:rPr>
            </w:pPr>
            <w:r>
              <w:rPr>
                <w:rFonts w:ascii="Arial" w:cs="Arial" w:eastAsia="Arial" w:hAnsi="Arial"/>
                <w:sz w:val="18"/>
                <w:szCs w:val="18"/>
                <w:color w:val="0000EE"/>
              </w:rPr>
              <w:t>Press release issued on November 12, 2019.</w:t>
            </w:r>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top w:val="single" w:sz="8" w:color="0000EE"/>
              <w:bottom w:val="single" w:sz="8" w:color="auto"/>
            </w:tcBorders>
          </w:tcPr>
          <w:p>
            <w:pPr>
              <w:spacing w:after="0"/>
              <w:rPr>
                <w:sz w:val="24"/>
                <w:szCs w:val="24"/>
                <w:color w:val="auto"/>
              </w:rPr>
            </w:pPr>
          </w:p>
        </w:tc>
        <w:tc>
          <w:tcPr>
            <w:tcW w:w="2280" w:type="dxa"/>
            <w:vAlign w:val="bottom"/>
            <w:tcBorders>
              <w:top w:val="single" w:sz="8" w:color="0000EE"/>
              <w:bottom w:val="single" w:sz="8" w:color="auto"/>
            </w:tcBorders>
          </w:tcPr>
          <w:p>
            <w:pPr>
              <w:spacing w:after="0"/>
              <w:rPr>
                <w:sz w:val="24"/>
                <w:szCs w:val="24"/>
                <w:color w:val="auto"/>
              </w:rPr>
            </w:pPr>
          </w:p>
        </w:tc>
        <w:tc>
          <w:tcPr>
            <w:tcW w:w="7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7580" w:type="dxa"/>
            <w:vAlign w:val="bottom"/>
            <w:gridSpan w:val="2"/>
          </w:tcPr>
          <w:p>
            <w:pPr>
              <w:ind w:left="1880"/>
              <w:spacing w:after="0"/>
              <w:rPr>
                <w:sz w:val="20"/>
                <w:szCs w:val="20"/>
                <w:color w:val="auto"/>
              </w:rPr>
            </w:pPr>
            <w:r>
              <w:rPr>
                <w:rFonts w:ascii="Arial" w:cs="Arial" w:eastAsia="Arial" w:hAnsi="Arial"/>
                <w:sz w:val="18"/>
                <w:szCs w:val="18"/>
                <w:b w:val="1"/>
                <w:bCs w:val="1"/>
                <w:color w:val="auto"/>
              </w:rPr>
              <w:t>Marker Therapeutics, Inc.</w:t>
            </w:r>
          </w:p>
        </w:tc>
      </w:tr>
      <w:tr>
        <w:trPr>
          <w:trHeight w:val="648"/>
        </w:trPr>
        <w:tc>
          <w:tcPr>
            <w:tcW w:w="3840" w:type="dxa"/>
            <w:vAlign w:val="bottom"/>
          </w:tcPr>
          <w:p>
            <w:pPr>
              <w:spacing w:after="0"/>
              <w:rPr>
                <w:sz w:val="20"/>
                <w:szCs w:val="20"/>
                <w:color w:val="auto"/>
              </w:rPr>
            </w:pPr>
            <w:r>
              <w:rPr>
                <w:rFonts w:ascii="Arial" w:cs="Arial" w:eastAsia="Arial" w:hAnsi="Arial"/>
                <w:sz w:val="18"/>
                <w:szCs w:val="18"/>
                <w:color w:val="auto"/>
              </w:rPr>
              <w:t>Dated: November 12, 2019</w:t>
            </w:r>
          </w:p>
        </w:tc>
        <w:tc>
          <w:tcPr>
            <w:tcW w:w="2440" w:type="dxa"/>
            <w:vAlign w:val="bottom"/>
          </w:tcPr>
          <w:p>
            <w:pPr>
              <w:ind w:left="18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Kim</w:t>
            </w:r>
          </w:p>
        </w:tc>
      </w:tr>
      <w:tr>
        <w:trPr>
          <w:trHeight w:val="195"/>
        </w:trPr>
        <w:tc>
          <w:tcPr>
            <w:tcW w:w="38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Anthony Kim</w:t>
            </w:r>
          </w:p>
        </w:tc>
      </w:tr>
      <w:tr>
        <w:trPr>
          <w:trHeight w:val="230"/>
        </w:trPr>
        <w:tc>
          <w:tcPr>
            <w:tcW w:w="38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675"/>
        </w:trPr>
        <w:tc>
          <w:tcPr>
            <w:tcW w:w="38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457960" cy="334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796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Reports Third Quarter 2019 Operating and Financial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Conference Call and Webcast Today at 5:00pm EST</w:t>
      </w:r>
    </w:p>
    <w:p>
      <w:pPr>
        <w:spacing w:after="0" w:line="221"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Houston, TX – November 12, 2019 </w:t>
      </w:r>
      <w:r>
        <w:rPr>
          <w:rFonts w:ascii="Arial" w:cs="Arial" w:eastAsia="Arial" w:hAnsi="Arial"/>
          <w:sz w:val="18"/>
          <w:szCs w:val="18"/>
          <w:color w:val="auto"/>
        </w:rPr>
        <w:t>– Marker Therapeutics, Inc. (Nasdaq:MRKR), a clinical-stage immuno-oncology company specializing in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of next-generation T cell-based immunotherapies for the treatment of hematological malignancies and solid tumor indications, today provided a corporate update and reported financial results for the third quarter ended September 30, 2019.</w:t>
      </w:r>
    </w:p>
    <w:p>
      <w:pPr>
        <w:spacing w:after="0" w:line="180"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“We continue to make progress in advancing our next-generation T-cell based immunotherapies for the treatment of hematological malignancies and solid tumors,” said Peter L. Hoang, President and CEO of Marker Therapeutics. “Our partner-sponsored MultiTAA T-cell therapy trials at the Baylor College of Medicine continue to show promising results. In addition, we continue to expand our team and build out our infrastructure to support future Marker-sponsored clinical trials. We expect the next 12 to 18 months to be an exciting and productive time for our Company.”</w:t>
      </w:r>
    </w:p>
    <w:p>
      <w:pPr>
        <w:spacing w:after="0" w:line="17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Continued Mr. Hoang: “We recently filed an Investigational New Drug (IND) application with the U.S. Food and Drug Administration (FDA) for our MultiTAA T-cell therapy as part of a planned Marker Phase 2 study in post-allogeneic hematopoietic stem cell transplant patients with acute myeloid leukemia in both the adjuvant and active disease setting. The FDA reviewed our submission and requested additional information regarding certain quality and technical specifications for two reagents supplied by third party vendors that are used in our manufacturing process. Because the FDA requires these data in order to clear the IND, the Marker AML trial has been placed on clinical hold until our complete response to the technical questions is satisfactory to the FDA. While these reagents are not present in the final product, we worked with respective manufacturers of these reagents to satisfy the FDA’s questions and subsequently submitted a complete response to the FDA in late October. We currently project to initiate our Phase 2 trial in 2020 and look forward to providing an update on our clinical path forward upon receiving the FDA’s feedback.”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UPDATES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Multi-Antigen Targeted (MultiTAA) T-Cell Therapies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Marker Submits Response to FDA Clinical Hold on AML Trial</w:t>
      </w:r>
    </w:p>
    <w:p>
      <w:pPr>
        <w:spacing w:after="0" w:line="27"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The Company worked with regulatory and quality groups at the respective manufacturers to address the FDA’s request and submitted a complete response to the issues raised by the FDA on October 28, 2019. The FDA will respond within 30 days after receiving Marker’s complete response, indicating whether the hold is lifted and, if not, specifying the reasons the clinical trial remains on hold. Marker expects to initiate its Phase 2 clinical trial of MultiTAA therapy for the treatment of post-transplant AML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T Cell-Based Vaccines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2 Triple Negative Breast Cancer Trial Progressing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2C3338"/>
        </w:rPr>
        <w:t>Marker continues to advance its T cell-based vaccine program in triple negative breast cancer. To date, results have shown:</w:t>
      </w:r>
    </w:p>
    <w:p>
      <w:pPr>
        <w:spacing w:after="0" w:line="211" w:lineRule="exact"/>
        <w:rPr>
          <w:sz w:val="20"/>
          <w:szCs w:val="20"/>
          <w:color w:val="auto"/>
        </w:rPr>
      </w:pPr>
    </w:p>
    <w:p>
      <w:pPr>
        <w:ind w:left="660" w:right="120" w:hanging="247"/>
        <w:spacing w:after="0" w:line="258" w:lineRule="auto"/>
        <w:tabs>
          <w:tab w:leader="none" w:pos="660" w:val="left"/>
        </w:tabs>
        <w:numPr>
          <w:ilvl w:val="0"/>
          <w:numId w:val="2"/>
        </w:numPr>
        <w:rPr>
          <w:rFonts w:ascii="Arial" w:cs="Arial" w:eastAsia="Arial" w:hAnsi="Arial"/>
          <w:sz w:val="18"/>
          <w:szCs w:val="18"/>
          <w:color w:val="2C3338"/>
        </w:rPr>
      </w:pPr>
      <w:r>
        <w:rPr>
          <w:rFonts w:ascii="Arial" w:cs="Arial" w:eastAsia="Arial" w:hAnsi="Arial"/>
          <w:sz w:val="18"/>
          <w:szCs w:val="18"/>
          <w:color w:val="2C3338"/>
        </w:rPr>
        <w:t>Based on a preliminary analysis of 34 patients enrolled in the triple negative breast cancer trial, 31 patients showed meaningful immune response to vaccine treatment;</w:t>
      </w:r>
    </w:p>
    <w:p>
      <w:pPr>
        <w:spacing w:after="0" w:line="1" w:lineRule="exact"/>
        <w:rPr>
          <w:rFonts w:ascii="Arial" w:cs="Arial" w:eastAsia="Arial" w:hAnsi="Arial"/>
          <w:sz w:val="18"/>
          <w:szCs w:val="18"/>
          <w:color w:val="2C3338"/>
        </w:rPr>
      </w:pPr>
    </w:p>
    <w:p>
      <w:pPr>
        <w:ind w:left="660" w:hanging="247"/>
        <w:spacing w:after="0"/>
        <w:tabs>
          <w:tab w:leader="none" w:pos="660" w:val="left"/>
        </w:tabs>
        <w:numPr>
          <w:ilvl w:val="0"/>
          <w:numId w:val="2"/>
        </w:numPr>
        <w:rPr>
          <w:rFonts w:ascii="Arial" w:cs="Arial" w:eastAsia="Arial" w:hAnsi="Arial"/>
          <w:sz w:val="17"/>
          <w:szCs w:val="17"/>
          <w:color w:val="2C3338"/>
        </w:rPr>
      </w:pPr>
      <w:r>
        <w:rPr>
          <w:rFonts w:ascii="Arial" w:cs="Arial" w:eastAsia="Arial" w:hAnsi="Arial"/>
          <w:sz w:val="17"/>
          <w:szCs w:val="17"/>
          <w:color w:val="2C3338"/>
        </w:rPr>
        <w:t>Of 80 patients treated at 11 clinical sites, 14 have shown disease progression, as of September 30, 2019, following treatment with TPIV200.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2 Platinum-Sensitive Advanced Ovarian Cancer Trial Update</w:t>
      </w:r>
    </w:p>
    <w:p>
      <w:pPr>
        <w:spacing w:after="0" w:line="27"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Marker will be discontinuing the development of TPIV200 in patients with platinum-sensitive advanced ovarian cancer based on an unblinded review of interim results from its Phase 2 study conducted by an independent Data and Safety Monitoring Board (DSMB). Although the DSMB did not express any safety concerns with respect to TPIV200, Marker has elected to suspend the trial because it did not meet the threshold for probability of success based upon the Company’s pre-specified criteria. Pending full review of the data, Marker anticipates closing the trial in the first quarter of 2020.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UPDATES</w:t>
      </w:r>
    </w:p>
    <w:p>
      <w:pPr>
        <w:spacing w:after="0" w:line="27" w:lineRule="exact"/>
        <w:rPr>
          <w:sz w:val="20"/>
          <w:szCs w:val="20"/>
          <w:color w:val="auto"/>
        </w:rPr>
      </w:pPr>
    </w:p>
    <w:p>
      <w:pPr>
        <w:ind w:left="660" w:right="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Nadia Agopyan, Ph.D., RAC, former Director of Regulatory Affairs, Global Regulatory Lead at Kite Pharma, appointed as Vice President of Regulatory Affairs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Steve Elms, Managing Partner at Aisling Capital, appointed to Board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2019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Net loss for the quarter ended September 30, 2019 was $5.5 million, compared to a net loss of $4.4 million for the quarter ended September 30, 2018.</w:t>
      </w:r>
    </w:p>
    <w:p>
      <w:pPr>
        <w:spacing w:after="0" w:line="23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Research and development expenses during the three months ended September 30, 2019 were $3.1 million, compared to $1.9 million during the three months ended September 30, 2018. The increase of $1.2 million was primarily attributable to increases in personnel-related expenses, relating to the build-up of Marker’s internal infrastructure.</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General and administrative expenses were $2.5 million during the three months ended September 30, 2019 as compared to $2.6 million during the three months ended September 30, 2018. The decrease was primarily attributable to $0.6 million of merger-related expenses incurred during the three months ended September 30, 2018, offset by increased expenses in headcount-related and legal and other professional expenses.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POSITION AND GUIDANCE</w:t>
      </w:r>
    </w:p>
    <w:p>
      <w:pPr>
        <w:spacing w:after="0" w:line="2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At September 30, 2019, Marker had cash and cash equivalents of $48.5 million. The Company believes that its existing cash and cash equivalents will fund its current operations through at least the fourth quarter of 2020.</w:t>
      </w:r>
    </w:p>
    <w:p>
      <w:pPr>
        <w:spacing w:after="0" w:line="393" w:lineRule="exact"/>
        <w:rPr>
          <w:sz w:val="20"/>
          <w:szCs w:val="20"/>
          <w:color w:val="auto"/>
        </w:rPr>
      </w:pPr>
    </w:p>
    <w:p>
      <w:pPr>
        <w:ind w:left="112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Conference Call and Webcast</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will host a webcast and conference call to discuss its third quarter 2019 financial results and provide an update on recent corporate activities today at 5:00 p.m. EST.</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The webcast will be accessible in the </w:t>
      </w:r>
      <w:r>
        <w:rPr>
          <w:rFonts w:ascii="Arial" w:cs="Arial" w:eastAsia="Arial" w:hAnsi="Arial"/>
          <w:sz w:val="18"/>
          <w:szCs w:val="18"/>
          <w:u w:val="single" w:color="auto"/>
          <w:color w:val="auto"/>
        </w:rPr>
        <w:t>Investors</w:t>
      </w:r>
      <w:r>
        <w:rPr>
          <w:rFonts w:ascii="Arial" w:cs="Arial" w:eastAsia="Arial" w:hAnsi="Arial"/>
          <w:sz w:val="18"/>
          <w:szCs w:val="18"/>
          <w:color w:val="auto"/>
        </w:rPr>
        <w:t xml:space="preserve"> section of the Company’s website at </w:t>
      </w:r>
      <w:r>
        <w:rPr>
          <w:rFonts w:ascii="Arial" w:cs="Arial" w:eastAsia="Arial" w:hAnsi="Arial"/>
          <w:sz w:val="18"/>
          <w:szCs w:val="18"/>
          <w:u w:val="single" w:color="auto"/>
          <w:color w:val="auto"/>
        </w:rPr>
        <w:t>www.markertherapeutics.com</w:t>
      </w:r>
      <w:r>
        <w:rPr>
          <w:rFonts w:ascii="Arial" w:cs="Arial" w:eastAsia="Arial" w:hAnsi="Arial"/>
          <w:sz w:val="18"/>
          <w:szCs w:val="18"/>
          <w:color w:val="auto"/>
        </w:rPr>
        <w:t>. Individuals can participate in the conference call by dialing 877-407-8913 (domestic) or 201-689-8201 (international) and referring to the “Marker Therapeutics Third Quarter 2019 Earnings Call.”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archived webcast will be available for replay on the Marker website following the event.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Marker Therapeutics, Inc.</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its T cell therapies, we believe that our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spacing w:after="0" w:line="19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Marker is also advancing a number of innovative peptide and gene-based immuno-therapeutics for the treatment of metastatic solid tumors, including the Folate Receptor Alpha program (TPIV200) for breast cancer and the HER2/neu program (TPIV100/110) for breast cancer, currently in Phase 2 clinical trials.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To receive future press releases via email, please visit: https://www.markertherapeutics.com/email-alerts/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 Disclaimer</w:t>
      </w:r>
    </w:p>
    <w:p>
      <w:pPr>
        <w:spacing w:after="0" w:line="27"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our TPIV200 and TPIV100/110 programs; the effectiveness of these programs or the possible range of application and potential curative effects and safety in the treatment of diseases; and, the timing and success of our clinical trials, as well as clinical trials conducted by our collaborators.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The Company assumes no obligation to update our forward-looking statements whether as a result of new information, future events or otherwise, after the date of this press release.</w:t>
      </w:r>
    </w:p>
    <w:p>
      <w:pPr>
        <w:spacing w:after="0" w:line="396" w:lineRule="exact"/>
        <w:rPr>
          <w:sz w:val="20"/>
          <w:szCs w:val="20"/>
          <w:color w:val="auto"/>
        </w:rPr>
      </w:pPr>
    </w:p>
    <w:p>
      <w:pPr>
        <w:ind w:left="11260"/>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Prepaid expenses and deposits</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receivable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current assets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Non-current assets:</w:t>
      </w:r>
    </w:p>
    <w:p>
      <w:pPr>
        <w:spacing w:after="0" w:line="23" w:lineRule="exact"/>
        <w:rPr>
          <w:sz w:val="20"/>
          <w:szCs w:val="20"/>
          <w:color w:val="auto"/>
        </w:rPr>
      </w:pPr>
    </w:p>
    <w:p>
      <w:pPr>
        <w:ind w:left="260" w:right="720"/>
        <w:spacing w:after="0" w:line="265" w:lineRule="auto"/>
        <w:rPr>
          <w:sz w:val="20"/>
          <w:szCs w:val="20"/>
          <w:color w:val="auto"/>
        </w:rPr>
      </w:pPr>
      <w:r>
        <w:rPr>
          <w:rFonts w:ascii="Arial" w:cs="Arial" w:eastAsia="Arial" w:hAnsi="Arial"/>
          <w:sz w:val="17"/>
          <w:szCs w:val="17"/>
          <w:color w:val="auto"/>
        </w:rPr>
        <w:t>Property, plant and equipment, net Right-of-use assets, net</w:t>
      </w:r>
    </w:p>
    <w:p>
      <w:pPr>
        <w:ind w:left="500"/>
        <w:spacing w:after="0"/>
        <w:rPr>
          <w:sz w:val="20"/>
          <w:szCs w:val="20"/>
          <w:color w:val="auto"/>
        </w:rPr>
      </w:pPr>
      <w:r>
        <w:rPr>
          <w:rFonts w:ascii="Arial" w:cs="Arial" w:eastAsia="Arial" w:hAnsi="Arial"/>
          <w:sz w:val="18"/>
          <w:szCs w:val="18"/>
          <w:color w:val="auto"/>
        </w:rPr>
        <w:t>Total non-current assets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br w:type="column"/>
      </w:r>
    </w:p>
    <w:p>
      <w:pPr>
        <w:jc w:val="center"/>
        <w:ind w:right="4160"/>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ind w:right="4160"/>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44" w:lineRule="exact"/>
        <w:rPr>
          <w:sz w:val="20"/>
          <w:szCs w:val="20"/>
          <w:color w:val="auto"/>
        </w:rPr>
      </w:pPr>
    </w:p>
    <w:p>
      <w:pPr>
        <w:jc w:val="center"/>
        <w:ind w:right="4160"/>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3840" w:type="dxa"/>
        <w:tblCellMar>
          <w:top w:w="0" w:type="dxa"/>
          <w:left w:w="0" w:type="dxa"/>
          <w:bottom w:w="0" w:type="dxa"/>
          <w:right w:w="0" w:type="dxa"/>
        </w:tblCellMar>
      </w:tblPr>
      <w:tr>
        <w:trPr>
          <w:trHeight w:val="230"/>
        </w:trPr>
        <w:tc>
          <w:tcPr>
            <w:tcW w:w="140" w:type="dxa"/>
            <w:vAlign w:val="bottom"/>
          </w:tcPr>
          <w:p>
            <w:pPr>
              <w:spacing w:after="0"/>
              <w:rPr>
                <w:sz w:val="19"/>
                <w:szCs w:val="19"/>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2"/>
              </w:rPr>
              <w:t>September 30,</w:t>
            </w:r>
          </w:p>
        </w:tc>
        <w:tc>
          <w:tcPr>
            <w:tcW w:w="16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627"/>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48,477,670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61,746,748</w:t>
            </w:r>
          </w:p>
        </w:tc>
      </w:tr>
      <w:tr>
        <w:trPr>
          <w:trHeight w:val="230"/>
        </w:trPr>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1,906,062</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141,717</w:t>
            </w:r>
          </w:p>
        </w:tc>
      </w:tr>
      <w:tr>
        <w:trPr>
          <w:trHeight w:val="230"/>
        </w:trPr>
        <w:tc>
          <w:tcPr>
            <w:tcW w:w="140" w:type="dxa"/>
            <w:vAlign w:val="bottom"/>
          </w:tcPr>
          <w:p>
            <w:pPr>
              <w:spacing w:after="0"/>
              <w:rPr>
                <w:sz w:val="20"/>
                <w:szCs w:val="20"/>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78,145</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108,177</w:t>
            </w:r>
          </w:p>
        </w:tc>
      </w:tr>
      <w:tr>
        <w:trPr>
          <w:trHeight w:val="210"/>
        </w:trPr>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50,461,877</w:t>
            </w:r>
          </w:p>
        </w:tc>
        <w:tc>
          <w:tcPr>
            <w:tcW w:w="3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61,996,642</w:t>
            </w:r>
          </w:p>
        </w:tc>
      </w:tr>
      <w:tr>
        <w:trPr>
          <w:trHeight w:val="425"/>
        </w:trPr>
        <w:tc>
          <w:tcPr>
            <w:tcW w:w="1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438,881</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147,668</w:t>
            </w:r>
          </w:p>
        </w:tc>
      </w:tr>
      <w:tr>
        <w:trPr>
          <w:trHeight w:val="230"/>
        </w:trPr>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501,714</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940,595</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147,668</w:t>
            </w:r>
          </w:p>
        </w:tc>
      </w:tr>
      <w:tr>
        <w:trPr>
          <w:trHeight w:val="453"/>
        </w:trPr>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51,402,472</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62,144,310</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-1748790</wp:posOffset>
            </wp:positionV>
            <wp:extent cx="72466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-1465580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-1191260</wp:posOffset>
            </wp:positionV>
            <wp:extent cx="72466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-899795</wp:posOffset>
            </wp:positionV>
            <wp:extent cx="72466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-616585</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-325120</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-16510</wp:posOffset>
            </wp:positionV>
            <wp:extent cx="72466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440" w:space="720"/>
            <w:col w:w="7260"/>
          </w:cols>
          <w:pgMar w:left="240" w:top="904" w:right="239" w:bottom="1440" w:gutter="0" w:footer="0" w:header="0"/>
        </w:sectPr>
      </w:pPr>
    </w:p>
    <w:p>
      <w:pPr>
        <w:spacing w:after="0"/>
        <w:rPr>
          <w:sz w:val="20"/>
          <w:szCs w:val="20"/>
          <w:color w:val="auto"/>
        </w:rPr>
      </w:pPr>
      <w:r>
        <w:rPr>
          <w:rFonts w:ascii="Arial" w:cs="Arial" w:eastAsia="Arial" w:hAnsi="Arial"/>
          <w:sz w:val="18"/>
          <w:szCs w:val="18"/>
          <w:b w:val="1"/>
          <w:bCs w:val="1"/>
          <w:color w:val="auto"/>
        </w:rPr>
        <w:t>LIABILITIES AND STOCKHOLDERS'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color w:val="auto"/>
        </w:rPr>
        <w:t>Accounts payable and accrued liabilities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color w:val="auto"/>
        </w:rPr>
        <w:t>Warrant liability</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Non-current liabilities: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Lease liability,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Total non-current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2,858,808</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2,754,572</w:t>
            </w:r>
          </w:p>
        </w:tc>
      </w:tr>
      <w:tr>
        <w:trPr>
          <w:trHeight w:val="230"/>
        </w:trPr>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199,266</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129,000</w:t>
            </w:r>
          </w:p>
        </w:tc>
        <w:tc>
          <w:tcPr>
            <w:tcW w:w="3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49,000</w:t>
            </w:r>
          </w:p>
        </w:tc>
      </w:tr>
      <w:tr>
        <w:trPr>
          <w:trHeight w:val="210"/>
        </w:trPr>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3,187,074</w:t>
            </w:r>
          </w:p>
        </w:tc>
        <w:tc>
          <w:tcPr>
            <w:tcW w:w="3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2,803,572</w:t>
            </w:r>
          </w:p>
        </w:tc>
      </w:tr>
      <w:tr>
        <w:trPr>
          <w:trHeight w:val="439"/>
        </w:trPr>
        <w:tc>
          <w:tcPr>
            <w:tcW w:w="4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333,480</w:t>
            </w:r>
          </w:p>
        </w:tc>
        <w:tc>
          <w:tcPr>
            <w:tcW w:w="3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333,480</w:t>
            </w:r>
          </w:p>
        </w:tc>
        <w:tc>
          <w:tcPr>
            <w:tcW w:w="3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p>
    <w:p>
      <w:pPr>
        <w:sectPr>
          <w:pgSz w:w="11900" w:h="16838" w:orient="portrait"/>
          <w:cols w:equalWidth="0" w:num="2">
            <w:col w:w="7280" w:space="720"/>
            <w:col w:w="342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3,520,554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2,803,572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w w:val="94"/>
              </w:rPr>
              <w:t>Preferred stock - $0.001 par value, 5 million shares authorized and 0 shares issued and outstanding at</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September 30, 2019 and December 31, 2018, respectively</w:t>
            </w: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ind w:left="240"/>
              <w:spacing w:after="0" w:line="201" w:lineRule="exact"/>
              <w:rPr>
                <w:sz w:val="20"/>
                <w:szCs w:val="20"/>
                <w:color w:val="auto"/>
              </w:rPr>
            </w:pPr>
            <w:r>
              <w:rPr>
                <w:rFonts w:ascii="Arial" w:cs="Arial" w:eastAsia="Arial" w:hAnsi="Arial"/>
                <w:sz w:val="18"/>
                <w:szCs w:val="18"/>
                <w:color w:val="auto"/>
                <w:w w:val="96"/>
              </w:rPr>
              <w:t>Common stock, $0.001 par value, 150 million shares authorized, 45.7 million and 45.4 million shares</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240"/>
              <w:spacing w:after="0"/>
              <w:rPr>
                <w:sz w:val="20"/>
                <w:szCs w:val="20"/>
                <w:color w:val="auto"/>
              </w:rPr>
            </w:pPr>
            <w:r>
              <w:rPr>
                <w:rFonts w:ascii="Arial" w:cs="Arial" w:eastAsia="Arial" w:hAnsi="Arial"/>
                <w:sz w:val="18"/>
                <w:szCs w:val="18"/>
                <w:color w:val="auto"/>
              </w:rPr>
              <w:t>issued and outstanding as of September 30, 2019 and December 31, 2018, respectively</w:t>
            </w:r>
          </w:p>
        </w:tc>
        <w:tc>
          <w:tcPr>
            <w:tcW w:w="32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45,723</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45,440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370,290,447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365,400,748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240"/>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(322,454,252)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(306,105,450)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47,881,918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59,340,738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51,402,472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62,144,310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7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type w:val="continuous"/>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Grant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revenues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General and administrative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Loss from operations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9" w:lineRule="exact"/>
        <w:rPr>
          <w:sz w:val="20"/>
          <w:szCs w:val="20"/>
          <w:color w:val="auto"/>
        </w:rPr>
      </w:pPr>
    </w:p>
    <w:p>
      <w:pPr>
        <w:ind w:left="260"/>
        <w:spacing w:after="0" w:line="261" w:lineRule="auto"/>
        <w:rPr>
          <w:sz w:val="20"/>
          <w:szCs w:val="20"/>
          <w:color w:val="auto"/>
        </w:rPr>
      </w:pPr>
      <w:r>
        <w:rPr>
          <w:rFonts w:ascii="Arial" w:cs="Arial" w:eastAsia="Arial" w:hAnsi="Arial"/>
          <w:sz w:val="18"/>
          <w:szCs w:val="18"/>
          <w:color w:val="auto"/>
        </w:rPr>
        <w:t>Change in fair value of warrant liabilities Interest income</w:t>
      </w:r>
    </w:p>
    <w:p>
      <w:pPr>
        <w:spacing w:after="0" w:line="20" w:lineRule="exact"/>
        <w:rPr>
          <w:sz w:val="20"/>
          <w:szCs w:val="20"/>
          <w:color w:val="auto"/>
        </w:rPr>
      </w:pPr>
      <w:r>
        <w:rPr>
          <w:sz w:val="20"/>
          <w:szCs w:val="20"/>
          <w:color w:val="auto"/>
        </w:rPr>
        <w:br w:type="column"/>
      </w:r>
    </w:p>
    <w:p>
      <w:pPr>
        <w:jc w:val="center"/>
        <w:ind w:right="3760"/>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ind w:right="3760"/>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44" w:lineRule="exact"/>
        <w:rPr>
          <w:sz w:val="20"/>
          <w:szCs w:val="20"/>
          <w:color w:val="auto"/>
        </w:rPr>
      </w:pPr>
    </w:p>
    <w:p>
      <w:pPr>
        <w:jc w:val="center"/>
        <w:ind w:right="376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1860" w:type="dxa"/>
        <w:tblCellMar>
          <w:top w:w="0" w:type="dxa"/>
          <w:left w:w="0" w:type="dxa"/>
          <w:bottom w:w="0" w:type="dxa"/>
          <w:right w:w="0" w:type="dxa"/>
        </w:tblCellMar>
      </w:tblPr>
      <w:tr>
        <w:trPr>
          <w:trHeight w:val="230"/>
        </w:trPr>
        <w:tc>
          <w:tcPr>
            <w:tcW w:w="180" w:type="dxa"/>
            <w:vAlign w:val="bottom"/>
          </w:tcPr>
          <w:p>
            <w:pPr>
              <w:spacing w:after="0"/>
              <w:rPr>
                <w:sz w:val="19"/>
                <w:szCs w:val="19"/>
                <w:color w:val="auto"/>
              </w:rPr>
            </w:pPr>
          </w:p>
        </w:tc>
        <w:tc>
          <w:tcPr>
            <w:tcW w:w="3000" w:type="dxa"/>
            <w:vAlign w:val="bottom"/>
            <w:gridSpan w:val="6"/>
          </w:tcPr>
          <w:p>
            <w:pPr>
              <w:jc w:val="center"/>
              <w:ind w:right="600"/>
              <w:spacing w:after="0"/>
              <w:rPr>
                <w:sz w:val="20"/>
                <w:szCs w:val="20"/>
                <w:color w:val="auto"/>
              </w:rPr>
            </w:pPr>
            <w:r>
              <w:rPr>
                <w:rFonts w:ascii="Arial" w:cs="Arial" w:eastAsia="Arial" w:hAnsi="Arial"/>
                <w:sz w:val="18"/>
                <w:szCs w:val="18"/>
                <w:b w:val="1"/>
                <w:bCs w:val="1"/>
                <w:color w:val="auto"/>
                <w:w w:val="91"/>
              </w:rPr>
              <w:t>For the Three Months Ended</w:t>
            </w:r>
          </w:p>
        </w:tc>
        <w:tc>
          <w:tcPr>
            <w:tcW w:w="25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2"/>
              </w:rPr>
              <w:t>For the Nine Months Ended</w:t>
            </w:r>
          </w:p>
        </w:tc>
      </w:tr>
      <w:tr>
        <w:trPr>
          <w:trHeight w:val="234"/>
        </w:trPr>
        <w:tc>
          <w:tcPr>
            <w:tcW w:w="180" w:type="dxa"/>
            <w:vAlign w:val="bottom"/>
          </w:tcPr>
          <w:p>
            <w:pPr>
              <w:spacing w:after="0"/>
              <w:rPr>
                <w:sz w:val="20"/>
                <w:szCs w:val="20"/>
                <w:color w:val="auto"/>
              </w:rPr>
            </w:pPr>
          </w:p>
        </w:tc>
        <w:tc>
          <w:tcPr>
            <w:tcW w:w="176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89"/>
              </w:rPr>
              <w:t>September 30,</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19"/>
                <w:szCs w:val="19"/>
                <w:color w:val="auto"/>
              </w:rPr>
            </w:pPr>
          </w:p>
        </w:tc>
      </w:tr>
      <w:tr>
        <w:trPr>
          <w:trHeight w:val="439"/>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760" w:type="dxa"/>
            <w:vAlign w:val="bottom"/>
            <w:gridSpan w:val="3"/>
          </w:tcPr>
          <w:p>
            <w:pPr>
              <w:jc w:val="center"/>
              <w:ind w:left="590"/>
              <w:spacing w:after="0"/>
              <w:rPr>
                <w:sz w:val="20"/>
                <w:szCs w:val="20"/>
                <w:color w:val="auto"/>
              </w:rPr>
            </w:pPr>
            <w:r>
              <w:rPr>
                <w:rFonts w:ascii="Arial" w:cs="Arial" w:eastAsia="Arial" w:hAnsi="Arial"/>
                <w:sz w:val="18"/>
                <w:szCs w:val="18"/>
                <w:color w:val="auto"/>
              </w:rPr>
              <w:t>-   $</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   $</w:t>
            </w:r>
          </w:p>
        </w:tc>
        <w:tc>
          <w:tcPr>
            <w:tcW w:w="1500" w:type="dxa"/>
            <w:vAlign w:val="bottom"/>
            <w:gridSpan w:val="3"/>
          </w:tcPr>
          <w:p>
            <w:pPr>
              <w:jc w:val="center"/>
              <w:ind w:left="770"/>
              <w:spacing w:after="0"/>
              <w:rPr>
                <w:sz w:val="20"/>
                <w:szCs w:val="20"/>
                <w:color w:val="auto"/>
              </w:rPr>
            </w:pPr>
            <w:r>
              <w:rPr>
                <w:rFonts w:ascii="Arial" w:cs="Arial" w:eastAsia="Arial" w:hAnsi="Arial"/>
                <w:sz w:val="18"/>
                <w:szCs w:val="18"/>
                <w:color w:val="auto"/>
              </w:rPr>
              <w:t>-   $</w:t>
            </w:r>
          </w:p>
        </w:tc>
        <w:tc>
          <w:tcPr>
            <w:tcW w:w="1020" w:type="dxa"/>
            <w:vAlign w:val="bottom"/>
          </w:tcPr>
          <w:p>
            <w:pPr>
              <w:jc w:val="right"/>
              <w:spacing w:after="0"/>
              <w:rPr>
                <w:sz w:val="20"/>
                <w:szCs w:val="20"/>
                <w:color w:val="auto"/>
              </w:rPr>
            </w:pPr>
            <w:r>
              <w:rPr>
                <w:rFonts w:ascii="Arial" w:cs="Arial" w:eastAsia="Arial" w:hAnsi="Arial"/>
                <w:sz w:val="18"/>
                <w:szCs w:val="18"/>
                <w:color w:val="auto"/>
              </w:rPr>
              <w:t>205,994</w:t>
            </w:r>
          </w:p>
        </w:tc>
        <w:tc>
          <w:tcPr>
            <w:tcW w:w="60" w:type="dxa"/>
            <w:vAlign w:val="bottom"/>
          </w:tcPr>
          <w:p>
            <w:pPr>
              <w:spacing w:after="0"/>
              <w:rPr>
                <w:sz w:val="24"/>
                <w:szCs w:val="24"/>
                <w:color w:val="auto"/>
              </w:rPr>
            </w:pPr>
          </w:p>
        </w:tc>
      </w:tr>
      <w:tr>
        <w:trPr>
          <w:trHeight w:val="210"/>
        </w:trPr>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205,994</w:t>
            </w:r>
          </w:p>
        </w:tc>
        <w:tc>
          <w:tcPr>
            <w:tcW w:w="60" w:type="dxa"/>
            <w:vAlign w:val="bottom"/>
          </w:tcPr>
          <w:p>
            <w:pPr>
              <w:spacing w:after="0"/>
              <w:rPr>
                <w:sz w:val="18"/>
                <w:szCs w:val="18"/>
                <w:color w:val="auto"/>
              </w:rPr>
            </w:pPr>
          </w:p>
        </w:tc>
      </w:tr>
      <w:tr>
        <w:trPr>
          <w:trHeight w:val="425"/>
        </w:trPr>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3,118,530</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1,877,260</w:t>
            </w:r>
          </w:p>
        </w:tc>
        <w:tc>
          <w:tcPr>
            <w:tcW w:w="18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9,103,670</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5,303,647</w:t>
            </w:r>
          </w:p>
        </w:tc>
        <w:tc>
          <w:tcPr>
            <w:tcW w:w="60" w:type="dxa"/>
            <w:vAlign w:val="bottom"/>
          </w:tcPr>
          <w:p>
            <w:pPr>
              <w:spacing w:after="0"/>
              <w:rPr>
                <w:sz w:val="24"/>
                <w:szCs w:val="24"/>
                <w:color w:val="auto"/>
              </w:rPr>
            </w:pPr>
          </w:p>
        </w:tc>
      </w:tr>
      <w:tr>
        <w:trPr>
          <w:trHeight w:val="230"/>
        </w:trPr>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2,536,204</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2,551,146</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8,063,099</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7,202,036</w:t>
            </w:r>
          </w:p>
        </w:tc>
        <w:tc>
          <w:tcPr>
            <w:tcW w:w="60" w:type="dxa"/>
            <w:vAlign w:val="bottom"/>
          </w:tcPr>
          <w:p>
            <w:pPr>
              <w:spacing w:after="0"/>
              <w:rPr>
                <w:sz w:val="20"/>
                <w:szCs w:val="20"/>
                <w:color w:val="auto"/>
              </w:rPr>
            </w:pPr>
          </w:p>
        </w:tc>
      </w:tr>
      <w:tr>
        <w:trPr>
          <w:trHeight w:val="210"/>
        </w:trPr>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5,654,734</w:t>
            </w:r>
          </w:p>
        </w:tc>
        <w:tc>
          <w:tcPr>
            <w:tcW w:w="24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4,428,406</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17,166,769</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12,505,683</w:t>
            </w:r>
          </w:p>
        </w:tc>
        <w:tc>
          <w:tcPr>
            <w:tcW w:w="60" w:type="dxa"/>
            <w:vAlign w:val="bottom"/>
          </w:tcPr>
          <w:p>
            <w:pPr>
              <w:spacing w:after="0"/>
              <w:rPr>
                <w:sz w:val="18"/>
                <w:szCs w:val="18"/>
                <w:color w:val="auto"/>
              </w:rPr>
            </w:pPr>
          </w:p>
        </w:tc>
      </w:tr>
      <w:tr>
        <w:trPr>
          <w:trHeight w:val="224"/>
        </w:trPr>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(5,654,734)</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9"/>
              </w:rPr>
              <w:t>(4,428,406)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(17,166,769)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(12,299,689)</w:t>
            </w:r>
          </w:p>
        </w:tc>
        <w:tc>
          <w:tcPr>
            <w:tcW w:w="60" w:type="dxa"/>
            <w:vAlign w:val="bottom"/>
          </w:tcPr>
          <w:p>
            <w:pPr>
              <w:spacing w:after="0"/>
              <w:rPr>
                <w:sz w:val="19"/>
                <w:szCs w:val="19"/>
                <w:color w:val="auto"/>
              </w:rPr>
            </w:pPr>
          </w:p>
        </w:tc>
      </w:tr>
      <w:tr>
        <w:trPr>
          <w:trHeight w:val="417"/>
        </w:trPr>
        <w:tc>
          <w:tcPr>
            <w:tcW w:w="18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(64,000)</w:t>
            </w:r>
          </w:p>
        </w:tc>
        <w:tc>
          <w:tcPr>
            <w:tcW w:w="44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40,000</w:t>
            </w:r>
          </w:p>
        </w:tc>
        <w:tc>
          <w:tcPr>
            <w:tcW w:w="180" w:type="dxa"/>
            <w:vAlign w:val="bottom"/>
          </w:tcPr>
          <w:p>
            <w:pPr>
              <w:spacing w:after="0"/>
              <w:rPr>
                <w:sz w:val="24"/>
                <w:szCs w:val="2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(80,000)</w:t>
            </w:r>
          </w:p>
        </w:tc>
        <w:tc>
          <w:tcPr>
            <w:tcW w:w="24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(98,000)</w:t>
            </w:r>
          </w:p>
        </w:tc>
      </w:tr>
      <w:tr>
        <w:trPr>
          <w:trHeight w:val="230"/>
        </w:trPr>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259,248</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897,967</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-1577340</wp:posOffset>
            </wp:positionV>
            <wp:extent cx="72466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-1285875</wp:posOffset>
            </wp:positionV>
            <wp:extent cx="72466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-994410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-711200</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-419735</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-145415</wp:posOffset>
            </wp:positionV>
            <wp:extent cx="72466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5" w:lineRule="exact"/>
        <w:rPr>
          <w:sz w:val="20"/>
          <w:szCs w:val="20"/>
          <w:color w:val="auto"/>
        </w:rPr>
      </w:pPr>
    </w:p>
    <w:p>
      <w:pPr>
        <w:sectPr>
          <w:pgSz w:w="11900" w:h="16838" w:orient="portrait"/>
          <w:cols w:equalWidth="0" w:num="2">
            <w:col w:w="3220" w:space="540"/>
            <w:col w:w="7660"/>
          </w:cols>
          <w:pgMar w:left="240" w:top="1121" w:right="239" w:bottom="1440" w:gutter="0" w:footer="0" w:header="0"/>
        </w:sectPr>
      </w:pPr>
    </w:p>
    <w:tbl>
      <w:tblPr>
        <w:tblLayout w:type="fixed"/>
        <w:tblInd w:w="0" w:type="dxa"/>
        <w:tblCellMar>
          <w:top w:w="0" w:type="dxa"/>
          <w:left w:w="0" w:type="dxa"/>
          <w:bottom w:w="0" w:type="dxa"/>
          <w:right w:w="0" w:type="dxa"/>
        </w:tblCellMar>
      </w:tblPr>
      <w:tr>
        <w:trPr>
          <w:trHeight w:val="259"/>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(5,459,486</w:t>
            </w:r>
          </w:p>
        </w:tc>
        <w:tc>
          <w:tcPr>
            <w:tcW w:w="160" w:type="dxa"/>
            <w:vAlign w:val="bottom"/>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2"/>
                <w:szCs w:val="22"/>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(4,388,406</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2"/>
                <w:szCs w:val="22"/>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(16,348,802</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(12,397,689</w:t>
            </w:r>
          </w:p>
        </w:tc>
        <w:tc>
          <w:tcPr>
            <w:tcW w:w="8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(0.12)</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(0.32)</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(0.36)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common shares outstanding</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45,655,387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13,733,406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45,541,434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12,082,176</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21"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8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00"/>
              <w:spacing w:after="0"/>
              <w:rPr>
                <w:sz w:val="20"/>
                <w:szCs w:val="20"/>
                <w:color w:val="auto"/>
              </w:rPr>
            </w:pPr>
            <w:r>
              <w:rPr>
                <w:rFonts w:ascii="Arial" w:cs="Arial" w:eastAsia="Arial" w:hAnsi="Arial"/>
                <w:sz w:val="18"/>
                <w:szCs w:val="18"/>
                <w:b w:val="1"/>
                <w:bCs w:val="1"/>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(16,348,802)</w:t>
            </w:r>
          </w:p>
        </w:tc>
        <w:tc>
          <w:tcPr>
            <w:tcW w:w="60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(12,397,689)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Reconciliation of net loss to net cash used in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70,908</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Changes in fair value of warrant liabilities</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80,000</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4,073,505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1,947,733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on right-of-use assets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240"/>
              <w:spacing w:after="0"/>
              <w:rPr>
                <w:sz w:val="20"/>
                <w:szCs w:val="20"/>
                <w:color w:val="auto"/>
              </w:rPr>
            </w:pPr>
            <w:r>
              <w:rPr>
                <w:rFonts w:ascii="Arial" w:cs="Arial" w:eastAsia="Arial" w:hAnsi="Arial"/>
                <w:sz w:val="18"/>
                <w:szCs w:val="18"/>
                <w:b w:val="1"/>
                <w:bCs w:val="1"/>
                <w:color w:val="auto"/>
              </w:rPr>
              <w:t>Changes in operating assets and liabilities: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deposits</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(1,764,345)</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60"/>
              <w:spacing w:after="0"/>
              <w:rPr>
                <w:sz w:val="20"/>
                <w:szCs w:val="20"/>
                <w:color w:val="auto"/>
              </w:rPr>
            </w:pPr>
            <w:r>
              <w:rPr>
                <w:rFonts w:ascii="Arial" w:cs="Arial" w:eastAsia="Arial" w:hAnsi="Arial"/>
                <w:sz w:val="18"/>
                <w:szCs w:val="18"/>
                <w:color w:val="auto"/>
              </w:rPr>
              <w:t>Interest receivable</w:t>
            </w: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30,032</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137,161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2,080,459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360"/>
              <w:spacing w:after="0"/>
              <w:rPr>
                <w:sz w:val="20"/>
                <w:szCs w:val="20"/>
                <w:color w:val="auto"/>
              </w:rPr>
            </w:pPr>
            <w:r>
              <w:rPr>
                <w:rFonts w:ascii="Arial" w:cs="Arial" w:eastAsia="Arial" w:hAnsi="Arial"/>
                <w:sz w:val="18"/>
                <w:szCs w:val="18"/>
                <w:color w:val="auto"/>
              </w:rPr>
              <w:t>Lease liability</w:t>
            </w:r>
          </w:p>
        </w:tc>
        <w:tc>
          <w:tcPr>
            <w:tcW w:w="34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(136,812)</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(13,723,434</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(8,317,314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 of property and equipment</w:t>
            </w: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(362,121)</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(362,121</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240"/>
              <w:spacing w:after="0"/>
              <w:rPr>
                <w:sz w:val="20"/>
                <w:szCs w:val="20"/>
                <w:color w:val="auto"/>
              </w:rPr>
            </w:pPr>
            <w:r>
              <w:rPr>
                <w:rFonts w:ascii="Arial" w:cs="Arial" w:eastAsia="Arial" w:hAnsi="Arial"/>
                <w:sz w:val="18"/>
                <w:szCs w:val="18"/>
                <w:color w:val="auto"/>
                <w:w w:val="99"/>
              </w:rPr>
              <w:t>Proceeds from issuance of common stock and warrants in private placement, net of offering costs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3,120,000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57,744</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240"/>
              <w:spacing w:after="0"/>
              <w:rPr>
                <w:sz w:val="20"/>
                <w:szCs w:val="20"/>
                <w:color w:val="auto"/>
              </w:rPr>
            </w:pPr>
            <w:r>
              <w:rPr>
                <w:rFonts w:ascii="Arial" w:cs="Arial" w:eastAsia="Arial" w:hAnsi="Arial"/>
                <w:sz w:val="18"/>
                <w:szCs w:val="18"/>
                <w:color w:val="auto"/>
              </w:rPr>
              <w:t>Proceeds from exercise of warrants, net of offering costs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758,733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4,344,171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816,477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7,482,296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decrease in cash</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(13,269,078)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(835,018)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61,746,748</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5,129,289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48,477,670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4,294,271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Chiara Russo</w:t>
      </w:r>
    </w:p>
    <w:p>
      <w:pPr>
        <w:spacing w:after="0" w:line="9" w:lineRule="exact"/>
        <w:rPr>
          <w:sz w:val="20"/>
          <w:szCs w:val="20"/>
          <w:color w:val="auto"/>
        </w:rPr>
      </w:pPr>
    </w:p>
    <w:p>
      <w:pPr>
        <w:ind w:right="9480" w:firstLine="8"/>
        <w:spacing w:after="0" w:line="323" w:lineRule="auto"/>
        <w:tabs>
          <w:tab w:leader="none" w:pos="435"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221-9197 </w:t>
      </w:r>
      <w:r>
        <w:rPr>
          <w:rFonts w:ascii="Arial" w:cs="Arial" w:eastAsia="Arial" w:hAnsi="Arial"/>
          <w:sz w:val="16"/>
          <w:szCs w:val="16"/>
          <w:u w:val="single" w:color="auto"/>
          <w:color w:val="auto"/>
        </w:rPr>
        <w:t>crusso@soleburytrout.com</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Amy Bonanno</w:t>
      </w:r>
    </w:p>
    <w:p>
      <w:pPr>
        <w:spacing w:after="0" w:line="9" w:lineRule="exact"/>
        <w:rPr>
          <w:sz w:val="20"/>
          <w:szCs w:val="20"/>
          <w:color w:val="auto"/>
        </w:rPr>
      </w:pPr>
    </w:p>
    <w:p>
      <w:pPr>
        <w:ind w:right="9240" w:firstLine="8"/>
        <w:spacing w:after="0" w:line="323" w:lineRule="auto"/>
        <w:tabs>
          <w:tab w:leader="none" w:pos="435"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450-0349 </w:t>
      </w:r>
      <w:r>
        <w:rPr>
          <w:rFonts w:ascii="Arial" w:cs="Arial" w:eastAsia="Arial" w:hAnsi="Arial"/>
          <w:sz w:val="16"/>
          <w:szCs w:val="16"/>
          <w:u w:val="single" w:color="auto"/>
          <w:color w:val="auto"/>
        </w:rPr>
        <w:t>abonanno@soleburytrout.com</w:t>
      </w:r>
    </w:p>
    <w:p>
      <w:pPr>
        <w:spacing w:after="0" w:line="348" w:lineRule="exact"/>
        <w:rPr>
          <w:sz w:val="20"/>
          <w:szCs w:val="20"/>
          <w:color w:val="auto"/>
        </w:rPr>
      </w:pPr>
    </w:p>
    <w:p>
      <w:pPr>
        <w:ind w:left="112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617"/>
    </w:lvl>
  </w:abstractNum>
  <w:abstractNum w:abstractNumId="4">
    <w:nsid w:val="46E87CCD"/>
    <w:multiLevelType w:val="hybridMultilevel"/>
    <w:lvl w:ilvl="0">
      <w:lvlJc w:val="left"/>
      <w:lvlText w:val="(%1)"/>
      <w:numFmt w:val="decimal"/>
      <w:start w:val="91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2019-11-28T09:06:30Z</dcterms:created>
  <dcterms:modified xsi:type="dcterms:W3CDTF">2019-11-28T09:06:30Z</dcterms:modified>
</cp:coreProperties>
</file>