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225"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TapImmune Inc.</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876033309</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January 12, 2015</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1920" w:right="8220" w:hanging="8"/>
        <w:spacing w:after="0" w:line="224" w:lineRule="exact"/>
        <w:tabs>
          <w:tab w:leader="none" w:pos="21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2180" w:hanging="268"/>
        <w:spacing w:after="0"/>
        <w:tabs>
          <w:tab w:leader="none" w:pos="2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11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0" w:lineRule="exact"/>
        <w:rPr>
          <w:sz w:val="24"/>
          <w:szCs w:val="24"/>
          <w:color w:val="auto"/>
        </w:rPr>
      </w:pPr>
    </w:p>
    <w:p>
      <w:pPr>
        <w:ind w:firstLine="495"/>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firstLine="495"/>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5"/>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4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American Capital Management L.L.C.</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b w:val="1"/>
                <w:bCs w:val="1"/>
                <w:color w:val="auto"/>
                <w:w w:val="79"/>
              </w:rPr>
              <w:t>2</w:t>
            </w:r>
          </w:p>
        </w:tc>
        <w:tc>
          <w:tcPr>
            <w:tcW w:w="5160" w:type="dxa"/>
            <w:vAlign w:val="bottom"/>
            <w:gridSpan w:val="2"/>
          </w:tcPr>
          <w:p>
            <w:pPr>
              <w:ind w:left="160"/>
              <w:spacing w:after="0" w:line="163" w:lineRule="exact"/>
              <w:rPr>
                <w:sz w:val="20"/>
                <w:szCs w:val="20"/>
                <w:color w:val="auto"/>
              </w:rPr>
            </w:pPr>
            <w:r>
              <w:rPr>
                <w:rFonts w:ascii="Arial" w:cs="Arial" w:eastAsia="Arial" w:hAnsi="Arial"/>
                <w:sz w:val="18"/>
                <w:szCs w:val="18"/>
                <w:color w:val="auto"/>
              </w:rPr>
              <w:t>CHECK THE APPROPRIATE BOX IF A MEMBER OF A</w:t>
            </w:r>
          </w:p>
        </w:tc>
        <w:tc>
          <w:tcPr>
            <w:tcW w:w="4280" w:type="dxa"/>
            <w:vAlign w:val="bottom"/>
            <w:tcBorders>
              <w:right w:val="single" w:sz="8" w:color="auto"/>
            </w:tcBorders>
          </w:tcPr>
          <w:p>
            <w:pPr>
              <w:ind w:left="2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GROUP</w:t>
            </w:r>
          </w:p>
        </w:tc>
        <w:tc>
          <w:tcPr>
            <w:tcW w:w="4040" w:type="dxa"/>
            <w:vAlign w:val="bottom"/>
          </w:tcPr>
          <w:p>
            <w:pPr>
              <w:spacing w:after="0"/>
              <w:rPr>
                <w:sz w:val="24"/>
                <w:szCs w:val="24"/>
                <w:color w:val="auto"/>
              </w:rPr>
            </w:pPr>
          </w:p>
        </w:tc>
        <w:tc>
          <w:tcPr>
            <w:tcW w:w="4280" w:type="dxa"/>
            <w:vAlign w:val="bottom"/>
            <w:tcBorders>
              <w:right w:val="single" w:sz="8" w:color="auto"/>
            </w:tcBorders>
          </w:tcPr>
          <w:p>
            <w:pPr>
              <w:ind w:left="2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SEC USE ONLY</w:t>
            </w:r>
          </w:p>
        </w:tc>
        <w:tc>
          <w:tcPr>
            <w:tcW w:w="4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4</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CITIZENSHIP OR PLACE OF ORGANIZATION</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tcPr>
          <w:p>
            <w:pPr>
              <w:spacing w:after="0"/>
              <w:rPr>
                <w:sz w:val="19"/>
                <w:szCs w:val="19"/>
                <w:color w:val="auto"/>
              </w:rPr>
            </w:pPr>
          </w:p>
        </w:tc>
        <w:tc>
          <w:tcPr>
            <w:tcW w:w="112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5</w:t>
            </w:r>
          </w:p>
        </w:tc>
        <w:tc>
          <w:tcPr>
            <w:tcW w:w="4040" w:type="dxa"/>
            <w:vAlign w:val="bottom"/>
          </w:tcPr>
          <w:p>
            <w:pPr>
              <w:spacing w:after="0"/>
              <w:rPr>
                <w:sz w:val="20"/>
                <w:szCs w:val="20"/>
                <w:color w:val="auto"/>
              </w:rPr>
            </w:pPr>
            <w:r>
              <w:rPr>
                <w:rFonts w:ascii="Arial" w:cs="Arial" w:eastAsia="Arial" w:hAnsi="Arial"/>
                <w:sz w:val="18"/>
                <w:szCs w:val="18"/>
                <w:color w:val="auto"/>
              </w:rPr>
              <w:t>SOLE VOTING POWER</w:t>
            </w:r>
          </w:p>
        </w:tc>
        <w:tc>
          <w:tcPr>
            <w:tcW w:w="4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500"/>
              <w:spacing w:after="0" w:line="195" w:lineRule="exact"/>
              <w:rPr>
                <w:sz w:val="20"/>
                <w:szCs w:val="20"/>
                <w:color w:val="auto"/>
              </w:rPr>
            </w:pPr>
            <w:r>
              <w:rPr>
                <w:rFonts w:ascii="Arial" w:cs="Arial" w:eastAsia="Arial" w:hAnsi="Arial"/>
                <w:sz w:val="18"/>
                <w:szCs w:val="18"/>
                <w:b w:val="1"/>
                <w:bCs w:val="1"/>
                <w:color w:val="auto"/>
              </w:rPr>
              <w:t>6</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20" w:type="dxa"/>
            <w:vAlign w:val="bottom"/>
            <w:tcBorders>
              <w:right w:val="single" w:sz="8" w:color="auto"/>
            </w:tcBorders>
          </w:tcPr>
          <w:p>
            <w:pPr>
              <w:spacing w:after="0"/>
              <w:rPr>
                <w:sz w:val="18"/>
                <w:szCs w:val="18"/>
                <w:color w:val="auto"/>
              </w:rPr>
            </w:pPr>
          </w:p>
        </w:tc>
        <w:tc>
          <w:tcPr>
            <w:tcW w:w="4040" w:type="dxa"/>
            <w:vAlign w:val="bottom"/>
          </w:tcPr>
          <w:p>
            <w:pPr>
              <w:ind w:left="360"/>
              <w:spacing w:after="0"/>
              <w:rPr>
                <w:sz w:val="20"/>
                <w:szCs w:val="20"/>
                <w:color w:val="auto"/>
              </w:rPr>
            </w:pPr>
            <w:r>
              <w:rPr>
                <w:rFonts w:ascii="Arial" w:cs="Arial" w:eastAsia="Arial" w:hAnsi="Arial"/>
                <w:sz w:val="18"/>
                <w:szCs w:val="18"/>
                <w:color w:val="auto"/>
              </w:rPr>
              <w:t>750,000 shares of Common Stock</w:t>
            </w:r>
          </w:p>
        </w:tc>
        <w:tc>
          <w:tcPr>
            <w:tcW w:w="4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w w:val="95"/>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w w:val="97"/>
              </w:rPr>
              <w:t>1,500,000 shares of Common Stock issuable upon exercise of Series B and C Warrants (See Item 4)*</w:t>
            </w: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120" w:type="dxa"/>
            <w:vAlign w:val="bottom"/>
            <w:tcBorders>
              <w:right w:val="single" w:sz="8" w:color="auto"/>
            </w:tcBorders>
          </w:tcPr>
          <w:p>
            <w:pPr>
              <w:spacing w:after="0"/>
              <w:rPr>
                <w:sz w:val="10"/>
                <w:szCs w:val="10"/>
                <w:color w:val="auto"/>
              </w:rPr>
            </w:pPr>
          </w:p>
        </w:tc>
        <w:tc>
          <w:tcPr>
            <w:tcW w:w="83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8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4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right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4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980" w:type="dxa"/>
            <w:vAlign w:val="bottom"/>
            <w:tcBorders>
              <w:left w:val="single" w:sz="8" w:color="auto"/>
              <w:right w:val="single" w:sz="8" w:color="auto"/>
            </w:tcBorders>
            <w:vMerge w:val="continue"/>
          </w:tcPr>
          <w:p>
            <w:pPr>
              <w:spacing w:after="0"/>
              <w:rPr>
                <w:sz w:val="6"/>
                <w:szCs w:val="6"/>
                <w:color w:val="auto"/>
              </w:rPr>
            </w:pPr>
          </w:p>
        </w:tc>
        <w:tc>
          <w:tcPr>
            <w:tcW w:w="112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b w:val="1"/>
                <w:bCs w:val="1"/>
                <w:color w:val="auto"/>
              </w:rPr>
              <w:t>7</w:t>
            </w:r>
          </w:p>
        </w:tc>
        <w:tc>
          <w:tcPr>
            <w:tcW w:w="404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4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120" w:type="dxa"/>
            <w:vAlign w:val="bottom"/>
            <w:tcBorders>
              <w:right w:val="single" w:sz="8" w:color="auto"/>
            </w:tcBorders>
            <w:vMerge w:val="continue"/>
          </w:tcPr>
          <w:p>
            <w:pPr>
              <w:spacing w:after="0"/>
              <w:rPr>
                <w:sz w:val="13"/>
                <w:szCs w:val="13"/>
                <w:color w:val="auto"/>
              </w:rPr>
            </w:pPr>
          </w:p>
        </w:tc>
        <w:tc>
          <w:tcPr>
            <w:tcW w:w="4040" w:type="dxa"/>
            <w:vAlign w:val="bottom"/>
            <w:vMerge w:val="continue"/>
          </w:tcPr>
          <w:p>
            <w:pPr>
              <w:spacing w:after="0"/>
              <w:rPr>
                <w:sz w:val="13"/>
                <w:szCs w:val="13"/>
                <w:color w:val="auto"/>
              </w:rPr>
            </w:pPr>
          </w:p>
        </w:tc>
        <w:tc>
          <w:tcPr>
            <w:tcW w:w="4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8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4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120" w:type="dxa"/>
            <w:vAlign w:val="bottom"/>
            <w:tcBorders>
              <w:bottom w:val="single" w:sz="8" w:color="auto"/>
              <w:right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4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8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ind w:left="500"/>
              <w:spacing w:after="0" w:line="195" w:lineRule="exact"/>
              <w:rPr>
                <w:sz w:val="20"/>
                <w:szCs w:val="20"/>
                <w:color w:val="auto"/>
              </w:rPr>
            </w:pPr>
            <w:r>
              <w:rPr>
                <w:rFonts w:ascii="Arial" w:cs="Arial" w:eastAsia="Arial" w:hAnsi="Arial"/>
                <w:sz w:val="18"/>
                <w:szCs w:val="18"/>
                <w:b w:val="1"/>
                <w:bCs w:val="1"/>
                <w:color w:val="auto"/>
              </w:rPr>
              <w:t>8</w:t>
            </w:r>
          </w:p>
        </w:tc>
        <w:tc>
          <w:tcPr>
            <w:tcW w:w="404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4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20" w:type="dxa"/>
            <w:vAlign w:val="bottom"/>
            <w:tcBorders>
              <w:right w:val="single" w:sz="8" w:color="auto"/>
            </w:tcBorders>
            <w:vMerge w:val="continue"/>
          </w:tcPr>
          <w:p>
            <w:pPr>
              <w:spacing w:after="0"/>
              <w:rPr>
                <w:sz w:val="11"/>
                <w:szCs w:val="11"/>
                <w:color w:val="auto"/>
              </w:rPr>
            </w:pPr>
          </w:p>
        </w:tc>
        <w:tc>
          <w:tcPr>
            <w:tcW w:w="4040" w:type="dxa"/>
            <w:vAlign w:val="bottom"/>
            <w:vMerge w:val="continue"/>
          </w:tcPr>
          <w:p>
            <w:pPr>
              <w:spacing w:after="0"/>
              <w:rPr>
                <w:sz w:val="11"/>
                <w:szCs w:val="11"/>
                <w:color w:val="auto"/>
              </w:rPr>
            </w:pPr>
          </w:p>
        </w:tc>
        <w:tc>
          <w:tcPr>
            <w:tcW w:w="4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040" w:type="dxa"/>
            <w:vAlign w:val="bottom"/>
            <w:vMerge w:val="restart"/>
          </w:tcPr>
          <w:p>
            <w:pPr>
              <w:ind w:left="360"/>
              <w:spacing w:after="0"/>
              <w:rPr>
                <w:sz w:val="20"/>
                <w:szCs w:val="20"/>
                <w:color w:val="auto"/>
              </w:rPr>
            </w:pPr>
            <w:r>
              <w:rPr>
                <w:rFonts w:ascii="Arial" w:cs="Arial" w:eastAsia="Arial" w:hAnsi="Arial"/>
                <w:sz w:val="18"/>
                <w:szCs w:val="18"/>
                <w:color w:val="auto"/>
              </w:rPr>
              <w:t>750,000 shares of Common Stock</w:t>
            </w:r>
          </w:p>
        </w:tc>
        <w:tc>
          <w:tcPr>
            <w:tcW w:w="4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4040" w:type="dxa"/>
            <w:vAlign w:val="bottom"/>
            <w:vMerge w:val="continue"/>
          </w:tcPr>
          <w:p>
            <w:pPr>
              <w:spacing w:after="0"/>
              <w:rPr>
                <w:sz w:val="10"/>
                <w:szCs w:val="10"/>
                <w:color w:val="auto"/>
              </w:rPr>
            </w:pPr>
          </w:p>
        </w:tc>
        <w:tc>
          <w:tcPr>
            <w:tcW w:w="4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5"/>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3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7"/>
              </w:rPr>
              <w:t>1,500,000 shares of Common Stock issuable upon exercise of Series B and C Warrants (See Item 4)*</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9</w:t>
            </w:r>
          </w:p>
        </w:tc>
        <w:tc>
          <w:tcPr>
            <w:tcW w:w="1120" w:type="dxa"/>
            <w:vAlign w:val="bottom"/>
          </w:tcPr>
          <w:p>
            <w:pPr>
              <w:spacing w:after="0" w:line="195" w:lineRule="exact"/>
              <w:rPr>
                <w:sz w:val="20"/>
                <w:szCs w:val="20"/>
                <w:color w:val="auto"/>
              </w:rPr>
            </w:pPr>
            <w:r>
              <w:rPr>
                <w:rFonts w:ascii="Arial" w:cs="Arial" w:eastAsia="Arial" w:hAnsi="Arial"/>
                <w:sz w:val="18"/>
                <w:szCs w:val="18"/>
                <w:color w:val="auto"/>
                <w:w w:val="94"/>
              </w:rPr>
              <w:t>AGGREGATE</w:t>
            </w:r>
          </w:p>
        </w:tc>
        <w:tc>
          <w:tcPr>
            <w:tcW w:w="83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750,000 shares of Common Stock</w:t>
            </w:r>
          </w:p>
        </w:tc>
        <w:tc>
          <w:tcPr>
            <w:tcW w:w="4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94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1,500,000 shares of Common Stock issuable upon exercise of Series B and C Warrants (See Item 4)*</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10</w:t>
            </w:r>
          </w:p>
        </w:tc>
        <w:tc>
          <w:tcPr>
            <w:tcW w:w="516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CHECK BOX IF THE AGGREGATE AMOUNT IN ROW (9)</w:t>
            </w:r>
          </w:p>
        </w:tc>
        <w:tc>
          <w:tcPr>
            <w:tcW w:w="42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EXCLUDES CERTAIN SHARES</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11</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w w:val="96"/>
              </w:rPr>
              <w:t>PERCENT OF CLASS REPRESENTED BY AMOUNT IN ROW (9)</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7.72% (See Item 4)*</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12</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TYPE OF REPORTING PERSON</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040" w:type="dxa"/>
            <w:vAlign w:val="bottom"/>
            <w:tcBorders>
              <w:bottom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91" w:lineRule="auto"/>
        <w:tabs>
          <w:tab w:leader="none" w:pos="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B and C Warrants are subject to a 9.9% blocker and the percentage set forth in row (11) gives effect to such blockers. However, as more fully described in Item 4, the securities reported in rows (6),</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5"/>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4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Kimberly Page</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b w:val="1"/>
                <w:bCs w:val="1"/>
                <w:color w:val="auto"/>
                <w:w w:val="79"/>
              </w:rPr>
              <w:t>2</w:t>
            </w:r>
          </w:p>
        </w:tc>
        <w:tc>
          <w:tcPr>
            <w:tcW w:w="5160" w:type="dxa"/>
            <w:vAlign w:val="bottom"/>
            <w:gridSpan w:val="2"/>
          </w:tcPr>
          <w:p>
            <w:pPr>
              <w:ind w:left="160"/>
              <w:spacing w:after="0" w:line="163" w:lineRule="exact"/>
              <w:rPr>
                <w:sz w:val="20"/>
                <w:szCs w:val="20"/>
                <w:color w:val="auto"/>
              </w:rPr>
            </w:pPr>
            <w:r>
              <w:rPr>
                <w:rFonts w:ascii="Arial" w:cs="Arial" w:eastAsia="Arial" w:hAnsi="Arial"/>
                <w:sz w:val="18"/>
                <w:szCs w:val="18"/>
                <w:color w:val="auto"/>
              </w:rPr>
              <w:t>CHECK THE APPROPRIATE BOX IF A MEMBER OF A</w:t>
            </w:r>
          </w:p>
        </w:tc>
        <w:tc>
          <w:tcPr>
            <w:tcW w:w="4280" w:type="dxa"/>
            <w:vAlign w:val="bottom"/>
            <w:tcBorders>
              <w:right w:val="single" w:sz="8" w:color="auto"/>
            </w:tcBorders>
          </w:tcPr>
          <w:p>
            <w:pPr>
              <w:ind w:left="2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GROUP</w:t>
            </w:r>
          </w:p>
        </w:tc>
        <w:tc>
          <w:tcPr>
            <w:tcW w:w="4040" w:type="dxa"/>
            <w:vAlign w:val="bottom"/>
          </w:tcPr>
          <w:p>
            <w:pPr>
              <w:spacing w:after="0"/>
              <w:rPr>
                <w:sz w:val="24"/>
                <w:szCs w:val="24"/>
                <w:color w:val="auto"/>
              </w:rPr>
            </w:pPr>
          </w:p>
        </w:tc>
        <w:tc>
          <w:tcPr>
            <w:tcW w:w="4280" w:type="dxa"/>
            <w:vAlign w:val="bottom"/>
            <w:tcBorders>
              <w:right w:val="single" w:sz="8" w:color="auto"/>
            </w:tcBorders>
          </w:tcPr>
          <w:p>
            <w:pPr>
              <w:ind w:left="2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SEC USE ONLY</w:t>
            </w:r>
          </w:p>
        </w:tc>
        <w:tc>
          <w:tcPr>
            <w:tcW w:w="4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4</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CITIZENSHIP OR PLACE OF ORGANIZATION</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United States of America</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tcPr>
          <w:p>
            <w:pPr>
              <w:spacing w:after="0"/>
              <w:rPr>
                <w:sz w:val="19"/>
                <w:szCs w:val="19"/>
                <w:color w:val="auto"/>
              </w:rPr>
            </w:pPr>
          </w:p>
        </w:tc>
        <w:tc>
          <w:tcPr>
            <w:tcW w:w="112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5</w:t>
            </w:r>
          </w:p>
        </w:tc>
        <w:tc>
          <w:tcPr>
            <w:tcW w:w="4040" w:type="dxa"/>
            <w:vAlign w:val="bottom"/>
          </w:tcPr>
          <w:p>
            <w:pPr>
              <w:spacing w:after="0"/>
              <w:rPr>
                <w:sz w:val="20"/>
                <w:szCs w:val="20"/>
                <w:color w:val="auto"/>
              </w:rPr>
            </w:pPr>
            <w:r>
              <w:rPr>
                <w:rFonts w:ascii="Arial" w:cs="Arial" w:eastAsia="Arial" w:hAnsi="Arial"/>
                <w:sz w:val="18"/>
                <w:szCs w:val="18"/>
                <w:color w:val="auto"/>
              </w:rPr>
              <w:t>SOLE VOTING POWER</w:t>
            </w:r>
          </w:p>
        </w:tc>
        <w:tc>
          <w:tcPr>
            <w:tcW w:w="4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500"/>
              <w:spacing w:after="0" w:line="195" w:lineRule="exact"/>
              <w:rPr>
                <w:sz w:val="20"/>
                <w:szCs w:val="20"/>
                <w:color w:val="auto"/>
              </w:rPr>
            </w:pPr>
            <w:r>
              <w:rPr>
                <w:rFonts w:ascii="Arial" w:cs="Arial" w:eastAsia="Arial" w:hAnsi="Arial"/>
                <w:sz w:val="18"/>
                <w:szCs w:val="18"/>
                <w:b w:val="1"/>
                <w:bCs w:val="1"/>
                <w:color w:val="auto"/>
              </w:rPr>
              <w:t>6</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20" w:type="dxa"/>
            <w:vAlign w:val="bottom"/>
            <w:tcBorders>
              <w:right w:val="single" w:sz="8" w:color="auto"/>
            </w:tcBorders>
          </w:tcPr>
          <w:p>
            <w:pPr>
              <w:spacing w:after="0"/>
              <w:rPr>
                <w:sz w:val="18"/>
                <w:szCs w:val="18"/>
                <w:color w:val="auto"/>
              </w:rPr>
            </w:pPr>
          </w:p>
        </w:tc>
        <w:tc>
          <w:tcPr>
            <w:tcW w:w="4040" w:type="dxa"/>
            <w:vAlign w:val="bottom"/>
          </w:tcPr>
          <w:p>
            <w:pPr>
              <w:ind w:left="360"/>
              <w:spacing w:after="0"/>
              <w:rPr>
                <w:sz w:val="20"/>
                <w:szCs w:val="20"/>
                <w:color w:val="auto"/>
              </w:rPr>
            </w:pPr>
            <w:r>
              <w:rPr>
                <w:rFonts w:ascii="Arial" w:cs="Arial" w:eastAsia="Arial" w:hAnsi="Arial"/>
                <w:sz w:val="18"/>
                <w:szCs w:val="18"/>
                <w:color w:val="auto"/>
              </w:rPr>
              <w:t>750,000 shares of Common Stock</w:t>
            </w:r>
          </w:p>
        </w:tc>
        <w:tc>
          <w:tcPr>
            <w:tcW w:w="4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w w:val="95"/>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w w:val="97"/>
              </w:rPr>
              <w:t>1,500,000 shares of Common Stock issuable upon exercise of Series B and C Warrants (See Item 4)*</w:t>
            </w: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120" w:type="dxa"/>
            <w:vAlign w:val="bottom"/>
            <w:tcBorders>
              <w:right w:val="single" w:sz="8" w:color="auto"/>
            </w:tcBorders>
          </w:tcPr>
          <w:p>
            <w:pPr>
              <w:spacing w:after="0"/>
              <w:rPr>
                <w:sz w:val="10"/>
                <w:szCs w:val="10"/>
                <w:color w:val="auto"/>
              </w:rPr>
            </w:pPr>
          </w:p>
        </w:tc>
        <w:tc>
          <w:tcPr>
            <w:tcW w:w="83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8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4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right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4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980" w:type="dxa"/>
            <w:vAlign w:val="bottom"/>
            <w:tcBorders>
              <w:left w:val="single" w:sz="8" w:color="auto"/>
              <w:right w:val="single" w:sz="8" w:color="auto"/>
            </w:tcBorders>
            <w:vMerge w:val="continue"/>
          </w:tcPr>
          <w:p>
            <w:pPr>
              <w:spacing w:after="0"/>
              <w:rPr>
                <w:sz w:val="6"/>
                <w:szCs w:val="6"/>
                <w:color w:val="auto"/>
              </w:rPr>
            </w:pPr>
          </w:p>
        </w:tc>
        <w:tc>
          <w:tcPr>
            <w:tcW w:w="112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b w:val="1"/>
                <w:bCs w:val="1"/>
                <w:color w:val="auto"/>
              </w:rPr>
              <w:t>7</w:t>
            </w:r>
          </w:p>
        </w:tc>
        <w:tc>
          <w:tcPr>
            <w:tcW w:w="404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4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120" w:type="dxa"/>
            <w:vAlign w:val="bottom"/>
            <w:tcBorders>
              <w:right w:val="single" w:sz="8" w:color="auto"/>
            </w:tcBorders>
            <w:vMerge w:val="continue"/>
          </w:tcPr>
          <w:p>
            <w:pPr>
              <w:spacing w:after="0"/>
              <w:rPr>
                <w:sz w:val="13"/>
                <w:szCs w:val="13"/>
                <w:color w:val="auto"/>
              </w:rPr>
            </w:pPr>
          </w:p>
        </w:tc>
        <w:tc>
          <w:tcPr>
            <w:tcW w:w="4040" w:type="dxa"/>
            <w:vAlign w:val="bottom"/>
            <w:vMerge w:val="continue"/>
          </w:tcPr>
          <w:p>
            <w:pPr>
              <w:spacing w:after="0"/>
              <w:rPr>
                <w:sz w:val="13"/>
                <w:szCs w:val="13"/>
                <w:color w:val="auto"/>
              </w:rPr>
            </w:pPr>
          </w:p>
        </w:tc>
        <w:tc>
          <w:tcPr>
            <w:tcW w:w="4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8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4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120" w:type="dxa"/>
            <w:vAlign w:val="bottom"/>
            <w:tcBorders>
              <w:bottom w:val="single" w:sz="8" w:color="auto"/>
              <w:right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4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8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ind w:left="500"/>
              <w:spacing w:after="0" w:line="195" w:lineRule="exact"/>
              <w:rPr>
                <w:sz w:val="20"/>
                <w:szCs w:val="20"/>
                <w:color w:val="auto"/>
              </w:rPr>
            </w:pPr>
            <w:r>
              <w:rPr>
                <w:rFonts w:ascii="Arial" w:cs="Arial" w:eastAsia="Arial" w:hAnsi="Arial"/>
                <w:sz w:val="18"/>
                <w:szCs w:val="18"/>
                <w:b w:val="1"/>
                <w:bCs w:val="1"/>
                <w:color w:val="auto"/>
              </w:rPr>
              <w:t>8</w:t>
            </w:r>
          </w:p>
        </w:tc>
        <w:tc>
          <w:tcPr>
            <w:tcW w:w="404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4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20" w:type="dxa"/>
            <w:vAlign w:val="bottom"/>
            <w:tcBorders>
              <w:right w:val="single" w:sz="8" w:color="auto"/>
            </w:tcBorders>
            <w:vMerge w:val="continue"/>
          </w:tcPr>
          <w:p>
            <w:pPr>
              <w:spacing w:after="0"/>
              <w:rPr>
                <w:sz w:val="11"/>
                <w:szCs w:val="11"/>
                <w:color w:val="auto"/>
              </w:rPr>
            </w:pPr>
          </w:p>
        </w:tc>
        <w:tc>
          <w:tcPr>
            <w:tcW w:w="4040" w:type="dxa"/>
            <w:vAlign w:val="bottom"/>
            <w:vMerge w:val="continue"/>
          </w:tcPr>
          <w:p>
            <w:pPr>
              <w:spacing w:after="0"/>
              <w:rPr>
                <w:sz w:val="11"/>
                <w:szCs w:val="11"/>
                <w:color w:val="auto"/>
              </w:rPr>
            </w:pPr>
          </w:p>
        </w:tc>
        <w:tc>
          <w:tcPr>
            <w:tcW w:w="4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040" w:type="dxa"/>
            <w:vAlign w:val="bottom"/>
            <w:vMerge w:val="restart"/>
          </w:tcPr>
          <w:p>
            <w:pPr>
              <w:ind w:left="360"/>
              <w:spacing w:after="0"/>
              <w:rPr>
                <w:sz w:val="20"/>
                <w:szCs w:val="20"/>
                <w:color w:val="auto"/>
              </w:rPr>
            </w:pPr>
            <w:r>
              <w:rPr>
                <w:rFonts w:ascii="Arial" w:cs="Arial" w:eastAsia="Arial" w:hAnsi="Arial"/>
                <w:sz w:val="18"/>
                <w:szCs w:val="18"/>
                <w:color w:val="auto"/>
              </w:rPr>
              <w:t>750,000 shares of Common Stock</w:t>
            </w:r>
          </w:p>
        </w:tc>
        <w:tc>
          <w:tcPr>
            <w:tcW w:w="4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4040" w:type="dxa"/>
            <w:vAlign w:val="bottom"/>
            <w:vMerge w:val="continue"/>
          </w:tcPr>
          <w:p>
            <w:pPr>
              <w:spacing w:after="0"/>
              <w:rPr>
                <w:sz w:val="10"/>
                <w:szCs w:val="10"/>
                <w:color w:val="auto"/>
              </w:rPr>
            </w:pPr>
          </w:p>
        </w:tc>
        <w:tc>
          <w:tcPr>
            <w:tcW w:w="4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5"/>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3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7"/>
              </w:rPr>
              <w:t>1,500,000 shares of Common Stock issuable upon exercise of Series B and C Warrants (See Item 4)*</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9</w:t>
            </w:r>
          </w:p>
        </w:tc>
        <w:tc>
          <w:tcPr>
            <w:tcW w:w="1120" w:type="dxa"/>
            <w:vAlign w:val="bottom"/>
          </w:tcPr>
          <w:p>
            <w:pPr>
              <w:spacing w:after="0" w:line="195" w:lineRule="exact"/>
              <w:rPr>
                <w:sz w:val="20"/>
                <w:szCs w:val="20"/>
                <w:color w:val="auto"/>
              </w:rPr>
            </w:pPr>
            <w:r>
              <w:rPr>
                <w:rFonts w:ascii="Arial" w:cs="Arial" w:eastAsia="Arial" w:hAnsi="Arial"/>
                <w:sz w:val="18"/>
                <w:szCs w:val="18"/>
                <w:color w:val="auto"/>
                <w:w w:val="94"/>
              </w:rPr>
              <w:t>AGGREGATE</w:t>
            </w:r>
          </w:p>
        </w:tc>
        <w:tc>
          <w:tcPr>
            <w:tcW w:w="83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750,000 shares of Common Stock</w:t>
            </w:r>
          </w:p>
        </w:tc>
        <w:tc>
          <w:tcPr>
            <w:tcW w:w="4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94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1,500,000 shares of Common Stock issuable upon exercise of Series B and C Warrants (See Item 4)*</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10</w:t>
            </w:r>
          </w:p>
        </w:tc>
        <w:tc>
          <w:tcPr>
            <w:tcW w:w="516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CHECK BOX IF THE AGGREGATE AMOUNT IN ROW (9)</w:t>
            </w:r>
          </w:p>
        </w:tc>
        <w:tc>
          <w:tcPr>
            <w:tcW w:w="42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EXCLUDES CERTAIN SHARES</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11</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w w:val="96"/>
              </w:rPr>
              <w:t>PERCENT OF CLASS REPRESENTED BY AMOUNT IN ROW (9)</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7.72% (See Item 4)*</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12</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TYPE OF REPORTING PERSON</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HC</w:t>
            </w:r>
          </w:p>
        </w:tc>
        <w:tc>
          <w:tcPr>
            <w:tcW w:w="4040" w:type="dxa"/>
            <w:vAlign w:val="bottom"/>
            <w:tcBorders>
              <w:bottom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8"/>
        <w:spacing w:after="0" w:line="291"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B and C Warrants are subject to a 9.9% blocker and the percentage set forth in row (11) gives effect to such blocker. However, as more fully described in Item 4, the securities reported in rows (6),</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NAME OF ISSUER:</w:t>
      </w:r>
    </w:p>
    <w:p>
      <w:pPr>
        <w:spacing w:after="0" w:line="200" w:lineRule="exact"/>
        <w:rPr>
          <w:sz w:val="20"/>
          <w:szCs w:val="20"/>
          <w:color w:val="auto"/>
        </w:rPr>
      </w:pPr>
    </w:p>
    <w:p>
      <w:pPr>
        <w:sectPr>
          <w:pgSz w:w="11900" w:h="16838" w:orient="portrait"/>
          <w:cols w:equalWidth="0" w:num="2">
            <w:col w:w="900" w:space="720"/>
            <w:col w:w="9800"/>
          </w:cols>
          <w:pgMar w:left="240" w:top="877" w:right="239" w:bottom="1440" w:gutter="0" w:footer="0" w:header="0"/>
        </w:sectPr>
      </w:pPr>
    </w:p>
    <w:p>
      <w:pPr>
        <w:spacing w:after="0" w:line="4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name of the issuer is TapImmune Inc. (the “Company”).</w:t>
      </w:r>
    </w:p>
    <w:p>
      <w:pPr>
        <w:sectPr>
          <w:pgSz w:w="11900" w:h="16838" w:orient="portrait"/>
          <w:cols w:equalWidth="0" w:num="1">
            <w:col w:w="11420"/>
          </w:cols>
          <w:pgMar w:left="240" w:top="877"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 OF ISSUER'S PRINCIPAL EXECUTIVE OFFICES:</w:t>
      </w:r>
    </w:p>
    <w:p>
      <w:pPr>
        <w:spacing w:after="0" w:line="200" w:lineRule="exact"/>
        <w:rPr>
          <w:sz w:val="20"/>
          <w:szCs w:val="20"/>
          <w:color w:val="auto"/>
        </w:rPr>
      </w:pPr>
    </w:p>
    <w:p>
      <w:pPr>
        <w:sectPr>
          <w:pgSz w:w="11900" w:h="16838" w:orient="portrait"/>
          <w:cols w:equalWidth="0" w:num="2">
            <w:col w:w="900" w:space="720"/>
            <w:col w:w="9800"/>
          </w:cols>
          <w:pgMar w:left="240" w:top="877" w:right="239" w:bottom="1440" w:gutter="0" w:footer="0" w:header="0"/>
          <w:type w:val="continuous"/>
        </w:sectPr>
      </w:pPr>
    </w:p>
    <w:p>
      <w:pPr>
        <w:spacing w:after="0" w:line="4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Company's principal executive offices are located at 1551 Eastlake Avenue East, Suite 100, Seattle, Washington 98102.</w:t>
      </w:r>
    </w:p>
    <w:p>
      <w:pPr>
        <w:sectPr>
          <w:pgSz w:w="11900" w:h="16838" w:orient="portrait"/>
          <w:cols w:equalWidth="0" w:num="1">
            <w:col w:w="11420"/>
          </w:cols>
          <w:pgMar w:left="240" w:top="877"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PERSON FILING:</w:t>
      </w:r>
    </w:p>
    <w:p>
      <w:pPr>
        <w:spacing w:after="0" w:line="200" w:lineRule="exact"/>
        <w:rPr>
          <w:sz w:val="20"/>
          <w:szCs w:val="20"/>
          <w:color w:val="auto"/>
        </w:rPr>
      </w:pPr>
    </w:p>
    <w:p>
      <w:pPr>
        <w:sectPr>
          <w:pgSz w:w="11900" w:h="16838" w:orient="portrait"/>
          <w:cols w:equalWidth="0" w:num="2">
            <w:col w:w="900" w:space="720"/>
            <w:col w:w="9800"/>
          </w:cols>
          <w:pgMar w:left="240" w:top="877" w:right="239" w:bottom="1440" w:gutter="0" w:footer="0" w:header="0"/>
          <w:type w:val="continuous"/>
        </w:sectPr>
      </w:pPr>
    </w:p>
    <w:p>
      <w:pPr>
        <w:spacing w:after="0" w:line="29" w:lineRule="exact"/>
        <w:rPr>
          <w:sz w:val="20"/>
          <w:szCs w:val="20"/>
          <w:color w:val="auto"/>
        </w:rPr>
      </w:pPr>
    </w:p>
    <w:p>
      <w:pPr>
        <w:ind w:left="1620" w:right="40"/>
        <w:spacing w:after="0" w:line="264" w:lineRule="auto"/>
        <w:rPr>
          <w:sz w:val="20"/>
          <w:szCs w:val="20"/>
          <w:color w:val="auto"/>
        </w:rPr>
      </w:pPr>
      <w:r>
        <w:rPr>
          <w:rFonts w:ascii="Arial" w:cs="Arial" w:eastAsia="Arial" w:hAnsi="Arial"/>
          <w:sz w:val="18"/>
          <w:szCs w:val="18"/>
          <w:color w:val="auto"/>
        </w:rPr>
        <w:t>This Schedule 13G is being filed on behalf of (i) American Capital Management L.L.C., a Delaware limited liability company (“ACM”), (ii) and (iii) Kimberly Page, an individual who is a citizen of the United States of America (“Ms. Page,” together with ACM, the “Reporting Persons”).</w:t>
      </w:r>
    </w:p>
    <w:p>
      <w:pPr>
        <w:spacing w:after="0" w:line="181" w:lineRule="exact"/>
        <w:rPr>
          <w:sz w:val="20"/>
          <w:szCs w:val="20"/>
          <w:color w:val="auto"/>
        </w:rPr>
      </w:pPr>
    </w:p>
    <w:p>
      <w:pPr>
        <w:ind w:left="1620" w:right="200"/>
        <w:spacing w:after="0" w:line="264" w:lineRule="auto"/>
        <w:rPr>
          <w:sz w:val="20"/>
          <w:szCs w:val="20"/>
          <w:color w:val="auto"/>
        </w:rPr>
      </w:pPr>
      <w:r>
        <w:rPr>
          <w:rFonts w:ascii="Arial" w:cs="Arial" w:eastAsia="Arial" w:hAnsi="Arial"/>
          <w:sz w:val="18"/>
          <w:szCs w:val="18"/>
          <w:color w:val="auto"/>
        </w:rPr>
        <w:t>The Reporting Persons have entered into a Joint Filing Agreement, a copy of which is filed with this Schedule 13G as Exhibit 1, pursuant to which the Reporting Persons have agreed to file this Schedule 13G jointly in accordance with the provisions of Rule 13d-1(k) of the Securities Exchange Act of 1934, as amended.</w:t>
      </w:r>
    </w:p>
    <w:p>
      <w:pPr>
        <w:sectPr>
          <w:pgSz w:w="11900" w:h="16838" w:orient="portrait"/>
          <w:cols w:equalWidth="0" w:num="1">
            <w:col w:w="11420"/>
          </w:cols>
          <w:pgMar w:left="240" w:top="877" w:right="239" w:bottom="1440" w:gutter="0" w:footer="0" w:header="0"/>
          <w:type w:val="continuous"/>
        </w:sectPr>
      </w:pP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900" w:space="720"/>
            <w:col w:w="9800"/>
          </w:cols>
          <w:pgMar w:left="240" w:top="877" w:right="239" w:bottom="1440" w:gutter="0" w:footer="0" w:header="0"/>
          <w:type w:val="continuous"/>
        </w:sectPr>
      </w:pPr>
    </w:p>
    <w:p>
      <w:pPr>
        <w:spacing w:after="0" w:line="4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principal business office of all of the Reporting Persons is 205 East 42nd Street, 20th Floor, New York, New York 10017.</w:t>
      </w:r>
    </w:p>
    <w:p>
      <w:pPr>
        <w:sectPr>
          <w:pgSz w:w="11900" w:h="16838" w:orient="portrait"/>
          <w:cols w:equalWidth="0" w:num="1">
            <w:col w:w="11420"/>
          </w:cols>
          <w:pgMar w:left="240" w:top="877"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CITIZENSHIP:</w:t>
      </w:r>
    </w:p>
    <w:p>
      <w:pPr>
        <w:spacing w:after="0" w:line="200" w:lineRule="exact"/>
        <w:rPr>
          <w:sz w:val="20"/>
          <w:szCs w:val="20"/>
          <w:color w:val="auto"/>
        </w:rPr>
      </w:pPr>
    </w:p>
    <w:p>
      <w:pPr>
        <w:sectPr>
          <w:pgSz w:w="11900" w:h="16838" w:orient="portrait"/>
          <w:cols w:equalWidth="0" w:num="2">
            <w:col w:w="900" w:space="720"/>
            <w:col w:w="9800"/>
          </w:cols>
          <w:pgMar w:left="240" w:top="877" w:right="239" w:bottom="1440" w:gutter="0" w:footer="0" w:header="0"/>
          <w:type w:val="continuous"/>
        </w:sectPr>
      </w:pPr>
    </w:p>
    <w:p>
      <w:pPr>
        <w:spacing w:after="0" w:line="29" w:lineRule="exact"/>
        <w:rPr>
          <w:sz w:val="20"/>
          <w:szCs w:val="20"/>
          <w:color w:val="auto"/>
        </w:rPr>
      </w:pPr>
    </w:p>
    <w:p>
      <w:pPr>
        <w:ind w:left="1620" w:right="280"/>
        <w:spacing w:after="0" w:line="277" w:lineRule="auto"/>
        <w:rPr>
          <w:sz w:val="20"/>
          <w:szCs w:val="20"/>
          <w:color w:val="auto"/>
        </w:rPr>
      </w:pPr>
      <w:r>
        <w:rPr>
          <w:rFonts w:ascii="Arial" w:cs="Arial" w:eastAsia="Arial" w:hAnsi="Arial"/>
          <w:sz w:val="18"/>
          <w:szCs w:val="18"/>
          <w:color w:val="auto"/>
        </w:rPr>
        <w:t>Citizenship is set forth in Row 4 of the cover page for each Reporting Person hereto and is incorporated herein by reference for each such Reporting Person.</w:t>
      </w:r>
    </w:p>
    <w:p>
      <w:pPr>
        <w:sectPr>
          <w:pgSz w:w="11900" w:h="16838" w:orient="portrait"/>
          <w:cols w:equalWidth="0" w:num="1">
            <w:col w:w="11420"/>
          </w:cols>
          <w:pgMar w:left="240" w:top="877" w:right="2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0"/>
          <w:szCs w:val="20"/>
          <w:color w:val="auto"/>
        </w:rPr>
      </w:pPr>
    </w:p>
    <w:p>
      <w:pPr>
        <w:sectPr>
          <w:pgSz w:w="11900" w:h="16838" w:orient="portrait"/>
          <w:cols w:equalWidth="0" w:num="2">
            <w:col w:w="900" w:space="720"/>
            <w:col w:w="9800"/>
          </w:cols>
          <w:pgMar w:left="240" w:top="877" w:right="239" w:bottom="1440" w:gutter="0" w:footer="0" w:header="0"/>
          <w:type w:val="continuous"/>
        </w:sectPr>
      </w:pPr>
    </w:p>
    <w:p>
      <w:pPr>
        <w:spacing w:after="0" w:line="2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Common Stock, $0.001 par value (the “Common Stock”)</w:t>
      </w:r>
    </w:p>
    <w:p>
      <w:pPr>
        <w:sectPr>
          <w:pgSz w:w="11900" w:h="16838" w:orient="portrait"/>
          <w:cols w:equalWidth="0" w:num="1">
            <w:col w:w="11420"/>
          </w:cols>
          <w:pgMar w:left="240" w:top="877"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200" w:lineRule="exact"/>
        <w:rPr>
          <w:sz w:val="20"/>
          <w:szCs w:val="20"/>
          <w:color w:val="auto"/>
        </w:rPr>
      </w:pPr>
    </w:p>
    <w:p>
      <w:pPr>
        <w:sectPr>
          <w:pgSz w:w="11900" w:h="16838" w:orient="portrait"/>
          <w:cols w:equalWidth="0" w:num="2">
            <w:col w:w="900" w:space="720"/>
            <w:col w:w="9800"/>
          </w:cols>
          <w:pgMar w:left="240" w:top="877" w:right="239" w:bottom="1440" w:gutter="0" w:footer="0" w:header="0"/>
          <w:type w:val="continuous"/>
        </w:sectPr>
      </w:pPr>
    </w:p>
    <w:p>
      <w:pPr>
        <w:spacing w:after="0" w:line="4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876033309</w:t>
      </w:r>
    </w:p>
    <w:p>
      <w:pPr>
        <w:sectPr>
          <w:pgSz w:w="11900" w:h="16838" w:orient="portrait"/>
          <w:cols w:equalWidth="0" w:num="1">
            <w:col w:w="11420"/>
          </w:cols>
          <w:pgMar w:left="240" w:top="877" w:right="2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p>
      <w:pPr>
        <w:spacing w:after="0" w:line="133" w:lineRule="exact"/>
        <w:rPr>
          <w:sz w:val="20"/>
          <w:szCs w:val="20"/>
          <w:color w:val="auto"/>
        </w:rPr>
      </w:pPr>
    </w:p>
    <w:p>
      <w:pPr>
        <w:sectPr>
          <w:pgSz w:w="11900" w:h="16838" w:orient="portrait"/>
          <w:cols w:equalWidth="0" w:num="2">
            <w:col w:w="900" w:space="720"/>
            <w:col w:w="980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2600" w:type="dxa"/>
            <w:vAlign w:val="bottom"/>
          </w:tcPr>
          <w:p>
            <w:pPr>
              <w:ind w:left="1820"/>
              <w:spacing w:after="0"/>
              <w:rPr>
                <w:sz w:val="20"/>
                <w:szCs w:val="20"/>
                <w:color w:val="auto"/>
              </w:rPr>
            </w:pPr>
            <w:r>
              <w:rPr>
                <w:rFonts w:ascii="Arial" w:cs="Arial" w:eastAsia="Arial" w:hAnsi="Arial"/>
                <w:sz w:val="18"/>
                <w:szCs w:val="18"/>
                <w:color w:val="auto"/>
              </w:rPr>
              <w:t>(a)</w:t>
            </w:r>
          </w:p>
        </w:tc>
        <w:tc>
          <w:tcPr>
            <w:tcW w:w="9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7860" w:type="dxa"/>
            <w:vAlign w:val="bottom"/>
          </w:tcPr>
          <w:p>
            <w:pPr>
              <w:ind w:left="200"/>
              <w:spacing w:after="0"/>
              <w:rPr>
                <w:sz w:val="20"/>
                <w:szCs w:val="20"/>
                <w:color w:val="auto"/>
              </w:rPr>
            </w:pPr>
            <w:r>
              <w:rPr>
                <w:rFonts w:ascii="Arial" w:cs="Arial" w:eastAsia="Arial" w:hAnsi="Arial"/>
                <w:sz w:val="18"/>
                <w:szCs w:val="18"/>
                <w:color w:val="auto"/>
              </w:rPr>
              <w:t>Broker or dealer registered under Section 15 of the Act,</w:t>
            </w:r>
          </w:p>
        </w:tc>
      </w:tr>
      <w:tr>
        <w:trPr>
          <w:trHeight w:val="432"/>
        </w:trPr>
        <w:tc>
          <w:tcPr>
            <w:tcW w:w="2600" w:type="dxa"/>
            <w:vAlign w:val="bottom"/>
          </w:tcPr>
          <w:p>
            <w:pPr>
              <w:ind w:left="1820"/>
              <w:spacing w:after="0"/>
              <w:rPr>
                <w:sz w:val="20"/>
                <w:szCs w:val="20"/>
                <w:color w:val="auto"/>
              </w:rPr>
            </w:pPr>
            <w:r>
              <w:rPr>
                <w:rFonts w:ascii="Arial" w:cs="Arial" w:eastAsia="Arial" w:hAnsi="Arial"/>
                <w:sz w:val="18"/>
                <w:szCs w:val="18"/>
                <w:color w:val="auto"/>
              </w:rPr>
              <w:t>(b)</w:t>
            </w:r>
          </w:p>
        </w:tc>
        <w:tc>
          <w:tcPr>
            <w:tcW w:w="9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7860" w:type="dxa"/>
            <w:vAlign w:val="bottom"/>
          </w:tcPr>
          <w:p>
            <w:pPr>
              <w:ind w:left="200"/>
              <w:spacing w:after="0"/>
              <w:rPr>
                <w:sz w:val="20"/>
                <w:szCs w:val="20"/>
                <w:color w:val="auto"/>
              </w:rPr>
            </w:pPr>
            <w:r>
              <w:rPr>
                <w:rFonts w:ascii="Arial" w:cs="Arial" w:eastAsia="Arial" w:hAnsi="Arial"/>
                <w:sz w:val="18"/>
                <w:szCs w:val="18"/>
                <w:color w:val="auto"/>
              </w:rPr>
              <w:t>Bank as defined in Section 3(a)(6) of the Act,</w:t>
            </w:r>
          </w:p>
        </w:tc>
      </w:tr>
      <w:tr>
        <w:trPr>
          <w:trHeight w:val="432"/>
        </w:trPr>
        <w:tc>
          <w:tcPr>
            <w:tcW w:w="2600" w:type="dxa"/>
            <w:vAlign w:val="bottom"/>
          </w:tcPr>
          <w:p>
            <w:pPr>
              <w:ind w:left="1820"/>
              <w:spacing w:after="0"/>
              <w:rPr>
                <w:sz w:val="20"/>
                <w:szCs w:val="20"/>
                <w:color w:val="auto"/>
              </w:rPr>
            </w:pPr>
            <w:r>
              <w:rPr>
                <w:rFonts w:ascii="Arial" w:cs="Arial" w:eastAsia="Arial" w:hAnsi="Arial"/>
                <w:sz w:val="18"/>
                <w:szCs w:val="18"/>
                <w:color w:val="auto"/>
              </w:rPr>
              <w:t>(c)</w:t>
            </w:r>
          </w:p>
        </w:tc>
        <w:tc>
          <w:tcPr>
            <w:tcW w:w="9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7860" w:type="dxa"/>
            <w:vAlign w:val="bottom"/>
          </w:tcPr>
          <w:p>
            <w:pPr>
              <w:ind w:left="200"/>
              <w:spacing w:after="0"/>
              <w:rPr>
                <w:sz w:val="20"/>
                <w:szCs w:val="20"/>
                <w:color w:val="auto"/>
              </w:rPr>
            </w:pPr>
            <w:r>
              <w:rPr>
                <w:rFonts w:ascii="Arial" w:cs="Arial" w:eastAsia="Arial" w:hAnsi="Arial"/>
                <w:sz w:val="18"/>
                <w:szCs w:val="18"/>
                <w:color w:val="auto"/>
              </w:rPr>
              <w:t>Insurance Company as defined in Section 3(a)(19) of the Act,</w:t>
            </w:r>
          </w:p>
        </w:tc>
      </w:tr>
      <w:tr>
        <w:trPr>
          <w:trHeight w:val="432"/>
        </w:trPr>
        <w:tc>
          <w:tcPr>
            <w:tcW w:w="2600" w:type="dxa"/>
            <w:vAlign w:val="bottom"/>
          </w:tcPr>
          <w:p>
            <w:pPr>
              <w:ind w:left="1820"/>
              <w:spacing w:after="0"/>
              <w:rPr>
                <w:sz w:val="20"/>
                <w:szCs w:val="20"/>
                <w:color w:val="auto"/>
              </w:rPr>
            </w:pPr>
            <w:r>
              <w:rPr>
                <w:rFonts w:ascii="Arial" w:cs="Arial" w:eastAsia="Arial" w:hAnsi="Arial"/>
                <w:sz w:val="18"/>
                <w:szCs w:val="18"/>
                <w:color w:val="auto"/>
              </w:rPr>
              <w:t>(d)</w:t>
            </w:r>
          </w:p>
        </w:tc>
        <w:tc>
          <w:tcPr>
            <w:tcW w:w="9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7860" w:type="dxa"/>
            <w:vAlign w:val="bottom"/>
          </w:tcPr>
          <w:p>
            <w:pPr>
              <w:ind w:left="200"/>
              <w:spacing w:after="0"/>
              <w:rPr>
                <w:sz w:val="20"/>
                <w:szCs w:val="20"/>
                <w:color w:val="auto"/>
              </w:rPr>
            </w:pPr>
            <w:r>
              <w:rPr>
                <w:rFonts w:ascii="Arial" w:cs="Arial" w:eastAsia="Arial" w:hAnsi="Arial"/>
                <w:sz w:val="18"/>
                <w:szCs w:val="18"/>
                <w:color w:val="auto"/>
              </w:rPr>
              <w:t>Investment Company registered under Section 8 of the Investment Company Act of 1940,</w:t>
            </w:r>
          </w:p>
        </w:tc>
      </w:tr>
      <w:tr>
        <w:trPr>
          <w:trHeight w:val="432"/>
        </w:trPr>
        <w:tc>
          <w:tcPr>
            <w:tcW w:w="2600" w:type="dxa"/>
            <w:vAlign w:val="bottom"/>
          </w:tcPr>
          <w:p>
            <w:pPr>
              <w:ind w:left="1820"/>
              <w:spacing w:after="0"/>
              <w:rPr>
                <w:sz w:val="20"/>
                <w:szCs w:val="20"/>
                <w:color w:val="auto"/>
              </w:rPr>
            </w:pPr>
            <w:r>
              <w:rPr>
                <w:rFonts w:ascii="Arial" w:cs="Arial" w:eastAsia="Arial" w:hAnsi="Arial"/>
                <w:sz w:val="18"/>
                <w:szCs w:val="18"/>
                <w:color w:val="auto"/>
              </w:rPr>
              <w:t>(e)</w:t>
            </w:r>
          </w:p>
        </w:tc>
        <w:tc>
          <w:tcPr>
            <w:tcW w:w="9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7860" w:type="dxa"/>
            <w:vAlign w:val="bottom"/>
          </w:tcPr>
          <w:p>
            <w:pPr>
              <w:ind w:left="200"/>
              <w:spacing w:after="0"/>
              <w:rPr>
                <w:sz w:val="20"/>
                <w:szCs w:val="20"/>
                <w:color w:val="auto"/>
              </w:rPr>
            </w:pPr>
            <w:r>
              <w:rPr>
                <w:rFonts w:ascii="Arial" w:cs="Arial" w:eastAsia="Arial" w:hAnsi="Arial"/>
                <w:sz w:val="18"/>
                <w:szCs w:val="18"/>
                <w:color w:val="auto"/>
              </w:rPr>
              <w:t>Investment Adviser registered under Section 203 of the Investment Advisers Act of 1940,</w:t>
            </w:r>
          </w:p>
        </w:tc>
      </w:tr>
      <w:tr>
        <w:trPr>
          <w:trHeight w:val="628"/>
        </w:trPr>
        <w:tc>
          <w:tcPr>
            <w:tcW w:w="2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4" w:name="page5"/>
    <w:bookmarkEnd w:id="4"/>
    <w:p>
      <w:pPr>
        <w:ind w:left="3080" w:hanging="1358"/>
        <w:spacing w:after="0" w:line="207" w:lineRule="exact"/>
        <w:tabs>
          <w:tab w:leader="none" w:pos="3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Employee Benefit Plan or Endowment Fund in accordance with Rule 13d-1(b)(1)(ii)(F),</w:t>
      </w:r>
    </w:p>
    <w:p>
      <w:pPr>
        <w:spacing w:after="0" w:line="225" w:lineRule="exact"/>
        <w:rPr>
          <w:rFonts w:ascii="Arial" w:cs="Arial" w:eastAsia="Arial" w:hAnsi="Arial"/>
          <w:sz w:val="18"/>
          <w:szCs w:val="18"/>
          <w:color w:val="auto"/>
        </w:rPr>
      </w:pPr>
    </w:p>
    <w:p>
      <w:pPr>
        <w:ind w:left="3080" w:hanging="1358"/>
        <w:spacing w:after="0" w:line="207" w:lineRule="exact"/>
        <w:tabs>
          <w:tab w:leader="none" w:pos="3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Parent Holding Company or control person in accordance with Rule 13d-1(b)(1)(ii)(G),</w:t>
      </w:r>
    </w:p>
    <w:p>
      <w:pPr>
        <w:spacing w:after="0" w:line="225" w:lineRule="exact"/>
        <w:rPr>
          <w:rFonts w:ascii="Arial" w:cs="Arial" w:eastAsia="Arial" w:hAnsi="Arial"/>
          <w:sz w:val="18"/>
          <w:szCs w:val="18"/>
          <w:color w:val="auto"/>
        </w:rPr>
      </w:pPr>
    </w:p>
    <w:p>
      <w:pPr>
        <w:ind w:left="3080" w:hanging="1358"/>
        <w:spacing w:after="0" w:line="207" w:lineRule="exact"/>
        <w:tabs>
          <w:tab w:leader="none" w:pos="3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Savings Association as defined in Section 3(b) of the Federal Deposit Insurance Act,</w:t>
      </w:r>
    </w:p>
    <w:p>
      <w:pPr>
        <w:spacing w:after="0" w:line="225" w:lineRule="exact"/>
        <w:rPr>
          <w:rFonts w:ascii="Arial" w:cs="Arial" w:eastAsia="Arial" w:hAnsi="Arial"/>
          <w:sz w:val="18"/>
          <w:szCs w:val="18"/>
          <w:color w:val="auto"/>
        </w:rPr>
      </w:pPr>
    </w:p>
    <w:p>
      <w:pPr>
        <w:ind w:left="3660" w:right="100" w:hanging="1938"/>
        <w:spacing w:after="0" w:line="223" w:lineRule="exact"/>
        <w:tabs>
          <w:tab w:leader="none" w:pos="3077"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Church Plan that is excluded from the definition of an investment company under Section 3(c)(14) of the Investment Company Act of 1940,</w:t>
      </w:r>
    </w:p>
    <w:p>
      <w:pPr>
        <w:spacing w:after="0" w:line="203" w:lineRule="exact"/>
        <w:rPr>
          <w:rFonts w:ascii="Arial" w:cs="Arial" w:eastAsia="Arial" w:hAnsi="Arial"/>
          <w:sz w:val="18"/>
          <w:szCs w:val="18"/>
          <w:color w:val="auto"/>
        </w:rPr>
      </w:pPr>
    </w:p>
    <w:p>
      <w:pPr>
        <w:ind w:left="3080" w:hanging="1358"/>
        <w:spacing w:after="0" w:line="207" w:lineRule="exact"/>
        <w:tabs>
          <w:tab w:leader="none" w:pos="3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3080" w:hanging="1358"/>
        <w:spacing w:after="0" w:line="207" w:lineRule="exact"/>
        <w:tabs>
          <w:tab w:leader="none" w:pos="3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58" w:lineRule="exact"/>
        <w:rPr>
          <w:sz w:val="20"/>
          <w:szCs w:val="20"/>
          <w:color w:val="auto"/>
        </w:rPr>
      </w:pPr>
    </w:p>
    <w:p>
      <w:pPr>
        <w:ind w:left="1620" w:right="3260"/>
        <w:spacing w:after="0" w:line="342" w:lineRule="auto"/>
        <w:rPr>
          <w:sz w:val="20"/>
          <w:szCs w:val="20"/>
          <w:color w:val="auto"/>
        </w:rPr>
      </w:pPr>
      <w:r>
        <w:rPr>
          <w:rFonts w:ascii="Arial" w:cs="Arial" w:eastAsia="Arial" w:hAnsi="Arial"/>
          <w:sz w:val="16"/>
          <w:szCs w:val="16"/>
          <w:color w:val="auto"/>
        </w:rPr>
        <w:t>If filing as a non-U.S. institution in accordance with Rule 13d-1(b)(1)(ii)(J), please specify the type of institution: _______________________________________________</w:t>
      </w:r>
    </w:p>
    <w:p>
      <w:pPr>
        <w:spacing w:after="0" w:line="12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7"/>
          <w:szCs w:val="17"/>
          <w:color w:val="auto"/>
        </w:rPr>
        <w:t>.</w:t>
      </w:r>
    </w:p>
    <w:p>
      <w:pPr>
        <w:spacing w:after="0" w:line="229" w:lineRule="exact"/>
        <w:rPr>
          <w:sz w:val="20"/>
          <w:szCs w:val="20"/>
          <w:color w:val="auto"/>
        </w:rPr>
      </w:pPr>
    </w:p>
    <w:p>
      <w:pPr>
        <w:ind w:left="1620" w:right="100"/>
        <w:spacing w:after="0" w:line="273" w:lineRule="auto"/>
        <w:rPr>
          <w:sz w:val="20"/>
          <w:szCs w:val="20"/>
          <w:color w:val="auto"/>
        </w:rPr>
      </w:pPr>
      <w:r>
        <w:rPr>
          <w:rFonts w:ascii="Arial" w:cs="Arial" w:eastAsia="Arial" w:hAnsi="Arial"/>
          <w:sz w:val="17"/>
          <w:szCs w:val="17"/>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27,638,815 shares of Common Stock issued and outstanding as of January 12, 2015, as represented in Exhibit 10.1 attached to the Company's Current Report on Form 8-K filed with the Securities and Exchange Commission on January 12, 2015 and assumes the exercise of the reported warrants (the “Reported Warrants”) subject to the applicable Blockers (as defined below).</w:t>
      </w:r>
    </w:p>
    <w:p>
      <w:pPr>
        <w:spacing w:after="0" w:line="178" w:lineRule="exact"/>
        <w:rPr>
          <w:sz w:val="20"/>
          <w:szCs w:val="20"/>
          <w:color w:val="auto"/>
        </w:rPr>
      </w:pPr>
    </w:p>
    <w:p>
      <w:pPr>
        <w:ind w:left="1620" w:right="40"/>
        <w:spacing w:after="0" w:line="272" w:lineRule="auto"/>
        <w:rPr>
          <w:sz w:val="20"/>
          <w:szCs w:val="20"/>
          <w:color w:val="auto"/>
        </w:rPr>
      </w:pPr>
      <w:r>
        <w:rPr>
          <w:rFonts w:ascii="Arial" w:cs="Arial" w:eastAsia="Arial" w:hAnsi="Arial"/>
          <w:sz w:val="17"/>
          <w:szCs w:val="17"/>
          <w:color w:val="auto"/>
        </w:rPr>
        <w:t>Pursuant to the terms of the Reported Warrants, the Reporting Persons cannot exercise (i) any of the Reported Warrants that are Series A, Series D or Series E Warrants if the Reporting Persons would beneficially own, after any such exercise, more than 4.9% of the outstanding shares of Common Stock or (ii) any of the Reported Warrants that are Series B or Series C Warrants if the Reporting Persons would beneficially own, after any such exercise, more than 9.9% of the outstanding shares of Common Stock (the applicable “Blockers”), and the percentage set forth in Row 11 of the cover page for each Reporting Person gives effect to the applicable Blockers. Consequently, as of the date of the event which requires the filing of this statement, the Reporting Persons were not able to exercise all of the Reported Warrants due to the applicable Blockers.</w:t>
      </w:r>
    </w:p>
    <w:p>
      <w:pPr>
        <w:spacing w:after="0" w:line="178" w:lineRule="exact"/>
        <w:rPr>
          <w:sz w:val="20"/>
          <w:szCs w:val="20"/>
          <w:color w:val="auto"/>
        </w:rPr>
      </w:pPr>
    </w:p>
    <w:p>
      <w:pPr>
        <w:ind w:left="1620" w:right="60"/>
        <w:spacing w:after="0" w:line="302" w:lineRule="auto"/>
        <w:rPr>
          <w:sz w:val="20"/>
          <w:szCs w:val="20"/>
          <w:color w:val="auto"/>
        </w:rPr>
      </w:pPr>
      <w:r>
        <w:rPr>
          <w:rFonts w:ascii="Arial" w:cs="Arial" w:eastAsia="Arial" w:hAnsi="Arial"/>
          <w:sz w:val="16"/>
          <w:szCs w:val="16"/>
          <w:color w:val="auto"/>
        </w:rPr>
        <w:t>Ms. Page has the authority and responsibility for the investments made on behalf of ACM and accordingly, has voting and dispositive power over the shares of Common Stock held by ACM. As such, Ms. Page may be deemed to be the beneficial owner of all shares of Common Stock held by, and underlying the Reported Warrants (subject to the applicable Blockers) held by, ACM. ACM is a retirement vehicle for the benefit of Joshua Silverman and Richard Abbe, members of Iroquois Capital Management LLC, and others.</w:t>
      </w:r>
    </w:p>
    <w:p>
      <w:pPr>
        <w:spacing w:after="0" w:line="15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1620" w:hanging="1615"/>
        <w:spacing w:after="0" w:line="261" w:lineRule="auto"/>
        <w:tabs>
          <w:tab w:leader="none" w:pos="16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ind w:left="162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849" w:right="239" w:bottom="1440" w:gutter="0" w:footer="0" w:header="0"/>
        </w:sectPr>
      </w:pPr>
    </w:p>
    <w:bookmarkStart w:id="5" w:name="page6"/>
    <w:bookmarkEnd w:id="5"/>
    <w:p>
      <w:pPr>
        <w:spacing w:after="0"/>
        <w:tabs>
          <w:tab w:leader="none" w:pos="15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jc w:val="both"/>
        <w:ind w:left="1520"/>
        <w:spacing w:after="0" w:line="312" w:lineRule="auto"/>
        <w:rPr>
          <w:sz w:val="20"/>
          <w:szCs w:val="20"/>
          <w:color w:val="auto"/>
        </w:rPr>
      </w:pPr>
      <w:r>
        <w:rPr>
          <w:rFonts w:ascii="Arial" w:cs="Arial" w:eastAsia="Arial" w:hAnsi="Arial"/>
          <w:sz w:val="16"/>
          <w:szCs w:val="16"/>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376555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2015</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AMERICAN CAPITAL MANAGEMENT L.L.C.</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Kimberly Page</w:t>
            </w:r>
          </w:p>
        </w:tc>
      </w:tr>
      <w:tr>
        <w:trPr>
          <w:trHeight w:val="224"/>
        </w:trPr>
        <w:tc>
          <w:tcPr>
            <w:tcW w:w="5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Kimberly Page, Authorized Signatory</w:t>
            </w:r>
          </w:p>
        </w:tc>
      </w:tr>
    </w:tbl>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Kimberly Page</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Kimberly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ind w:left="506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 PURSUANT TO RULE 13d-1(k)(1)</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AMERICAN CAPITAL MANAGEMENT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Kimberly Page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Kimberly Page,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Kimberly Page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Kimberly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2020-01-22T21:01:40Z</dcterms:created>
  <dcterms:modified xsi:type="dcterms:W3CDTF">2020-01-22T21:01:40Z</dcterms:modified>
</cp:coreProperties>
</file>