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gridSpan w:val="3"/>
          </w:tcPr>
          <w:p>
            <w:pPr>
              <w:jc w:val="right"/>
              <w:ind w:right="174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8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186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8"/>
        </w:trPr>
        <w:tc>
          <w:tcPr>
            <w:tcW w:w="4520" w:type="dxa"/>
            <w:vAlign w:val="bottom"/>
          </w:tcPr>
          <w:p>
            <w:pPr>
              <w:spacing w:after="0"/>
              <w:rPr>
                <w:sz w:val="24"/>
                <w:szCs w:val="24"/>
                <w:color w:val="auto"/>
              </w:rPr>
            </w:pPr>
          </w:p>
        </w:tc>
        <w:tc>
          <w:tcPr>
            <w:tcW w:w="1860" w:type="dxa"/>
            <w:vAlign w:val="bottom"/>
          </w:tcPr>
          <w:p>
            <w:pPr>
              <w:jc w:val="center"/>
              <w:ind w:right="330"/>
              <w:spacing w:after="0"/>
              <w:rPr>
                <w:sz w:val="20"/>
                <w:szCs w:val="20"/>
                <w:color w:val="auto"/>
              </w:rPr>
            </w:pPr>
            <w:r>
              <w:rPr>
                <w:rFonts w:ascii="Arial" w:cs="Arial" w:eastAsia="Arial" w:hAnsi="Arial"/>
                <w:sz w:val="18"/>
                <w:szCs w:val="18"/>
                <w:color w:val="auto"/>
                <w:w w:val="91"/>
              </w:rPr>
              <w:t>Trading</w:t>
            </w:r>
          </w:p>
        </w:tc>
        <w:tc>
          <w:tcPr>
            <w:tcW w:w="4860" w:type="dxa"/>
            <w:vAlign w:val="bottom"/>
          </w:tcPr>
          <w:p>
            <w:pPr>
              <w:spacing w:after="0"/>
              <w:rPr>
                <w:sz w:val="24"/>
                <w:szCs w:val="24"/>
                <w:color w:val="auto"/>
              </w:rPr>
            </w:pPr>
          </w:p>
        </w:tc>
      </w:tr>
      <w:tr>
        <w:trPr>
          <w:trHeight w:val="230"/>
        </w:trPr>
        <w:tc>
          <w:tcPr>
            <w:tcW w:w="45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Title of each class</w:t>
            </w:r>
          </w:p>
        </w:tc>
        <w:tc>
          <w:tcPr>
            <w:tcW w:w="18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1"/>
              </w:rPr>
              <w:t>Symbol(s)</w:t>
            </w:r>
          </w:p>
        </w:tc>
        <w:tc>
          <w:tcPr>
            <w:tcW w:w="48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20" w:type="dxa"/>
            <w:vAlign w:val="bottom"/>
          </w:tcPr>
          <w:p>
            <w:pPr>
              <w:jc w:val="center"/>
              <w:ind w:right="150"/>
              <w:spacing w:after="0"/>
              <w:rPr>
                <w:sz w:val="20"/>
                <w:szCs w:val="20"/>
                <w:color w:val="auto"/>
              </w:rPr>
            </w:pPr>
            <w:r>
              <w:rPr>
                <w:rFonts w:ascii="Arial" w:cs="Arial" w:eastAsia="Arial" w:hAnsi="Arial"/>
                <w:sz w:val="18"/>
                <w:szCs w:val="18"/>
                <w:color w:val="auto"/>
                <w:w w:val="89"/>
              </w:rPr>
              <w:t>Common Stock, par value $0.001 per share</w:t>
            </w:r>
          </w:p>
        </w:tc>
        <w:tc>
          <w:tcPr>
            <w:tcW w:w="1860" w:type="dxa"/>
            <w:vAlign w:val="bottom"/>
          </w:tcPr>
          <w:p>
            <w:pPr>
              <w:jc w:val="center"/>
              <w:ind w:right="310"/>
              <w:spacing w:after="0"/>
              <w:rPr>
                <w:sz w:val="20"/>
                <w:szCs w:val="20"/>
                <w:color w:val="auto"/>
              </w:rPr>
            </w:pPr>
            <w:r>
              <w:rPr>
                <w:rFonts w:ascii="Arial" w:cs="Arial" w:eastAsia="Arial" w:hAnsi="Arial"/>
                <w:sz w:val="18"/>
                <w:szCs w:val="18"/>
                <w:color w:val="auto"/>
              </w:rPr>
              <w:t>MRKR</w:t>
            </w:r>
          </w:p>
        </w:tc>
        <w:tc>
          <w:tcPr>
            <w:tcW w:w="4860" w:type="dxa"/>
            <w:vAlign w:val="bottom"/>
          </w:tcPr>
          <w:p>
            <w:pPr>
              <w:jc w:val="center"/>
              <w:ind w:right="110"/>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03"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30, 2020, 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issued a press release relating to its new manufacturing facility in Houston, Texas.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herewith as Exhibit 99.1 and is incorporated herein by reference.</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39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237"/>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60" w:type="dxa"/>
            <w:vAlign w:val="bottom"/>
          </w:tcPr>
          <w:p>
            <w:pPr>
              <w:spacing w:after="0"/>
              <w:rPr>
                <w:sz w:val="20"/>
                <w:szCs w:val="20"/>
                <w:color w:val="auto"/>
              </w:rPr>
            </w:pPr>
          </w:p>
        </w:tc>
        <w:tc>
          <w:tcPr>
            <w:tcW w:w="101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June 30, 2020</w:t>
              </w:r>
            </w:hyperlink>
          </w:p>
        </w:tc>
      </w:tr>
      <w:tr>
        <w:trPr>
          <w:trHeight w:val="675"/>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220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800" w:type="dxa"/>
            <w:vAlign w:val="bottom"/>
          </w:tcPr>
          <w:p>
            <w:pPr>
              <w:ind w:left="60"/>
              <w:spacing w:after="0"/>
              <w:rPr>
                <w:sz w:val="20"/>
                <w:szCs w:val="20"/>
                <w:color w:val="auto"/>
              </w:rPr>
            </w:pPr>
            <w:r>
              <w:rPr>
                <w:rFonts w:ascii="Arial" w:cs="Arial" w:eastAsia="Arial" w:hAnsi="Arial"/>
                <w:sz w:val="18"/>
                <w:szCs w:val="18"/>
                <w:color w:val="auto"/>
              </w:rPr>
              <w:t>Dated: June 30, 2020</w:t>
            </w:r>
          </w:p>
        </w:tc>
        <w:tc>
          <w:tcPr>
            <w:tcW w:w="7440" w:type="dxa"/>
            <w:vAlign w:val="bottom"/>
            <w:gridSpan w:val="2"/>
          </w:tcPr>
          <w:p>
            <w:pPr>
              <w:ind w:left="2200"/>
              <w:spacing w:after="0"/>
              <w:rPr>
                <w:sz w:val="20"/>
                <w:szCs w:val="20"/>
                <w:color w:val="auto"/>
              </w:rPr>
            </w:pPr>
            <w:r>
              <w:rPr>
                <w:rFonts w:ascii="Arial" w:cs="Arial" w:eastAsia="Arial" w:hAnsi="Arial"/>
                <w:sz w:val="18"/>
                <w:szCs w:val="18"/>
                <w:color w:val="auto"/>
              </w:rPr>
              <w:t>By:   /s/ Anthony Kim</w:t>
            </w:r>
          </w:p>
        </w:tc>
      </w:tr>
      <w:tr>
        <w:trPr>
          <w:trHeight w:val="195"/>
        </w:trPr>
        <w:tc>
          <w:tcPr>
            <w:tcW w:w="3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9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2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65580" cy="334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558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Marker Therapeutics Announces New Manufacturing Facility to Support Clinical Development of MultiTAA-Specific T Cell Therapy Product Candidates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Facility expected to be built by year-end, fully operational in 2021</w:t>
      </w:r>
      <w:r>
        <w:rPr>
          <w:rFonts w:ascii="Arial" w:cs="Arial" w:eastAsia="Arial" w:hAnsi="Arial"/>
          <w:sz w:val="18"/>
          <w:szCs w:val="18"/>
          <w:color w:val="auto"/>
        </w:rPr>
        <w:t xml:space="preserve"> —</w:t>
      </w:r>
    </w:p>
    <w:p>
      <w:pPr>
        <w:spacing w:after="0" w:line="22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Houston, TX – June 30, 2020 </w:t>
      </w:r>
      <w:r>
        <w:rPr>
          <w:rFonts w:ascii="Arial" w:cs="Arial" w:eastAsia="Arial" w:hAnsi="Arial"/>
          <w:sz w:val="18"/>
          <w:szCs w:val="18"/>
          <w:color w:val="auto"/>
        </w:rPr>
        <w:t>– Marker Therapeutics, Inc. (Nasdaq:MRKR),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announced that it has executed a lease agreement to establish a cGMP manufacturing facility in Houston, TX, in an area near the George Bush Intercontinental Airport. The facility will allow production according to U.S. Food and Drug Administration (FDA) guidelines and is designed to be scalable using modular processes. The facility is expected to be completed by year-end and operational in 2021.</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committed to the rapid advancement of Marker’s MultiTAA-specific T cell therapies, which have demonstrated impressive responses in clinical studies across both hematological and solid tumors,” said Peter L. Hoang, President &amp; CEO of Marker Therapeutics. “With the build-out of our own internal manufacturing capabilities, we will have the flexibility to support our AML trial, and future hematological and solid tumor trials, as well as the potential commercialization of our products.”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facility has approximately 48,500 feet and will provide space for clinical manufacturing and quality functions upon completion. Marker will continue to manufacture its MultiTAA-specific T cell therapy at the Baylor College of Medicine to support the Company-sponsored AML trial until the in-house cGMP manufacturing facility is operational.</w:t>
      </w:r>
    </w:p>
    <w:p>
      <w:pPr>
        <w:spacing w:after="0" w:line="18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Commented Anthony Kim, Marker’s Chief Financial Officer: “Commencing the build-out of our internal cGMP facility strategically fits Marker’s expansion plans and is an exciting next step as we initiate our first Company-sponsored clinical trial in patients with AML following transplant.”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MultiTAA-Specific T Cell Therapy</w:t>
      </w:r>
    </w:p>
    <w:p>
      <w:pPr>
        <w:spacing w:after="0" w:line="2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Marker’s Multi-Antigen Targeted (MultiTAA) platform is a novel, non-genetically modified cell therapy approach that selectively expands tumor-specific T cells from a patient’s blood capable of recognizing a broad range of tumor antigens. In early clinical trials, the multi-antigen approach has been well tolerated and shown to enhance tumor destroying capability and is one of the first therapies to consistently demonstrate epitope spreading – inducing the patient’s own T cells to expand, potentially contributing to a lasting anti-tumor effect. Unlike other cell therapies which require pre-conditioning regimens and hospitalization, MultiTAA is designed to be administered in an outpatient setting.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r>
        <w:rPr>
          <w:rFonts w:ascii="Arial" w:cs="Arial" w:eastAsia="Arial" w:hAnsi="Arial"/>
          <w:sz w:val="18"/>
          <w:szCs w:val="18"/>
          <w:color w:val="auto"/>
        </w:rPr>
        <w: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b w:val="1"/>
          <w:bCs w:val="1"/>
          <w:color w:val="auto"/>
        </w:rPr>
        <w:t>https://www.markertherapeutics.com/email-alerts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potential benefits of orphan drug designation; the timing and success of our clinical trials, as well as clinical trials conducted by our collaborators and our expectations regarding our manufacturing facility.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Brown</w:t>
      </w:r>
    </w:p>
    <w:p>
      <w:pPr>
        <w:spacing w:after="0" w:line="9" w:lineRule="exact"/>
        <w:rPr>
          <w:sz w:val="20"/>
          <w:szCs w:val="20"/>
          <w:color w:val="auto"/>
        </w:rPr>
      </w:pPr>
    </w:p>
    <w:p>
      <w:pPr>
        <w:ind w:right="92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378-2944 lbrown@soleburytrout.com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2020-06-30T08:36:34Z</dcterms:created>
  <dcterms:modified xsi:type="dcterms:W3CDTF">2020-06-30T08:36:34Z</dcterms:modified>
</cp:coreProperties>
</file>