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jc w:val="center"/>
        <w:rPr>
          <w:rFonts w:ascii="Times New Roman;Times;Serif" w:hAnsi="Times New Roman;Times;Serif"/>
          <w:b/>
          <w:i w:val="false"/>
          <w:caps w:val="false"/>
          <w:smallCaps w:val="false"/>
          <w:sz w:val="24"/>
        </w:rPr>
      </w:pPr>
      <w:bookmarkStart w:id="0" w:name="form_12b.htm"/>
      <w:bookmarkStart w:id="1" w:name="ksform_12b"/>
      <w:bookmarkEnd w:id="0"/>
      <w:bookmarkEnd w:id="1"/>
      <w:r>
        <w:rPr>
          <w:rFonts w:ascii="Times New Roman;Times;Serif" w:hAnsi="Times New Roman;Times;Serif"/>
          <w:b/>
          <w:i w:val="false"/>
          <w:caps w:val="false"/>
          <w:smallCaps w:val="false"/>
          <w:sz w:val="24"/>
        </w:rPr>
        <w:t>U.S. SECURITIES AND EXCHANGE COMMISSION</w:t>
      </w:r>
    </w:p>
    <w:p>
      <w:pPr>
        <w:pStyle w:val="TextBody"/>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WASHINGTON, DC 20549</w:t>
      </w:r>
    </w:p>
    <w:p>
      <w:pPr>
        <w:pStyle w:val="TextBody"/>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FORM 12B-25</w:t>
      </w:r>
    </w:p>
    <w:p>
      <w:pPr>
        <w:pStyle w:val="TextBody"/>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NOTIFICATION OF LATE FILING</w:t>
      </w:r>
    </w:p>
    <w:p>
      <w:pPr>
        <w:pStyle w:val="TextBody"/>
        <w:rPr>
          <w:caps w:val="false"/>
          <w:smallCaps w:val="false"/>
        </w:rPr>
      </w:pPr>
      <w:r>
        <w:rPr>
          <w:caps w:val="false"/>
          <w:smallCaps w:val="false"/>
        </w:rPr>
        <w:t> </w:t>
      </w:r>
    </w:p>
    <w:p>
      <w:pPr>
        <w:pStyle w:val="TextBody"/>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 File Number 000-27239</w:t>
      </w:r>
    </w:p>
    <w:p>
      <w:pPr>
        <w:pStyle w:val="TextBody"/>
        <w:rPr>
          <w:caps w:val="false"/>
          <w:smallCaps w:val="false"/>
        </w:rPr>
      </w:pPr>
      <w:r>
        <w:rPr>
          <w:caps w:val="false"/>
          <w:smallCaps w:val="false"/>
        </w:rPr>
        <w:t> </w:t>
      </w:r>
    </w:p>
    <w:p>
      <w:pPr>
        <w:pStyle w:val="TextBody"/>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Form 10-K  </w:t>
      </w:r>
      <w:r>
        <w:rPr>
          <w:rFonts w:ascii="Calibri;Helvetica;Sans-Serif" w:hAnsi="Calibri;Helvetica;Sans-Serif"/>
          <w:b w:val="false"/>
          <w:i w:val="false"/>
          <w:caps w:val="false"/>
          <w:smallCaps w:val="false"/>
          <w:sz w:val="20"/>
        </w:rPr>
        <w:t xml:space="preserve">☐ </w:t>
      </w:r>
      <w:r>
        <w:rPr>
          <w:rFonts w:ascii="Times New Roman;Times;Serif" w:hAnsi="Times New Roman;Times;Serif"/>
          <w:b w:val="false"/>
          <w:i w:val="false"/>
          <w:caps w:val="false"/>
          <w:smallCaps w:val="false"/>
          <w:sz w:val="20"/>
        </w:rPr>
        <w:t xml:space="preserve">Form 20-F </w:t>
      </w:r>
      <w:r>
        <w:rPr>
          <w:rFonts w:ascii="Calibri;Helvetica;Sans-Serif" w:hAnsi="Calibri;Helvetica;Sans-Serif"/>
          <w:b w:val="false"/>
          <w:i w:val="false"/>
          <w:caps w:val="false"/>
          <w:smallCaps w:val="false"/>
          <w:sz w:val="20"/>
        </w:rPr>
        <w:t>☐</w:t>
      </w:r>
      <w:r>
        <w:rPr>
          <w:rFonts w:ascii="Times New Roman;Times;Serif" w:hAnsi="Times New Roman;Times;Serif"/>
          <w:b w:val="false"/>
          <w:i w:val="false"/>
          <w:caps w:val="false"/>
          <w:smallCaps w:val="false"/>
          <w:sz w:val="20"/>
        </w:rPr>
        <w:t xml:space="preserve">Form 11-K </w:t>
      </w:r>
      <w:r>
        <w:rPr>
          <w:rFonts w:ascii="Calibri;Helvetica;Sans-Serif" w:hAnsi="Calibri;Helvetica;Sans-Serif"/>
          <w:b w:val="false"/>
          <w:i w:val="false"/>
          <w:caps w:val="false"/>
          <w:smallCaps w:val="false"/>
          <w:sz w:val="20"/>
        </w:rPr>
        <w:t xml:space="preserve">☐ </w:t>
      </w:r>
      <w:r>
        <w:rPr>
          <w:rFonts w:ascii="Times New Roman;Times;Serif" w:hAnsi="Times New Roman;Times;Serif"/>
          <w:b w:val="false"/>
          <w:i w:val="false"/>
          <w:caps w:val="false"/>
          <w:smallCaps w:val="false"/>
          <w:sz w:val="20"/>
        </w:rPr>
        <w:t xml:space="preserve">Form 10-Q </w:t>
      </w:r>
      <w:r>
        <w:rPr>
          <w:rFonts w:ascii="Calibri;Helvetica;Sans-Serif" w:hAnsi="Calibri;Helvetica;Sans-Serif"/>
          <w:b w:val="false"/>
          <w:i w:val="false"/>
          <w:caps w:val="false"/>
          <w:smallCaps w:val="false"/>
          <w:sz w:val="20"/>
        </w:rPr>
        <w:t>☐</w:t>
      </w:r>
      <w:r>
        <w:rPr>
          <w:rFonts w:ascii="Times New Roman;Times;Serif" w:hAnsi="Times New Roman;Times;Serif"/>
          <w:b w:val="false"/>
          <w:i w:val="false"/>
          <w:caps w:val="false"/>
          <w:smallCaps w:val="false"/>
          <w:sz w:val="20"/>
        </w:rPr>
        <w:t xml:space="preserve">Form 10-D </w:t>
      </w:r>
      <w:r>
        <w:rPr>
          <w:rFonts w:ascii="Calibri;Helvetica;Sans-Serif" w:hAnsi="Calibri;Helvetica;Sans-Serif"/>
          <w:b w:val="false"/>
          <w:i w:val="false"/>
          <w:caps w:val="false"/>
          <w:smallCaps w:val="false"/>
          <w:sz w:val="20"/>
        </w:rPr>
        <w:t>☐</w:t>
      </w:r>
      <w:r>
        <w:rPr>
          <w:rFonts w:ascii="Times New Roman;Times;Serif" w:hAnsi="Times New Roman;Times;Serif"/>
          <w:b w:val="false"/>
          <w:i w:val="false"/>
          <w:caps w:val="false"/>
          <w:smallCaps w:val="false"/>
          <w:sz w:val="20"/>
        </w:rPr>
        <w:t xml:space="preserve">Form N-SAR </w:t>
      </w:r>
      <w:r>
        <w:rPr>
          <w:rFonts w:ascii="Calibri;Helvetica;Sans-Serif" w:hAnsi="Calibri;Helvetica;Sans-Serif"/>
          <w:b w:val="false"/>
          <w:i w:val="false"/>
          <w:caps w:val="false"/>
          <w:smallCaps w:val="false"/>
          <w:sz w:val="20"/>
        </w:rPr>
        <w:t>☐</w:t>
      </w:r>
      <w:r>
        <w:rPr>
          <w:rFonts w:ascii="Times New Roman;Times;Serif" w:hAnsi="Times New Roman;Times;Serif"/>
          <w:b w:val="false"/>
          <w:i w:val="false"/>
          <w:caps w:val="false"/>
          <w:smallCaps w:val="false"/>
          <w:sz w:val="20"/>
        </w:rPr>
        <w:t>Form N-CSR</w:t>
      </w:r>
    </w:p>
    <w:p>
      <w:pPr>
        <w:pStyle w:val="TextBody"/>
        <w:rPr>
          <w:caps w:val="false"/>
          <w:smallCaps w:val="false"/>
        </w:rPr>
      </w:pPr>
      <w:r>
        <w:rPr>
          <w:caps w:val="false"/>
          <w:smallCaps w:val="false"/>
        </w:rPr>
        <w:t> </w:t>
      </w:r>
    </w:p>
    <w:p>
      <w:pPr>
        <w:pStyle w:val="TextBody"/>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Period Ending: December 31, 2012</w:t>
      </w:r>
    </w:p>
    <w:p>
      <w:pPr>
        <w:pStyle w:val="TextBody"/>
        <w:rPr>
          <w:caps w:val="false"/>
          <w:smallCaps w:val="false"/>
        </w:rPr>
      </w:pPr>
      <w:r>
        <w:rPr>
          <w:caps w:val="false"/>
          <w:smallCaps w:val="false"/>
        </w:rPr>
        <w:t> </w:t>
      </w:r>
    </w:p>
    <w:p>
      <w:pPr>
        <w:pStyle w:val="TextBody"/>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 REGISTRANT INFORMATION</w:t>
      </w:r>
    </w:p>
    <w:p>
      <w:pPr>
        <w:pStyle w:val="TextBody"/>
        <w:rPr>
          <w:caps w:val="false"/>
          <w:smallCaps w:val="false"/>
        </w:rPr>
      </w:pPr>
      <w:r>
        <w:rPr>
          <w:caps w:val="false"/>
          <w:smallCaps w:val="false"/>
        </w:rPr>
        <w:t> </w:t>
      </w:r>
    </w:p>
    <w:p>
      <w:pPr>
        <w:pStyle w:val="TextBody"/>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Full Name of Registrant: TapImmune Inc.</w:t>
      </w:r>
    </w:p>
    <w:p>
      <w:pPr>
        <w:pStyle w:val="TextBody"/>
        <w:rPr>
          <w:caps w:val="false"/>
          <w:smallCaps w:val="false"/>
        </w:rPr>
      </w:pPr>
      <w:r>
        <w:rPr>
          <w:caps w:val="false"/>
          <w:smallCaps w:val="false"/>
        </w:rPr>
        <w:t>  </w:t>
      </w:r>
    </w:p>
    <w:p>
      <w:pPr>
        <w:pStyle w:val="TextBody"/>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w:t>
      </w:r>
    </w:p>
    <w:p>
      <w:pPr>
        <w:pStyle w:val="TextBody"/>
        <w:rPr>
          <w:caps w:val="false"/>
          <w:smallCaps w:val="false"/>
        </w:rPr>
      </w:pPr>
      <w:r>
        <w:rPr>
          <w:caps w:val="false"/>
          <w:smallCaps w:val="false"/>
        </w:rPr>
        <w:t> </w:t>
      </w:r>
    </w:p>
    <w:p>
      <w:pPr>
        <w:pStyle w:val="TextBody"/>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1551 Eastlake Avenue East, </w:t>
      </w:r>
    </w:p>
    <w:p>
      <w:pPr>
        <w:pStyle w:val="TextBody"/>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Suite 100, Seattle, WA</w:t>
      </w:r>
    </w:p>
    <w:p>
      <w:pPr>
        <w:pStyle w:val="TextBody"/>
        <w:ind w:left="0" w:right="0" w:firstLine="72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(206) 504-7278</w:t>
      </w:r>
    </w:p>
    <w:p>
      <w:pPr>
        <w:pStyle w:val="TextBody"/>
        <w:jc w:val="center"/>
        <w:rPr>
          <w:caps w:val="false"/>
          <w:smallCaps w:val="false"/>
        </w:rPr>
      </w:pPr>
      <w:r>
        <w:rPr>
          <w:caps w:val="false"/>
          <w:smallCaps w:val="false"/>
        </w:rPr>
        <w:t> </w:t>
      </w:r>
    </w:p>
    <w:p>
      <w:pPr>
        <w:pStyle w:val="TextBody"/>
        <w:jc w:val="center"/>
        <w:rPr>
          <w:caps w:val="false"/>
          <w:smallCaps w:val="false"/>
        </w:rPr>
      </w:pPr>
      <w:r>
        <w:rPr>
          <w:caps w:val="false"/>
          <w:smallCaps w:val="false"/>
        </w:rPr>
        <w:t> </w:t>
      </w:r>
      <w:r>
        <w:rPr>
          <w:rFonts w:ascii="Times New Roman;Times;Serif" w:hAnsi="Times New Roman;Times;Serif"/>
          <w:b/>
          <w:i w:val="false"/>
          <w:caps w:val="false"/>
          <w:smallCaps w:val="false"/>
          <w:sz w:val="20"/>
        </w:rPr>
        <w:t>PART II: RULES 12B-25(B) AND (C)</w:t>
      </w:r>
    </w:p>
    <w:p>
      <w:pPr>
        <w:pStyle w:val="TextBody"/>
        <w:rPr>
          <w:caps w:val="false"/>
          <w:smallCaps w:val="false"/>
        </w:rPr>
      </w:pPr>
      <w:r>
        <w:rPr>
          <w:caps w:val="false"/>
          <w:smallCaps w:val="false"/>
        </w:rPr>
        <w:t> </w:t>
      </w:r>
    </w:p>
    <w:p>
      <w:pPr>
        <w:pStyle w:val="TextBody"/>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anticipated that the subject Annual Report on Form 10-K will be filed within the next several days.</w:t>
      </w:r>
    </w:p>
    <w:p>
      <w:pPr>
        <w:pStyle w:val="TextBody"/>
        <w:rPr>
          <w:caps w:val="false"/>
          <w:smallCaps w:val="false"/>
        </w:rPr>
      </w:pPr>
      <w:r>
        <w:rPr>
          <w:caps w:val="false"/>
          <w:smallCaps w:val="false"/>
        </w:rPr>
        <w:t> </w:t>
      </w:r>
    </w:p>
    <w:p>
      <w:pPr>
        <w:pStyle w:val="TextBody"/>
        <w:jc w:val="center"/>
        <w:rPr>
          <w:caps w:val="false"/>
          <w:smallCaps w:val="false"/>
        </w:rPr>
      </w:pPr>
      <w:r>
        <w:rPr>
          <w:caps w:val="false"/>
          <w:smallCaps w:val="false"/>
        </w:rPr>
        <w:t> </w:t>
      </w:r>
      <w:r>
        <w:rPr>
          <w:rFonts w:ascii="Times New Roman;Times;Serif" w:hAnsi="Times New Roman;Times;Serif"/>
          <w:b/>
          <w:i w:val="false"/>
          <w:caps w:val="false"/>
          <w:smallCaps w:val="false"/>
          <w:sz w:val="20"/>
        </w:rPr>
        <w:t>PART III: NARRATIVE</w:t>
      </w:r>
    </w:p>
    <w:p>
      <w:pPr>
        <w:pStyle w:val="TextBody"/>
        <w:jc w:val="center"/>
        <w:rPr>
          <w:caps w:val="false"/>
          <w:smallCaps w:val="false"/>
        </w:rPr>
      </w:pPr>
      <w:r>
        <w:rPr>
          <w:caps w:val="false"/>
          <w:smallCaps w:val="false"/>
        </w:rPr>
        <w:t> </w:t>
      </w:r>
    </w:p>
    <w:p>
      <w:pPr>
        <w:pStyle w:val="TextBody"/>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 has not completed its Annual Report on Form 10-K for the fiscal year ended December 31, 2012 due to administrative delays.</w:t>
      </w:r>
    </w:p>
    <w:p>
      <w:pPr>
        <w:pStyle w:val="TextBody"/>
        <w:rPr>
          <w:caps w:val="false"/>
          <w:smallCaps w:val="false"/>
        </w:rPr>
      </w:pPr>
      <w:r>
        <w:rPr>
          <w:caps w:val="false"/>
          <w:smallCaps w:val="false"/>
        </w:rPr>
        <w:t> </w:t>
      </w:r>
    </w:p>
    <w:p>
      <w:pPr>
        <w:pStyle w:val="TextBody"/>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IV: OTHER INFORMATION</w:t>
      </w:r>
    </w:p>
    <w:p>
      <w:pPr>
        <w:pStyle w:val="TextBody"/>
        <w:jc w:val="center"/>
        <w:rPr>
          <w:caps w:val="false"/>
          <w:smallCaps w:val="false"/>
        </w:rPr>
      </w:pPr>
      <w:r>
        <w:rPr>
          <w:caps w:val="false"/>
          <w:smallCaps w:val="false"/>
        </w:rPr>
        <w:t> </w:t>
      </w:r>
    </w:p>
    <w:p>
      <w:pPr>
        <w:pStyle w:val="TextBody"/>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Name and telephone number of person(s) to contact in regard to this notification</w:t>
      </w:r>
    </w:p>
    <w:p>
      <w:pPr>
        <w:pStyle w:val="TextBody"/>
        <w:rPr>
          <w:caps w:val="false"/>
          <w:smallCaps w:val="false"/>
        </w:rPr>
      </w:pPr>
      <w:r>
        <w:rPr>
          <w:caps w:val="false"/>
          <w:smallCaps w:val="false"/>
        </w:rPr>
        <w:t> </w:t>
      </w:r>
    </w:p>
    <w:p>
      <w:pPr>
        <w:pStyle w:val="TextBody"/>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Glynn Wilson: 206-504-7278</w:t>
      </w:r>
    </w:p>
    <w:p>
      <w:pPr>
        <w:pStyle w:val="TextBody"/>
        <w:rPr>
          <w:caps w:val="false"/>
          <w:smallCaps w:val="false"/>
        </w:rPr>
      </w:pPr>
      <w:r>
        <w:rPr>
          <w:caps w:val="false"/>
          <w:smallCaps w:val="false"/>
        </w:rPr>
        <w:t> </w:t>
      </w:r>
    </w:p>
    <w:p>
      <w:pPr>
        <w:pStyle w:val="TextBody"/>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Have all other periodic reports required under section 13 or 15(d) of the Securities Exchange Act of 1934 or section 30 of the Investment Company Act of 1940 during the preceding 12 months or for such shorter period that the Registrant was required to file such report(s) been filed? If the answer is no, identify report(s).</w:t>
      </w:r>
    </w:p>
    <w:p>
      <w:pPr>
        <w:pStyle w:val="TextBody"/>
        <w:rPr>
          <w:caps w:val="false"/>
          <w:smallCaps w:val="false"/>
        </w:rPr>
      </w:pPr>
      <w:r>
        <w:rPr>
          <w:caps w:val="false"/>
          <w:smallCaps w:val="false"/>
        </w:rPr>
        <w:t> </w:t>
      </w:r>
    </w:p>
    <w:p>
      <w:pPr>
        <w:pStyle w:val="TextBody"/>
        <w:rPr>
          <w:rFonts w:ascii="Times New Roman;Times;Serif" w:hAnsi="Times New Roman;Times;Serif"/>
          <w:b w:val="false"/>
          <w:i w:val="false"/>
          <w:caps w:val="false"/>
          <w:smallCaps w:val="false"/>
          <w:sz w:val="20"/>
        </w:rPr>
      </w:pPr>
      <w:r>
        <w:rPr>
          <w:rFonts w:ascii="Wingdings" w:hAnsi="Wingdings"/>
          <w:b w:val="false"/>
          <w:i w:val="false"/>
          <w:caps w:val="false"/>
          <w:smallCaps w:val="false"/>
          <w:sz w:val="20"/>
        </w:rPr>
        <w:t>S</w:t>
      </w:r>
      <w:r>
        <w:rPr>
          <w:rFonts w:ascii="Times New Roman;Times;Serif" w:hAnsi="Times New Roman;Times;Serif"/>
          <w:b w:val="false"/>
          <w:i w:val="false"/>
          <w:caps w:val="false"/>
          <w:smallCaps w:val="false"/>
          <w:sz w:val="20"/>
        </w:rPr>
        <w:t xml:space="preserve"> YES </w:t>
      </w:r>
      <w:r>
        <w:rPr>
          <w:rFonts w:ascii="Wingdings" w:hAnsi="Wingdings"/>
          <w:b w:val="false"/>
          <w:i w:val="false"/>
          <w:caps w:val="false"/>
          <w:smallCaps w:val="false"/>
          <w:sz w:val="20"/>
        </w:rPr>
        <w:t>£</w:t>
      </w:r>
      <w:r>
        <w:rPr>
          <w:rFonts w:ascii="Times New Roman;Times;Serif" w:hAnsi="Times New Roman;Times;Serif"/>
          <w:b w:val="false"/>
          <w:i w:val="false"/>
          <w:caps w:val="false"/>
          <w:smallCaps w:val="false"/>
          <w:sz w:val="20"/>
        </w:rPr>
        <w:t xml:space="preserve"> NO</w:t>
      </w:r>
    </w:p>
    <w:p>
      <w:pPr>
        <w:pStyle w:val="TextBody"/>
        <w:rPr>
          <w:caps w:val="false"/>
          <w:smallCaps w:val="false"/>
        </w:rPr>
      </w:pPr>
      <w:r>
        <w:rPr>
          <w:caps w:val="false"/>
          <w:smallCaps w:val="false"/>
        </w:rPr>
        <w:t> </w:t>
      </w:r>
    </w:p>
    <w:p>
      <w:pPr>
        <w:pStyle w:val="TextBody"/>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Is it anticipated that any significant change in results of operations from the corresponding period for the last fiscal year will be reflected by the earnings statements to be included in the subject report or portion thereof?</w:t>
      </w:r>
    </w:p>
    <w:p>
      <w:pPr>
        <w:pStyle w:val="TextBody"/>
        <w:rPr>
          <w:caps w:val="false"/>
          <w:smallCaps w:val="false"/>
        </w:rPr>
      </w:pPr>
      <w:r>
        <w:rPr>
          <w:caps w:val="false"/>
          <w:smallCaps w:val="false"/>
        </w:rPr>
        <w:t> </w:t>
      </w:r>
    </w:p>
    <w:p>
      <w:pPr>
        <w:pStyle w:val="TextBody"/>
        <w:rPr>
          <w:rFonts w:ascii="Times New Roman;Times;Serif" w:hAnsi="Times New Roman;Times;Serif"/>
          <w:b w:val="false"/>
          <w:i w:val="false"/>
          <w:caps w:val="false"/>
          <w:smallCaps w:val="false"/>
          <w:sz w:val="20"/>
        </w:rPr>
      </w:pPr>
      <w:r>
        <w:rPr>
          <w:rFonts w:ascii="Wingdings" w:hAnsi="Wingdings"/>
          <w:b w:val="false"/>
          <w:i w:val="false"/>
          <w:caps w:val="false"/>
          <w:smallCaps w:val="false"/>
          <w:sz w:val="20"/>
        </w:rPr>
        <w:t>£</w:t>
      </w:r>
      <w:r>
        <w:rPr>
          <w:rFonts w:ascii="Times New Roman;Times;Serif" w:hAnsi="Times New Roman;Times;Serif"/>
          <w:b w:val="false"/>
          <w:i w:val="false"/>
          <w:caps w:val="false"/>
          <w:smallCaps w:val="false"/>
          <w:sz w:val="20"/>
        </w:rPr>
        <w:t xml:space="preserve"> YES </w:t>
      </w:r>
      <w:r>
        <w:rPr>
          <w:rFonts w:ascii="Wingdings" w:hAnsi="Wingdings"/>
          <w:b w:val="false"/>
          <w:i w:val="false"/>
          <w:caps w:val="false"/>
          <w:smallCaps w:val="false"/>
          <w:sz w:val="20"/>
        </w:rPr>
        <w:t>S</w:t>
      </w:r>
      <w:r>
        <w:rPr>
          <w:rFonts w:ascii="Times New Roman;Times;Serif" w:hAnsi="Times New Roman;Times;Serif"/>
          <w:b w:val="false"/>
          <w:i w:val="false"/>
          <w:caps w:val="false"/>
          <w:smallCaps w:val="false"/>
          <w:sz w:val="20"/>
        </w:rPr>
        <w:t xml:space="preserve"> NO</w:t>
      </w:r>
    </w:p>
    <w:p>
      <w:pPr>
        <w:pStyle w:val="TextBody"/>
        <w:rPr>
          <w:caps w:val="false"/>
          <w:smallCaps w:val="false"/>
        </w:rPr>
      </w:pPr>
      <w:r>
        <w:rPr>
          <w:caps w:val="false"/>
          <w:smallCaps w:val="false"/>
        </w:rPr>
        <w:t> </w:t>
      </w:r>
    </w:p>
    <w:p>
      <w:pPr>
        <w:pStyle w:val="TextBody"/>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so, attach an explanation of the anticipated change, both narratively and quantitatively, and, if appropriate, state the reasons why a reasonable estimate of the results cannot be made.</w:t>
      </w:r>
    </w:p>
    <w:p>
      <w:pPr>
        <w:pStyle w:val="TextBody"/>
        <w:rPr>
          <w:caps w:val="false"/>
          <w:smallCaps w:val="false"/>
        </w:rPr>
      </w:pPr>
      <w:r>
        <w:rPr>
          <w:caps w:val="false"/>
          <w:smallCaps w:val="false"/>
        </w:rPr>
        <w:t> </w:t>
      </w:r>
    </w:p>
    <w:p>
      <w:pPr>
        <w:pStyle w:val="TextBody"/>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TapImmune Inc. has caused this notification to be signed on its behalf by the undersigned thereunto duly authorized.</w:t>
      </w:r>
    </w:p>
    <w:p>
      <w:pPr>
        <w:pStyle w:val="TextBody"/>
        <w:rPr>
          <w:caps w:val="false"/>
          <w:smallCaps w:val="false"/>
        </w:rPr>
      </w:pPr>
      <w:r>
        <w:rPr>
          <w:caps w:val="false"/>
          <w:smallCaps w:val="false"/>
        </w:rPr>
        <w:t>  </w:t>
      </w:r>
    </w:p>
    <w:tbl>
      <w:tblPr>
        <w:tblW w:w="4065" w:type="dxa"/>
        <w:jc w:val="left"/>
        <w:tblInd w:w="0" w:type="dxa"/>
        <w:tblCellMar>
          <w:top w:w="0" w:type="dxa"/>
          <w:left w:w="0" w:type="dxa"/>
          <w:bottom w:w="0" w:type="dxa"/>
          <w:right w:w="0" w:type="dxa"/>
        </w:tblCellMar>
      </w:tblPr>
      <w:tblGrid>
        <w:gridCol w:w="2000"/>
        <w:gridCol w:w="365"/>
        <w:gridCol w:w="1625"/>
        <w:gridCol w:w="75"/>
      </w:tblGrid>
      <w:tr>
        <w:trPr/>
        <w:tc>
          <w:tcPr>
            <w:tcW w:w="2000" w:type="dxa"/>
            <w:tcBorders/>
            <w:shd w:fill="auto" w:val="clear"/>
            <w:vAlign w:val="center"/>
          </w:tcPr>
          <w:p>
            <w:pPr>
              <w:pStyle w:val="TableContents"/>
              <w:spacing w:lineRule="auto" w:line="276" w:before="0" w:after="283"/>
              <w:rPr/>
            </w:pPr>
            <w:r>
              <w:rPr/>
              <w:t> </w:t>
            </w:r>
          </w:p>
        </w:tc>
        <w:tc>
          <w:tcPr>
            <w:tcW w:w="1990" w:type="dxa"/>
            <w:gridSpan w:val="2"/>
            <w:tcBorders/>
            <w:shd w:fill="auto" w:val="clear"/>
            <w:vAlign w:val="center"/>
          </w:tcPr>
          <w:p>
            <w:pPr>
              <w:pStyle w:val="TableContents"/>
              <w:spacing w:lineRule="auto" w:line="276" w:before="0" w:after="283"/>
              <w:rPr>
                <w:b/>
              </w:rPr>
            </w:pPr>
            <w:r>
              <w:rPr>
                <w:b/>
              </w:rPr>
              <w:t>TapImmune Inc.</w:t>
            </w:r>
          </w:p>
        </w:tc>
        <w:tc>
          <w:tcPr>
            <w:tcW w:w="75" w:type="dxa"/>
            <w:tcBorders/>
            <w:shd w:fill="auto" w:val="clear"/>
            <w:vAlign w:val="center"/>
          </w:tcPr>
          <w:p>
            <w:pPr>
              <w:pStyle w:val="TableContents"/>
              <w:spacing w:lineRule="auto" w:line="276" w:before="0" w:after="283"/>
              <w:rPr/>
            </w:pPr>
            <w:r>
              <w:rPr/>
              <w:t> </w:t>
            </w:r>
          </w:p>
        </w:tc>
      </w:tr>
      <w:tr>
        <w:trPr/>
        <w:tc>
          <w:tcPr>
            <w:tcW w:w="2000" w:type="dxa"/>
            <w:tcBorders/>
            <w:shd w:fill="auto" w:val="clear"/>
            <w:vAlign w:val="center"/>
          </w:tcPr>
          <w:p>
            <w:pPr>
              <w:pStyle w:val="TableContents"/>
              <w:spacing w:lineRule="auto" w:line="276" w:before="0" w:after="283"/>
              <w:rPr/>
            </w:pPr>
            <w:r>
              <w:rPr/>
              <w:t> </w:t>
            </w:r>
          </w:p>
        </w:tc>
        <w:tc>
          <w:tcPr>
            <w:tcW w:w="365" w:type="dxa"/>
            <w:tcBorders/>
            <w:shd w:fill="auto" w:val="clear"/>
            <w:vAlign w:val="center"/>
          </w:tcPr>
          <w:p>
            <w:pPr>
              <w:pStyle w:val="TableContents"/>
              <w:spacing w:lineRule="auto" w:line="276" w:before="0" w:after="283"/>
              <w:rPr/>
            </w:pPr>
            <w:r>
              <w:rPr/>
              <w:t> </w:t>
            </w:r>
          </w:p>
        </w:tc>
        <w:tc>
          <w:tcPr>
            <w:tcW w:w="1625" w:type="dxa"/>
            <w:tcBorders/>
            <w:shd w:fill="auto" w:val="clear"/>
            <w:vAlign w:val="center"/>
          </w:tcPr>
          <w:p>
            <w:pPr>
              <w:pStyle w:val="TableContents"/>
              <w:spacing w:lineRule="auto" w:line="276" w:before="0" w:after="283"/>
              <w:rPr/>
            </w:pPr>
            <w:r>
              <w:rPr/>
              <w:t> </w:t>
            </w:r>
          </w:p>
        </w:tc>
        <w:tc>
          <w:tcPr>
            <w:tcW w:w="75" w:type="dxa"/>
            <w:tcBorders/>
            <w:shd w:fill="auto" w:val="clear"/>
            <w:vAlign w:val="center"/>
          </w:tcPr>
          <w:p>
            <w:pPr>
              <w:pStyle w:val="TableContents"/>
              <w:spacing w:lineRule="auto" w:line="276" w:before="0" w:after="283"/>
              <w:rPr/>
            </w:pPr>
            <w:r>
              <w:rPr/>
              <w:t> </w:t>
            </w:r>
          </w:p>
        </w:tc>
      </w:tr>
      <w:tr>
        <w:trPr/>
        <w:tc>
          <w:tcPr>
            <w:tcW w:w="2000" w:type="dxa"/>
            <w:tcBorders/>
            <w:shd w:fill="auto" w:val="clear"/>
            <w:vAlign w:val="center"/>
          </w:tcPr>
          <w:p>
            <w:pPr>
              <w:pStyle w:val="TableContents"/>
              <w:spacing w:lineRule="auto" w:line="276" w:before="0" w:after="283"/>
              <w:rPr/>
            </w:pPr>
            <w:r>
              <w:rPr/>
              <w:t>Dated: April 1, 2013</w:t>
            </w:r>
          </w:p>
        </w:tc>
        <w:tc>
          <w:tcPr>
            <w:tcW w:w="365" w:type="dxa"/>
            <w:tcBorders/>
            <w:shd w:fill="auto" w:val="clear"/>
            <w:vAlign w:val="center"/>
          </w:tcPr>
          <w:p>
            <w:pPr>
              <w:pStyle w:val="TableContents"/>
              <w:spacing w:lineRule="auto" w:line="276" w:before="0" w:after="283"/>
              <w:rPr/>
            </w:pPr>
            <w:r>
              <w:rPr/>
              <w:t>By:</w:t>
            </w:r>
          </w:p>
        </w:tc>
        <w:tc>
          <w:tcPr>
            <w:tcW w:w="1625" w:type="dxa"/>
            <w:tcBorders>
              <w:bottom w:val="single" w:sz="4" w:space="0" w:color="000000"/>
            </w:tcBorders>
            <w:shd w:fill="auto" w:val="clear"/>
            <w:tcMar>
              <w:bottom w:w="28" w:type="dxa"/>
            </w:tcMar>
            <w:vAlign w:val="center"/>
          </w:tcPr>
          <w:p>
            <w:pPr>
              <w:pStyle w:val="TableContents"/>
              <w:spacing w:lineRule="auto" w:line="276" w:before="0" w:after="283"/>
              <w:rPr>
                <w:u w:val="single"/>
              </w:rPr>
            </w:pPr>
            <w:r>
              <w:rPr>
                <w:u w:val="single"/>
              </w:rPr>
              <w:t>/s/ Glynn Wilson</w:t>
            </w:r>
          </w:p>
        </w:tc>
        <w:tc>
          <w:tcPr>
            <w:tcW w:w="75" w:type="dxa"/>
            <w:tcBorders/>
            <w:shd w:fill="auto" w:val="clear"/>
            <w:vAlign w:val="center"/>
          </w:tcPr>
          <w:p>
            <w:pPr>
              <w:pStyle w:val="TableContents"/>
              <w:spacing w:lineRule="auto" w:line="276" w:before="0" w:after="283"/>
              <w:rPr/>
            </w:pPr>
            <w:r>
              <w:rPr/>
              <w:t> </w:t>
            </w:r>
          </w:p>
        </w:tc>
      </w:tr>
      <w:tr>
        <w:trPr/>
        <w:tc>
          <w:tcPr>
            <w:tcW w:w="2000" w:type="dxa"/>
            <w:tcBorders/>
            <w:shd w:fill="auto" w:val="clear"/>
            <w:vAlign w:val="center"/>
          </w:tcPr>
          <w:p>
            <w:pPr>
              <w:pStyle w:val="TableContents"/>
              <w:spacing w:lineRule="auto" w:line="276" w:before="0" w:after="283"/>
              <w:rPr/>
            </w:pPr>
            <w:r>
              <w:rPr/>
              <w:t> </w:t>
            </w:r>
          </w:p>
        </w:tc>
        <w:tc>
          <w:tcPr>
            <w:tcW w:w="365" w:type="dxa"/>
            <w:tcBorders/>
            <w:shd w:fill="auto" w:val="clear"/>
            <w:vAlign w:val="center"/>
          </w:tcPr>
          <w:p>
            <w:pPr>
              <w:pStyle w:val="TableContents"/>
              <w:spacing w:lineRule="auto" w:line="276" w:before="0" w:after="283"/>
              <w:rPr/>
            </w:pPr>
            <w:r>
              <w:rPr/>
              <w:t> </w:t>
            </w:r>
          </w:p>
        </w:tc>
        <w:tc>
          <w:tcPr>
            <w:tcW w:w="1625" w:type="dxa"/>
            <w:tcBorders/>
            <w:shd w:fill="auto" w:val="clear"/>
            <w:vAlign w:val="center"/>
          </w:tcPr>
          <w:p>
            <w:pPr>
              <w:pStyle w:val="TableContents"/>
              <w:spacing w:lineRule="auto" w:line="276" w:before="0" w:after="283"/>
              <w:rPr/>
            </w:pPr>
            <w:r>
              <w:rPr/>
              <w:t>Glynn Wilson</w:t>
            </w:r>
          </w:p>
        </w:tc>
        <w:tc>
          <w:tcPr>
            <w:tcW w:w="75" w:type="dxa"/>
            <w:tcBorders/>
            <w:shd w:fill="auto" w:val="clear"/>
            <w:vAlign w:val="center"/>
          </w:tcPr>
          <w:p>
            <w:pPr>
              <w:pStyle w:val="TableContents"/>
              <w:spacing w:lineRule="auto" w:line="276" w:before="0" w:after="283"/>
              <w:rPr/>
            </w:pPr>
            <w:r>
              <w:rPr/>
              <w:t> </w:t>
            </w:r>
          </w:p>
        </w:tc>
      </w:tr>
      <w:tr>
        <w:trPr/>
        <w:tc>
          <w:tcPr>
            <w:tcW w:w="2000" w:type="dxa"/>
            <w:tcBorders/>
            <w:shd w:fill="auto" w:val="clear"/>
            <w:vAlign w:val="center"/>
          </w:tcPr>
          <w:p>
            <w:pPr>
              <w:pStyle w:val="TableContents"/>
              <w:spacing w:lineRule="auto" w:line="276" w:before="0" w:after="283"/>
              <w:rPr/>
            </w:pPr>
            <w:r>
              <w:rPr/>
              <w:t> </w:t>
            </w:r>
          </w:p>
        </w:tc>
        <w:tc>
          <w:tcPr>
            <w:tcW w:w="365" w:type="dxa"/>
            <w:tcBorders/>
            <w:shd w:fill="auto" w:val="clear"/>
            <w:vAlign w:val="center"/>
          </w:tcPr>
          <w:p>
            <w:pPr>
              <w:pStyle w:val="TableContents"/>
              <w:spacing w:lineRule="auto" w:line="276" w:before="0" w:after="283"/>
              <w:rPr/>
            </w:pPr>
            <w:r>
              <w:rPr/>
              <w:t> </w:t>
            </w:r>
          </w:p>
        </w:tc>
        <w:tc>
          <w:tcPr>
            <w:tcW w:w="1625" w:type="dxa"/>
            <w:tcBorders/>
            <w:shd w:fill="auto" w:val="clear"/>
            <w:vAlign w:val="center"/>
          </w:tcPr>
          <w:p>
            <w:pPr>
              <w:pStyle w:val="TableContents"/>
              <w:spacing w:lineRule="auto" w:line="276" w:before="0" w:after="283"/>
              <w:rPr/>
            </w:pPr>
            <w:r>
              <w:rPr/>
              <w:t>CEO</w:t>
            </w:r>
          </w:p>
        </w:tc>
        <w:tc>
          <w:tcPr>
            <w:tcW w:w="75" w:type="dxa"/>
            <w:tcBorders/>
            <w:shd w:fill="auto" w:val="clear"/>
            <w:vAlign w:val="center"/>
          </w:tcPr>
          <w:p>
            <w:pPr>
              <w:pStyle w:val="TableContents"/>
              <w:spacing w:lineRule="auto" w:line="276" w:before="0" w:after="283"/>
              <w:rPr/>
            </w:pPr>
            <w:r>
              <w:rPr/>
              <w:t> </w:t>
            </w:r>
          </w:p>
        </w:tc>
      </w:tr>
    </w:tbl>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 w:name="Calibri">
    <w:altName w:val="Helvetica"/>
    <w:charset w:val="00"/>
    <w:family w:val="auto"/>
    <w:pitch w:val="default"/>
  </w:font>
  <w:font w:name="Wingding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3</Pages>
  <Words>301</Words>
  <CharactersWithSpaces>1828</CharactersWithSpaces>
  <Paragraphs>66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