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November 10,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3"/>
          </w:tcPr>
          <w:p>
            <w:pPr>
              <w:jc w:val="center"/>
              <w:ind w:right="1400"/>
              <w:spacing w:after="0"/>
              <w:rPr>
                <w:sz w:val="20"/>
                <w:szCs w:val="20"/>
                <w:color w:val="auto"/>
              </w:rPr>
            </w:pPr>
            <w:r>
              <w:rPr>
                <w:rFonts w:ascii="Arial" w:cs="Arial" w:eastAsia="Arial" w:hAnsi="Arial"/>
                <w:sz w:val="18"/>
                <w:szCs w:val="18"/>
                <w:b w:val="1"/>
                <w:bCs w:val="1"/>
                <w:color w:val="auto"/>
                <w:w w:val="91"/>
              </w:rPr>
              <w:t>Delaware</w:t>
            </w:r>
          </w:p>
        </w:tc>
        <w:tc>
          <w:tcPr>
            <w:tcW w:w="42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001-37939</w:t>
            </w:r>
          </w:p>
        </w:tc>
        <w:tc>
          <w:tcPr>
            <w:tcW w:w="28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40" w:type="dxa"/>
            <w:vAlign w:val="bottom"/>
            <w:gridSpan w:val="5"/>
          </w:tcPr>
          <w:p>
            <w:pPr>
              <w:jc w:val="center"/>
              <w:ind w:right="180"/>
              <w:spacing w:after="0"/>
              <w:rPr>
                <w:sz w:val="20"/>
                <w:szCs w:val="20"/>
                <w:color w:val="auto"/>
              </w:rPr>
            </w:pPr>
            <w:r>
              <w:rPr>
                <w:rFonts w:ascii="Arial" w:cs="Arial" w:eastAsia="Arial" w:hAnsi="Arial"/>
                <w:sz w:val="18"/>
                <w:szCs w:val="18"/>
                <w:color w:val="auto"/>
                <w:w w:val="92"/>
              </w:rPr>
              <w:t>(State or other jurisdiction of incorporation)</w:t>
            </w:r>
          </w:p>
        </w:tc>
        <w:tc>
          <w:tcPr>
            <w:tcW w:w="420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(Commission File Number)</w:t>
            </w:r>
          </w:p>
        </w:tc>
        <w:tc>
          <w:tcPr>
            <w:tcW w:w="2800" w:type="dxa"/>
            <w:vAlign w:val="bottom"/>
            <w:gridSpan w:val="5"/>
          </w:tcPr>
          <w:p>
            <w:pPr>
              <w:jc w:val="center"/>
              <w:ind w:left="250"/>
              <w:spacing w:after="0"/>
              <w:rPr>
                <w:sz w:val="20"/>
                <w:szCs w:val="20"/>
                <w:color w:val="auto"/>
              </w:rPr>
            </w:pPr>
            <w:r>
              <w:rPr>
                <w:rFonts w:ascii="Arial" w:cs="Arial" w:eastAsia="Arial" w:hAnsi="Arial"/>
                <w:sz w:val="18"/>
                <w:szCs w:val="18"/>
                <w:color w:val="auto"/>
                <w:w w:val="93"/>
              </w:rPr>
              <w:t>(IRS Employer Identification No.)</w:t>
            </w:r>
          </w:p>
        </w:tc>
      </w:tr>
      <w:tr>
        <w:trPr>
          <w:trHeight w:val="414"/>
        </w:trPr>
        <w:tc>
          <w:tcPr>
            <w:tcW w:w="33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0"/>
              </w:rPr>
              <w:t>4551 Kennedy Commerce Dr.</w:t>
            </w: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4"/>
        </w:trPr>
        <w:tc>
          <w:tcPr>
            <w:tcW w:w="1000" w:type="dxa"/>
            <w:vAlign w:val="bottom"/>
          </w:tcPr>
          <w:p>
            <w:pPr>
              <w:spacing w:after="0"/>
              <w:rPr>
                <w:sz w:val="16"/>
                <w:szCs w:val="16"/>
                <w:color w:val="auto"/>
              </w:rPr>
            </w:pPr>
          </w:p>
        </w:tc>
        <w:tc>
          <w:tcPr>
            <w:tcW w:w="118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8"/>
              </w:rPr>
              <w:t>Houston, Texas</w:t>
            </w:r>
          </w:p>
        </w:tc>
        <w:tc>
          <w:tcPr>
            <w:tcW w:w="1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00" w:type="dxa"/>
            <w:vAlign w:val="bottom"/>
            <w:gridSpan w:val="4"/>
          </w:tcPr>
          <w:p>
            <w:pPr>
              <w:jc w:val="right"/>
              <w:ind w:right="200"/>
              <w:spacing w:after="0" w:line="188"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3340" w:type="dxa"/>
            <w:vAlign w:val="bottom"/>
            <w:gridSpan w:val="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24"/>
        </w:trPr>
        <w:tc>
          <w:tcPr>
            <w:tcW w:w="3340" w:type="dxa"/>
            <w:vAlign w:val="bottom"/>
            <w:gridSpan w:val="5"/>
          </w:tcPr>
          <w:p>
            <w:pPr>
              <w:jc w:val="center"/>
              <w:ind w:right="160"/>
              <w:spacing w:after="0"/>
              <w:rPr>
                <w:sz w:val="20"/>
                <w:szCs w:val="20"/>
                <w:color w:val="auto"/>
              </w:rPr>
            </w:pPr>
            <w:r>
              <w:rPr>
                <w:rFonts w:ascii="Arial" w:cs="Arial" w:eastAsia="Arial" w:hAnsi="Arial"/>
                <w:sz w:val="18"/>
                <w:szCs w:val="18"/>
                <w:color w:val="auto"/>
                <w:w w:val="92"/>
              </w:rPr>
              <w:t>(Address of principal executive offices)</w:t>
            </w:r>
          </w:p>
        </w:tc>
        <w:tc>
          <w:tcPr>
            <w:tcW w:w="1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gridSpan w:val="4"/>
          </w:tcPr>
          <w:p>
            <w:pPr>
              <w:jc w:val="center"/>
              <w:ind w:right="800"/>
              <w:spacing w:after="0"/>
              <w:rPr>
                <w:sz w:val="20"/>
                <w:szCs w:val="20"/>
                <w:color w:val="auto"/>
              </w:rPr>
            </w:pPr>
            <w:r>
              <w:rPr>
                <w:rFonts w:ascii="Arial" w:cs="Arial" w:eastAsia="Arial" w:hAnsi="Arial"/>
                <w:sz w:val="18"/>
                <w:szCs w:val="18"/>
                <w:color w:val="auto"/>
                <w:w w:val="91"/>
              </w:rPr>
              <w:t>(Zip Code)</w:t>
            </w:r>
          </w:p>
        </w:tc>
      </w:tr>
      <w:tr>
        <w:trPr>
          <w:trHeight w:val="418"/>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(713) 400-6400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Registrant’s telephone number, including area code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4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18"/>
        </w:trPr>
        <w:tc>
          <w:tcPr>
            <w:tcW w:w="4700" w:type="dxa"/>
            <w:vAlign w:val="bottom"/>
          </w:tcPr>
          <w:p>
            <w:pPr>
              <w:spacing w:after="0"/>
              <w:rPr>
                <w:sz w:val="24"/>
                <w:szCs w:val="24"/>
                <w:color w:val="auto"/>
              </w:rPr>
            </w:pPr>
          </w:p>
        </w:tc>
        <w:tc>
          <w:tcPr>
            <w:tcW w:w="2240" w:type="dxa"/>
            <w:vAlign w:val="bottom"/>
          </w:tcPr>
          <w:p>
            <w:pPr>
              <w:jc w:val="center"/>
              <w:ind w:right="270"/>
              <w:spacing w:after="0"/>
              <w:rPr>
                <w:sz w:val="20"/>
                <w:szCs w:val="20"/>
                <w:color w:val="auto"/>
              </w:rPr>
            </w:pPr>
            <w:r>
              <w:rPr>
                <w:rFonts w:ascii="Arial" w:cs="Arial" w:eastAsia="Arial" w:hAnsi="Arial"/>
                <w:sz w:val="18"/>
                <w:szCs w:val="18"/>
                <w:color w:val="auto"/>
                <w:w w:val="91"/>
              </w:rPr>
              <w:t>Trading</w:t>
            </w:r>
          </w:p>
        </w:tc>
        <w:tc>
          <w:tcPr>
            <w:tcW w:w="4300" w:type="dxa"/>
            <w:vAlign w:val="bottom"/>
          </w:tcPr>
          <w:p>
            <w:pPr>
              <w:spacing w:after="0"/>
              <w:rPr>
                <w:sz w:val="24"/>
                <w:szCs w:val="24"/>
                <w:color w:val="auto"/>
              </w:rPr>
            </w:pPr>
          </w:p>
        </w:tc>
      </w:tr>
      <w:tr>
        <w:trPr>
          <w:trHeight w:val="230"/>
        </w:trPr>
        <w:tc>
          <w:tcPr>
            <w:tcW w:w="4700" w:type="dxa"/>
            <w:vAlign w:val="bottom"/>
            <w:tcBorders>
              <w:bottom w:val="single" w:sz="8" w:color="auto"/>
            </w:tcBorders>
          </w:tcPr>
          <w:p>
            <w:pPr>
              <w:jc w:val="center"/>
              <w:ind w:right="990"/>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93"/>
              </w:rPr>
              <w:t>Symbol(s)</w:t>
            </w:r>
          </w:p>
        </w:tc>
        <w:tc>
          <w:tcPr>
            <w:tcW w:w="430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700" w:type="dxa"/>
            <w:vAlign w:val="bottom"/>
          </w:tcPr>
          <w:p>
            <w:pPr>
              <w:jc w:val="center"/>
              <w:ind w:right="990"/>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tcPr>
          <w:p>
            <w:pPr>
              <w:jc w:val="center"/>
              <w:ind w:right="270"/>
              <w:spacing w:after="0"/>
              <w:rPr>
                <w:sz w:val="20"/>
                <w:szCs w:val="20"/>
                <w:color w:val="auto"/>
              </w:rPr>
            </w:pPr>
            <w:r>
              <w:rPr>
                <w:rFonts w:ascii="Arial" w:cs="Arial" w:eastAsia="Arial" w:hAnsi="Arial"/>
                <w:sz w:val="18"/>
                <w:szCs w:val="18"/>
                <w:color w:val="auto"/>
                <w:w w:val="98"/>
              </w:rPr>
              <w:t>MRKR</w:t>
            </w:r>
          </w:p>
        </w:tc>
        <w:tc>
          <w:tcPr>
            <w:tcW w:w="4300" w:type="dxa"/>
            <w:vAlign w:val="bottom"/>
          </w:tcPr>
          <w:p>
            <w:pPr>
              <w:jc w:val="center"/>
              <w:ind w:left="630"/>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On November 10, 2022, Marker Therapeutics,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reported financial results for the quarter ended September 30, 2022 and other recent corporate updates. A copy of the press release is furnished as Exhibit 99.1 to this report and incorporated by reference.</w:t>
      </w:r>
    </w:p>
    <w:p>
      <w:pPr>
        <w:spacing w:after="0" w:line="14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information in this Item 2.02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8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000" w:type="dxa"/>
            <w:vAlign w:val="bottom"/>
          </w:tcPr>
          <w:p>
            <w:pPr>
              <w:spacing w:after="0"/>
              <w:rPr>
                <w:sz w:val="20"/>
                <w:szCs w:val="20"/>
                <w:color w:val="auto"/>
              </w:rPr>
            </w:pPr>
          </w:p>
        </w:tc>
      </w:tr>
      <w:tr>
        <w:trPr>
          <w:trHeight w:val="391"/>
        </w:trPr>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88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480" w:type="dxa"/>
            <w:vAlign w:val="bottom"/>
          </w:tcPr>
          <w:p>
            <w:pPr>
              <w:spacing w:after="0"/>
              <w:rPr>
                <w:sz w:val="17"/>
                <w:szCs w:val="17"/>
                <w:color w:val="auto"/>
              </w:rPr>
            </w:pPr>
          </w:p>
        </w:tc>
        <w:tc>
          <w:tcPr>
            <w:tcW w:w="9880" w:type="dxa"/>
            <w:vAlign w:val="bottom"/>
            <w:gridSpan w:val="3"/>
          </w:tcPr>
          <w:p>
            <w:pPr>
              <w:spacing w:after="0" w:line="196" w:lineRule="exact"/>
              <w:rPr>
                <w:sz w:val="20"/>
                <w:szCs w:val="20"/>
                <w:color w:val="auto"/>
              </w:rPr>
            </w:pPr>
            <w:r>
              <w:rPr>
                <w:rFonts w:ascii="Arial" w:cs="Arial" w:eastAsia="Arial" w:hAnsi="Arial"/>
                <w:sz w:val="18"/>
                <w:szCs w:val="18"/>
                <w:color w:val="0000EE"/>
              </w:rPr>
              <w:t>Press release, dated November 10, 2022</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rPr>
              <w:t>Inline XBRL for the cover page of this Current Report on Form 8-K</w:t>
            </w:r>
          </w:p>
        </w:tc>
      </w:tr>
      <w:tr>
        <w:trPr>
          <w:trHeight w:val="675"/>
        </w:trPr>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7360" w:type="dxa"/>
            <w:vAlign w:val="bottom"/>
            <w:gridSpan w:val="2"/>
          </w:tcPr>
          <w:p>
            <w:pPr>
              <w:ind w:left="194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3880" w:type="dxa"/>
            <w:vAlign w:val="bottom"/>
          </w:tcPr>
          <w:p>
            <w:pPr>
              <w:spacing w:after="0"/>
              <w:rPr>
                <w:sz w:val="20"/>
                <w:szCs w:val="20"/>
                <w:color w:val="auto"/>
              </w:rPr>
            </w:pPr>
            <w:r>
              <w:rPr>
                <w:rFonts w:ascii="Arial" w:cs="Arial" w:eastAsia="Arial" w:hAnsi="Arial"/>
                <w:sz w:val="18"/>
                <w:szCs w:val="18"/>
                <w:color w:val="auto"/>
              </w:rPr>
              <w:t>Dated: November 10, 2022</w:t>
            </w:r>
          </w:p>
        </w:tc>
        <w:tc>
          <w:tcPr>
            <w:tcW w:w="7360" w:type="dxa"/>
            <w:vAlign w:val="bottom"/>
            <w:gridSpan w:val="2"/>
          </w:tcPr>
          <w:p>
            <w:pPr>
              <w:ind w:left="1940"/>
              <w:spacing w:after="0"/>
              <w:rPr>
                <w:sz w:val="20"/>
                <w:szCs w:val="20"/>
                <w:color w:val="auto"/>
              </w:rPr>
            </w:pPr>
            <w:r>
              <w:rPr>
                <w:rFonts w:ascii="Arial" w:cs="Arial" w:eastAsia="Arial" w:hAnsi="Arial"/>
                <w:sz w:val="18"/>
                <w:szCs w:val="18"/>
                <w:color w:val="auto"/>
              </w:rPr>
              <w:t>By:  /s/ Peter Hoang</w:t>
            </w:r>
          </w:p>
        </w:tc>
      </w:tr>
      <w:tr>
        <w:trPr>
          <w:trHeight w:val="195"/>
        </w:trPr>
        <w:tc>
          <w:tcPr>
            <w:tcW w:w="38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16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Peter Hoang</w:t>
            </w:r>
          </w:p>
        </w:tc>
      </w:tr>
      <w:tr>
        <w:trPr>
          <w:trHeight w:val="230"/>
        </w:trPr>
        <w:tc>
          <w:tcPr>
            <w:tcW w:w="38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160" w:type="dxa"/>
            <w:vAlign w:val="bottom"/>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675"/>
        </w:trPr>
        <w:tc>
          <w:tcPr>
            <w:tcW w:w="38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1012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1808480" cy="522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848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Reports Q3 2022 Operating and Financial Results</w:t>
      </w:r>
    </w:p>
    <w:p>
      <w:pPr>
        <w:spacing w:after="0" w:line="229"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Company awarded $2 million U.S. FDA Orphan Products Grant to support Phase 2 ARTEMIS trial of its lead T cell therapy candidate MT-401 in patients with post-transplant AML</w:t>
      </w:r>
    </w:p>
    <w:p>
      <w:pPr>
        <w:spacing w:after="0" w:line="166"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Houston, TX— November 10, 2022—</w:t>
      </w:r>
      <w:r>
        <w:rPr>
          <w:rFonts w:ascii="Arial" w:cs="Arial" w:eastAsia="Arial" w:hAnsi="Arial"/>
          <w:sz w:val="18"/>
          <w:szCs w:val="18"/>
          <w:color w:val="auto"/>
        </w:rPr>
        <w:t>Marker Therapeutics, Inc. (Nasdaq: MRKR), a clinical-stage immuno-oncology company specializing in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next-generation T cell-based immunotherapies for the treatment of hematological malignancies and solid tumor indications, today provided a corporate update and reported financial results for the third quarter ended September 30, 2022.</w:t>
      </w:r>
    </w:p>
    <w:p>
      <w:pPr>
        <w:spacing w:after="0" w:line="18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“This quarter we reached a major milestone in treating the first six patients in our Phase 2 AML trial with T cells derived from our new manufacturing process, which are designed for increased potency against tumor antigens,” said Peter L. Hoang, Marker’s President and Chief Executive Officer. “We are also pleased to receive a grant from the FDA Orphan Products program to support the Phase 2 treatment arm evaluating MT-401 in patients with minimal residual disease. We believe the MRD-positive patient population represents a significant opportunity for MT-401 as we continue to dose more patients in the trial and measure long-term response.”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UPDATES AND EXPECTED MILESTONES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Acute Myeloid Leukemia (MT-401)</w:t>
      </w:r>
    </w:p>
    <w:p>
      <w:pPr>
        <w:spacing w:after="0" w:line="229" w:lineRule="exact"/>
        <w:rPr>
          <w:sz w:val="20"/>
          <w:szCs w:val="20"/>
          <w:color w:val="auto"/>
        </w:rPr>
      </w:pPr>
    </w:p>
    <w:p>
      <w:pPr>
        <w:ind w:left="660" w:hanging="328"/>
        <w:spacing w:after="0" w:line="25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September 2022, Marker announced that it had been awarded a $2 million grant from the U.S. Food and Drug Administration (FDA) Orphan Products Grants program to support the Phase 2 ARTEMIS trial of the company’s lead multi-tumor-associated antigen (MultiTAA) T cell product candidate, MT-401, in patients with post-transplant AML. The FDA grant will support the Company’s treatment arm evaluating MT-401 in patients with post-transplant AML with minimal residual disease. MT-401 was granted Orphan Drug Designation for the treatment of patients with AML following allogeneic stem cell transplant in 2020.</w:t>
      </w:r>
    </w:p>
    <w:p>
      <w:pPr>
        <w:spacing w:after="0" w:line="187"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has treated all six patients in Cohorts 4 and 5 using MT-401 manufactured with Marker’s new T cell manufacturing process. The new manufacturing process is designed to produce a more potent product with increased antigen specificity and diversity and a reduction in manufacturing time. To date, all six patients have completed dose-limiting toxicity (DLT) periods with no DLTs reported. The Company expects to announce an efficacy analysis from the six patients in Cohorts 4 and 5 by year-end.</w:t>
      </w:r>
    </w:p>
    <w:p>
      <w:pPr>
        <w:spacing w:after="0" w:line="186" w:lineRule="exact"/>
        <w:rPr>
          <w:rFonts w:ascii="Arial" w:cs="Arial" w:eastAsia="Arial" w:hAnsi="Arial"/>
          <w:sz w:val="18"/>
          <w:szCs w:val="18"/>
          <w:color w:val="auto"/>
        </w:rPr>
      </w:pPr>
    </w:p>
    <w:p>
      <w:pPr>
        <w:ind w:left="660" w:right="60" w:hanging="328"/>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Marker remains on track to dose the first patient in 2023 with MT-401-OTS, a scalable, off-the-shelf product candidate with the potential to match patients to treatment in under three days. The Company is in the process of developing a patient cell bank inventory.</w:t>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Lymphoma (MT-601)</w:t>
      </w:r>
    </w:p>
    <w:p>
      <w:pPr>
        <w:spacing w:after="0" w:line="229" w:lineRule="exact"/>
        <w:rPr>
          <w:sz w:val="20"/>
          <w:szCs w:val="20"/>
          <w:color w:val="auto"/>
        </w:rPr>
      </w:pPr>
    </w:p>
    <w:p>
      <w:pPr>
        <w:jc w:val="both"/>
        <w:ind w:left="660" w:right="8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August 2022, Marker announced that the U.S. FDA cleared the Company’s Investigational New Drug Application (IND) for a Phase 1 study of MT-601, a multiTAA-specific T cell product targeting six antigens, for the treatment of patients with relapsed/refractory non-Hodgkin lymphoma who have failed or are ineligible to receive anti-CD19 CAR T cell treatment.</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expects some sites to open before the end of the year and to enroll the first patient in the Phase 1 trial in Q1 of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Pancreatic Cancer (MT-601)</w:t>
      </w:r>
    </w:p>
    <w:p>
      <w:pPr>
        <w:spacing w:after="0" w:line="229"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intends to initiate a Phase 1 multicenter study of MT-601 administered in combination with front-line chemotherapy to patients with locally advanced unresectable or metastatic pancreatic cancer in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2022 FINANCIAL RESULTS</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Cash Position and Guidance</w:t>
      </w:r>
      <w:r>
        <w:rPr>
          <w:rFonts w:ascii="Arial" w:cs="Arial" w:eastAsia="Arial" w:hAnsi="Arial"/>
          <w:sz w:val="18"/>
          <w:szCs w:val="18"/>
          <w:color w:val="auto"/>
        </w:rPr>
        <w:t>: At September 30, 2022, Marker had cash and cash equivalents of $18.1 million.</w:t>
      </w:r>
    </w:p>
    <w:p>
      <w:pPr>
        <w:spacing w:after="0" w:line="225" w:lineRule="exact"/>
        <w:rPr>
          <w:rFonts w:ascii="Arial" w:cs="Arial" w:eastAsia="Arial" w:hAnsi="Arial"/>
          <w:sz w:val="18"/>
          <w:szCs w:val="18"/>
          <w:color w:val="auto"/>
        </w:rPr>
      </w:pPr>
    </w:p>
    <w:p>
      <w:pPr>
        <w:ind w:left="660" w:right="300" w:hanging="328"/>
        <w:spacing w:after="0" w:line="28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 For the quarter ended September 30, 2022, Marker recorded $1.0 million of grant income and $2.95 million of related party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revenue.</w:t>
      </w:r>
    </w:p>
    <w:p>
      <w:pPr>
        <w:spacing w:after="0" w:line="161" w:lineRule="exact"/>
        <w:rPr>
          <w:rFonts w:ascii="Arial" w:cs="Arial" w:eastAsia="Arial" w:hAnsi="Arial"/>
          <w:sz w:val="18"/>
          <w:szCs w:val="18"/>
          <w:color w:val="auto"/>
        </w:rPr>
      </w:pPr>
    </w:p>
    <w:p>
      <w:pPr>
        <w:ind w:left="660" w:right="160" w:hanging="328"/>
        <w:spacing w:after="0" w:line="28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R&amp;D Expenses: </w:t>
      </w:r>
      <w:r>
        <w:rPr>
          <w:rFonts w:ascii="Arial" w:cs="Arial" w:eastAsia="Arial" w:hAnsi="Arial"/>
          <w:sz w:val="18"/>
          <w:szCs w:val="18"/>
          <w:color w:val="auto"/>
        </w:rPr>
        <w:t>Research and development expenses were $7.3 million for the quarter ended September 30, 2022, compared to $6.8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quarter ended September 30, 2021.</w:t>
      </w:r>
    </w:p>
    <w:p>
      <w:pPr>
        <w:spacing w:after="0" w:line="161" w:lineRule="exact"/>
        <w:rPr>
          <w:rFonts w:ascii="Arial" w:cs="Arial" w:eastAsia="Arial" w:hAnsi="Arial"/>
          <w:sz w:val="18"/>
          <w:szCs w:val="18"/>
          <w:color w:val="auto"/>
        </w:rPr>
      </w:pPr>
    </w:p>
    <w:p>
      <w:pPr>
        <w:ind w:left="660" w:right="140" w:hanging="328"/>
        <w:spacing w:after="0" w:line="28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G&amp;A Expenses: </w:t>
      </w:r>
      <w:r>
        <w:rPr>
          <w:rFonts w:ascii="Arial" w:cs="Arial" w:eastAsia="Arial" w:hAnsi="Arial"/>
          <w:sz w:val="18"/>
          <w:szCs w:val="18"/>
          <w:color w:val="auto"/>
        </w:rPr>
        <w:t>General and administrative expenses were $3.7 million for the quarter ended September 30, 2022, compared to $3.2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quarter ended September 30, 2021.</w:t>
      </w:r>
    </w:p>
    <w:p>
      <w:pPr>
        <w:spacing w:after="0" w:line="161" w:lineRule="exact"/>
        <w:rPr>
          <w:rFonts w:ascii="Arial" w:cs="Arial" w:eastAsia="Arial" w:hAnsi="Arial"/>
          <w:sz w:val="18"/>
          <w:szCs w:val="18"/>
          <w:color w:val="auto"/>
        </w:rPr>
      </w:pPr>
    </w:p>
    <w:p>
      <w:pPr>
        <w:ind w:left="660" w:right="340" w:hanging="328"/>
        <w:spacing w:after="0" w:line="28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Marker reported a net loss of $6.9 million for the quarter ended September 30, 2022, compared to a net loss of $12.4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September 30,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Marker Therapeutics, Inc.</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receive future press releases via email, please visit: </w:t>
      </w:r>
      <w:r>
        <w:rPr>
          <w:rFonts w:ascii="Arial" w:cs="Arial" w:eastAsia="Arial" w:hAnsi="Arial"/>
          <w:sz w:val="18"/>
          <w:szCs w:val="18"/>
          <w:u w:val="single" w:color="auto"/>
          <w:color w:val="auto"/>
        </w:rPr>
        <w:t>https://www.markertherapeutics.com/email-alerts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the timing, conduct and success of our clinical trials of our product candidates; our ability to use our manufacturing facilities to support clinical and commercial demand; and our future operating expenses and capital expenditure requirements.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Such risks and uncertainties may be amplified by the COVID-19 pandemic and its impact on our business and the global economy. The Company assumes no obligation to update our forward-looking statements whether as a result of new information, future events or otherwise, after the date of this press release.</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Restricted cash</w:t>
      </w:r>
    </w:p>
    <w:p>
      <w:pPr>
        <w:spacing w:after="0" w:line="9" w:lineRule="exact"/>
        <w:rPr>
          <w:sz w:val="20"/>
          <w:szCs w:val="20"/>
          <w:color w:val="auto"/>
        </w:rPr>
      </w:pPr>
    </w:p>
    <w:p>
      <w:pPr>
        <w:ind w:left="120" w:right="1060"/>
        <w:spacing w:after="0" w:line="250" w:lineRule="auto"/>
        <w:rPr>
          <w:sz w:val="20"/>
          <w:szCs w:val="20"/>
          <w:color w:val="auto"/>
        </w:rPr>
      </w:pPr>
      <w:r>
        <w:rPr>
          <w:rFonts w:ascii="Arial" w:cs="Arial" w:eastAsia="Arial" w:hAnsi="Arial"/>
          <w:sz w:val="18"/>
          <w:szCs w:val="18"/>
          <w:color w:val="auto"/>
        </w:rPr>
        <w:t>Prepaid expenses and deposits Other receivables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current assets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Non-current assets: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Property, plant and equipment, net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Construction in progress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Right-of-use assets, net</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non-current assets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br w:type="column"/>
      </w:r>
    </w:p>
    <w:p>
      <w:pPr>
        <w:jc w:val="center"/>
        <w:ind w:right="4060"/>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ind w:right="4060"/>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44" w:lineRule="exact"/>
        <w:rPr>
          <w:sz w:val="20"/>
          <w:szCs w:val="20"/>
          <w:color w:val="auto"/>
        </w:rPr>
      </w:pPr>
    </w:p>
    <w:p>
      <w:pPr>
        <w:jc w:val="center"/>
        <w:ind w:right="406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4360" w:type="dxa"/>
        <w:tblCellMar>
          <w:top w:w="0" w:type="dxa"/>
          <w:left w:w="0" w:type="dxa"/>
          <w:bottom w:w="0" w:type="dxa"/>
          <w:right w:w="0" w:type="dxa"/>
        </w:tblCellMar>
      </w:tblPr>
      <w:tr>
        <w:trPr>
          <w:trHeight w:val="229"/>
        </w:trPr>
        <w:tc>
          <w:tcPr>
            <w:tcW w:w="14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4"/>
              </w:rPr>
              <w:t>September 30,</w:t>
            </w:r>
          </w:p>
        </w:tc>
        <w:tc>
          <w:tcPr>
            <w:tcW w:w="10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r>
      <w:tr>
        <w:trPr>
          <w:trHeight w:val="627"/>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18,076,379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42,351,145</w:t>
            </w:r>
          </w:p>
        </w:tc>
      </w:tr>
      <w:tr>
        <w:trPr>
          <w:trHeight w:val="216"/>
        </w:trPr>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1,146,186</w:t>
            </w:r>
          </w:p>
        </w:tc>
        <w:tc>
          <w:tcPr>
            <w:tcW w:w="20" w:type="dxa"/>
            <w:vAlign w:val="bottom"/>
          </w:tcPr>
          <w:p>
            <w:pPr>
              <w:spacing w:after="0"/>
              <w:rPr>
                <w:sz w:val="18"/>
                <w:szCs w:val="18"/>
                <w:color w:val="auto"/>
              </w:rPr>
            </w:pPr>
          </w:p>
        </w:tc>
      </w:tr>
      <w:tr>
        <w:trPr>
          <w:trHeight w:val="230"/>
        </w:trPr>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2,665,668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2,484,634</w:t>
            </w:r>
          </w:p>
        </w:tc>
        <w:tc>
          <w:tcPr>
            <w:tcW w:w="20" w:type="dxa"/>
            <w:vAlign w:val="bottom"/>
          </w:tcPr>
          <w:p>
            <w:pPr>
              <w:spacing w:after="0"/>
              <w:rPr>
                <w:sz w:val="19"/>
                <w:szCs w:val="19"/>
                <w:color w:val="auto"/>
              </w:rPr>
            </w:pPr>
          </w:p>
        </w:tc>
      </w:tr>
      <w:tr>
        <w:trPr>
          <w:trHeight w:val="230"/>
        </w:trPr>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1,681,019</w:t>
            </w: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237</w:t>
            </w:r>
          </w:p>
        </w:tc>
      </w:tr>
      <w:tr>
        <w:trPr>
          <w:trHeight w:val="209"/>
        </w:trPr>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6"/>
              </w:rPr>
              <w:t>22,423,066</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45,982,202</w:t>
            </w:r>
          </w:p>
        </w:tc>
      </w:tr>
      <w:tr>
        <w:trPr>
          <w:trHeight w:val="411"/>
        </w:trPr>
        <w:tc>
          <w:tcPr>
            <w:tcW w:w="2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13,059,816</w:t>
            </w:r>
          </w:p>
        </w:tc>
        <w:tc>
          <w:tcPr>
            <w:tcW w:w="10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10,096,861</w:t>
            </w:r>
          </w:p>
        </w:tc>
      </w:tr>
      <w:tr>
        <w:trPr>
          <w:trHeight w:val="229"/>
        </w:trPr>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2,225,610</w:t>
            </w:r>
          </w:p>
        </w:tc>
        <w:tc>
          <w:tcPr>
            <w:tcW w:w="20" w:type="dxa"/>
            <w:vAlign w:val="bottom"/>
          </w:tcPr>
          <w:p>
            <w:pPr>
              <w:spacing w:after="0"/>
              <w:rPr>
                <w:sz w:val="19"/>
                <w:szCs w:val="19"/>
                <w:color w:val="auto"/>
              </w:rPr>
            </w:pPr>
          </w:p>
        </w:tc>
      </w:tr>
      <w:tr>
        <w:trPr>
          <w:trHeight w:val="230"/>
        </w:trPr>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5,631,683</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9,830,461</w:t>
            </w:r>
          </w:p>
        </w:tc>
        <w:tc>
          <w:tcPr>
            <w:tcW w:w="20" w:type="dxa"/>
            <w:vAlign w:val="bottom"/>
          </w:tcPr>
          <w:p>
            <w:pPr>
              <w:spacing w:after="0"/>
              <w:rPr>
                <w:sz w:val="20"/>
                <w:szCs w:val="20"/>
                <w:color w:val="auto"/>
              </w:rPr>
            </w:pPr>
          </w:p>
        </w:tc>
      </w:tr>
      <w:tr>
        <w:trPr>
          <w:trHeight w:val="210"/>
        </w:trPr>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6"/>
              </w:rPr>
              <w:t>18,691,499</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22,152,932</w:t>
            </w:r>
          </w:p>
        </w:tc>
        <w:tc>
          <w:tcPr>
            <w:tcW w:w="20" w:type="dxa"/>
            <w:vAlign w:val="bottom"/>
            <w:tcBorders>
              <w:bottom w:val="single" w:sz="8" w:color="auto"/>
            </w:tcBorders>
          </w:tcPr>
          <w:p>
            <w:pPr>
              <w:spacing w:after="0"/>
              <w:rPr>
                <w:sz w:val="18"/>
                <w:szCs w:val="18"/>
                <w:color w:val="auto"/>
              </w:rPr>
            </w:pPr>
          </w:p>
        </w:tc>
      </w:tr>
      <w:tr>
        <w:trPr>
          <w:trHeight w:val="453"/>
        </w:trPr>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41,114,565</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68,135,134</w:t>
            </w: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-2022475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-1739265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-1464945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-1182370</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-890905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-616585</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-325120</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360" w:space="720"/>
            <w:col w:w="7160"/>
          </w:cols>
          <w:pgMar w:left="320" w:top="904"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8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80" w:type="dxa"/>
            <w:vAlign w:val="bottom"/>
          </w:tcPr>
          <w:p>
            <w:pPr>
              <w:ind w:left="120"/>
              <w:spacing w:after="0"/>
              <w:rPr>
                <w:sz w:val="20"/>
                <w:szCs w:val="20"/>
                <w:color w:val="auto"/>
              </w:rPr>
            </w:pPr>
            <w:r>
              <w:rPr>
                <w:rFonts w:ascii="Arial" w:cs="Arial" w:eastAsia="Arial" w:hAnsi="Arial"/>
                <w:sz w:val="18"/>
                <w:szCs w:val="18"/>
                <w:color w:val="auto"/>
              </w:rPr>
              <w:t>Accounts payable and accrued liabilities</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5,746,404</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11,134,913</w:t>
            </w:r>
          </w:p>
        </w:tc>
      </w:tr>
      <w:tr>
        <w:trPr>
          <w:trHeight w:val="216"/>
        </w:trPr>
        <w:tc>
          <w:tcPr>
            <w:tcW w:w="8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Related party deferred revenue</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5,050,000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80" w:type="dxa"/>
            <w:vAlign w:val="bottom"/>
          </w:tcPr>
          <w:p>
            <w:pPr>
              <w:ind w:left="120"/>
              <w:spacing w:after="0"/>
              <w:rPr>
                <w:sz w:val="20"/>
                <w:szCs w:val="20"/>
                <w:color w:val="auto"/>
              </w:rPr>
            </w:pPr>
            <w:r>
              <w:rPr>
                <w:rFonts w:ascii="Arial" w:cs="Arial" w:eastAsia="Arial" w:hAnsi="Arial"/>
                <w:sz w:val="18"/>
                <w:szCs w:val="18"/>
                <w:color w:val="auto"/>
              </w:rPr>
              <w:t>Lease liability</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490,449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620,490</w:t>
            </w:r>
          </w:p>
        </w:tc>
      </w:tr>
      <w:tr>
        <w:trPr>
          <w:trHeight w:val="229"/>
        </w:trPr>
        <w:tc>
          <w:tcPr>
            <w:tcW w:w="8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revenue</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1,146,186</w:t>
            </w:r>
          </w:p>
        </w:tc>
      </w:tr>
      <w:tr>
        <w:trPr>
          <w:trHeight w:val="210"/>
        </w:trPr>
        <w:tc>
          <w:tcPr>
            <w:tcW w:w="8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current liabilities</w:t>
            </w: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11,286,853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12,901,589</w:t>
            </w:r>
          </w:p>
        </w:tc>
        <w:tc>
          <w:tcPr>
            <w:tcW w:w="100" w:type="dxa"/>
            <w:vAlign w:val="bottom"/>
            <w:tcBorders>
              <w:bottom w:val="single" w:sz="8" w:color="CCEEFF"/>
            </w:tcBorders>
          </w:tcPr>
          <w:p>
            <w:pPr>
              <w:spacing w:after="0"/>
              <w:rPr>
                <w:sz w:val="18"/>
                <w:szCs w:val="18"/>
                <w:color w:val="auto"/>
              </w:rPr>
            </w:pPr>
          </w:p>
        </w:tc>
      </w:tr>
      <w:tr>
        <w:trPr>
          <w:trHeight w:val="210"/>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380" w:type="dxa"/>
            <w:vAlign w:val="bottom"/>
          </w:tcPr>
          <w:p>
            <w:pPr>
              <w:ind w:left="120"/>
              <w:spacing w:after="0"/>
              <w:rPr>
                <w:sz w:val="20"/>
                <w:szCs w:val="20"/>
                <w:color w:val="auto"/>
              </w:rPr>
            </w:pPr>
            <w:r>
              <w:rPr>
                <w:rFonts w:ascii="Arial" w:cs="Arial" w:eastAsia="Arial" w:hAnsi="Arial"/>
                <w:sz w:val="18"/>
                <w:szCs w:val="18"/>
                <w:color w:val="auto"/>
              </w:rPr>
              <w:t>Lease liability, net of current portion</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7,225,990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11,247,950</w:t>
            </w:r>
          </w:p>
        </w:tc>
      </w:tr>
      <w:tr>
        <w:trPr>
          <w:trHeight w:val="209"/>
        </w:trPr>
        <w:tc>
          <w:tcPr>
            <w:tcW w:w="83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non-current liabilities</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7,225,990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11,247,950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18,512,843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24,149,539</w:t>
            </w:r>
          </w:p>
        </w:tc>
      </w:tr>
      <w:tr>
        <w:trPr>
          <w:trHeight w:val="210"/>
        </w:trPr>
        <w:tc>
          <w:tcPr>
            <w:tcW w:w="8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380" w:type="dxa"/>
            <w:vAlign w:val="bottom"/>
          </w:tcPr>
          <w:p>
            <w:pPr>
              <w:ind w:left="120"/>
              <w:spacing w:after="0" w:line="201" w:lineRule="exact"/>
              <w:rPr>
                <w:sz w:val="20"/>
                <w:szCs w:val="20"/>
                <w:color w:val="auto"/>
              </w:rPr>
            </w:pPr>
            <w:r>
              <w:rPr>
                <w:rFonts w:ascii="Arial" w:cs="Arial" w:eastAsia="Arial" w:hAnsi="Arial"/>
                <w:sz w:val="18"/>
                <w:szCs w:val="18"/>
                <w:color w:val="auto"/>
              </w:rPr>
              <w:t>Preferred stock - $0.001 par value, 5 million shares authorized and 0 shares issued and outstanding at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380" w:type="dxa"/>
            <w:vAlign w:val="bottom"/>
          </w:tcPr>
          <w:p>
            <w:pPr>
              <w:ind w:left="120"/>
              <w:spacing w:after="0"/>
              <w:rPr>
                <w:sz w:val="20"/>
                <w:szCs w:val="20"/>
                <w:color w:val="auto"/>
              </w:rPr>
            </w:pPr>
            <w:r>
              <w:rPr>
                <w:rFonts w:ascii="Arial" w:cs="Arial" w:eastAsia="Arial" w:hAnsi="Arial"/>
                <w:sz w:val="18"/>
                <w:szCs w:val="18"/>
                <w:color w:val="auto"/>
              </w:rPr>
              <w:t>September 30, 2022 and December 31,2021, respectively</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3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Common stock, $0.001 par value, 300 million and 150 million shares authorized, 83.6 million and 83.1 million</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issued and outstanding as of September 30, 2022 and December 31, 2021, respectively</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83,599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83,079</w:t>
            </w:r>
          </w:p>
        </w:tc>
      </w:tr>
      <w:tr>
        <w:trPr>
          <w:trHeight w:val="216"/>
        </w:trPr>
        <w:tc>
          <w:tcPr>
            <w:tcW w:w="838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446,710,757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442,020,871</w:t>
            </w:r>
          </w:p>
        </w:tc>
      </w:tr>
      <w:tr>
        <w:trPr>
          <w:trHeight w:val="230"/>
        </w:trPr>
        <w:tc>
          <w:tcPr>
            <w:tcW w:w="8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(424,192,634)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(398,118,355)</w:t>
            </w:r>
          </w:p>
        </w:tc>
      </w:tr>
      <w:tr>
        <w:trPr>
          <w:trHeight w:val="209"/>
        </w:trPr>
        <w:tc>
          <w:tcPr>
            <w:tcW w:w="8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22,601,722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43,985,595</w:t>
            </w:r>
          </w:p>
        </w:tc>
        <w:tc>
          <w:tcPr>
            <w:tcW w:w="100" w:type="dxa"/>
            <w:vAlign w:val="bottom"/>
            <w:tcBorders>
              <w:bottom w:val="single" w:sz="8" w:color="CCEEFF"/>
            </w:tcBorders>
          </w:tcPr>
          <w:p>
            <w:pPr>
              <w:spacing w:after="0"/>
              <w:rPr>
                <w:sz w:val="18"/>
                <w:szCs w:val="18"/>
                <w:color w:val="auto"/>
              </w:rPr>
            </w:pPr>
          </w:p>
        </w:tc>
      </w:tr>
      <w:tr>
        <w:trPr>
          <w:trHeight w:val="210"/>
        </w:trPr>
        <w:tc>
          <w:tcPr>
            <w:tcW w:w="8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83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41,114,565</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68,135,134</w:t>
            </w:r>
          </w:p>
        </w:tc>
      </w:tr>
      <w:tr>
        <w:trPr>
          <w:trHeight w:val="20"/>
        </w:trPr>
        <w:tc>
          <w:tcPr>
            <w:tcW w:w="8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8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320" w:top="904"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60" w:type="dxa"/>
            <w:vAlign w:val="bottom"/>
            <w:gridSpan w:val="6"/>
          </w:tcPr>
          <w:p>
            <w:pPr>
              <w:jc w:val="right"/>
              <w:ind w:right="381"/>
              <w:spacing w:after="0"/>
              <w:rPr>
                <w:sz w:val="20"/>
                <w:szCs w:val="20"/>
                <w:color w:val="auto"/>
              </w:rPr>
            </w:pPr>
            <w:r>
              <w:rPr>
                <w:rFonts w:ascii="Arial" w:cs="Arial" w:eastAsia="Arial" w:hAnsi="Arial"/>
                <w:sz w:val="18"/>
                <w:szCs w:val="18"/>
                <w:b w:val="1"/>
                <w:bCs w:val="1"/>
                <w:color w:val="auto"/>
                <w:w w:val="93"/>
              </w:rPr>
              <w:t>For the Three Months Ended</w:t>
            </w:r>
          </w:p>
        </w:tc>
        <w:tc>
          <w:tcPr>
            <w:tcW w:w="180" w:type="dxa"/>
            <w:vAlign w:val="bottom"/>
          </w:tcPr>
          <w:p>
            <w:pPr>
              <w:spacing w:after="0"/>
              <w:rPr>
                <w:sz w:val="19"/>
                <w:szCs w:val="19"/>
                <w:color w:val="auto"/>
              </w:rPr>
            </w:pPr>
          </w:p>
        </w:tc>
        <w:tc>
          <w:tcPr>
            <w:tcW w:w="2600" w:type="dxa"/>
            <w:vAlign w:val="bottom"/>
            <w:gridSpan w:val="6"/>
          </w:tcPr>
          <w:p>
            <w:pPr>
              <w:jc w:val="right"/>
              <w:ind w:right="301"/>
              <w:spacing w:after="0"/>
              <w:rPr>
                <w:sz w:val="20"/>
                <w:szCs w:val="20"/>
                <w:color w:val="auto"/>
              </w:rPr>
            </w:pPr>
            <w:r>
              <w:rPr>
                <w:rFonts w:ascii="Arial" w:cs="Arial" w:eastAsia="Arial" w:hAnsi="Arial"/>
                <w:sz w:val="18"/>
                <w:szCs w:val="18"/>
                <w:b w:val="1"/>
                <w:bCs w:val="1"/>
                <w:color w:val="auto"/>
                <w:w w:val="93"/>
              </w:rPr>
              <w:t>For the Nine Months Ended</w:t>
            </w:r>
          </w:p>
        </w:tc>
        <w:tc>
          <w:tcPr>
            <w:tcW w:w="0" w:type="dxa"/>
            <w:vAlign w:val="bottom"/>
          </w:tcPr>
          <w:p>
            <w:pPr>
              <w:spacing w:after="0"/>
              <w:rPr>
                <w:sz w:val="1"/>
                <w:szCs w:val="1"/>
                <w:color w:val="auto"/>
              </w:rPr>
            </w:pPr>
          </w:p>
        </w:tc>
      </w:tr>
      <w:tr>
        <w:trPr>
          <w:trHeight w:val="234"/>
        </w:trPr>
        <w:tc>
          <w:tcPr>
            <w:tcW w:w="5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6"/>
          </w:tcPr>
          <w:p>
            <w:pPr>
              <w:jc w:val="right"/>
              <w:ind w:right="941"/>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2600" w:type="dxa"/>
            <w:vAlign w:val="bottom"/>
            <w:gridSpan w:val="6"/>
          </w:tcPr>
          <w:p>
            <w:pPr>
              <w:jc w:val="right"/>
              <w:ind w:right="821"/>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20"/>
              <w:spacing w:after="0"/>
              <w:rPr>
                <w:sz w:val="20"/>
                <w:szCs w:val="20"/>
                <w:color w:val="auto"/>
              </w:rPr>
            </w:pPr>
            <w:r>
              <w:rPr>
                <w:rFonts w:ascii="Arial" w:cs="Arial" w:eastAsia="Arial" w:hAnsi="Arial"/>
                <w:sz w:val="18"/>
                <w:szCs w:val="18"/>
                <w:color w:val="auto"/>
              </w:rPr>
              <w:t>Grant income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999,571</w:t>
            </w: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2,754,401</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Related partry service revenue</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2,950,000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2,950,000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3,949,571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5,704,401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7,290,899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6,784,390</w:t>
            </w:r>
          </w:p>
        </w:tc>
        <w:tc>
          <w:tcPr>
            <w:tcW w:w="18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20,872,264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19,777,454</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3,678,005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3,239,148</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10,926,189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9,936,256</w:t>
            </w:r>
          </w:p>
        </w:tc>
        <w:tc>
          <w:tcPr>
            <w:tcW w:w="0" w:type="dxa"/>
            <w:vAlign w:val="bottom"/>
          </w:tcPr>
          <w:p>
            <w:pPr>
              <w:spacing w:after="0"/>
              <w:rPr>
                <w:sz w:val="1"/>
                <w:szCs w:val="1"/>
                <w:color w:val="auto"/>
              </w:rPr>
            </w:pPr>
          </w:p>
        </w:tc>
      </w:tr>
      <w:tr>
        <w:trPr>
          <w:trHeight w:val="210"/>
        </w:trPr>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10,968,904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10,023,538</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31,798,453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29,713,710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(7,019,333)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(10,023,538)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(26,094,052)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(29,713,710)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b w:val="1"/>
                <w:bCs w:val="1"/>
                <w:color w:val="auto"/>
              </w:rPr>
              <w:t>Other income (expenses):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Arbitration settlement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(2,406,576)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(118,880)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(2,406,576)</w:t>
            </w:r>
          </w:p>
        </w:tc>
        <w:tc>
          <w:tcPr>
            <w:tcW w:w="0" w:type="dxa"/>
            <w:vAlign w:val="bottom"/>
          </w:tcPr>
          <w:p>
            <w:pPr>
              <w:spacing w:after="0"/>
              <w:rPr>
                <w:sz w:val="1"/>
                <w:szCs w:val="1"/>
                <w:color w:val="auto"/>
              </w:rPr>
            </w:pPr>
          </w:p>
        </w:tc>
      </w:tr>
      <w:tr>
        <w:trPr>
          <w:trHeight w:val="230"/>
        </w:trPr>
        <w:tc>
          <w:tcPr>
            <w:tcW w:w="546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99,750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791</w:t>
            </w:r>
          </w:p>
        </w:tc>
        <w:tc>
          <w:tcPr>
            <w:tcW w:w="18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138,653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4,731</w:t>
            </w:r>
          </w:p>
        </w:tc>
        <w:tc>
          <w:tcPr>
            <w:tcW w:w="0" w:type="dxa"/>
            <w:vAlign w:val="bottom"/>
          </w:tcPr>
          <w:p>
            <w:pPr>
              <w:spacing w:after="0"/>
              <w:rPr>
                <w:sz w:val="1"/>
                <w:szCs w:val="1"/>
                <w:color w:val="auto"/>
              </w:rPr>
            </w:pPr>
          </w:p>
        </w:tc>
      </w:tr>
      <w:tr>
        <w:trPr>
          <w:trHeight w:val="223"/>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(6,919,583</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(12,429,323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(26,074,279</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(32,115,555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(0.08)</w:t>
            </w:r>
          </w:p>
        </w:tc>
        <w:tc>
          <w:tcPr>
            <w:tcW w:w="3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(0.15)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(0.31)</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8"/>
              </w:rPr>
              <w:t>Weighted average number of common shares outstanding, basic and</w:t>
            </w: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5460" w:type="dxa"/>
            <w:vAlign w:val="bottom"/>
          </w:tcPr>
          <w:p>
            <w:pPr>
              <w:spacing w:after="0"/>
              <w:rPr>
                <w:sz w:val="20"/>
                <w:szCs w:val="20"/>
                <w:color w:val="auto"/>
              </w:rPr>
            </w:pPr>
            <w:r>
              <w:rPr>
                <w:rFonts w:ascii="Arial" w:cs="Arial" w:eastAsia="Arial" w:hAnsi="Arial"/>
                <w:sz w:val="18"/>
                <w:szCs w:val="18"/>
                <w:color w:val="auto"/>
              </w:rPr>
              <w:t>diluted</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83,599,187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83,078,675</w:t>
            </w:r>
          </w:p>
        </w:tc>
        <w:tc>
          <w:tcPr>
            <w:tcW w:w="180" w:type="dxa"/>
            <w:vAlign w:val="bottom"/>
          </w:tcPr>
          <w:p>
            <w:pPr>
              <w:spacing w:after="0"/>
              <w:rPr>
                <w:sz w:val="22"/>
                <w:szCs w:val="22"/>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83,434,760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74,290,598</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20" w:type="dxa"/>
            <w:vAlign w:val="bottom"/>
            <w:gridSpan w:val="7"/>
          </w:tcPr>
          <w:p>
            <w:pPr>
              <w:jc w:val="right"/>
              <w:ind w:right="380"/>
              <w:spacing w:after="0"/>
              <w:rPr>
                <w:sz w:val="20"/>
                <w:szCs w:val="20"/>
                <w:color w:val="auto"/>
              </w:rPr>
            </w:pPr>
            <w:r>
              <w:rPr>
                <w:rFonts w:ascii="Arial" w:cs="Arial" w:eastAsia="Arial" w:hAnsi="Arial"/>
                <w:sz w:val="18"/>
                <w:szCs w:val="18"/>
                <w:b w:val="1"/>
                <w:bCs w:val="1"/>
                <w:color w:val="auto"/>
                <w:w w:val="94"/>
              </w:rPr>
              <w:t>For the Nine Months Ended</w:t>
            </w:r>
          </w:p>
        </w:tc>
      </w:tr>
      <w:tr>
        <w:trPr>
          <w:trHeight w:val="234"/>
        </w:trPr>
        <w:tc>
          <w:tcPr>
            <w:tcW w:w="67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7"/>
          </w:tcPr>
          <w:p>
            <w:pPr>
              <w:jc w:val="right"/>
              <w:ind w:right="90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74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b w:val="1"/>
                <w:bCs w:val="1"/>
                <w:color w:val="auto"/>
              </w:rPr>
              <w:t>Net loss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(26,074,279)</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(32,115,555)</w:t>
            </w:r>
          </w:p>
        </w:tc>
      </w:tr>
      <w:tr>
        <w:trPr>
          <w:trHeight w:val="216"/>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Reconciliation of net loss to net cash used in operating activities:</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Arial" w:cs="Arial" w:eastAsia="Arial" w:hAnsi="Arial"/>
                <w:sz w:val="18"/>
                <w:szCs w:val="18"/>
                <w:color w:val="auto"/>
              </w:rPr>
              <w:t>1,975,996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1,584,495</w:t>
            </w: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4,626,833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4,497,145</w:t>
            </w: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ind w:left="220"/>
              <w:spacing w:after="0"/>
              <w:rPr>
                <w:sz w:val="20"/>
                <w:szCs w:val="20"/>
                <w:color w:val="auto"/>
              </w:rPr>
            </w:pPr>
            <w:r>
              <w:rPr>
                <w:rFonts w:ascii="Arial" w:cs="Arial" w:eastAsia="Arial" w:hAnsi="Arial"/>
                <w:sz w:val="18"/>
                <w:szCs w:val="18"/>
                <w:color w:val="auto"/>
              </w:rPr>
              <w:t>Amortization on right-of-use assets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Arial" w:cs="Arial" w:eastAsia="Arial" w:hAnsi="Arial"/>
                <w:sz w:val="18"/>
                <w:szCs w:val="18"/>
                <w:color w:val="auto"/>
              </w:rPr>
              <w:t>739,446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757,958</w:t>
            </w: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disposal of assets</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25,995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tcPr>
          <w:p>
            <w:pPr>
              <w:ind w:left="220"/>
              <w:spacing w:after="0"/>
              <w:rPr>
                <w:sz w:val="20"/>
                <w:szCs w:val="20"/>
                <w:color w:val="auto"/>
              </w:rPr>
            </w:pPr>
            <w:r>
              <w:rPr>
                <w:rFonts w:ascii="Arial" w:cs="Arial" w:eastAsia="Arial" w:hAnsi="Arial"/>
                <w:sz w:val="18"/>
                <w:szCs w:val="18"/>
                <w:color w:val="auto"/>
              </w:rPr>
              <w:t>Gain on lease termination</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(278,681)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Changes in operating assets and liabilities:</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ind w:left="340"/>
              <w:spacing w:after="0"/>
              <w:rPr>
                <w:sz w:val="20"/>
                <w:szCs w:val="20"/>
                <w:color w:val="auto"/>
              </w:rPr>
            </w:pPr>
            <w:r>
              <w:rPr>
                <w:rFonts w:ascii="Arial" w:cs="Arial" w:eastAsia="Arial" w:hAnsi="Arial"/>
                <w:sz w:val="18"/>
                <w:szCs w:val="18"/>
                <w:color w:val="auto"/>
              </w:rPr>
              <w:t>Prepaid expenses and deposits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(181,034)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(643,403)</w:t>
            </w:r>
          </w:p>
        </w:tc>
      </w:tr>
      <w:tr>
        <w:trPr>
          <w:trHeight w:val="216"/>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(1,680,782)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1,000,316</w:t>
            </w: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(3,310,051)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2,742,154</w:t>
            </w: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Related party deferred revenue</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5,050,000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(1,146,186)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liability</w:t>
            </w:r>
          </w:p>
        </w:tc>
        <w:tc>
          <w:tcPr>
            <w:tcW w:w="1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(413,988)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(244,752)</w:t>
            </w:r>
          </w:p>
        </w:tc>
      </w:tr>
      <w:tr>
        <w:trPr>
          <w:trHeight w:val="209"/>
        </w:trPr>
        <w:tc>
          <w:tcPr>
            <w:tcW w:w="67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used in operating activities</w:t>
            </w:r>
          </w:p>
        </w:tc>
        <w:tc>
          <w:tcPr>
            <w:tcW w:w="17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(20,666,731</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(22,421,642</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ind w:left="220"/>
              <w:spacing w:after="0"/>
              <w:rPr>
                <w:sz w:val="20"/>
                <w:szCs w:val="20"/>
                <w:color w:val="auto"/>
              </w:rPr>
            </w:pPr>
            <w:r>
              <w:rPr>
                <w:rFonts w:ascii="Arial" w:cs="Arial" w:eastAsia="Arial" w:hAnsi="Arial"/>
                <w:sz w:val="18"/>
                <w:szCs w:val="18"/>
                <w:color w:val="auto"/>
              </w:rPr>
              <w:t>Purchase of property and equipment</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(1,328,664)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(1,262,092)</w:t>
            </w:r>
          </w:p>
        </w:tc>
      </w:tr>
      <w:tr>
        <w:trPr>
          <w:trHeight w:val="230"/>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construction in progress</w:t>
            </w:r>
          </w:p>
        </w:tc>
        <w:tc>
          <w:tcPr>
            <w:tcW w:w="1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(3,489,130)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(1,519,196)</w:t>
            </w:r>
          </w:p>
        </w:tc>
      </w:tr>
      <w:tr>
        <w:trPr>
          <w:trHeight w:val="209"/>
        </w:trPr>
        <w:tc>
          <w:tcPr>
            <w:tcW w:w="67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7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(4,817,794</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(2,781,288</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ind w:left="220"/>
              <w:spacing w:after="0"/>
              <w:rPr>
                <w:sz w:val="20"/>
                <w:szCs w:val="20"/>
                <w:color w:val="auto"/>
              </w:rPr>
            </w:pPr>
            <w:r>
              <w:rPr>
                <w:rFonts w:ascii="Arial" w:cs="Arial" w:eastAsia="Arial" w:hAnsi="Arial"/>
                <w:sz w:val="18"/>
                <w:szCs w:val="18"/>
                <w:color w:val="auto"/>
              </w:rPr>
              <w:t>Proceeds from issuance of common stock, net</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Arial" w:cs="Arial" w:eastAsia="Arial" w:hAnsi="Arial"/>
                <w:sz w:val="18"/>
                <w:szCs w:val="18"/>
                <w:color w:val="auto"/>
              </w:rPr>
              <w:t>63,573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52,552,758</w:t>
            </w:r>
          </w:p>
        </w:tc>
        <w:tc>
          <w:tcPr>
            <w:tcW w:w="80" w:type="dxa"/>
            <w:vAlign w:val="bottom"/>
          </w:tcPr>
          <w:p>
            <w:pPr>
              <w:spacing w:after="0"/>
              <w:rPr>
                <w:sz w:val="18"/>
                <w:szCs w:val="18"/>
                <w:color w:val="auto"/>
              </w:rPr>
            </w:pPr>
          </w:p>
        </w:tc>
      </w:tr>
      <w:tr>
        <w:trPr>
          <w:trHeight w:val="229"/>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exercise of stock options</w:t>
            </w:r>
          </w:p>
        </w:tc>
        <w:tc>
          <w:tcPr>
            <w:tcW w:w="1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80" w:type="dxa"/>
            <w:vAlign w:val="bottom"/>
            <w:shd w:val="clear" w:color="auto" w:fill="CCEEFF"/>
          </w:tcPr>
          <w:p>
            <w:pPr>
              <w:spacing w:after="0"/>
              <w:rPr>
                <w:sz w:val="19"/>
                <w:szCs w:val="19"/>
                <w:color w:val="auto"/>
              </w:rPr>
            </w:pPr>
          </w:p>
        </w:tc>
      </w:tr>
      <w:tr>
        <w:trPr>
          <w:trHeight w:val="210"/>
        </w:trPr>
        <w:tc>
          <w:tcPr>
            <w:tcW w:w="67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17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63,573</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52,555,845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(25,420,952)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27,352,915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1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43,497,331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21,352,382</w:t>
            </w:r>
          </w:p>
        </w:tc>
        <w:tc>
          <w:tcPr>
            <w:tcW w:w="80" w:type="dxa"/>
            <w:vAlign w:val="bottom"/>
            <w:shd w:val="clear" w:color="auto" w:fill="CCEEFF"/>
          </w:tcPr>
          <w:p>
            <w:pPr>
              <w:spacing w:after="0"/>
              <w:rPr>
                <w:sz w:val="19"/>
                <w:szCs w:val="19"/>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the period</w:t>
            </w:r>
          </w:p>
        </w:tc>
        <w:tc>
          <w:tcPr>
            <w:tcW w:w="17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18,076,379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48,705,297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Xuan Yang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xyang@soleburystrat.com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Amy Bonanno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abonanno@soleburystrat.com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2022-11-10T16:20:21Z</dcterms:created>
  <dcterms:modified xsi:type="dcterms:W3CDTF">2022-11-10T16:20:21Z</dcterms:modified>
</cp:coreProperties>
</file>