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238125</wp:posOffset>
            </wp:positionV>
            <wp:extent cx="72923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260985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Washington, D.C. 20549</w:t>
      </w:r>
    </w:p>
    <w:p>
      <w:pPr>
        <w:spacing w:after="0" w:line="138"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u w:val="single" w:color="auto"/>
          <w:color w:val="auto"/>
        </w:rPr>
        <w:t>FORM 8-K</w:t>
      </w:r>
    </w:p>
    <w:p>
      <w:pPr>
        <w:spacing w:after="0" w:line="151"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u w:val="single" w:color="auto"/>
          <w:color w:val="auto"/>
        </w:rPr>
        <w:t>CURRENT REPORT</w:t>
      </w:r>
    </w:p>
    <w:p>
      <w:pPr>
        <w:spacing w:after="0" w:line="19"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38"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u w:val="single" w:color="auto"/>
          <w:color w:val="auto"/>
        </w:rPr>
        <w:t>February 25, 2019</w:t>
      </w:r>
    </w:p>
    <w:p>
      <w:pPr>
        <w:spacing w:after="0" w:line="19" w:lineRule="exact"/>
        <w:rPr>
          <w:sz w:val="24"/>
          <w:szCs w:val="24"/>
          <w:color w:val="auto"/>
        </w:rPr>
      </w:pPr>
    </w:p>
    <w:p>
      <w:pPr>
        <w:jc w:val="center"/>
        <w:ind w:right="-67"/>
        <w:spacing w:after="0"/>
        <w:rPr>
          <w:sz w:val="20"/>
          <w:szCs w:val="20"/>
          <w:color w:val="auto"/>
        </w:rPr>
      </w:pPr>
      <w:r>
        <w:rPr>
          <w:rFonts w:ascii="Arial" w:cs="Arial" w:eastAsia="Arial" w:hAnsi="Arial"/>
          <w:sz w:val="12"/>
          <w:szCs w:val="12"/>
          <w:color w:val="auto"/>
        </w:rPr>
        <w:t>Date of Report</w:t>
      </w:r>
    </w:p>
    <w:p>
      <w:pPr>
        <w:spacing w:after="0" w:line="136" w:lineRule="exact"/>
        <w:rPr>
          <w:sz w:val="24"/>
          <w:szCs w:val="24"/>
          <w:color w:val="auto"/>
        </w:rPr>
      </w:pPr>
    </w:p>
    <w:p>
      <w:pPr>
        <w:jc w:val="center"/>
        <w:ind w:right="-67"/>
        <w:spacing w:after="0"/>
        <w:rPr>
          <w:sz w:val="20"/>
          <w:szCs w:val="20"/>
          <w:color w:val="auto"/>
        </w:rPr>
      </w:pPr>
      <w:r>
        <w:rPr>
          <w:rFonts w:ascii="Arial" w:cs="Arial" w:eastAsia="Arial" w:hAnsi="Arial"/>
          <w:sz w:val="17"/>
          <w:szCs w:val="17"/>
          <w:b w:val="1"/>
          <w:bCs w:val="1"/>
          <w:u w:val="single" w:color="auto"/>
          <w:color w:val="auto"/>
        </w:rPr>
        <w:t>MARKER THERAPEUTICS, INC.</w:t>
      </w:r>
    </w:p>
    <w:p>
      <w:pPr>
        <w:spacing w:after="0" w:line="19" w:lineRule="exact"/>
        <w:rPr>
          <w:sz w:val="24"/>
          <w:szCs w:val="24"/>
          <w:color w:val="auto"/>
        </w:rPr>
      </w:pPr>
    </w:p>
    <w:p>
      <w:pPr>
        <w:jc w:val="center"/>
        <w:ind w:right="-67"/>
        <w:spacing w:after="0"/>
        <w:rPr>
          <w:sz w:val="20"/>
          <w:szCs w:val="20"/>
          <w:color w:val="auto"/>
        </w:rPr>
      </w:pPr>
      <w:r>
        <w:rPr>
          <w:rFonts w:ascii="Arial" w:cs="Arial" w:eastAsia="Arial" w:hAnsi="Arial"/>
          <w:sz w:val="12"/>
          <w:szCs w:val="12"/>
          <w:color w:val="auto"/>
        </w:rPr>
        <w:t>(Exact name of registrant as specified in its charter)</w:t>
      </w:r>
    </w:p>
    <w:p>
      <w:pPr>
        <w:spacing w:after="0" w:line="129" w:lineRule="exact"/>
        <w:rPr>
          <w:sz w:val="24"/>
          <w:szCs w:val="24"/>
          <w:color w:val="auto"/>
        </w:rPr>
      </w:pPr>
    </w:p>
    <w:tbl>
      <w:tblPr>
        <w:tblLayout w:type="fixed"/>
        <w:tblInd w:w="948"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4"/>
              </w:rPr>
              <w:t>Delaware</w:t>
            </w:r>
          </w:p>
        </w:tc>
        <w:tc>
          <w:tcPr>
            <w:tcW w:w="1400" w:type="dxa"/>
            <w:vAlign w:val="bottom"/>
          </w:tcPr>
          <w:p>
            <w:pPr>
              <w:spacing w:after="0"/>
              <w:rPr>
                <w:sz w:val="12"/>
                <w:szCs w:val="12"/>
                <w:color w:val="auto"/>
              </w:rPr>
            </w:pPr>
          </w:p>
        </w:tc>
        <w:tc>
          <w:tcPr>
            <w:tcW w:w="464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0"/>
              </w:rPr>
              <w:t>001-37939</w:t>
            </w:r>
          </w:p>
        </w:tc>
        <w:tc>
          <w:tcPr>
            <w:tcW w:w="1860" w:type="dxa"/>
            <w:vAlign w:val="bottom"/>
            <w:gridSpan w:val="5"/>
          </w:tcPr>
          <w:p>
            <w:pPr>
              <w:jc w:val="right"/>
              <w:ind w:right="160"/>
              <w:spacing w:after="0"/>
              <w:rPr>
                <w:sz w:val="20"/>
                <w:szCs w:val="20"/>
                <w:color w:val="auto"/>
              </w:rPr>
            </w:pPr>
            <w:r>
              <w:rPr>
                <w:rFonts w:ascii="Arial" w:cs="Arial" w:eastAsia="Arial" w:hAnsi="Arial"/>
                <w:sz w:val="12"/>
                <w:szCs w:val="12"/>
                <w:b w:val="1"/>
                <w:bCs w:val="1"/>
                <w:color w:val="auto"/>
              </w:rPr>
              <w:t>45-4497941</w:t>
            </w:r>
          </w:p>
        </w:tc>
      </w:tr>
      <w:tr>
        <w:trPr>
          <w:trHeight w:val="20"/>
        </w:trPr>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3"/>
        </w:trPr>
        <w:tc>
          <w:tcPr>
            <w:tcW w:w="2600" w:type="dxa"/>
            <w:vAlign w:val="bottom"/>
            <w:gridSpan w:val="3"/>
          </w:tcPr>
          <w:p>
            <w:pPr>
              <w:jc w:val="center"/>
              <w:ind w:right="720"/>
              <w:spacing w:after="0"/>
              <w:rPr>
                <w:sz w:val="20"/>
                <w:szCs w:val="20"/>
                <w:color w:val="auto"/>
              </w:rPr>
            </w:pPr>
            <w:r>
              <w:rPr>
                <w:rFonts w:ascii="Arial" w:cs="Arial" w:eastAsia="Arial" w:hAnsi="Arial"/>
                <w:sz w:val="12"/>
                <w:szCs w:val="12"/>
                <w:color w:val="auto"/>
                <w:w w:val="93"/>
              </w:rPr>
              <w:t>(State or other jurisdiction of</w:t>
            </w:r>
          </w:p>
        </w:tc>
        <w:tc>
          <w:tcPr>
            <w:tcW w:w="4640" w:type="dxa"/>
            <w:vAlign w:val="bottom"/>
            <w:gridSpan w:val="5"/>
          </w:tcPr>
          <w:p>
            <w:pPr>
              <w:jc w:val="center"/>
              <w:ind w:right="240"/>
              <w:spacing w:after="0"/>
              <w:rPr>
                <w:sz w:val="20"/>
                <w:szCs w:val="20"/>
                <w:color w:val="auto"/>
              </w:rPr>
            </w:pPr>
            <w:r>
              <w:rPr>
                <w:rFonts w:ascii="Arial" w:cs="Arial" w:eastAsia="Arial" w:hAnsi="Arial"/>
                <w:sz w:val="12"/>
                <w:szCs w:val="12"/>
                <w:color w:val="auto"/>
                <w:w w:val="92"/>
              </w:rPr>
              <w:t>(Commission File Number)</w:t>
            </w:r>
          </w:p>
        </w:tc>
        <w:tc>
          <w:tcPr>
            <w:tcW w:w="1860" w:type="dxa"/>
            <w:vAlign w:val="bottom"/>
            <w:gridSpan w:val="5"/>
          </w:tcPr>
          <w:p>
            <w:pPr>
              <w:jc w:val="center"/>
              <w:ind w:left="900"/>
              <w:spacing w:after="0"/>
              <w:rPr>
                <w:sz w:val="20"/>
                <w:szCs w:val="20"/>
                <w:color w:val="auto"/>
              </w:rPr>
            </w:pPr>
            <w:r>
              <w:rPr>
                <w:rFonts w:ascii="Arial" w:cs="Arial" w:eastAsia="Arial" w:hAnsi="Arial"/>
                <w:sz w:val="12"/>
                <w:szCs w:val="12"/>
                <w:color w:val="auto"/>
                <w:w w:val="94"/>
              </w:rPr>
              <w:t>(IRS Employer</w:t>
            </w:r>
          </w:p>
        </w:tc>
      </w:tr>
      <w:tr>
        <w:trPr>
          <w:trHeight w:val="153"/>
        </w:trPr>
        <w:tc>
          <w:tcPr>
            <w:tcW w:w="2600" w:type="dxa"/>
            <w:vAlign w:val="bottom"/>
            <w:gridSpan w:val="3"/>
          </w:tcPr>
          <w:p>
            <w:pPr>
              <w:jc w:val="center"/>
              <w:ind w:right="700"/>
              <w:spacing w:after="0"/>
              <w:rPr>
                <w:sz w:val="20"/>
                <w:szCs w:val="20"/>
                <w:color w:val="auto"/>
              </w:rPr>
            </w:pPr>
            <w:r>
              <w:rPr>
                <w:rFonts w:ascii="Arial" w:cs="Arial" w:eastAsia="Arial" w:hAnsi="Arial"/>
                <w:sz w:val="12"/>
                <w:szCs w:val="12"/>
                <w:color w:val="auto"/>
                <w:w w:val="95"/>
              </w:rPr>
              <w:t>incorporation)</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60" w:type="dxa"/>
            <w:vAlign w:val="bottom"/>
            <w:gridSpan w:val="5"/>
          </w:tcPr>
          <w:p>
            <w:pPr>
              <w:jc w:val="center"/>
              <w:ind w:left="900"/>
              <w:spacing w:after="0"/>
              <w:rPr>
                <w:sz w:val="20"/>
                <w:szCs w:val="20"/>
                <w:color w:val="auto"/>
              </w:rPr>
            </w:pPr>
            <w:r>
              <w:rPr>
                <w:rFonts w:ascii="Arial" w:cs="Arial" w:eastAsia="Arial" w:hAnsi="Arial"/>
                <w:sz w:val="12"/>
                <w:szCs w:val="12"/>
                <w:color w:val="auto"/>
                <w:w w:val="96"/>
              </w:rPr>
              <w:t>Identification No.)</w:t>
            </w:r>
          </w:p>
        </w:tc>
      </w:tr>
      <w:tr>
        <w:trPr>
          <w:trHeight w:val="276"/>
        </w:trPr>
        <w:tc>
          <w:tcPr>
            <w:tcW w:w="2600" w:type="dxa"/>
            <w:vAlign w:val="bottom"/>
            <w:gridSpan w:val="3"/>
          </w:tcPr>
          <w:p>
            <w:pPr>
              <w:jc w:val="center"/>
              <w:ind w:right="700"/>
              <w:spacing w:after="0"/>
              <w:rPr>
                <w:sz w:val="20"/>
                <w:szCs w:val="20"/>
                <w:color w:val="auto"/>
              </w:rPr>
            </w:pPr>
            <w:r>
              <w:rPr>
                <w:rFonts w:ascii="Arial" w:cs="Arial" w:eastAsia="Arial" w:hAnsi="Arial"/>
                <w:sz w:val="12"/>
                <w:szCs w:val="12"/>
                <w:b w:val="1"/>
                <w:bCs w:val="1"/>
                <w:color w:val="auto"/>
                <w:w w:val="88"/>
              </w:rPr>
              <w:t>3200 Southwest Freeway</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4"/>
        </w:trPr>
        <w:tc>
          <w:tcPr>
            <w:tcW w:w="2600" w:type="dxa"/>
            <w:vAlign w:val="bottom"/>
            <w:gridSpan w:val="3"/>
          </w:tcPr>
          <w:p>
            <w:pPr>
              <w:jc w:val="center"/>
              <w:ind w:right="700"/>
              <w:spacing w:after="0"/>
              <w:rPr>
                <w:sz w:val="20"/>
                <w:szCs w:val="20"/>
                <w:color w:val="auto"/>
              </w:rPr>
            </w:pPr>
            <w:r>
              <w:rPr>
                <w:rFonts w:ascii="Arial" w:cs="Arial" w:eastAsia="Arial" w:hAnsi="Arial"/>
                <w:sz w:val="12"/>
                <w:szCs w:val="12"/>
                <w:b w:val="1"/>
                <w:bCs w:val="1"/>
                <w:color w:val="auto"/>
                <w:w w:val="90"/>
              </w:rPr>
              <w:t>Suite 2240</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9"/>
        </w:trPr>
        <w:tc>
          <w:tcPr>
            <w:tcW w:w="2600" w:type="dxa"/>
            <w:vAlign w:val="bottom"/>
            <w:gridSpan w:val="3"/>
          </w:tcPr>
          <w:p>
            <w:pPr>
              <w:jc w:val="center"/>
              <w:ind w:right="700"/>
              <w:spacing w:after="0" w:line="110" w:lineRule="exact"/>
              <w:rPr>
                <w:sz w:val="20"/>
                <w:szCs w:val="20"/>
                <w:color w:val="auto"/>
              </w:rPr>
            </w:pPr>
            <w:r>
              <w:rPr>
                <w:rFonts w:ascii="Arial" w:cs="Arial" w:eastAsia="Arial" w:hAnsi="Arial"/>
                <w:sz w:val="12"/>
                <w:szCs w:val="12"/>
                <w:b w:val="1"/>
                <w:bCs w:val="1"/>
                <w:color w:val="auto"/>
                <w:w w:val="87"/>
              </w:rPr>
              <w:t>Houston, Texas</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00" w:type="dxa"/>
            <w:vAlign w:val="bottom"/>
            <w:gridSpan w:val="4"/>
          </w:tcPr>
          <w:p>
            <w:pPr>
              <w:jc w:val="right"/>
              <w:ind w:right="140"/>
              <w:spacing w:after="0" w:line="120" w:lineRule="exact"/>
              <w:rPr>
                <w:sz w:val="20"/>
                <w:szCs w:val="20"/>
                <w:color w:val="auto"/>
              </w:rPr>
            </w:pPr>
            <w:r>
              <w:rPr>
                <w:rFonts w:ascii="Arial" w:cs="Arial" w:eastAsia="Arial" w:hAnsi="Arial"/>
                <w:sz w:val="12"/>
                <w:szCs w:val="12"/>
                <w:b w:val="1"/>
                <w:bCs w:val="1"/>
                <w:color w:val="auto"/>
              </w:rPr>
              <w:t>77027</w:t>
            </w:r>
          </w:p>
        </w:tc>
        <w:tc>
          <w:tcPr>
            <w:tcW w:w="160" w:type="dxa"/>
            <w:vAlign w:val="bottom"/>
          </w:tcPr>
          <w:p>
            <w:pPr>
              <w:spacing w:after="0"/>
              <w:rPr>
                <w:sz w:val="12"/>
                <w:szCs w:val="12"/>
                <w:color w:val="auto"/>
              </w:rPr>
            </w:pPr>
          </w:p>
        </w:tc>
      </w:tr>
      <w:tr>
        <w:trPr>
          <w:trHeight w:val="20"/>
        </w:trPr>
        <w:tc>
          <w:tcPr>
            <w:tcW w:w="260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60"/>
        </w:trPr>
        <w:tc>
          <w:tcPr>
            <w:tcW w:w="2600" w:type="dxa"/>
            <w:vAlign w:val="bottom"/>
            <w:gridSpan w:val="3"/>
          </w:tcPr>
          <w:p>
            <w:pPr>
              <w:jc w:val="center"/>
              <w:ind w:right="700"/>
              <w:spacing w:after="0"/>
              <w:rPr>
                <w:sz w:val="20"/>
                <w:szCs w:val="20"/>
                <w:color w:val="auto"/>
              </w:rPr>
            </w:pPr>
            <w:r>
              <w:rPr>
                <w:rFonts w:ascii="Arial" w:cs="Arial" w:eastAsia="Arial" w:hAnsi="Arial"/>
                <w:sz w:val="12"/>
                <w:szCs w:val="12"/>
                <w:color w:val="auto"/>
                <w:w w:val="92"/>
              </w:rPr>
              <w:t>(Address of principal executive offices)</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4"/>
          </w:tcPr>
          <w:p>
            <w:pPr>
              <w:jc w:val="center"/>
              <w:ind w:right="160"/>
              <w:spacing w:after="0"/>
              <w:rPr>
                <w:sz w:val="20"/>
                <w:szCs w:val="20"/>
                <w:color w:val="auto"/>
              </w:rPr>
            </w:pPr>
            <w:r>
              <w:rPr>
                <w:rFonts w:ascii="Arial" w:cs="Arial" w:eastAsia="Arial" w:hAnsi="Arial"/>
                <w:sz w:val="12"/>
                <w:szCs w:val="12"/>
                <w:color w:val="auto"/>
                <w:w w:val="95"/>
              </w:rPr>
              <w:t>(Zip Code)</w:t>
            </w:r>
          </w:p>
        </w:tc>
      </w:tr>
      <w:tr>
        <w:trPr>
          <w:trHeight w:val="280"/>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4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2"/>
              </w:rPr>
              <w:t>(713) 400-6400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3"/>
        </w:trPr>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40" w:type="dxa"/>
            <w:vAlign w:val="bottom"/>
            <w:gridSpan w:val="5"/>
          </w:tcPr>
          <w:p>
            <w:pPr>
              <w:jc w:val="center"/>
              <w:ind w:right="260"/>
              <w:spacing w:after="0"/>
              <w:rPr>
                <w:sz w:val="20"/>
                <w:szCs w:val="20"/>
                <w:color w:val="auto"/>
              </w:rPr>
            </w:pPr>
            <w:r>
              <w:rPr>
                <w:rFonts w:ascii="Arial" w:cs="Arial" w:eastAsia="Arial" w:hAnsi="Arial"/>
                <w:sz w:val="12"/>
                <w:szCs w:val="12"/>
                <w:color w:val="auto"/>
                <w:w w:val="89"/>
              </w:rPr>
              <w:t>Registrant’s telephone number, including area code</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2"/>
        </w:trPr>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N/A</w:t>
            </w:r>
          </w:p>
        </w:tc>
        <w:tc>
          <w:tcPr>
            <w:tcW w:w="234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51"/>
        </w:trPr>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40" w:type="dxa"/>
            <w:vAlign w:val="bottom"/>
            <w:gridSpan w:val="5"/>
          </w:tcPr>
          <w:p>
            <w:pPr>
              <w:jc w:val="center"/>
              <w:ind w:right="240"/>
              <w:spacing w:after="0"/>
              <w:rPr>
                <w:sz w:val="20"/>
                <w:szCs w:val="20"/>
                <w:color w:val="auto"/>
              </w:rPr>
            </w:pPr>
            <w:r>
              <w:rPr>
                <w:rFonts w:ascii="Arial" w:cs="Arial" w:eastAsia="Arial" w:hAnsi="Arial"/>
                <w:sz w:val="12"/>
                <w:szCs w:val="12"/>
                <w:color w:val="auto"/>
                <w:w w:val="90"/>
              </w:rPr>
              <w:t>(Former name or former address, if changed since last report)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bl>
    <w:p>
      <w:pPr>
        <w:spacing w:after="0" w:line="136"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is intended to simultaneously satisfy the filing obligation of the registrant under any of the following provisions:</w:t>
      </w:r>
    </w:p>
    <w:p>
      <w:pPr>
        <w:spacing w:after="0" w:line="151" w:lineRule="exact"/>
        <w:rPr>
          <w:sz w:val="24"/>
          <w:szCs w:val="24"/>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1" w:lineRule="exact"/>
        <w:rPr>
          <w:sz w:val="24"/>
          <w:szCs w:val="24"/>
          <w:color w:val="auto"/>
        </w:rPr>
      </w:pPr>
    </w:p>
    <w:p>
      <w:pPr>
        <w:ind w:left="8" w:right="240"/>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7292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399415</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8"/>
          </w:cols>
          <w:pgMar w:left="212" w:top="569" w:right="27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155" w:lineRule="exact"/>
        <w:rPr>
          <w:sz w:val="20"/>
          <w:szCs w:val="20"/>
          <w:color w:val="auto"/>
        </w:rPr>
      </w:pPr>
    </w:p>
    <w:p>
      <w:pPr>
        <w:jc w:val="both"/>
        <w:ind w:right="20" w:firstLine="295"/>
        <w:spacing w:after="0" w:line="264" w:lineRule="auto"/>
        <w:rPr>
          <w:sz w:val="20"/>
          <w:szCs w:val="20"/>
          <w:color w:val="auto"/>
        </w:rPr>
      </w:pPr>
      <w:r>
        <w:rPr>
          <w:rFonts w:ascii="Arial" w:cs="Arial" w:eastAsia="Arial" w:hAnsi="Arial"/>
          <w:sz w:val="12"/>
          <w:szCs w:val="12"/>
          <w:color w:val="auto"/>
        </w:rPr>
        <w:t xml:space="preserve">On February 25, 2019, Marker Therapeutics, Inc. (“Marker” or the “Company”) issued a press release announcing a clinical update from four clinical trials using the Company’s multi-antigen targeted T cell (MultiTAA) therapies. The data was reviewed in oral and poster presentations at the Transplantation &amp; Cellular Therapy (“TCT”) Meetings of the American Society for Blood and Marrow Transplantation and the </w:t>
      </w:r>
      <w:r>
        <w:rPr>
          <w:rFonts w:ascii="Arial" w:cs="Arial" w:eastAsia="Arial" w:hAnsi="Arial"/>
          <w:sz w:val="12"/>
          <w:szCs w:val="12"/>
          <w:i w:val="1"/>
          <w:iCs w:val="1"/>
          <w:color w:val="auto"/>
        </w:rPr>
        <w:t>Center for International Blood and Marrow</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Transplant Research </w:t>
      </w:r>
      <w:r>
        <w:rPr>
          <w:rFonts w:ascii="Arial" w:cs="Arial" w:eastAsia="Arial" w:hAnsi="Arial"/>
          <w:sz w:val="12"/>
          <w:szCs w:val="12"/>
          <w:color w:val="auto"/>
        </w:rPr>
        <w:t>(“ASBMT” and “CIBMTR”) The meetings took place in Houston, Texas from February 20-24, 2019.</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 copy of the press release is attached hereto as Exhibit 99.1 and is incorporated herein by reference.</w:t>
      </w:r>
    </w:p>
    <w:p>
      <w:pPr>
        <w:spacing w:after="0" w:line="151" w:lineRule="exact"/>
        <w:rPr>
          <w:sz w:val="20"/>
          <w:szCs w:val="20"/>
          <w:color w:val="auto"/>
        </w:rPr>
      </w:pPr>
    </w:p>
    <w:p>
      <w:pPr>
        <w:jc w:val="both"/>
        <w:ind w:firstLine="295"/>
        <w:spacing w:after="0" w:line="284" w:lineRule="auto"/>
        <w:rPr>
          <w:sz w:val="20"/>
          <w:szCs w:val="20"/>
          <w:color w:val="auto"/>
        </w:rPr>
      </w:pPr>
      <w:r>
        <w:rPr>
          <w:rFonts w:ascii="Arial" w:cs="Arial" w:eastAsia="Arial" w:hAnsi="Arial"/>
          <w:sz w:val="11"/>
          <w:szCs w:val="11"/>
          <w:color w:val="auto"/>
        </w:rPr>
        <w:t xml:space="preserve">As previously announced by the Company on January 15, 2019, the Center for Cell and Gene Therapy at Baylor College of Medicine presented data from four abstracts at ASBMT and CIBMTR meetings between February 20-February 23, 2019. The presentations include: (i) an oral presentation regarding Targeting Lymphomas Using Non-Engineered, Multi-Antigen-Specific T Cells; (ii) an oral presentation regarding Administering Leukemia-Directed Donor Lymphocytes to Patients with AML or MDS to Prevent or Treat Post-Allogeneic HSCT Relapse; (iii) an oral presentation regarding Adoptive T-Cell Therapy for Acute Lymphoblastic Leukemia Targeting Multiple Tumor-Associated Antigens; and (iv) a poster presentation regarding Safety and Efficacy of Multiantigen-Targeted T Cells for Multiple Myeloma. The studies describe results achieved using multi-tumor antigen specific T cells that were developed at the Baylor College of Medicine in the laboratories of Dr. Ann Leen and Dr. Juan Vera, and exclusively licensed to Marker Therapeutics, Inc. Copies of the presentation and posters are attached hereto as Exhibits 99.2, 99.3, 99.4, and 99.5, respectively. The presentations are available on Marker Therapeutics website at </w:t>
      </w:r>
      <w:r>
        <w:rPr>
          <w:rFonts w:ascii="Arial" w:cs="Arial" w:eastAsia="Arial" w:hAnsi="Arial"/>
          <w:sz w:val="11"/>
          <w:szCs w:val="11"/>
          <w:u w:val="single" w:color="auto"/>
          <w:color w:val="auto"/>
        </w:rPr>
        <w:t>www.markertherapeutics.com</w:t>
      </w:r>
      <w:r>
        <w:rPr>
          <w:rFonts w:ascii="Arial" w:cs="Arial" w:eastAsia="Arial" w:hAnsi="Arial"/>
          <w:sz w:val="11"/>
          <w:szCs w:val="11"/>
          <w:color w:val="auto"/>
        </w:rPr>
        <w:t xml:space="preserve"> under the caption “Recognition.”</w:t>
      </w:r>
    </w:p>
    <w:p>
      <w:pPr>
        <w:spacing w:after="0" w:line="113" w:lineRule="exact"/>
        <w:rPr>
          <w:sz w:val="20"/>
          <w:szCs w:val="20"/>
          <w:color w:val="auto"/>
        </w:rPr>
      </w:pPr>
    </w:p>
    <w:p>
      <w:pPr>
        <w:jc w:val="both"/>
        <w:ind w:right="20" w:firstLine="295"/>
        <w:spacing w:after="0" w:line="264" w:lineRule="auto"/>
        <w:rPr>
          <w:sz w:val="20"/>
          <w:szCs w:val="20"/>
          <w:color w:val="auto"/>
        </w:rPr>
      </w:pPr>
      <w:r>
        <w:rPr>
          <w:rFonts w:ascii="Arial" w:cs="Arial" w:eastAsia="Arial" w:hAnsi="Arial"/>
          <w:sz w:val="12"/>
          <w:szCs w:val="12"/>
          <w:color w:val="auto"/>
        </w:rPr>
        <w:t>The information furnished pursuant to Item 8.01 on this Form 8-K, including Exhibit 99.2, 99.3 and 99.4 and 99.5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18" w:lineRule="exact"/>
        <w:rPr>
          <w:sz w:val="20"/>
          <w:szCs w:val="20"/>
          <w:color w:val="auto"/>
        </w:rPr>
      </w:pPr>
    </w:p>
    <w:p>
      <w:pPr>
        <w:spacing w:after="0"/>
        <w:tabs>
          <w:tab w:leader="none" w:pos="10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(d) Exhibits.</w:t>
            </w: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89"/>
        </w:trPr>
        <w:tc>
          <w:tcPr>
            <w:tcW w:w="1260" w:type="dxa"/>
            <w:vAlign w:val="bottom"/>
            <w:gridSpan w:val="3"/>
          </w:tcPr>
          <w:p>
            <w:pPr>
              <w:jc w:val="center"/>
              <w:ind w:right="20"/>
              <w:spacing w:after="0"/>
              <w:rPr>
                <w:sz w:val="20"/>
                <w:szCs w:val="20"/>
                <w:color w:val="auto"/>
              </w:rPr>
            </w:pPr>
            <w:r>
              <w:rPr>
                <w:rFonts w:ascii="Arial" w:cs="Arial" w:eastAsia="Arial" w:hAnsi="Arial"/>
                <w:sz w:val="12"/>
                <w:szCs w:val="12"/>
                <w:color w:val="auto"/>
                <w:w w:val="96"/>
              </w:rPr>
              <w:t>Exhibit No.</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180" w:type="dxa"/>
            <w:vAlign w:val="bottom"/>
            <w:gridSpan w:val="5"/>
          </w:tcPr>
          <w:p>
            <w:pPr>
              <w:ind w:left="2780"/>
              <w:spacing w:after="0"/>
              <w:rPr>
                <w:sz w:val="20"/>
                <w:szCs w:val="20"/>
                <w:color w:val="auto"/>
              </w:rPr>
            </w:pPr>
            <w:r>
              <w:rPr>
                <w:rFonts w:ascii="Arial" w:cs="Arial" w:eastAsia="Arial" w:hAnsi="Arial"/>
                <w:sz w:val="12"/>
                <w:szCs w:val="12"/>
                <w:color w:val="auto"/>
              </w:rPr>
              <w:t>Description</w:t>
            </w:r>
          </w:p>
        </w:tc>
      </w:tr>
      <w:tr>
        <w:trPr>
          <w:trHeight w:val="262"/>
        </w:trPr>
        <w:tc>
          <w:tcPr>
            <w:tcW w:w="720" w:type="dxa"/>
            <w:vAlign w:val="bottom"/>
            <w:gridSpan w:val="2"/>
          </w:tcPr>
          <w:p>
            <w:pPr>
              <w:jc w:val="center"/>
              <w:ind w:left="460"/>
              <w:spacing w:after="0"/>
              <w:rPr>
                <w:rFonts w:ascii="Arial" w:cs="Arial" w:eastAsia="Arial" w:hAnsi="Arial"/>
                <w:sz w:val="12"/>
                <w:szCs w:val="12"/>
                <w:color w:val="0000EE"/>
                <w:w w:val="85"/>
              </w:rPr>
            </w:pPr>
            <w:hyperlink w:anchor="page4">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1</w:t>
              </w:r>
            </w:hyperlink>
          </w:p>
        </w:tc>
        <w:tc>
          <w:tcPr>
            <w:tcW w:w="540" w:type="dxa"/>
            <w:vAlign w:val="bottom"/>
          </w:tcPr>
          <w:p>
            <w:pPr>
              <w:spacing w:after="0"/>
              <w:rPr>
                <w:sz w:val="22"/>
                <w:szCs w:val="22"/>
                <w:color w:val="auto"/>
              </w:rPr>
            </w:pPr>
          </w:p>
        </w:tc>
        <w:tc>
          <w:tcPr>
            <w:tcW w:w="10220" w:type="dxa"/>
            <w:vAlign w:val="bottom"/>
            <w:gridSpan w:val="7"/>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Press release issued on February 25, 2019.</w:t>
              </w:r>
            </w:hyperlink>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9"/>
        </w:trPr>
        <w:tc>
          <w:tcPr>
            <w:tcW w:w="720" w:type="dxa"/>
            <w:vAlign w:val="bottom"/>
            <w:gridSpan w:val="2"/>
          </w:tcPr>
          <w:p>
            <w:pPr>
              <w:jc w:val="center"/>
              <w:ind w:left="460"/>
              <w:spacing w:after="0"/>
              <w:rPr>
                <w:rFonts w:ascii="Arial" w:cs="Arial" w:eastAsia="Arial" w:hAnsi="Arial"/>
                <w:sz w:val="12"/>
                <w:szCs w:val="12"/>
                <w:color w:val="0000EE"/>
                <w:w w:val="85"/>
              </w:rPr>
            </w:pPr>
            <w:hyperlink w:anchor="page8">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2</w:t>
              </w:r>
            </w:hyperlink>
          </w:p>
        </w:tc>
        <w:tc>
          <w:tcPr>
            <w:tcW w:w="540" w:type="dxa"/>
            <w:vAlign w:val="bottom"/>
          </w:tcPr>
          <w:p>
            <w:pPr>
              <w:spacing w:after="0"/>
              <w:rPr>
                <w:sz w:val="23"/>
                <w:szCs w:val="23"/>
                <w:color w:val="auto"/>
              </w:rPr>
            </w:pPr>
          </w:p>
        </w:tc>
        <w:tc>
          <w:tcPr>
            <w:tcW w:w="260" w:type="dxa"/>
            <w:vAlign w:val="bottom"/>
          </w:tcPr>
          <w:p>
            <w:pPr>
              <w:spacing w:after="0"/>
              <w:rPr>
                <w:rFonts w:ascii="Arial" w:cs="Arial" w:eastAsia="Arial" w:hAnsi="Arial"/>
                <w:sz w:val="12"/>
                <w:szCs w:val="12"/>
                <w:color w:val="0000EE"/>
                <w:w w:val="89"/>
              </w:rPr>
            </w:pPr>
            <w:hyperlink w:anchor="page8">
              <w:r>
                <w:rPr>
                  <w:rFonts w:ascii="Arial" w:cs="Arial" w:eastAsia="Arial" w:hAnsi="Arial"/>
                  <w:sz w:val="12"/>
                  <w:szCs w:val="12"/>
                  <w:color w:val="0000EE"/>
                  <w:w w:val="89"/>
                </w:rPr>
                <w:t>2019</w:t>
              </w:r>
            </w:hyperlink>
          </w:p>
        </w:tc>
        <w:tc>
          <w:tcPr>
            <w:tcW w:w="9960" w:type="dxa"/>
            <w:vAlign w:val="bottom"/>
            <w:gridSpan w:val="6"/>
          </w:tcPr>
          <w:p>
            <w:pPr>
              <w:spacing w:after="0"/>
              <w:rPr>
                <w:rFonts w:ascii="Arial" w:cs="Arial" w:eastAsia="Arial" w:hAnsi="Arial"/>
                <w:sz w:val="12"/>
                <w:szCs w:val="12"/>
                <w:color w:val="0000EE"/>
              </w:rPr>
            </w:pPr>
            <w:hyperlink w:anchor="page8">
              <w:r>
                <w:rPr>
                  <w:rFonts w:ascii="Arial" w:cs="Arial" w:eastAsia="Arial" w:hAnsi="Arial"/>
                  <w:sz w:val="12"/>
                  <w:szCs w:val="12"/>
                  <w:color w:val="0000EE"/>
                </w:rPr>
                <w:t>TCT Meeting Presentation- Targeting Lymphomas Using Non-Engineered, Multi-Antigen-Specific T Cells.*</w:t>
              </w:r>
            </w:hyperlink>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9"/>
        </w:trPr>
        <w:tc>
          <w:tcPr>
            <w:tcW w:w="720" w:type="dxa"/>
            <w:vAlign w:val="bottom"/>
            <w:gridSpan w:val="2"/>
          </w:tcPr>
          <w:p>
            <w:pPr>
              <w:jc w:val="center"/>
              <w:ind w:left="460"/>
              <w:spacing w:after="0"/>
              <w:rPr>
                <w:rFonts w:ascii="Arial" w:cs="Arial" w:eastAsia="Arial" w:hAnsi="Arial"/>
                <w:sz w:val="12"/>
                <w:szCs w:val="12"/>
                <w:color w:val="0000EE"/>
                <w:w w:val="85"/>
              </w:rPr>
            </w:pPr>
            <w:hyperlink w:anchor="page30">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3</w:t>
              </w:r>
            </w:hyperlink>
          </w:p>
        </w:tc>
        <w:tc>
          <w:tcPr>
            <w:tcW w:w="540" w:type="dxa"/>
            <w:vAlign w:val="bottom"/>
          </w:tcPr>
          <w:p>
            <w:pPr>
              <w:spacing w:after="0"/>
              <w:rPr>
                <w:sz w:val="23"/>
                <w:szCs w:val="23"/>
                <w:color w:val="auto"/>
              </w:rPr>
            </w:pPr>
          </w:p>
        </w:tc>
        <w:tc>
          <w:tcPr>
            <w:tcW w:w="260" w:type="dxa"/>
            <w:vAlign w:val="bottom"/>
          </w:tcPr>
          <w:p>
            <w:pPr>
              <w:spacing w:after="0"/>
              <w:rPr>
                <w:rFonts w:ascii="Arial" w:cs="Arial" w:eastAsia="Arial" w:hAnsi="Arial"/>
                <w:sz w:val="12"/>
                <w:szCs w:val="12"/>
                <w:color w:val="0000EE"/>
                <w:w w:val="89"/>
              </w:rPr>
            </w:pPr>
            <w:hyperlink w:anchor="page30">
              <w:r>
                <w:rPr>
                  <w:rFonts w:ascii="Arial" w:cs="Arial" w:eastAsia="Arial" w:hAnsi="Arial"/>
                  <w:sz w:val="12"/>
                  <w:szCs w:val="12"/>
                  <w:color w:val="0000EE"/>
                  <w:w w:val="89"/>
                </w:rPr>
                <w:t>2019</w:t>
              </w:r>
            </w:hyperlink>
          </w:p>
        </w:tc>
        <w:tc>
          <w:tcPr>
            <w:tcW w:w="9960" w:type="dxa"/>
            <w:vAlign w:val="bottom"/>
            <w:gridSpan w:val="6"/>
          </w:tcPr>
          <w:p>
            <w:pPr>
              <w:spacing w:after="0"/>
              <w:rPr>
                <w:rFonts w:ascii="Arial" w:cs="Arial" w:eastAsia="Arial" w:hAnsi="Arial"/>
                <w:sz w:val="12"/>
                <w:szCs w:val="12"/>
                <w:color w:val="0000EE"/>
              </w:rPr>
            </w:pPr>
            <w:hyperlink w:anchor="page30">
              <w:r>
                <w:rPr>
                  <w:rFonts w:ascii="Arial" w:cs="Arial" w:eastAsia="Arial" w:hAnsi="Arial"/>
                  <w:sz w:val="12"/>
                  <w:szCs w:val="12"/>
                  <w:color w:val="0000EE"/>
                </w:rPr>
                <w:t>TCT Meeting Presentation- Administering Leukemia-Directed Donor Lymphocytes to Patients with AML or MDS to Prevent or Treat Post-Allogeneic HSCT Relapse. *</w:t>
              </w:r>
            </w:hyperlink>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9"/>
        </w:trPr>
        <w:tc>
          <w:tcPr>
            <w:tcW w:w="720" w:type="dxa"/>
            <w:vAlign w:val="bottom"/>
            <w:gridSpan w:val="2"/>
          </w:tcPr>
          <w:p>
            <w:pPr>
              <w:jc w:val="center"/>
              <w:ind w:left="460"/>
              <w:spacing w:after="0"/>
              <w:rPr>
                <w:rFonts w:ascii="Arial" w:cs="Arial" w:eastAsia="Arial" w:hAnsi="Arial"/>
                <w:sz w:val="12"/>
                <w:szCs w:val="12"/>
                <w:color w:val="0000EE"/>
                <w:w w:val="85"/>
              </w:rPr>
            </w:pPr>
            <w:hyperlink w:anchor="page56">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4</w:t>
              </w:r>
            </w:hyperlink>
          </w:p>
        </w:tc>
        <w:tc>
          <w:tcPr>
            <w:tcW w:w="540" w:type="dxa"/>
            <w:vAlign w:val="bottom"/>
          </w:tcPr>
          <w:p>
            <w:pPr>
              <w:spacing w:after="0"/>
              <w:rPr>
                <w:sz w:val="23"/>
                <w:szCs w:val="23"/>
                <w:color w:val="auto"/>
              </w:rPr>
            </w:pPr>
          </w:p>
        </w:tc>
        <w:tc>
          <w:tcPr>
            <w:tcW w:w="260" w:type="dxa"/>
            <w:vAlign w:val="bottom"/>
          </w:tcPr>
          <w:p>
            <w:pPr>
              <w:spacing w:after="0"/>
              <w:rPr>
                <w:rFonts w:ascii="Arial" w:cs="Arial" w:eastAsia="Arial" w:hAnsi="Arial"/>
                <w:sz w:val="12"/>
                <w:szCs w:val="12"/>
                <w:color w:val="0000EE"/>
                <w:w w:val="89"/>
              </w:rPr>
            </w:pPr>
            <w:hyperlink w:anchor="page56">
              <w:r>
                <w:rPr>
                  <w:rFonts w:ascii="Arial" w:cs="Arial" w:eastAsia="Arial" w:hAnsi="Arial"/>
                  <w:sz w:val="12"/>
                  <w:szCs w:val="12"/>
                  <w:color w:val="0000EE"/>
                  <w:w w:val="89"/>
                </w:rPr>
                <w:t>2019</w:t>
              </w:r>
            </w:hyperlink>
          </w:p>
        </w:tc>
        <w:tc>
          <w:tcPr>
            <w:tcW w:w="9960" w:type="dxa"/>
            <w:vAlign w:val="bottom"/>
            <w:gridSpan w:val="6"/>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TCT Meeting Presentation- Adoptive T-Cell Therapy for Acute Lymphoblastic Leukemia Targeting Multiple Tumor-Associated Antigens.*</w:t>
              </w:r>
            </w:hyperlink>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6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269"/>
        </w:trPr>
        <w:tc>
          <w:tcPr>
            <w:tcW w:w="720" w:type="dxa"/>
            <w:vAlign w:val="bottom"/>
            <w:gridSpan w:val="2"/>
          </w:tcPr>
          <w:p>
            <w:pPr>
              <w:jc w:val="center"/>
              <w:ind w:left="460"/>
              <w:spacing w:after="0"/>
              <w:rPr>
                <w:rFonts w:ascii="Arial" w:cs="Arial" w:eastAsia="Arial" w:hAnsi="Arial"/>
                <w:sz w:val="12"/>
                <w:szCs w:val="12"/>
                <w:color w:val="0000EE"/>
                <w:w w:val="85"/>
              </w:rPr>
            </w:pPr>
            <w:hyperlink w:anchor="page73">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5</w:t>
              </w:r>
            </w:hyperlink>
          </w:p>
        </w:tc>
        <w:tc>
          <w:tcPr>
            <w:tcW w:w="540" w:type="dxa"/>
            <w:vAlign w:val="bottom"/>
          </w:tcPr>
          <w:p>
            <w:pPr>
              <w:spacing w:after="0"/>
              <w:rPr>
                <w:sz w:val="23"/>
                <w:szCs w:val="23"/>
                <w:color w:val="auto"/>
              </w:rPr>
            </w:pPr>
          </w:p>
        </w:tc>
        <w:tc>
          <w:tcPr>
            <w:tcW w:w="260" w:type="dxa"/>
            <w:vAlign w:val="bottom"/>
          </w:tcPr>
          <w:p>
            <w:pPr>
              <w:spacing w:after="0"/>
              <w:rPr>
                <w:rFonts w:ascii="Arial" w:cs="Arial" w:eastAsia="Arial" w:hAnsi="Arial"/>
                <w:sz w:val="12"/>
                <w:szCs w:val="12"/>
                <w:color w:val="0000EE"/>
                <w:w w:val="89"/>
              </w:rPr>
            </w:pPr>
            <w:hyperlink w:anchor="page73">
              <w:r>
                <w:rPr>
                  <w:rFonts w:ascii="Arial" w:cs="Arial" w:eastAsia="Arial" w:hAnsi="Arial"/>
                  <w:sz w:val="12"/>
                  <w:szCs w:val="12"/>
                  <w:color w:val="0000EE"/>
                  <w:w w:val="89"/>
                </w:rPr>
                <w:t>2019</w:t>
              </w:r>
            </w:hyperlink>
          </w:p>
        </w:tc>
        <w:tc>
          <w:tcPr>
            <w:tcW w:w="9960" w:type="dxa"/>
            <w:vAlign w:val="bottom"/>
            <w:gridSpan w:val="6"/>
          </w:tcPr>
          <w:p>
            <w:pPr>
              <w:spacing w:after="0"/>
              <w:rPr>
                <w:rFonts w:ascii="Arial" w:cs="Arial" w:eastAsia="Arial" w:hAnsi="Arial"/>
                <w:sz w:val="12"/>
                <w:szCs w:val="12"/>
                <w:color w:val="0000EE"/>
              </w:rPr>
            </w:pPr>
            <w:hyperlink w:anchor="page73">
              <w:r>
                <w:rPr>
                  <w:rFonts w:ascii="Arial" w:cs="Arial" w:eastAsia="Arial" w:hAnsi="Arial"/>
                  <w:sz w:val="12"/>
                  <w:szCs w:val="12"/>
                  <w:color w:val="0000EE"/>
                </w:rPr>
                <w:t>TCT Meeting Poster Presentation- Safety and Efficacy of Multiantigen-Targeted T Cells for Multiple Myeloma.*</w:t>
              </w:r>
            </w:hyperlink>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96"/>
        </w:trPr>
        <w:tc>
          <w:tcPr>
            <w:tcW w:w="1260" w:type="dxa"/>
            <w:vAlign w:val="bottom"/>
            <w:gridSpan w:val="3"/>
          </w:tcPr>
          <w:p>
            <w:pPr>
              <w:spacing w:after="0"/>
              <w:rPr>
                <w:sz w:val="20"/>
                <w:szCs w:val="20"/>
                <w:color w:val="auto"/>
              </w:rPr>
            </w:pPr>
            <w:r>
              <w:rPr>
                <w:rFonts w:ascii="Arial" w:cs="Arial" w:eastAsia="Arial" w:hAnsi="Arial"/>
                <w:sz w:val="12"/>
                <w:szCs w:val="12"/>
                <w:color w:val="auto"/>
              </w:rPr>
              <w:t>*Furnished herewith.</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7"/>
        </w:trPr>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0"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accordance with the requirements of the Exchange Act, the registrant caused this report to be signed on its behalf by the undersigned, thereunto duly authorized on this 25</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day of February, 2019.</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MARKER THERAPEUTICS, INC.</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(Registrant)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ind w:left="5740"/>
              <w:spacing w:after="0"/>
              <w:rPr>
                <w:sz w:val="20"/>
                <w:szCs w:val="20"/>
                <w:color w:val="auto"/>
              </w:rPr>
            </w:pPr>
            <w:r>
              <w:rPr>
                <w:rFonts w:ascii="Arial" w:cs="Arial" w:eastAsia="Arial" w:hAnsi="Arial"/>
                <w:sz w:val="12"/>
                <w:szCs w:val="12"/>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Loiacono</w:t>
            </w:r>
          </w:p>
        </w:tc>
        <w:tc>
          <w:tcPr>
            <w:tcW w:w="1840" w:type="dxa"/>
            <w:vAlign w:val="bottom"/>
          </w:tcPr>
          <w:p>
            <w:pPr>
              <w:spacing w:after="0"/>
              <w:rPr>
                <w:sz w:val="13"/>
                <w:szCs w:val="13"/>
                <w:color w:val="auto"/>
              </w:rPr>
            </w:pPr>
          </w:p>
        </w:tc>
      </w:tr>
      <w:tr>
        <w:trPr>
          <w:trHeight w:val="125"/>
        </w:trPr>
        <w:tc>
          <w:tcPr>
            <w:tcW w:w="6200" w:type="dxa"/>
            <w:vAlign w:val="bottom"/>
          </w:tcPr>
          <w:p>
            <w:pPr>
              <w:spacing w:after="0"/>
              <w:rPr>
                <w:sz w:val="10"/>
                <w:szCs w:val="10"/>
                <w:color w:val="auto"/>
              </w:rPr>
            </w:pPr>
          </w:p>
        </w:tc>
        <w:tc>
          <w:tcPr>
            <w:tcW w:w="3440" w:type="dxa"/>
            <w:vAlign w:val="bottom"/>
          </w:tcPr>
          <w:p>
            <w:pPr>
              <w:spacing w:after="0" w:line="125" w:lineRule="exact"/>
              <w:rPr>
                <w:sz w:val="20"/>
                <w:szCs w:val="20"/>
                <w:color w:val="auto"/>
              </w:rPr>
            </w:pPr>
            <w:r>
              <w:rPr>
                <w:rFonts w:ascii="Arial" w:cs="Arial" w:eastAsia="Arial" w:hAnsi="Arial"/>
                <w:sz w:val="12"/>
                <w:szCs w:val="12"/>
                <w:color w:val="auto"/>
              </w:rPr>
              <w:t>Michael Loiacono</w:t>
            </w:r>
          </w:p>
        </w:tc>
        <w:tc>
          <w:tcPr>
            <w:tcW w:w="1840" w:type="dxa"/>
            <w:vAlign w:val="bottom"/>
          </w:tcPr>
          <w:p>
            <w:pPr>
              <w:spacing w:after="0"/>
              <w:rPr>
                <w:sz w:val="10"/>
                <w:szCs w:val="10"/>
                <w:color w:val="auto"/>
              </w:rPr>
            </w:pPr>
          </w:p>
        </w:tc>
      </w:tr>
      <w:tr>
        <w:trPr>
          <w:trHeight w:val="153"/>
        </w:trPr>
        <w:tc>
          <w:tcPr>
            <w:tcW w:w="62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Chief Accounting Officer</w:t>
            </w:r>
          </w:p>
        </w:tc>
        <w:tc>
          <w:tcPr>
            <w:tcW w:w="1840" w:type="dxa"/>
            <w:vAlign w:val="bottom"/>
          </w:tcPr>
          <w:p>
            <w:pPr>
              <w:spacing w:after="0"/>
              <w:rPr>
                <w:sz w:val="13"/>
                <w:szCs w:val="13"/>
                <w:color w:val="auto"/>
              </w:rPr>
            </w:pPr>
          </w:p>
        </w:tc>
      </w:tr>
      <w:tr>
        <w:trPr>
          <w:trHeight w:val="596"/>
        </w:trPr>
        <w:tc>
          <w:tcPr>
            <w:tcW w:w="6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650"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115570</wp:posOffset>
            </wp:positionV>
            <wp:extent cx="1381760" cy="309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1760"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Marker Therapeutics Announces Clinical Update at the Transplantation &amp; Cellular Therapy Meetings of ASBMT and CIBMTR 2019</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Houston, TX – February 25, 2019 </w:t>
      </w:r>
      <w:r>
        <w:rPr>
          <w:rFonts w:ascii="Arial" w:cs="Arial" w:eastAsia="Arial" w:hAnsi="Arial"/>
          <w:sz w:val="12"/>
          <w:szCs w:val="12"/>
          <w:color w:val="auto"/>
        </w:rPr>
        <w:t>– Marker Therapeutics, Inc. (NASDAQ:MRKR), a clinical-stage immuno-oncology company specializing in the development of next-generation T cell-based immunotherapies for the treatment of</w:t>
      </w:r>
      <w:r>
        <w:rPr>
          <w:rFonts w:ascii="Arial" w:cs="Arial" w:eastAsia="Arial" w:hAnsi="Arial"/>
          <w:sz w:val="12"/>
          <w:szCs w:val="12"/>
          <w:b w:val="1"/>
          <w:bCs w:val="1"/>
          <w:color w:val="auto"/>
        </w:rPr>
        <w:t xml:space="preserve"> </w:t>
      </w:r>
      <w:r>
        <w:rPr>
          <w:rFonts w:ascii="Arial" w:cs="Arial" w:eastAsia="Arial" w:hAnsi="Arial"/>
          <w:sz w:val="12"/>
          <w:szCs w:val="12"/>
          <w:color w:val="auto"/>
        </w:rPr>
        <w:t>hematological malignancies and solid tumor indications, today announced updated data from four clinical trials using the Company’s multi-antigen targeted T cell (MultiTAA) therapies. The data was reviewed in oral and poster presentations at the Transplantation &amp; Cellular Therapy Meetings of ASBMT and CIBMTR 2019 which took place in Houston, TX from February 20-24. Among the highlights, were results from an ongoing study including patients with acute myeloid leukemia (AML), which were reviewed in an oral presentation by Dr. Premal Lulla, M.B.B.S., Assistant Professor of Medicine, Baylor College of Medicine.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continue to be highly encouraged by the clinical results we’ve seen to date with our MultiTAA therapies. In AML, we believe we are seeing increasing evidence of meaningful therapeutic benefit for patients with limited treatment alternatives. Our MultiTAA therapy appears to be safe and well-tolerated with the potential to mediate a meaningful anti-tumor effect, in addition to demonstrating a compelling correlation between therapeutic responses, with superior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vivo </w:t>
      </w:r>
      <w:r>
        <w:rPr>
          <w:rFonts w:ascii="Arial" w:cs="Arial" w:eastAsia="Arial" w:hAnsi="Arial"/>
          <w:sz w:val="12"/>
          <w:szCs w:val="12"/>
          <w:color w:val="auto"/>
        </w:rPr>
        <w:t>expansion of our T cells,” said Peter L. Hoang, President &amp; CEO of Marker Therapeutics. “Similarly, the studies ongoing in acute lymphoblastic leukemia, or ALL, lymphoma and multiple myeloma continue to demonstrate positive</w:t>
      </w:r>
      <w:r>
        <w:rPr>
          <w:rFonts w:ascii="Arial" w:cs="Arial" w:eastAsia="Arial" w:hAnsi="Arial"/>
          <w:sz w:val="12"/>
          <w:szCs w:val="12"/>
          <w:i w:val="1"/>
          <w:iCs w:val="1"/>
          <w:color w:val="auto"/>
        </w:rPr>
        <w:t xml:space="preserve"> </w:t>
      </w:r>
      <w:r>
        <w:rPr>
          <w:rFonts w:ascii="Arial" w:cs="Arial" w:eastAsia="Arial" w:hAnsi="Arial"/>
          <w:sz w:val="12"/>
          <w:szCs w:val="12"/>
          <w:color w:val="auto"/>
        </w:rPr>
        <w:t>results, and are supportive of the data we presented at ASH in December, importantly with no additional disease relapses. Overall, this data update and our update at ASH 2018 in December collectively have increased our total reported number of patients to 78 as compared to the 57 patients we had reported as of November.”</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AML Study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 Arm A of the AML study, 13 patients at Baylor College of Medicine were dosed with MultiTAA T cells as a maintenance therapy after receiving allogeneic stem cell transplant. Results demonstrated:</w:t>
      </w:r>
    </w:p>
    <w:p>
      <w:pPr>
        <w:spacing w:after="0" w:line="6" w:lineRule="exact"/>
        <w:rPr>
          <w:sz w:val="20"/>
          <w:szCs w:val="20"/>
          <w:color w:val="auto"/>
        </w:rPr>
      </w:pPr>
    </w:p>
    <w:p>
      <w:pPr>
        <w:ind w:left="420" w:hanging="211"/>
        <w:spacing w:after="0" w:line="251"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11 out of 13 patients remain alive, ranging from 6 weeks to 2.5 years post-infusion. Nine of these patients have never relapsed after MultiTAA therapy and continue to remain in complete remission (CR), durable between 6 weeks to 2.5 years;</w:t>
      </w:r>
    </w:p>
    <w:p>
      <w:pPr>
        <w:ind w:left="420" w:hanging="211"/>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Two patients saw local relapse in the central nervous system, but in both cases these patients were successfully treated with local therapy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284" w:right="199" w:bottom="1440" w:gutter="0" w:footer="0" w:header="0"/>
        </w:sectPr>
      </w:pPr>
    </w:p>
    <w:bookmarkStart w:id="4" w:name="page5"/>
    <w:bookmarkEnd w:id="4"/>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One patient saw extramedullary relapse and was subsequently treated in the active disease arm (Arm B) of the trial, generating a CR that was durable for 13 months; and</w:t>
      </w:r>
    </w:p>
    <w:p>
      <w:pPr>
        <w:spacing w:after="0" w:line="15" w:lineRule="exact"/>
        <w:rPr>
          <w:rFonts w:ascii="Arial" w:cs="Arial" w:eastAsia="Arial" w:hAnsi="Arial"/>
          <w:sz w:val="12"/>
          <w:szCs w:val="12"/>
          <w:color w:val="auto"/>
        </w:rPr>
      </w:pPr>
    </w:p>
    <w:p>
      <w:pPr>
        <w:ind w:left="420" w:hanging="211"/>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One patient relapsed 8 months after receiving MultiTAA T cells but following a second allogeneic stem cell transplant this patient remains alive in relapse 1.5 years following his initial T cell infusion.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In Arm B of the AML study, 6 patients suffering from active disease with relapsed/refractory (r/r) AML have been treated, with 1 patient having been treated twice for active disease with MultiTAA T cells;</w:t>
      </w:r>
    </w:p>
    <w:p>
      <w:pPr>
        <w:spacing w:after="0" w:line="15" w:lineRule="exact"/>
        <w:rPr>
          <w:sz w:val="20"/>
          <w:szCs w:val="20"/>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2 patients were non-responsive to MultiTAA therapy and progressed with r/r disease;</w:t>
      </w:r>
    </w:p>
    <w:p>
      <w:pPr>
        <w:spacing w:after="0" w:line="6"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1 patient developed a complete response (CR), which was durable for 13 months; and</w:t>
      </w:r>
    </w:p>
    <w:p>
      <w:pPr>
        <w:spacing w:after="0" w:line="6"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1 patient developed a partial response (PR) that enabled that patient to receive a second allogeneic stem cell transplant;</w:t>
      </w:r>
    </w:p>
    <w:p>
      <w:pPr>
        <w:spacing w:after="0" w:line="6" w:lineRule="exact"/>
        <w:rPr>
          <w:rFonts w:ascii="Arial" w:cs="Arial" w:eastAsia="Arial" w:hAnsi="Arial"/>
          <w:sz w:val="12"/>
          <w:szCs w:val="12"/>
          <w:color w:val="auto"/>
        </w:rPr>
      </w:pPr>
    </w:p>
    <w:p>
      <w:pPr>
        <w:ind w:left="860" w:hanging="218"/>
        <w:spacing w:after="0"/>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patient who developed a partial response saw significant tumor debulking, with circulating blasts reduced from over 50% to 15%.</w:t>
      </w:r>
    </w:p>
    <w:p>
      <w:pPr>
        <w:spacing w:after="0" w:line="6" w:lineRule="exact"/>
        <w:rPr>
          <w:rFonts w:ascii="Arial" w:cs="Arial" w:eastAsia="Arial" w:hAnsi="Arial"/>
          <w:sz w:val="12"/>
          <w:szCs w:val="12"/>
          <w:color w:val="auto"/>
        </w:rPr>
      </w:pP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2 additional patients who did not meet partial response criteria experienced disease stabilization enabling a 2-month delay to next-line therapy</w:t>
      </w:r>
    </w:p>
    <w:p>
      <w:pPr>
        <w:spacing w:after="0" w:line="6" w:lineRule="exact"/>
        <w:rPr>
          <w:rFonts w:ascii="Arial" w:cs="Arial" w:eastAsia="Arial" w:hAnsi="Arial"/>
          <w:sz w:val="12"/>
          <w:szCs w:val="12"/>
          <w:color w:val="auto"/>
        </w:rPr>
      </w:pPr>
    </w:p>
    <w:p>
      <w:pPr>
        <w:jc w:val="both"/>
        <w:ind w:left="860" w:hanging="218"/>
        <w:spacing w:after="0" w:line="251"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Of these patients with disease stability, one patient was sufficiently stabilized to enable that patient to receive a second allogeneic stem cell transplant. The second transplant eliminated the patient’s MultiTAA T cells. This patient was given a second dose of MultiTAA T cells after initial disease relapse after the second transplant, but progressed to another line of therapy prior to any evaluable response assessment to the subsequent dose of MultiTAA T cells;</w:t>
      </w:r>
    </w:p>
    <w:p>
      <w:pPr>
        <w:ind w:left="860" w:right="20" w:hanging="218"/>
        <w:spacing w:after="0" w:line="251" w:lineRule="auto"/>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other patient who had disease stability saw significant reduction in tumor burden, with a reduction in circulating blasts from 70% prior to infusion of MultiTAA T cells, to approximately 45% circulating blasts after MultiTAA therapy.</w:t>
      </w:r>
    </w:p>
    <w:p>
      <w:pPr>
        <w:ind w:left="420" w:hanging="211"/>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 patients in Arm B, overall survival ranged from 4 to 21 months after T cell infusions.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ALL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data from ongoing lymphoma and multiple myeloma trials, also presented in an oral presentation at the meeting were updated results from an ongoing study in ALL. Updates from this trial included:</w:t>
      </w:r>
    </w:p>
    <w:p>
      <w:pPr>
        <w:spacing w:after="0" w:line="142" w:lineRule="exact"/>
        <w:rPr>
          <w:sz w:val="20"/>
          <w:szCs w:val="20"/>
          <w:color w:val="auto"/>
        </w:rPr>
      </w:pPr>
    </w:p>
    <w:p>
      <w:pPr>
        <w:ind w:left="420" w:hanging="211"/>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Patients are now up to 28 months in CCR (Continued Complete Remission);</w:t>
      </w:r>
    </w:p>
    <w:p>
      <w:pPr>
        <w:spacing w:after="0" w:line="15" w:lineRule="exact"/>
        <w:rPr>
          <w:rFonts w:ascii="Arial" w:cs="Arial" w:eastAsia="Arial" w:hAnsi="Arial"/>
          <w:sz w:val="12"/>
          <w:szCs w:val="12"/>
          <w:color w:val="auto"/>
        </w:rPr>
      </w:pPr>
    </w:p>
    <w:p>
      <w:pPr>
        <w:ind w:left="420" w:hanging="211"/>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only patient who has experienced relapse was a patient who displayed mixed donor/recipient chimerism after transplant, but remained in CCR for 6 months prior to relapse;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72" w:right="199" w:bottom="1440" w:gutter="0" w:footer="0" w:header="0"/>
        </w:sectPr>
      </w:pPr>
    </w:p>
    <w:bookmarkStart w:id="5" w:name="page6"/>
    <w:bookmarkEnd w:id="5"/>
    <w:p>
      <w:pPr>
        <w:ind w:left="420" w:hanging="211"/>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Patients that remain in CCR have been durable for between 4 to 28 months, with a median duration of 16 months.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“We are very excited about the results we are seeing in our early clinical trials. For patients with r/r AML, we believe that MultiTAA therapies may produce meaningful improvements in overall survival of patients who historically have had a dire prognostic outlook,” stated Mythili Koneru, Senior Vice President of Clinical Development at Marker Therapeutics. “In adjuvant settings for patients currently in remission, I believe our early clinical results suggest that we may be providing significant additional protection against relapse and disease recurrence.”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Marker Therapeutics, Inc.</w:t>
      </w:r>
    </w:p>
    <w:p>
      <w:pPr>
        <w:spacing w:after="0" w:line="19"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II clinical trials. In parallel, we are developing a proprietary DNA expression technology named PolyStart™ that can enhance the ability of the immune system to recognize and destroy diseased cells.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For additional information, please call toll free at (904) 862-6490 or visit: markertherapeutics.com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To receive future press releases via email, please visit: https://markertherapeutics.com/email-alerts/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Follow us on Twitter @MRKRTherapeutic, or follow us on 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672" w:right="1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t>Forward-Looking Statement Disclaimer</w:t>
      </w:r>
    </w:p>
    <w:p>
      <w:pPr>
        <w:spacing w:after="0" w:line="19"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non-engineered multi-tumor 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as well as multi-tumor antigen specific T cell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Contacts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Marker Therapeutics, Inc.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Aaron Santos</w:t>
      </w:r>
    </w:p>
    <w:p>
      <w:pPr>
        <w:spacing w:after="0" w:line="6" w:lineRule="exact"/>
        <w:rPr>
          <w:sz w:val="20"/>
          <w:szCs w:val="20"/>
          <w:color w:val="auto"/>
        </w:rPr>
      </w:pPr>
    </w:p>
    <w:p>
      <w:pPr>
        <w:ind w:left="8" w:right="9400" w:hanging="8"/>
        <w:spacing w:after="0" w:line="362" w:lineRule="auto"/>
        <w:tabs>
          <w:tab w:leader="none" w:pos="299" w:val="left"/>
        </w:tabs>
        <w:numPr>
          <w:ilvl w:val="0"/>
          <w:numId w:val="7"/>
        </w:numPr>
        <w:rPr>
          <w:rFonts w:ascii="Arial" w:cs="Arial" w:eastAsia="Arial" w:hAnsi="Arial"/>
          <w:sz w:val="10"/>
          <w:szCs w:val="10"/>
          <w:color w:val="auto"/>
        </w:rPr>
      </w:pPr>
      <w:r>
        <w:rPr>
          <w:rFonts w:ascii="Arial" w:cs="Arial" w:eastAsia="Arial" w:hAnsi="Arial"/>
          <w:sz w:val="10"/>
          <w:szCs w:val="10"/>
          <w:color w:val="auto"/>
        </w:rPr>
        <w:t>862-6490 investor.relations@markertherapeutics.com</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color w:val="auto"/>
        </w:rPr>
        <w:t>Solebury Trout</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Brad Miles</w:t>
      </w:r>
    </w:p>
    <w:p>
      <w:pPr>
        <w:spacing w:after="0" w:line="6" w:lineRule="exact"/>
        <w:rPr>
          <w:sz w:val="20"/>
          <w:szCs w:val="20"/>
          <w:color w:val="auto"/>
        </w:rPr>
      </w:pPr>
    </w:p>
    <w:p>
      <w:pPr>
        <w:ind w:left="8" w:right="10180" w:hanging="8"/>
        <w:spacing w:after="0" w:line="362" w:lineRule="auto"/>
        <w:tabs>
          <w:tab w:leader="none" w:pos="299" w:val="left"/>
        </w:tabs>
        <w:numPr>
          <w:ilvl w:val="0"/>
          <w:numId w:val="8"/>
        </w:numPr>
        <w:rPr>
          <w:rFonts w:ascii="Arial" w:cs="Arial" w:eastAsia="Arial" w:hAnsi="Arial"/>
          <w:sz w:val="10"/>
          <w:szCs w:val="10"/>
          <w:color w:val="auto"/>
        </w:rPr>
      </w:pPr>
      <w:r>
        <w:rPr>
          <w:rFonts w:ascii="Arial" w:cs="Arial" w:eastAsia="Arial" w:hAnsi="Arial"/>
          <w:sz w:val="10"/>
          <w:szCs w:val="10"/>
          <w:color w:val="auto"/>
        </w:rPr>
        <w:t>513-3125 bmiles@soleburytrout.com</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 or -</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color w:val="auto"/>
        </w:rPr>
        <w:t>Amy Bonanno</w:t>
      </w:r>
    </w:p>
    <w:p>
      <w:pPr>
        <w:spacing w:after="0" w:line="15" w:lineRule="exact"/>
        <w:rPr>
          <w:sz w:val="20"/>
          <w:szCs w:val="20"/>
          <w:color w:val="auto"/>
        </w:rPr>
      </w:pPr>
    </w:p>
    <w:p>
      <w:pPr>
        <w:ind w:left="8" w:right="10040" w:hanging="8"/>
        <w:spacing w:after="0" w:line="362" w:lineRule="auto"/>
        <w:tabs>
          <w:tab w:leader="none" w:pos="299" w:val="left"/>
        </w:tabs>
        <w:numPr>
          <w:ilvl w:val="0"/>
          <w:numId w:val="9"/>
        </w:numPr>
        <w:rPr>
          <w:rFonts w:ascii="Arial" w:cs="Arial" w:eastAsia="Arial" w:hAnsi="Arial"/>
          <w:sz w:val="10"/>
          <w:szCs w:val="10"/>
          <w:color w:val="auto"/>
        </w:rPr>
      </w:pPr>
      <w:r>
        <w:rPr>
          <w:rFonts w:ascii="Arial" w:cs="Arial" w:eastAsia="Arial" w:hAnsi="Arial"/>
          <w:sz w:val="10"/>
          <w:szCs w:val="10"/>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2923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650" w:right="199" w:bottom="1440" w:gutter="0" w:footer="0" w:header="0"/>
        </w:sectPr>
      </w:pPr>
    </w:p>
    <w:bookmarkStart w:id="7" w:name="page8"/>
    <w:bookmarkEnd w:id="7"/>
    <w:p>
      <w:pPr>
        <w:ind w:left="9500"/>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123190</wp:posOffset>
            </wp:positionV>
            <wp:extent cx="7292340" cy="2849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0" w:num="1">
            <w:col w:w="10260"/>
          </w:cols>
          <w:pgMar w:left="1440" w:top="284" w:right="1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ind w:left="9500"/>
        <w:spacing w:after="0"/>
        <w:rPr>
          <w:sz w:val="20"/>
          <w:szCs w:val="20"/>
          <w:color w:val="auto"/>
        </w:rPr>
      </w:pPr>
      <w:r>
        <w:rPr>
          <w:rFonts w:ascii="Arial" w:cs="Arial" w:eastAsia="Arial" w:hAnsi="Arial"/>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123190</wp:posOffset>
            </wp:positionV>
            <wp:extent cx="7292340" cy="2849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0" w:num="1">
            <w:col w:w="10260"/>
          </w:cols>
          <w:pgMar w:left="1440" w:top="284" w:right="19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3173095</wp:posOffset>
            </wp:positionV>
            <wp:extent cx="72923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ind w:left="9500"/>
        <w:spacing w:after="0"/>
        <w:rPr>
          <w:sz w:val="20"/>
          <w:szCs w:val="20"/>
          <w:color w:val="auto"/>
        </w:rPr>
      </w:pPr>
      <w:r>
        <w:rPr>
          <w:rFonts w:ascii="Arial" w:cs="Arial" w:eastAsia="Arial" w:hAnsi="Arial"/>
          <w:sz w:val="13"/>
          <w:szCs w:val="13"/>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123190</wp:posOffset>
            </wp:positionV>
            <wp:extent cx="7292340" cy="2849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0" w:num="1">
            <w:col w:w="10260"/>
          </w:cols>
          <w:pgMar w:left="1440" w:top="284" w:right="19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329565</wp:posOffset>
            </wp:positionV>
            <wp:extent cx="7292340" cy="2849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284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ind w:left="9500"/>
        <w:spacing w:after="0"/>
        <w:rPr>
          <w:sz w:val="20"/>
          <w:szCs w:val="20"/>
          <w:color w:val="auto"/>
        </w:rPr>
      </w:pPr>
      <w:r>
        <w:rPr>
          <w:rFonts w:ascii="Arial" w:cs="Arial" w:eastAsia="Arial" w:hAnsi="Arial"/>
          <w:sz w:val="13"/>
          <w:szCs w:val="13"/>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123190</wp:posOffset>
            </wp:positionV>
            <wp:extent cx="7332980" cy="6437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32980" cy="6437630"/>
                    </a:xfrm>
                    <a:prstGeom prst="rect">
                      <a:avLst/>
                    </a:prstGeom>
                    <a:noFill/>
                  </pic:spPr>
                </pic:pic>
              </a:graphicData>
            </a:graphic>
          </wp:anchor>
        </w:drawing>
      </w:r>
    </w:p>
    <w:sectPr>
      <w:pgSz w:w="11900" w:h="16838" w:orient="portrait"/>
      <w:cols w:equalWidth="0" w:num="1">
        <w:col w:w="10260"/>
      </w:cols>
      <w:pgMar w:left="1440" w:top="28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904"/>
    </w:lvl>
  </w:abstractNum>
  <w:abstractNum w:abstractNumId="7">
    <w:nsid w:val="515F007C"/>
    <w:multiLevelType w:val="hybridMultilevel"/>
    <w:lvl w:ilvl="0">
      <w:lvlJc w:val="left"/>
      <w:lvlText w:val="(%1)"/>
      <w:numFmt w:val="decimal"/>
      <w:start w:val="646"/>
    </w:lvl>
  </w:abstractNum>
  <w:abstractNum w:abstractNumId="8">
    <w:nsid w:val="5BD062C2"/>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2020-01-09T22:17:00Z</dcterms:created>
  <dcterms:modified xsi:type="dcterms:W3CDTF">2020-01-09T22:17:00Z</dcterms:modified>
</cp:coreProperties>
</file>