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10-k.htm"/>
      <w:bookmarkStart w:id="1" w:name="ksform10k"/>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FORM 10-K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b/>
          <w:sz w:val="20"/>
        </w:rPr>
        <w:t>X</w:t>
      </w:r>
      <w:r>
        <w:rPr>
          <w:rFonts w:ascii="Times New Roman" w:hAnsi="Times New Roman"/>
          <w:sz w:val="20"/>
        </w:rPr>
        <w:t>]           ANNUAL REPORT PURSUANT TO SECTION 13 OR 15(d) OF THE SECURITIES EXCHANGE ACT OF 1934</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b/>
          <w:sz w:val="20"/>
        </w:rPr>
      </w:pPr>
      <w:bookmarkStart w:id="2" w:name="TAB1"/>
      <w:bookmarkEnd w:id="2"/>
      <w:r>
        <w:rPr>
          <w:rFonts w:ascii="Times New Roman" w:hAnsi="Times New Roman"/>
          <w:b/>
          <w:sz w:val="20"/>
        </w:rPr>
        <w:t>For the Fiscal Year Ended December 31, 2009</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 w:name="hangingindent"/>
      <w:bookmarkStart w:id="4" w:name="hangingindent"/>
      <w:bookmarkEnd w:id="4"/>
    </w:p>
    <w:tbl>
      <w:tblPr>
        <w:tblW w:w="5000" w:type="pct"/>
        <w:jc w:val="center"/>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  ]</w:t>
            </w:r>
          </w:p>
        </w:tc>
        <w:tc>
          <w:tcPr>
            <w:tcW w:w="996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 w:name="hangingindent1"/>
      <w:bookmarkStart w:id="6" w:name="hangingindent1"/>
      <w:bookmarkEnd w:id="6"/>
    </w:p>
    <w:tbl>
      <w:tblPr>
        <w:tblW w:w="5000" w:type="pct"/>
        <w:jc w:val="center"/>
        <w:tblInd w:w="0" w:type="dxa"/>
        <w:tblCellMar>
          <w:top w:w="0" w:type="dxa"/>
          <w:left w:w="0" w:type="dxa"/>
          <w:bottom w:w="0" w:type="dxa"/>
          <w:right w:w="0" w:type="dxa"/>
        </w:tblCellMar>
      </w:tblPr>
      <w:tblGrid>
        <w:gridCol w:w="196"/>
        <w:gridCol w:w="10009"/>
      </w:tblGrid>
      <w:tr>
        <w:trPr/>
        <w:tc>
          <w:tcPr>
            <w:tcW w:w="196" w:type="dxa"/>
            <w:tcBorders/>
            <w:shd w:fill="auto" w:val="clear"/>
          </w:tcPr>
          <w:p>
            <w:pPr>
              <w:pStyle w:val="TableContents"/>
              <w:spacing w:before="0" w:after="0"/>
              <w:rPr/>
            </w:pPr>
            <w:r>
              <w:rPr/>
              <w:t xml:space="preserve">  </w:t>
            </w:r>
          </w:p>
        </w:tc>
        <w:tc>
          <w:tcPr>
            <w:tcW w:w="1000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For the transition period from ________________ to ________________.</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Commission file number 000-27239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tc>
        <w:tc>
          <w:tcPr>
            <w:tcW w:w="51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88-0277072</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of organization)</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Suite 400, 800 Bellevue Way NE</w:t>
            </w:r>
          </w:p>
          <w:p>
            <w:pPr>
              <w:pStyle w:val="TableContents"/>
              <w:spacing w:before="0" w:after="0"/>
              <w:ind w:left="0" w:right="0" w:hanging="0"/>
              <w:jc w:val="center"/>
              <w:rPr>
                <w:rFonts w:ascii="times new roman" w:hAnsi="times new roman"/>
                <w:b/>
                <w:sz w:val="20"/>
              </w:rPr>
            </w:pPr>
            <w:r>
              <w:rPr>
                <w:rFonts w:ascii="times new roman" w:hAnsi="times new roman"/>
                <w:b/>
                <w:sz w:val="20"/>
              </w:rPr>
              <w:t>Bellevue, Washington</w:t>
            </w:r>
          </w:p>
        </w:tc>
        <w:tc>
          <w:tcPr>
            <w:tcW w:w="5103" w:type="dxa"/>
            <w:tcBorders>
              <w:bottom w:val="single" w:sz="12"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98004</w:t>
            </w:r>
          </w:p>
        </w:tc>
      </w:tr>
      <w:tr>
        <w:trPr/>
        <w:tc>
          <w:tcPr>
            <w:tcW w:w="5102"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(425) 462-2556</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Securities registered pursuant to Section 12(b) of the Act:  </w:t>
      </w:r>
      <w:r>
        <w:rPr>
          <w:rFonts w:ascii="Times New Roman" w:hAnsi="Times New Roman"/>
          <w:b/>
          <w:sz w:val="20"/>
          <w:u w:val="single"/>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Securities registered pursuant to Section 12(g) of the Act: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Common Stock, Par Value $0.001</w:t>
      </w:r>
    </w:p>
    <w:p>
      <w:pPr>
        <w:pStyle w:val="TextBody"/>
        <w:spacing w:before="0" w:after="0"/>
        <w:ind w:left="0" w:right="0" w:hanging="0"/>
        <w:jc w:val="center"/>
        <w:rPr>
          <w:rFonts w:ascii="Times New Roman" w:hAnsi="Times New Roman"/>
          <w:sz w:val="20"/>
        </w:rPr>
      </w:pPr>
      <w:r>
        <w:rPr>
          <w:rFonts w:ascii="Times New Roman" w:hAnsi="Times New Roman"/>
          <w:sz w:val="20"/>
        </w:rPr>
        <w:t>(Title of class)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Yes [  ]  No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of Section 15(d) of the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Yes [  ]  No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b/>
          <w:sz w:val="20"/>
        </w:rPr>
        <w:t>X</w:t>
      </w:r>
      <w:r>
        <w:rPr>
          <w:rFonts w:ascii="Times New Roman" w:hAnsi="Times New Roman"/>
          <w:sz w:val="20"/>
        </w:rPr>
        <w:t>]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Large accelerated filer [  ]                                                                                                      Accelerated filer  [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Non-accelerated filer  (do not check if a smaller reporting company) [  ]                      Smaller reporting company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checkmark whether the registrant is a shell company (as defined in Rule 12b-2 of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Yes [  ]  No [</w:t>
      </w:r>
      <w:r>
        <w:rPr>
          <w:rFonts w:ascii="Times New Roman" w:hAnsi="Times New Roman"/>
          <w:b/>
          <w:sz w:val="20"/>
        </w:rPr>
        <w:t>X</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aggregate market value of the voting and non-voting common equity held by non-affiliates of the registrant computed by reference to the price at which the registrant’s common equity was last sold, as of June 30, 2009 (the last day of the registrant’s most recently completed second fiscal quarter) was approximately </w:t>
      </w:r>
      <w:r>
        <w:rPr>
          <w:rFonts w:ascii="times new roman" w:hAnsi="times new roman"/>
          <w:b/>
          <w:sz w:val="20"/>
        </w:rPr>
        <w:t>$</w:t>
      </w:r>
      <w:r>
        <w:rPr>
          <w:rFonts w:ascii="times new roman" w:hAnsi="times new roman"/>
          <w:sz w:val="20"/>
        </w:rPr>
        <w:t>920,000</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registrant had 39,076,674 shares of common stock outstanding as of April 9, 2010.</w:t>
      </w:r>
    </w:p>
    <w:p>
      <w:pPr>
        <w:pStyle w:val="TextBody"/>
        <w:spacing w:before="0" w:after="0"/>
        <w:ind w:left="0" w:right="0" w:hanging="0"/>
        <w:jc w:val="center"/>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FORWARD 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under “Risk Factors”.  These factors or any of them may cause our actual results to differ materially from any forward-looking statement made in this annual report.  Forward-looking statements in this annual report include, among others, statements regarding: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 w:name="hangingindent2"/>
      <w:bookmarkStart w:id="8" w:name="hangingindent2"/>
      <w:bookmarkEnd w:id="8"/>
    </w:p>
    <w:tbl>
      <w:tblPr>
        <w:tblW w:w="5000" w:type="pct"/>
        <w:jc w:val="center"/>
        <w:tblInd w:w="0" w:type="dxa"/>
        <w:tblCellMar>
          <w:top w:w="0" w:type="dxa"/>
          <w:left w:w="0" w:type="dxa"/>
          <w:bottom w:w="0" w:type="dxa"/>
          <w:right w:w="0" w:type="dxa"/>
        </w:tblCellMar>
      </w:tblPr>
      <w:tblGrid>
        <w:gridCol w:w="731"/>
        <w:gridCol w:w="578"/>
        <w:gridCol w:w="8896"/>
      </w:tblGrid>
      <w:tr>
        <w:trPr/>
        <w:tc>
          <w:tcPr>
            <w:tcW w:w="731" w:type="dxa"/>
            <w:tcBorders/>
            <w:shd w:fill="auto" w:val="clear"/>
          </w:tcPr>
          <w:p>
            <w:pPr>
              <w:pStyle w:val="TableContents"/>
              <w:spacing w:before="0" w:after="0"/>
              <w:rPr/>
            </w:pPr>
            <w:r>
              <w:rPr/>
              <w:t xml:space="preserve">  </w:t>
            </w:r>
          </w:p>
        </w:tc>
        <w:tc>
          <w:tcPr>
            <w:tcW w:w="57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89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capital needs;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 w:name="hangingindent3"/>
      <w:bookmarkStart w:id="10" w:name="hangingindent3"/>
      <w:bookmarkEnd w:id="10"/>
    </w:p>
    <w:tbl>
      <w:tblPr>
        <w:tblW w:w="5000" w:type="pct"/>
        <w:jc w:val="center"/>
        <w:tblInd w:w="0" w:type="dxa"/>
        <w:tblCellMar>
          <w:top w:w="0" w:type="dxa"/>
          <w:left w:w="0" w:type="dxa"/>
          <w:bottom w:w="0" w:type="dxa"/>
          <w:right w:w="0" w:type="dxa"/>
        </w:tblCellMar>
      </w:tblPr>
      <w:tblGrid>
        <w:gridCol w:w="676"/>
        <w:gridCol w:w="535"/>
        <w:gridCol w:w="8994"/>
      </w:tblGrid>
      <w:tr>
        <w:trPr/>
        <w:tc>
          <w:tcPr>
            <w:tcW w:w="676" w:type="dxa"/>
            <w:tcBorders/>
            <w:shd w:fill="auto" w:val="clear"/>
          </w:tcPr>
          <w:p>
            <w:pPr>
              <w:pStyle w:val="TableContents"/>
              <w:spacing w:before="0" w:after="0"/>
              <w:rPr/>
            </w:pPr>
            <w:r>
              <w:rPr/>
              <w:t xml:space="preserve">  </w:t>
            </w:r>
          </w:p>
        </w:tc>
        <w:tc>
          <w:tcPr>
            <w:tcW w:w="53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9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business plans;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 w:name="hangingindent4"/>
      <w:bookmarkStart w:id="12" w:name="hangingindent4"/>
      <w:bookmarkEnd w:id="12"/>
    </w:p>
    <w:tbl>
      <w:tblPr>
        <w:tblW w:w="5000" w:type="pct"/>
        <w:jc w:val="center"/>
        <w:tblInd w:w="0" w:type="dxa"/>
        <w:tblCellMar>
          <w:top w:w="0" w:type="dxa"/>
          <w:left w:w="0" w:type="dxa"/>
          <w:bottom w:w="0" w:type="dxa"/>
          <w:right w:w="0" w:type="dxa"/>
        </w:tblCellMar>
      </w:tblPr>
      <w:tblGrid>
        <w:gridCol w:w="931"/>
        <w:gridCol w:w="737"/>
        <w:gridCol w:w="8537"/>
      </w:tblGrid>
      <w:tr>
        <w:trPr/>
        <w:tc>
          <w:tcPr>
            <w:tcW w:w="931" w:type="dxa"/>
            <w:tcBorders/>
            <w:shd w:fill="auto" w:val="clear"/>
          </w:tcPr>
          <w:p>
            <w:pPr>
              <w:pStyle w:val="TableContents"/>
              <w:spacing w:before="0" w:after="0"/>
              <w:rPr/>
            </w:pPr>
            <w:r>
              <w:rPr/>
              <w:t xml:space="preserve">  </w:t>
            </w:r>
          </w:p>
        </w:tc>
        <w:tc>
          <w:tcPr>
            <w:tcW w:w="73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85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expectations.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3" w:name="hangingindent5"/>
      <w:bookmarkStart w:id="14" w:name="hangingindent5"/>
      <w:bookmarkEnd w:id="14"/>
    </w:p>
    <w:tbl>
      <w:tblPr>
        <w:tblW w:w="5000" w:type="pct"/>
        <w:jc w:val="center"/>
        <w:tblInd w:w="0" w:type="dxa"/>
        <w:tblCellMar>
          <w:top w:w="0" w:type="dxa"/>
          <w:left w:w="0" w:type="dxa"/>
          <w:bottom w:w="0" w:type="dxa"/>
          <w:right w:w="0" w:type="dxa"/>
        </w:tblCellMar>
      </w:tblPr>
      <w:tblGrid>
        <w:gridCol w:w="410"/>
        <w:gridCol w:w="326"/>
        <w:gridCol w:w="9469"/>
      </w:tblGrid>
      <w:tr>
        <w:trPr/>
        <w:tc>
          <w:tcPr>
            <w:tcW w:w="410" w:type="dxa"/>
            <w:tcBorders/>
            <w:shd w:fill="auto" w:val="clear"/>
          </w:tcPr>
          <w:p>
            <w:pPr>
              <w:pStyle w:val="TableContents"/>
              <w:spacing w:before="0" w:after="0"/>
              <w:rPr/>
            </w:pPr>
            <w:r>
              <w:rPr/>
              <w:t xml:space="preserve">  </w:t>
            </w:r>
          </w:p>
        </w:tc>
        <w:tc>
          <w:tcPr>
            <w:tcW w:w="326"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6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need for additional financing;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5" w:name="hangingindent6"/>
      <w:bookmarkStart w:id="16" w:name="hangingindent6"/>
      <w:bookmarkEnd w:id="16"/>
    </w:p>
    <w:tbl>
      <w:tblPr>
        <w:tblW w:w="5000" w:type="pct"/>
        <w:jc w:val="center"/>
        <w:tblInd w:w="0" w:type="dxa"/>
        <w:tblCellMar>
          <w:top w:w="0" w:type="dxa"/>
          <w:left w:w="0" w:type="dxa"/>
          <w:bottom w:w="0" w:type="dxa"/>
          <w:right w:w="0" w:type="dxa"/>
        </w:tblCellMar>
      </w:tblPr>
      <w:tblGrid>
        <w:gridCol w:w="464"/>
        <w:gridCol w:w="368"/>
        <w:gridCol w:w="9373"/>
      </w:tblGrid>
      <w:tr>
        <w:trPr/>
        <w:tc>
          <w:tcPr>
            <w:tcW w:w="464" w:type="dxa"/>
            <w:tcBorders/>
            <w:shd w:fill="auto" w:val="clear"/>
          </w:tcPr>
          <w:p>
            <w:pPr>
              <w:pStyle w:val="TableContents"/>
              <w:spacing w:before="0" w:after="0"/>
              <w:rPr/>
            </w:pPr>
            <w:r>
              <w:rPr/>
              <w:t xml:space="preserve">  </w:t>
            </w:r>
          </w:p>
        </w:tc>
        <w:tc>
          <w:tcPr>
            <w:tcW w:w="368"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3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limited operating history;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7" w:name="hangingindent7"/>
      <w:bookmarkStart w:id="18" w:name="hangingindent7"/>
      <w:bookmarkEnd w:id="18"/>
    </w:p>
    <w:tbl>
      <w:tblPr>
        <w:tblW w:w="5000" w:type="pct"/>
        <w:jc w:val="center"/>
        <w:tblInd w:w="0" w:type="dxa"/>
        <w:tblCellMar>
          <w:top w:w="0" w:type="dxa"/>
          <w:left w:w="0" w:type="dxa"/>
          <w:bottom w:w="0" w:type="dxa"/>
          <w:right w:w="0" w:type="dxa"/>
        </w:tblCellMar>
      </w:tblPr>
      <w:tblGrid>
        <w:gridCol w:w="446"/>
        <w:gridCol w:w="354"/>
        <w:gridCol w:w="9405"/>
      </w:tblGrid>
      <w:tr>
        <w:trPr/>
        <w:tc>
          <w:tcPr>
            <w:tcW w:w="446" w:type="dxa"/>
            <w:tcBorders/>
            <w:shd w:fill="auto" w:val="clear"/>
          </w:tcPr>
          <w:p>
            <w:pPr>
              <w:pStyle w:val="TableContents"/>
              <w:spacing w:before="0" w:after="0"/>
              <w:rPr/>
            </w:pPr>
            <w:r>
              <w:rPr/>
              <w:t xml:space="preserve">  </w:t>
            </w:r>
          </w:p>
        </w:tc>
        <w:tc>
          <w:tcPr>
            <w:tcW w:w="354"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0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history of operating losses;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 w:name="hangingindent8"/>
      <w:bookmarkStart w:id="20" w:name="hangingindent8"/>
      <w:bookmarkEnd w:id="20"/>
    </w:p>
    <w:tbl>
      <w:tblPr>
        <w:tblW w:w="5000" w:type="pct"/>
        <w:jc w:val="center"/>
        <w:tblInd w:w="0" w:type="dxa"/>
        <w:tblCellMar>
          <w:top w:w="0" w:type="dxa"/>
          <w:left w:w="0" w:type="dxa"/>
          <w:bottom w:w="0" w:type="dxa"/>
          <w:right w:w="0" w:type="dxa"/>
        </w:tblCellMar>
      </w:tblPr>
      <w:tblGrid>
        <w:gridCol w:w="442"/>
        <w:gridCol w:w="349"/>
        <w:gridCol w:w="9414"/>
      </w:tblGrid>
      <w:tr>
        <w:trPr/>
        <w:tc>
          <w:tcPr>
            <w:tcW w:w="442" w:type="dxa"/>
            <w:tcBorders/>
            <w:shd w:fill="auto" w:val="clear"/>
          </w:tcPr>
          <w:p>
            <w:pPr>
              <w:pStyle w:val="TableContents"/>
              <w:spacing w:before="0" w:after="0"/>
              <w:rPr/>
            </w:pPr>
            <w:r>
              <w:rPr/>
              <w:t xml:space="preserve">  </w:t>
            </w:r>
          </w:p>
        </w:tc>
        <w:tc>
          <w:tcPr>
            <w:tcW w:w="349"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1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lack of insurance coverage;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 w:name="hangingindent9"/>
      <w:bookmarkStart w:id="22" w:name="hangingindent9"/>
      <w:bookmarkEnd w:id="22"/>
    </w:p>
    <w:tbl>
      <w:tblPr>
        <w:tblW w:w="5000" w:type="pct"/>
        <w:jc w:val="center"/>
        <w:tblInd w:w="0" w:type="dxa"/>
        <w:tblCellMar>
          <w:top w:w="0" w:type="dxa"/>
          <w:left w:w="0" w:type="dxa"/>
          <w:bottom w:w="0" w:type="dxa"/>
          <w:right w:w="0" w:type="dxa"/>
        </w:tblCellMar>
      </w:tblPr>
      <w:tblGrid>
        <w:gridCol w:w="283"/>
        <w:gridCol w:w="225"/>
        <w:gridCol w:w="9697"/>
      </w:tblGrid>
      <w:tr>
        <w:trPr/>
        <w:tc>
          <w:tcPr>
            <w:tcW w:w="283" w:type="dxa"/>
            <w:tcBorders/>
            <w:shd w:fill="auto" w:val="clear"/>
          </w:tcPr>
          <w:p>
            <w:pPr>
              <w:pStyle w:val="TableContents"/>
              <w:spacing w:before="0" w:after="0"/>
              <w:rPr/>
            </w:pPr>
            <w:r>
              <w:rPr/>
              <w:t xml:space="preserve">  </w:t>
            </w:r>
          </w:p>
        </w:tc>
        <w:tc>
          <w:tcPr>
            <w:tcW w:w="22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9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competitive environment in which we operate;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 w:name="hangingindent10"/>
      <w:bookmarkStart w:id="24" w:name="hangingindent10"/>
      <w:bookmarkEnd w:id="24"/>
    </w:p>
    <w:tbl>
      <w:tblPr>
        <w:tblW w:w="5000" w:type="pct"/>
        <w:jc w:val="center"/>
        <w:tblInd w:w="0" w:type="dxa"/>
        <w:tblCellMar>
          <w:top w:w="0" w:type="dxa"/>
          <w:left w:w="0" w:type="dxa"/>
          <w:bottom w:w="0" w:type="dxa"/>
          <w:right w:w="0" w:type="dxa"/>
        </w:tblCellMar>
      </w:tblPr>
      <w:tblGrid>
        <w:gridCol w:w="220"/>
        <w:gridCol w:w="175"/>
        <w:gridCol w:w="9810"/>
      </w:tblGrid>
      <w:tr>
        <w:trPr/>
        <w:tc>
          <w:tcPr>
            <w:tcW w:w="220" w:type="dxa"/>
            <w:tcBorders/>
            <w:shd w:fill="auto" w:val="clear"/>
          </w:tcPr>
          <w:p>
            <w:pPr>
              <w:pStyle w:val="TableContents"/>
              <w:spacing w:before="0" w:after="0"/>
              <w:rPr/>
            </w:pPr>
            <w:r>
              <w:rPr/>
              <w:t xml:space="preserve">  </w:t>
            </w:r>
          </w:p>
        </w:tc>
        <w:tc>
          <w:tcPr>
            <w:tcW w:w="17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81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changes in governmental regulation and administrative practices;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 w:name="hangingindent11"/>
      <w:bookmarkStart w:id="26" w:name="hangingindent11"/>
      <w:bookmarkEnd w:id="26"/>
    </w:p>
    <w:tbl>
      <w:tblPr>
        <w:tblW w:w="5000" w:type="pct"/>
        <w:jc w:val="center"/>
        <w:tblInd w:w="0" w:type="dxa"/>
        <w:tblCellMar>
          <w:top w:w="0" w:type="dxa"/>
          <w:left w:w="0" w:type="dxa"/>
          <w:bottom w:w="0" w:type="dxa"/>
          <w:right w:w="0" w:type="dxa"/>
        </w:tblCellMar>
      </w:tblPr>
      <w:tblGrid>
        <w:gridCol w:w="404"/>
        <w:gridCol w:w="321"/>
        <w:gridCol w:w="9480"/>
      </w:tblGrid>
      <w:tr>
        <w:trPr/>
        <w:tc>
          <w:tcPr>
            <w:tcW w:w="404" w:type="dxa"/>
            <w:tcBorders/>
            <w:shd w:fill="auto" w:val="clear"/>
          </w:tcPr>
          <w:p>
            <w:pPr>
              <w:pStyle w:val="TableContents"/>
              <w:spacing w:before="0" w:after="0"/>
              <w:rPr/>
            </w:pPr>
            <w:r>
              <w:rPr/>
              <w:t xml:space="preserve">  </w:t>
            </w:r>
          </w:p>
        </w:tc>
        <w:tc>
          <w:tcPr>
            <w:tcW w:w="321"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dependence on key personnel;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 w:name="hangingindent12"/>
      <w:bookmarkStart w:id="28" w:name="hangingindent12"/>
      <w:bookmarkEnd w:id="28"/>
    </w:p>
    <w:tbl>
      <w:tblPr>
        <w:tblW w:w="5000" w:type="pct"/>
        <w:jc w:val="center"/>
        <w:tblInd w:w="0" w:type="dxa"/>
        <w:tblCellMar>
          <w:top w:w="0" w:type="dxa"/>
          <w:left w:w="0" w:type="dxa"/>
          <w:bottom w:w="0" w:type="dxa"/>
          <w:right w:w="0" w:type="dxa"/>
        </w:tblCellMar>
      </w:tblPr>
      <w:tblGrid>
        <w:gridCol w:w="297"/>
        <w:gridCol w:w="235"/>
        <w:gridCol w:w="9673"/>
      </w:tblGrid>
      <w:tr>
        <w:trPr/>
        <w:tc>
          <w:tcPr>
            <w:tcW w:w="297" w:type="dxa"/>
            <w:tcBorders/>
            <w:shd w:fill="auto" w:val="clear"/>
          </w:tcPr>
          <w:p>
            <w:pPr>
              <w:pStyle w:val="TableContents"/>
              <w:spacing w:before="0" w:after="0"/>
              <w:rPr/>
            </w:pPr>
            <w:r>
              <w:rPr/>
              <w:t xml:space="preserve">  </w:t>
            </w:r>
          </w:p>
        </w:tc>
        <w:tc>
          <w:tcPr>
            <w:tcW w:w="23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conflicts of interest of our directors and officers;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 w:name="hangingindent13"/>
      <w:bookmarkStart w:id="30" w:name="hangingindent13"/>
      <w:bookmarkEnd w:id="30"/>
    </w:p>
    <w:tbl>
      <w:tblPr>
        <w:tblW w:w="5000" w:type="pct"/>
        <w:jc w:val="center"/>
        <w:tblInd w:w="0" w:type="dxa"/>
        <w:tblCellMar>
          <w:top w:w="0" w:type="dxa"/>
          <w:left w:w="0" w:type="dxa"/>
          <w:bottom w:w="0" w:type="dxa"/>
          <w:right w:w="0" w:type="dxa"/>
        </w:tblCellMar>
      </w:tblPr>
      <w:tblGrid>
        <w:gridCol w:w="294"/>
        <w:gridCol w:w="232"/>
        <w:gridCol w:w="9679"/>
      </w:tblGrid>
      <w:tr>
        <w:trPr/>
        <w:tc>
          <w:tcPr>
            <w:tcW w:w="294"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7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ability to fully implement our business plan;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 w:name="hangingindent14"/>
      <w:bookmarkStart w:id="32" w:name="hangingindent14"/>
      <w:bookmarkEnd w:id="32"/>
    </w:p>
    <w:tbl>
      <w:tblPr>
        <w:tblW w:w="5000" w:type="pct"/>
        <w:jc w:val="center"/>
        <w:tblInd w:w="0" w:type="dxa"/>
        <w:tblCellMar>
          <w:top w:w="0" w:type="dxa"/>
          <w:left w:w="0" w:type="dxa"/>
          <w:bottom w:w="0" w:type="dxa"/>
          <w:right w:w="0" w:type="dxa"/>
        </w:tblCellMar>
      </w:tblPr>
      <w:tblGrid>
        <w:gridCol w:w="289"/>
        <w:gridCol w:w="230"/>
        <w:gridCol w:w="9686"/>
      </w:tblGrid>
      <w:tr>
        <w:trPr/>
        <w:tc>
          <w:tcPr>
            <w:tcW w:w="289" w:type="dxa"/>
            <w:tcBorders/>
            <w:shd w:fill="auto" w:val="clear"/>
          </w:tcPr>
          <w:p>
            <w:pPr>
              <w:pStyle w:val="TableContents"/>
              <w:spacing w:before="0" w:after="0"/>
              <w:rPr/>
            </w:pPr>
            <w:r>
              <w:rPr/>
              <w:t xml:space="preserve">  </w:t>
            </w:r>
          </w:p>
        </w:tc>
        <w:tc>
          <w:tcPr>
            <w:tcW w:w="230"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ability to effectively manage our growth;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 w:name="hangingindent15"/>
      <w:bookmarkStart w:id="34" w:name="hangingindent15"/>
      <w:bookmarkEnd w:id="34"/>
    </w:p>
    <w:tbl>
      <w:tblPr>
        <w:tblW w:w="5000" w:type="pct"/>
        <w:jc w:val="center"/>
        <w:tblInd w:w="0" w:type="dxa"/>
        <w:tblCellMar>
          <w:top w:w="0" w:type="dxa"/>
          <w:left w:w="0" w:type="dxa"/>
          <w:bottom w:w="0" w:type="dxa"/>
          <w:right w:w="0" w:type="dxa"/>
        </w:tblCellMar>
      </w:tblPr>
      <w:tblGrid>
        <w:gridCol w:w="258"/>
        <w:gridCol w:w="205"/>
        <w:gridCol w:w="9742"/>
      </w:tblGrid>
      <w:tr>
        <w:trPr/>
        <w:tc>
          <w:tcPr>
            <w:tcW w:w="258"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4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other regulatory, legislative and judicial developments.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advise the reader that these cautionary remarks expressly qualify in their entirety all forward-looking statements attributable to us or persons acting on our behalf.  Important factors that you should also consider, include, but are not limited to, the factors discussed under “Risk Factors” in this annual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forward-looking statements in this annual report are made as of the date of this annual report and we do not intend or undertake to update any of the forward-looking statements to conform these statements to actual results, except as required by applicable law, including the securities laws of the United States.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AVAILABLE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files annual, quarterly and current reports, proxy statements and other information with the Securities and Exchange Commission (the “SEC”).  You may read and copy documents referred to in this Annual Report on Form 10-K that have been filed with the SEC at the SEC’s Public Reference Room, 450 Fifth Street, N.W., Washington, D.C.  You may obtain information on the operation of the Public Reference Room by calling the SEC at 1-800-SEC-0330.  You can also obtain copies of our SEC filings by going to the SEC’s website at http://www.sec.gov.</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REFERENCES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used in this annual report: (i) the terms “we”, “us”, “our”, “TapImmune” and the “Company” mean TapImmune Inc.; (ii) “SEC” refers to the Securities and Exchange Commission; (iii) “Securities Act” refers to the United States </w:t>
      </w:r>
      <w:r>
        <w:rPr>
          <w:rFonts w:ascii="Times New Roman" w:hAnsi="Times New Roman"/>
          <w:i/>
          <w:sz w:val="20"/>
        </w:rPr>
        <w:t>Securities Act of 1933</w:t>
      </w:r>
      <w:r>
        <w:rPr>
          <w:rFonts w:ascii="Times New Roman" w:hAnsi="Times New Roman"/>
          <w:sz w:val="20"/>
        </w:rPr>
        <w:t xml:space="preserve">, as amended; (iv) “Exchange Act” refers to the United States </w:t>
      </w:r>
      <w:r>
        <w:rPr>
          <w:rFonts w:ascii="Times New Roman" w:hAnsi="Times New Roman"/>
          <w:i/>
          <w:sz w:val="20"/>
        </w:rPr>
        <w:t>Securities Exchange Act of 1934</w:t>
      </w:r>
      <w:r>
        <w:rPr>
          <w:rFonts w:ascii="Times New Roman" w:hAnsi="Times New Roman"/>
          <w:sz w:val="20"/>
        </w:rPr>
        <w:t>, as amended; and (v) all dollar amounts refer to United States dollars unless otherwise indicated.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 w:name="PGBRK"/>
      <w:bookmarkStart w:id="36" w:name="PGBRK"/>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FTR"/>
      <w:bookmarkStart w:id="38" w:name="FTR"/>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 w:name="GLFTR"/>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 w:name="PN"/>
      <w:bookmarkEnd w:id="4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HDR"/>
      <w:bookmarkStart w:id="42" w:name="HDR"/>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 w:name="GLHDR"/>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TABLE OF CONTENTS</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1020"/>
        <w:gridCol w:w="5716"/>
        <w:gridCol w:w="3469"/>
      </w:tblGrid>
      <w:tr>
        <w:trPr/>
        <w:tc>
          <w:tcPr>
            <w:tcW w:w="1020" w:type="dxa"/>
            <w:tcBorders/>
            <w:shd w:fill="FFFFFF" w:val="clear"/>
            <w:vAlign w:val="center"/>
          </w:tcPr>
          <w:p>
            <w:pPr>
              <w:pStyle w:val="TableContents"/>
              <w:spacing w:before="0" w:after="283"/>
              <w:rPr/>
            </w:pPr>
            <w:r>
              <w:rPr/>
              <w:t xml:space="preserve">  </w:t>
            </w:r>
            <w:r>
              <w:rPr>
                <w:sz w:val="20"/>
              </w:rPr>
              <w:t>ITEM 1</w:t>
            </w:r>
            <w:r>
              <w:rPr/>
              <w:t>.</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BUSINESS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1A.</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RISK FACTORS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8</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1B.</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UNRESOLVED STAFF COMMENTS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12</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2.</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PROPERTIES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12</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3.</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LEGAL PROCEEDINGS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13</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4.</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(REMOVED AND RESERVED)</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13</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5.</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MARKET FOR REGISTRANT’S COMMON EQUITY, RELATED STOCKHOLDER MATTERS AND ISSUER PURCHASES OF EQUITY SECURITIES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14</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6.</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SELECTED FINANCIAL DATA</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15</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7.</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MANAGEMENT’S DISCUSSION AND ANALYSIS OF FINANCIAL CONDITION AND RESULTS OF OPERATIONS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15</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7A.</w:t>
            </w:r>
          </w:p>
        </w:tc>
        <w:tc>
          <w:tcPr>
            <w:tcW w:w="5716" w:type="dxa"/>
            <w:tcBorders/>
            <w:shd w:fill="FFFFFF" w:val="clear"/>
            <w:vAlign w:val="center"/>
          </w:tcPr>
          <w:p>
            <w:pPr>
              <w:pStyle w:val="TableContents"/>
              <w:spacing w:before="0" w:after="283"/>
              <w:rPr>
                <w:color w:val="0066CC"/>
              </w:rPr>
            </w:pPr>
            <w:r>
              <w:rPr>
                <w:color w:val="0066CC"/>
              </w:rPr>
              <w:t> </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19</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8.</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FINANCIAL STATEMENTS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20</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9.</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CHANGES IN AND DISAGREEMENTS WITH ACCOUNTANTS ON ACCOUNTING AND FINANCIAL DISCLOSURE</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44</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9A.</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CONTROLS AND PROCEDURES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44</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9B.</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OTHER INFORMATION</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45</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10.</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DIRECTORS, EXECUTIVE OFFICERS AND CORPORATE GOVERNANCE</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45</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11.</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EXECUTIVE COMPENSATION</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47</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12.</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SECURITY OWNERSHIP OF CERTAIN BENEFICIAL OWNERS AND MANAGEMENT AND RELATED STOCKHOLDER MATTERS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48</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13.</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CERTAIN RELATIONSHIPS AND RELATED TRANSACTIONS AND DIRECTOR INDEPENDENCE</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50</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14.</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PRINCIPAL ACCOUNTING FEES AND SERVICES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51</w:t>
            </w:r>
          </w:p>
        </w:tc>
      </w:tr>
      <w:tr>
        <w:trPr/>
        <w:tc>
          <w:tcPr>
            <w:tcW w:w="1020" w:type="dxa"/>
            <w:tcBorders/>
            <w:shd w:fill="FFFFFF" w:val="clear"/>
            <w:vAlign w:val="center"/>
          </w:tcPr>
          <w:p>
            <w:pPr>
              <w:pStyle w:val="TableContents"/>
              <w:spacing w:before="0" w:after="283"/>
              <w:rPr/>
            </w:pPr>
            <w:r>
              <w:rPr/>
              <w:t xml:space="preserve">  </w:t>
            </w:r>
            <w:r>
              <w:rPr>
                <w:rFonts w:ascii="times new roman" w:hAnsi="times new roman"/>
                <w:sz w:val="20"/>
              </w:rPr>
              <w:t>ITEM 15.</w:t>
            </w:r>
          </w:p>
        </w:tc>
        <w:tc>
          <w:tcPr>
            <w:tcW w:w="5716"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EXHIBITS</w:t>
            </w:r>
          </w:p>
        </w:tc>
        <w:tc>
          <w:tcPr>
            <w:tcW w:w="3469" w:type="dxa"/>
            <w:tcBorders/>
            <w:shd w:fill="FFFFFF" w:val="clear"/>
            <w:vAlign w:val="center"/>
          </w:tcPr>
          <w:p>
            <w:pPr>
              <w:pStyle w:val="TableContents"/>
              <w:spacing w:before="0" w:after="283"/>
              <w:jc w:val="center"/>
              <w:rPr/>
            </w:pPr>
            <w:r>
              <w:rPr/>
              <w:t> </w:t>
            </w:r>
            <w:r>
              <w:rPr>
                <w:rFonts w:ascii="times new roman" w:hAnsi="times new roman"/>
                <w:sz w:val="20"/>
              </w:rPr>
              <w:t>51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4" w:name="PGBRK1"/>
      <w:bookmarkStart w:id="45" w:name="PGBRK1"/>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6" w:name="FTR1"/>
      <w:bookmarkStart w:id="47" w:name="FTR1"/>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48" w:name="GLFTR1"/>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 w:name="PN1"/>
      <w:bookmarkEnd w:id="4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0" w:name="HDR1"/>
      <w:bookmarkStart w:id="51" w:name="HDR1"/>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2" w:name="GLHDR1"/>
      <w:bookmarkEnd w:id="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PART I</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BUSINESS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Overview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discoveries in cellular and molecular immunology and cancer biology to the development of proprietary therapeutics aimed at the treatment and eradication of cancer and prevention of infectious diseases.  Our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History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currently trade on the OTC Bulletin Board under the symbol “TPIV”.</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(“GPCanada”), a British Columbia corporation, is a wholly owned subsidiary of GeneMax Pharmaceuticals.  On June 28, 2007, we approved a name change to TapImmune Inc.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2"/>
      <w:bookmarkStart w:id="54" w:name="PGBRK2"/>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2"/>
      <w:bookmarkStart w:id="56" w:name="FTR2"/>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2"/>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2"/>
      <w:bookmarkEnd w:id="58"/>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2"/>
      <w:bookmarkStart w:id="60" w:name="HDR2"/>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 w:name="GLHDR2"/>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TapImmune’s Target Market and Strategy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support and expand on our key infectious disease partnerships, including our recently announced collaboration effort with Aeras TB Foundation.  We will also continue product development in oncology either alone with corporate partners.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Research &amp; Markets (Global Vaccine Market Outlook 2007 – 2010) estimated that the market for cancer vaccines could reach approximately $6 billion in 2010.  IMS has estimated that the cancer market will mushroom from $48 billion to $75 billion in 2012 with biopharma companies anticipating that cancer vaccines will grab a large slice of the market (Fierch Biotech, March 23, 2010).  The goal of TapImmune management is to have the FDA approve our cancer vaccines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adjuvant will improve the creation of new vaccines and enhance the efficacy of current vaccines.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market for prophylactic vaccines is around $6 Billion and is expected to reach $11 billion in 2010 (Frost &amp; Sullivan).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Our first generation TAP vaccines that have been used in animal preclinical studies are based on insertion of TAP genes into a proprietary modified adeno virus vector.  For clinical studies we plan to have this product manufactured using the PerC6 cell line licensed from Crucell Holland B.V. (“Crucell”). We have an opportunity to take advantage of our potential partners’ capabilities while reducing our overhead costs.  Our relationship with the University of British Columbia (“UBC”) allowed us to conduct contract research and development by employing highly skilled scientists at UBC.  The research and development team performed the basic research on the biological function of TAP and related licensed technology as well as preclinical animal studies in cancer and infectious diseases.  Moving into the development phase, we plan to initiate a contract with a qualified CRO (contract research organization), for the production of clinical grade vaccine product to be used in preclinical and clinical studies that require production facilities with Good Manufacturing Practices (“GMP”) and Good Laboratory Practices (“GLP”) certification. We will also plan to rely on our new partnership with Aeras to demonstrate the use of TAP in a new TB vaccine candidate.  Second generation vaccines using TAP-encoding DNA plasmids will also be developed.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3"/>
      <w:bookmarkStart w:id="63" w:name="PGBRK3"/>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3"/>
      <w:bookmarkStart w:id="65" w:name="FTR3"/>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3"/>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 w:name="PN3"/>
      <w:bookmarkEnd w:id="6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3"/>
      <w:bookmarkStart w:id="69" w:name="HDR3"/>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3"/>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previously developed our TAP Cancer Vaccine at the UBC Biomedical Research Centre under an agreement we refer to in this Annual Report as our “Collaborative Research Agreement”.  This therapeutic cancer vaccine candidate, to be tested in preclinical toxicology studies, will, if successfully developed, include the patented use of the TAP-1 gene to restore the TAP protein, with the objective being to develop the TAP technology as a therapeutic cancer vaccine that will restore the normal immune recognition of cancer cells.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key milestone of efficacy in animal models of cancer has been attained and that other scientific research teams have validated the experimental data from these animal studies.  The proof of principle for the TAP technology as a cancer vaccine was established in research conducted during the last ten years at UBC.  The initial studies were conducted using a small-cell lung cancer cell line that was derived from an aggressive, metastatic cancer.  These cells have multiple defects in the “antigen presentation pathway” in that they are not detected by the immune system.  When the TAP protein was introduced into these cells, antigen presentation was restored.  In addition, a series of animal studies have demonstrated the ability of TAP to restore an immune response.  This study was published in Nature Biotechnology (Vol. 18, pp. 515-520, May 2000).  Management believes that the TAP technology has been further validated in metastatic melanoma, where animal studies similar to the small-cell lung cancer studies described above were performed and similar results were achieved.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4"/>
      <w:bookmarkStart w:id="72" w:name="PGBRK4"/>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FTR4"/>
      <w:bookmarkStart w:id="74" w:name="FTR4"/>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 w:name="GLFTR4"/>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 w:name="PN4"/>
      <w:bookmarkEnd w:id="7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HDR4"/>
      <w:bookmarkStart w:id="78" w:name="HDR4"/>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 w:name="GLHDR4"/>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Pre-Clinical Testing</w:t>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FDA.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vector from Crucell and the identification and entering into an agreement, that we refer to in this Annual Report as our “Production Services Agreement”, with a CRO, a GMP manufacturer, for subsequent production of the TAP Cancer Vaccine.  We have to complete the performance of toxicology studies using the TAP Cancer Vaccine on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and financing, estimated at approximately $5,000,000, the Phase I human clinical trials could commence in 2011 depending on how quickly funding or an appropriate partnership is in place.  The Phase I human clinical trials will be designed to provide data on the safety of the TAP Cancer Vaccine when used alone or as a component of a cancer vaccine in humans.  If the latter strategy is employed the clinical trial design and specific cancer indication will be dependent upon the collaboration.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Our collaboration with Aeras TB Foundation is evidence of this and we will continue to pursue additional partnerships and collaborations as a key strategy to expand our R&amp;D program to optimize resources and to reduce costs and development Times.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University of British Columbia Agreement</w:t>
      </w:r>
    </w:p>
    <w:p>
      <w:pPr>
        <w:pStyle w:val="TextBody"/>
        <w:spacing w:before="0" w:after="0"/>
        <w:ind w:left="0" w:right="0" w:hanging="0"/>
        <w:jc w:val="both"/>
        <w:rPr>
          <w:rFonts w:ascii="Times New Roman" w:hAnsi="Times New Roman"/>
          <w:sz w:val="20"/>
        </w:rPr>
      </w:pPr>
      <w:r>
        <w:rPr>
          <w:rFonts w:ascii="Times New Roman" w:hAnsi="Times New Roman"/>
          <w:sz w:val="20"/>
        </w:rPr>
        <w:t>We had conducted our research and development at the University of British Columbia (“UBC”) under a Collaborative Research Agreement (“CRA”), however, as a consequence of our Option and Settlement Agreement with UBC, we presently plan to contract out our research and development and continue to contract out clinical grade production of our TAP based vaccines.  In addition, we have an option on any improvements or related TAP technologies coming out of UBC.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 w:name="PGBRK5"/>
      <w:bookmarkStart w:id="81" w:name="PGBRK5"/>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FTR5"/>
      <w:bookmarkStart w:id="83" w:name="FTR5"/>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 w:name="GLFTR5"/>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 w:name="PN5"/>
      <w:bookmarkEnd w:id="85"/>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HDR5"/>
      <w:bookmarkStart w:id="87" w:name="HDR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 w:name="GLHDR5"/>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Crucell Holland B.V.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we entered into a five-year research license and option agreement with Crucell Holland B.V. (“Crucell”), whereby Crucell granted us a non-exclusive worldwide license for the research use of its packaging cell (PerC6) technology.  We were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license was dormant with an outstanding balance owing of 170,000 Euro ($248,938) that was included in research obligations.  Management has completed a settlement for the remaining balance including a €17,000 cash payment and the issuance of 265,000 shares of the Company’s restricted common stock, and a new license agreement is in place.  As at December 31, 2009, the $25,467 (€17,000) cash payment has been made and the $243,800 fair value of the non-cash settlement has been recorded to discharge the outstanding balance owing.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National Institute of Allergy and Infectious Diseases</w:t>
      </w:r>
    </w:p>
    <w:p>
      <w:pPr>
        <w:pStyle w:val="TextBody"/>
        <w:spacing w:before="0" w:after="0"/>
        <w:ind w:left="0" w:right="0" w:hanging="0"/>
        <w:jc w:val="both"/>
        <w:rPr>
          <w:rFonts w:ascii="Times New Roman" w:hAnsi="Times New Roman"/>
          <w:sz w:val="20"/>
        </w:rPr>
      </w:pPr>
      <w:r>
        <w:rPr>
          <w:rFonts w:ascii="Times New Roman" w:hAnsi="Times New Roman"/>
          <w:sz w:val="20"/>
        </w:rPr>
        <w:t>We signed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  This license is expected to be renegotiated pending adequate funding.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acquisition agreement with UBC, we acquired the portfolio of intellectual property as follows: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6"/>
      <w:bookmarkStart w:id="90" w:name="PGBRK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FTR6"/>
      <w:bookmarkStart w:id="92" w:name="FTR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 w:name="GLFTR6"/>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 w:name="PN6"/>
      <w:bookmarkEnd w:id="94"/>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6"/>
      <w:bookmarkStart w:id="96" w:name="HDR6"/>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 w:name="GLHDR6"/>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intend to continue to work with UBC to file additional patent applications with respect to any novel aspects of our technology to further protect our intellectual property portfolio.  As disclosed in previous filings, additional patents have been acquired under the execution of the option agreement.  An invention that describes the use of bio-acceptable substances to promote the transcription of the TAP-1 gene in TAP-1 expression-deficient cells was filed in July 2009.  The patent is entitled “HAT acetylation promoters and uses of compositions thereof in promoting immunogenicity”.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Competition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following companies, which are developing various types of similar immunotherapies and therapeutic cancer vaccines to treat cancer, could be our major competitors: CellGenSys Inc., Dendreon Corp., Genzyme Molecular Oncology, and Transgene S.A.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Government Regulation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7"/>
      <w:bookmarkStart w:id="99" w:name="PGBRK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7"/>
      <w:bookmarkStart w:id="101" w:name="FTR7"/>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 w:name="GLFTR7"/>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7"/>
      <w:bookmarkEnd w:id="10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7"/>
      <w:bookmarkStart w:id="105" w:name="HDR7"/>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 w:name="GLHDR7"/>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Pre-clinical tests include laboratory evaluation of product chemistry, preparation of consistent test batches of product to what is known as GLP, toxicology studies, animal pre-clinical efficacy studies and manufacturing pursuant to what is known as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development of products.  Moreover, positive results of pre-clinical tests will not necessarily indicate positive results in subsequent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months as the median time for NDA review.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manufacturers of approved products and their manufacturing facilities are subject to continual review and periodic inspections.  We intend to enter into a contract with SAFC Pharma for commercial scale manufacturing of the TAP Cancer Vaccine, therefore our ability to control compliance with FDA manufacturing requirements will be limited.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Canada</w:t>
      </w:r>
    </w:p>
    <w:p>
      <w:pPr>
        <w:pStyle w:val="TextBody"/>
        <w:spacing w:before="0" w:after="0"/>
        <w:ind w:left="0" w:right="0" w:hanging="0"/>
        <w:jc w:val="both"/>
        <w:rPr>
          <w:rFonts w:ascii="Times New Roman" w:hAnsi="Times New Roman"/>
          <w:sz w:val="20"/>
        </w:rPr>
      </w:pPr>
      <w:r>
        <w:rPr>
          <w:rFonts w:ascii="Times New Roman" w:hAnsi="Times New Roman"/>
          <w:sz w:val="20"/>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www.hc-sc.gc.ca.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8"/>
      <w:bookmarkStart w:id="108" w:name="PGBRK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8"/>
      <w:bookmarkStart w:id="110" w:name="FTR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 w:name="GLFTR8"/>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 w:name="PN8"/>
      <w:bookmarkEnd w:id="11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8"/>
      <w:bookmarkStart w:id="114" w:name="HDR8"/>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 w:name="GLHDR8"/>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Other Jurisdictions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Outside the United States and Canada, the company’s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Product Liability and Insurance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of the TAP Cancer Vaccine.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Dr. Glynn Wilson is our Chief Executive Officer and Principal Executive Officer, Mr. Denis Corin is our President, and Mr. Tracy Moore is our Chief Financial Officer and Principal Accounting Officer.  These individuals are primarily responsible for all our day-to-day operations.  Other services are provided by outsourcing and consultant service agreements.  As of December 31, 2009, we did not have any payroll or regular employees.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An investment in our common stock involves a number of very significant risks.  You should carefully consider the following risks and uncertainties in addition to other information in this annual report in evaluating our company and its business before purchasing shares of our common stock.  Our business, operating results and financial condition could be seriously harmed due to any of the following risks.  The risks described below may not be all of the risks facing our company.  Additional risks not presently known to us or that we currently consider immaterial may also impair our business operations.  You could lose all or part of your investment due to any of these risks.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Related to Our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a history of operating losses.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continue to incur losses and will require additional financing to continue our operations.  We have incurred operating losses and negative cash flow from operations for most of our history.  Losses incurred since our inception have aggregated to $25,274,076, and there can be no assurance that we will be able to generate positive cash flows to fund our operations in the future or to pursue our strategic objectives.  We believe that we currently do not have sufficient cash to satisfy our needs beyond four months.  We will need to raise additional capital, most likely via the sale of equity securities, to fund our operations.  There can be no assurance that we will be able to obtain such financing on terms satisfactory to us, if at all.  Any additional equity financing may be dilutive to existing stockholders, and debt financing, if available, may include restrictive covenants.  If adequate funds are not available, we might be required to limit our research and development activities or our administrative activities any of which could have a material adverse effect on the future of the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our financial condition and the future of our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 w:name="PGBRK9"/>
      <w:bookmarkStart w:id="117" w:name="PGBRK9"/>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FTR9"/>
      <w:bookmarkStart w:id="119" w:name="FTR9"/>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0" w:name="GLFTR9"/>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1" w:name="PN9"/>
      <w:bookmarkEnd w:id="12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HDR9"/>
      <w:bookmarkStart w:id="123" w:name="HDR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4" w:name="GLHDR9"/>
      <w:bookmarkEnd w:id="1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independent auditor’s report accompanying our December 31, 2009 consolidated financial statements contains an explanatory paragraph expressing substantial doubt about our 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have been prepared on the basis of a going concern which contemplates the realization of assets and the satisfaction of liabilities in the normal course of business.  As at December 31, 2009, the Company has a working capital and capital deficiency of $629,388,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depend upon collaborative relationships and third parties for product development and commercialization.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historically entered into research and development agreements with collaborative partners. Pursuant to these agreements, our collaborative partners provide us with the intellectual property and options for the license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 to these activities will generally be based on progress by us in our funding and product development efforts.  Some of our collaborative arrangements may be terminated by the partner upon prior notice without cause and there can be no assurance that any of these partners will perform its contractual obligations or that it will not terminate its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Preclinical testing and future clinical trials may take longer than anticipated, and we may be unable to complete them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While management believes that the Phase I human clinical trials of the TAP Cancer Vaccine in oncology will commence in fiscal year 2010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product candidates and activities are subject to regulation by various governments and government agencies.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testing of our products is subject to regulation by numerous governmental authorities, principally the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5" w:name="PGBRK10"/>
      <w:bookmarkStart w:id="126" w:name="PGBRK10"/>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FTR10"/>
      <w:bookmarkStart w:id="128" w:name="FTR10"/>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9" w:name="GLFTR10"/>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0" w:name="PN10"/>
      <w:bookmarkEnd w:id="130"/>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 w:name="HDR10"/>
      <w:bookmarkStart w:id="132" w:name="HDR10"/>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3" w:name="GLHDR10"/>
      <w:bookmarkEnd w:id="1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Government regulation imposes significant costs and restrictions on the development and commercialization of our product candidates and services.  Our success will depend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Competition in the human medical diagnostics industry is, and is expected to remain, significant, and we may never obtain market acceptance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Competition in the cancer therapeutics field is intense and is accentuated by the rapid pace of technological development.  Our competitors range from development stage diagnostics companies to major domestic and international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marketing approval, but cannot compete effectively in the marketplace, our business and financial position would suffer greatly.  There can be no assurance that technologies will not be introduced that could be directly competitive with or superior to our technologies.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depend on key management and advisors.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Due to the specialized nature of our business, our success will be highly dependent upon our ability to attract and retain qualified scientific and executive personnel.  Our success depends to a significant extent upon our key management, including Glynn Wilson, our Chairman and Chief Executive Officer, Denis Corin, our President, and Tracy Moore, our Chief Financial Officer.  There can be no assurance that we will be successful in attracting and retaining the personnel we require to develop and market our product candidates and to conduct our operations successfully.  Failure to retain Mr. Wilson, Mr. Corin or Mr. Moore would have a material adverse effect upon our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4" w:name="PGBRK11"/>
      <w:bookmarkStart w:id="135" w:name="PGBRK11"/>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FTR11"/>
      <w:bookmarkStart w:id="137" w:name="FTR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8" w:name="GLFTR11"/>
      <w:bookmarkEnd w:id="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 w:name="PN11"/>
      <w:bookmarkEnd w:id="13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 w:name="HDR11"/>
      <w:bookmarkStart w:id="141" w:name="HDR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2" w:name="GLHDR11"/>
      <w:bookmarkEnd w:id="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success depends, in part, on our ability to obtain patents and license patent rights, to maintain trade secret protection and to operate without infringing on the proprietary rights of others.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increased legal expenses would have a negative impact on our cash flow and thus our overall business could be adversely affected.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testing, manufacturing and marketing of therapeutic medical technology entails an inherent risk of product liability claims.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There has, to date, been no active public market for our common stock, and there can be no assurance that an active public market will develop or be sustained.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common stock has been traded on the OTCBB since prior to the acquisition of GeneMax Pharmaceuticals.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quarterly variation in our results of operations, may adversely affect the market price of our common stock.  In addition, our common stock is subject to rules adopted by the SEC regulating broker-dealer practices in connection with transactions in “penny stocks.”  Such rules require the delivery prior to any penny stock transaction of a disclosure schedule explaining the penny stock market and all associated risks and impose various sales practice requirements on broker-dealers who sell penny stocks to persons other than established customers and accredited investors, which are generally defined as institutions or an investor with a net worth in excess of $1,000,000 or annual income exceeding $200,000 or $300,000 together with the spouse.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our stock price may have a material adverse effect upon our shareholders.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Risks relating to our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not paid dividends to date and do not intend to pay any dividends in the near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never paid dividends on our common stock and presently intend to retain any future earnings to finance the operations of our business. You may never receive any dividends on our shares.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3" w:name="PGBRK12"/>
      <w:bookmarkStart w:id="144" w:name="PGBRK12"/>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FTR12"/>
      <w:bookmarkStart w:id="146" w:name="FTR12"/>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7" w:name="GLFTR12"/>
      <w:bookmarkEnd w:id="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8" w:name="PN12"/>
      <w:bookmarkEnd w:id="148"/>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 w:name="HDR12"/>
      <w:bookmarkStart w:id="150" w:name="HDR12"/>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1" w:name="GLHDR12"/>
      <w:bookmarkEnd w:id="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exercise of stock options and warrants, the conversion of debentures, or the later sales of our common stock may further dilute the shares of common stock you receive in this offering.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Annual Report, we had outstanding 3,618,000 options to purchase shares of our common stock and 6,062,800 warrants exercisable into shares of our common stock.  The issuance of any shares of common stock pursuant to exercise of such options and warrants or the redemption of the debentures could dilute the interest of our current or future shareholders.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is authorized to sell additional shares of common stock, or securities convertible into shares of common stock, if in their discretion they determine that such action would be beneficial to us.  Any such issuance could dilute the interest of our current or future shareholders.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articles of association provide indemnification for officers, directors and 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governing instruments provide that officers, directors, employees and other agents and their affiliates shall only be liable to our Company for losses, judgments, liabilities and expenses that result from the negligence, misconduct, fraud or other breach of fiduciary obligations.  Thus certain alleged errors or omissions might not be actionable by us.  The governing instruments also provide that, under the broadest circumstances allowed under law, we must indemnify our officers, directors, employees and other agents and their affiliates for losses, judgments, liabilities, expenses and amounts paid in settlement of any claims sustained by them in connection with our Company, including liabilities under applicable securities laws.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large amounts of our shares held by existing shareholders are sold in the future, the market price of our common stock could decline.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Four shareholders beneficially own approximately 14,401,173 shares of our common stock.  The market price of our shares could fall substantially if these or other shareholders sell large amounts of our common stock in the public market.  These sales, or the possibility that these sales may occur, could also make it more difficult for us to sell equity or equity-related securities if we need to do so in the future to address then-existing financing needs.  U.S. federal securities laws requiring the registration or exemption from registration in connection with the sale of securities limit the number of common stock available for sale in the public market.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1B.                   UNRESOLVED STAFF COMMENTS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2.                      PROPERTIES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do not own any real estate or other properties.  Our registered office is located at Suite 400, 800 Bellevue Way NE, Bellevue, Washington, 98004.  On June 22, 2009, we entered into a one year office lease in Bellevue, Washington commencing on July 1, 2009.  The terms of the lease require us to make minimum monthly payments of $2,654 per month.</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3.                      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not aware of any legal proceedings contemplated by any government authority or any other party involving the Company.  As of the date of this Annual Report, no director, officer or affiliate is (i) a party adverse to us in any legal proceeding, or (ii) has an adverse interest to us in any legal proceeding.  Management is not aware of any other legal proceedings pending or threatened against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4.                      (REMOVED AND RESERVED)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 w:name="PGBRK13"/>
      <w:bookmarkStart w:id="153" w:name="PGBRK13"/>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FTR13"/>
      <w:bookmarkStart w:id="155" w:name="FTR13"/>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6" w:name="GLFTR13"/>
      <w:bookmarkEnd w:id="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7" w:name="PN13"/>
      <w:bookmarkEnd w:id="157"/>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HDR13"/>
      <w:bookmarkStart w:id="159" w:name="HDR13"/>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0" w:name="GLHDR13"/>
      <w:bookmarkEnd w:id="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PART II</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61" w:name="hangingindent16"/>
      <w:bookmarkStart w:id="162" w:name="hangingindent16"/>
      <w:bookmarkEnd w:id="162"/>
    </w:p>
    <w:tbl>
      <w:tblPr>
        <w:tblW w:w="5000" w:type="pct"/>
        <w:jc w:val="center"/>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5.</w:t>
            </w:r>
          </w:p>
        </w:tc>
        <w:tc>
          <w:tcPr>
            <w:tcW w:w="952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MARKET FOR REGISTRANT’S COMMON EQUITY, RELATED STOCKHOLDER MATTERS AND ISSUER PURCHASES OF EQUITY SECURITIES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common stock is traded on the Over the Counter Bulletin Board (“OTCBB”) under the symbol “TPIV.OB” and on the Frankfurt and Berlin Stock Exchanges under the symbol “GX1A.”  The listing on the Berlin Stock Exchange was done without the company’s knowledge and consent.  We have attempted to have the Berlin Stock Exchange listing terminated, however it has not been able to do so.  We do not intend to maintain either Frankfurt or Berlin listings.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587"/>
        <w:gridCol w:w="110"/>
        <w:gridCol w:w="125"/>
        <w:gridCol w:w="959"/>
        <w:gridCol w:w="110"/>
        <w:gridCol w:w="110"/>
        <w:gridCol w:w="125"/>
        <w:gridCol w:w="959"/>
        <w:gridCol w:w="120"/>
      </w:tblGrid>
      <w:tr>
        <w:trPr/>
        <w:tc>
          <w:tcPr>
            <w:tcW w:w="7587"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08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 Bid</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08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 Bid</w:t>
            </w:r>
          </w:p>
        </w:tc>
        <w:tc>
          <w:tcPr>
            <w:tcW w:w="120"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084"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084" w:type="dxa"/>
            <w:gridSpan w:val="2"/>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2010</w:t>
            </w:r>
          </w:p>
        </w:tc>
        <w:tc>
          <w:tcPr>
            <w:tcW w:w="110" w:type="dxa"/>
            <w:tcBorders/>
            <w:shd w:fill="auto" w:val="clear"/>
            <w:tcMar>
              <w:top w:w="0" w:type="dxa"/>
              <w:bottom w:w="0" w:type="dxa"/>
            </w:tcMar>
            <w:vAlign w:val="bottom"/>
          </w:tcPr>
          <w:p>
            <w:pPr>
              <w:pStyle w:val="TableContents"/>
              <w:spacing w:before="0" w:after="283"/>
              <w:rPr/>
            </w:pPr>
            <w:r>
              <w:rPr/>
              <w:t> </w:t>
            </w:r>
          </w:p>
        </w:tc>
        <w:tc>
          <w:tcPr>
            <w:tcW w:w="1084"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084" w:type="dxa"/>
            <w:gridSpan w:val="2"/>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March 31, 2010</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December 31,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0.42</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September 30,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June 30,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March 31, 2009</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2008</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959"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December 31, 2008</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September 30, 2008</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June 30, 2008</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7587" w:type="dxa"/>
            <w:tcBorders>
              <w:bottom w:val="double" w:sz="8"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March 31, 2008</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20"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last reported sales price for our shares on the OTCBB, as of April 9, 2010, was $0.29 per share.  As of April 9, 2010, we had 328 shareholders of record.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28, 2007, we completed a reverse stock split thereby issuing 1 new share of common stock in exchange for each 2.5 outstanding shares of our common stock.  Accordingly, we decreased our authorized shares of common stock from 200,000,000 common shares to 80,000,000 common shares.  On January 22, 2009, in a special meeting of shareholders we increased our authorized shares of common stock from 80,000,000 to 500,000,000.  Effective July 10, 2009, we executed a further 1 for 10 reverse stock split reducing the authorized shares of common stock from 50,000,000 common shares with a $0.001 par value.  Effective February 21, 2010, we increased our shares of common stock from 50,000,000 common shares to 150,000,000 common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past five years, we have maintained 5,000,000 authorized shares of preferred stock, of which we have issued none.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Dividend Policy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 dividends have been declared or paid on our common stock.  We have incurred recurring losses and do not currently intend to pay any cash dividends in the foreseeable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Compensation Plans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as of December 31, 2009:</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4"/>
      <w:bookmarkStart w:id="164" w:name="PGBRK14"/>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FTR14"/>
      <w:bookmarkStart w:id="166" w:name="FTR14"/>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7" w:name="GLFTR14"/>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8" w:name="PN14"/>
      <w:bookmarkEnd w:id="16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4"/>
      <w:bookmarkStart w:id="170" w:name="HDR14"/>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 w:name="GLHDR14"/>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w:t>
      </w:r>
    </w:p>
    <w:tbl>
      <w:tblPr>
        <w:tblW w:w="5000" w:type="pct"/>
        <w:jc w:val="left"/>
        <w:tblInd w:w="0" w:type="dxa"/>
        <w:tblCellMar>
          <w:top w:w="28" w:type="dxa"/>
          <w:left w:w="0" w:type="dxa"/>
          <w:bottom w:w="28" w:type="dxa"/>
          <w:right w:w="0" w:type="dxa"/>
        </w:tblCellMar>
      </w:tblPr>
      <w:tblGrid>
        <w:gridCol w:w="2551"/>
        <w:gridCol w:w="2551"/>
        <w:gridCol w:w="2551"/>
        <w:gridCol w:w="2552"/>
      </w:tblGrid>
      <w:tr>
        <w:trPr/>
        <w:tc>
          <w:tcPr>
            <w:tcW w:w="2551"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255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to be issued upon exercise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255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exercise price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(b)</w:t>
            </w:r>
          </w:p>
        </w:tc>
        <w:tc>
          <w:tcPr>
            <w:tcW w:w="255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remaining available for future issuance under equity compensation plans (excluding securities reflected in column (a))</w:t>
            </w:r>
          </w:p>
          <w:p>
            <w:pPr>
              <w:pStyle w:val="TableContents"/>
              <w:spacing w:before="0" w:after="0"/>
              <w:ind w:left="0" w:right="0" w:hanging="0"/>
              <w:jc w:val="center"/>
              <w:rPr>
                <w:rFonts w:ascii="times new roman" w:hAnsi="times new roman"/>
                <w:sz w:val="20"/>
              </w:rPr>
            </w:pPr>
            <w:r>
              <w:rPr>
                <w:rFonts w:ascii="times new roman" w:hAnsi="times new roman"/>
                <w:sz w:val="20"/>
              </w:rPr>
              <w:t>(c)</w:t>
            </w:r>
          </w:p>
        </w:tc>
      </w:tr>
      <w:tr>
        <w:trPr/>
        <w:tc>
          <w:tcPr>
            <w:tcW w:w="2551" w:type="dxa"/>
            <w:tcBorders/>
            <w:shd w:fill="auto" w:val="clear"/>
            <w:tcMar>
              <w:top w:w="0" w:type="dxa"/>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(a)Equity compensation plans approved by security holders</w:t>
            </w:r>
          </w:p>
        </w:tc>
        <w:tc>
          <w:tcPr>
            <w:tcW w:w="255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55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2552"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551" w:type="dxa"/>
            <w:tcBorders>
              <w:bottom w:val="single" w:sz="12" w:space="0" w:color="000000"/>
            </w:tcBorders>
            <w:shd w:fill="auto" w:val="clear"/>
            <w:tcMar>
              <w:top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(b)Equity compensation plans not approved by security holders</w:t>
            </w:r>
          </w:p>
        </w:tc>
        <w:tc>
          <w:tcPr>
            <w:tcW w:w="2551"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3,618,000</w:t>
            </w:r>
          </w:p>
        </w:tc>
        <w:tc>
          <w:tcPr>
            <w:tcW w:w="2551"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2552"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6,382,000</w:t>
            </w:r>
          </w:p>
        </w:tc>
      </w:tr>
      <w:tr>
        <w:trPr/>
        <w:tc>
          <w:tcPr>
            <w:tcW w:w="2551"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255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3,618,000</w:t>
            </w:r>
          </w:p>
        </w:tc>
        <w:tc>
          <w:tcPr>
            <w:tcW w:w="255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2552"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6,382,000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Stock Incentive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adopted the 2009 Stock Incentive Plan (the “2009 Plan”).  The 2009 Plan allows for the issuance of up to 10,000,000 common shares.  Options granted under the Plan shall be at prices and for terms as determined by our Board of Directors, and may have vesting requirements as determined by our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foregoing summary of the 2009 Stock Incentive Plan is not complete and is qualified in its entirety by reference to the 2009 Stock Incentive Plan, a copy of which has been filed with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annual report, there are an aggregate of 3,618,000 stock options granted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Warrants</w:t>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annual report, there are an aggregate of 6,062,800 common stock purchase warrants issued and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Recent Sales of Unregistered Securities</w:t>
      </w:r>
    </w:p>
    <w:p>
      <w:pPr>
        <w:pStyle w:val="TextBody"/>
        <w:spacing w:before="0" w:after="0"/>
        <w:ind w:left="0" w:right="0" w:hanging="0"/>
        <w:jc w:val="both"/>
        <w:rPr>
          <w:rFonts w:ascii="Times New Roman" w:hAnsi="Times New Roman"/>
          <w:sz w:val="20"/>
        </w:rPr>
      </w:pPr>
      <w:r>
        <w:rPr>
          <w:rFonts w:ascii="Times New Roman" w:hAnsi="Times New Roman"/>
          <w:sz w:val="20"/>
        </w:rPr>
        <w:t>Effective February 8, 2010, we settled $100,000 of debt through the issuance of 750,000 share purchase warrants to acquire an equivalent number of our common shares , at an exercise price of $0.50 per share and for an exercise period of up to five years from the issuance date.  We issued these options in transactions relying on the registration exemption provided by Section 4(2) of the Securities Act of 1933.</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6.                  SELECTED FINANCIAL DATA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72" w:name="hangingindent17"/>
      <w:bookmarkStart w:id="173" w:name="hangingindent17"/>
      <w:bookmarkEnd w:id="173"/>
    </w:p>
    <w:tbl>
      <w:tblPr>
        <w:tblW w:w="5000" w:type="pct"/>
        <w:jc w:val="center"/>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7.</w:t>
            </w:r>
          </w:p>
        </w:tc>
        <w:tc>
          <w:tcPr>
            <w:tcW w:w="947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discussion of our financial condition, changes in financial condition, plan of operations and results of operations should be read in conjunction with (i) our audited consolidated financial statements as at December 31, 2009 and for the period from inception (July 27, 1999) to December 31, 2009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 including, but not limited to, those set forth under “Risk Factors” and elsewhere in this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4" w:name="PGBRK15"/>
      <w:bookmarkStart w:id="175" w:name="PGBRK15"/>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FTR15"/>
      <w:bookmarkStart w:id="177" w:name="FTR1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8" w:name="GLFTR15"/>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9" w:name="PN15"/>
      <w:bookmarkEnd w:id="179"/>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 w:name="HDR15"/>
      <w:bookmarkStart w:id="181" w:name="HDR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2" w:name="GLHDR15"/>
      <w:bookmarkEnd w:id="1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a significant debt settlement and restructuring in July 2009, the company is well positioned and has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and for various operating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2008 and 2009 were very challenging years in the capital markets.  We were however able secure over $1,000,000 enabling us to complete our restructure, ensure our important patent work continued along and pursue our business development initiatives.  These initiatives resulted in a collaboration agreement with Aeras Global Tuberculosis Foundation and a new license agreement with Crucell Holland, giving us access to a best of breed technology and the necessary components to improve the possible outcome in our vaccine manufacturing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last two years, we have been working diligently on finding partners that we believe we can work closely with to form collaborative arrangements that will be mutually beneficial.  On February 1, 2010, we announced our collaboration intent with Aeras Global TB Foundation.  Aeras, a leading non-profit Product Development Partnerships, is dedicated to the development of effective tuberculosis (TB) vaccine regimens that will prevent tuberculosis in all age groups and will be affordable, available and adopted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According to the World Health Organization (WHO), in 2007 there were an estimated 13.7 million chronic active cases of TB, 9.3 million new cases, and 1.8 million deaths from TB, mostly in developing countries.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Aeras Global TB Vaccine Foundation and TapImmune have entered into an R&amp;D collaboration effort with an overall goal to evaluate the efficacy of TAP in concert with novel TB vaccine candidates.  Aeras is based in Rockville, Maryland, where it operates a state-of-the-art manufacturing and laboratory facility.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identified additional partnership opportunities and encourage shareholders to keep an eye on our news in the coming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scope of these kinds of collaborations cannot be emphasized enough. World class institutions have identified the uniqueness and the potential of our technology platform and the opportunities we are pursuing.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four months, we believe that future investment, if successful, should be adequate to fund our operations over the next 24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sets table sets out our consolidated losses for the periods indicated:</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3" w:name="PGBRK16"/>
      <w:bookmarkStart w:id="184" w:name="PGBRK16"/>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FTR16"/>
      <w:bookmarkStart w:id="186" w:name="FTR16"/>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7" w:name="GLFTR16"/>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8" w:name="PN16"/>
      <w:bookmarkEnd w:id="188"/>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HDR16"/>
      <w:bookmarkStart w:id="190" w:name="HDR1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1" w:name="GLHDR16"/>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928"/>
        <w:gridCol w:w="105"/>
        <w:gridCol w:w="126"/>
        <w:gridCol w:w="1068"/>
        <w:gridCol w:w="112"/>
        <w:gridCol w:w="105"/>
        <w:gridCol w:w="126"/>
        <w:gridCol w:w="1068"/>
        <w:gridCol w:w="112"/>
        <w:gridCol w:w="105"/>
        <w:gridCol w:w="126"/>
        <w:gridCol w:w="1101"/>
        <w:gridCol w:w="123"/>
      </w:tblGrid>
      <w:tr>
        <w:trPr/>
        <w:tc>
          <w:tcPr>
            <w:tcW w:w="5928"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12"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tc>
        <w:tc>
          <w:tcPr>
            <w:tcW w:w="112"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22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Period</w:t>
            </w:r>
          </w:p>
          <w:p>
            <w:pPr>
              <w:pStyle w:val="TableContents"/>
              <w:spacing w:before="0" w:after="0"/>
              <w:ind w:left="0" w:right="0" w:hanging="0"/>
              <w:jc w:val="center"/>
              <w:rPr>
                <w:rFonts w:ascii="times new roman" w:hAnsi="times new roman"/>
                <w:b/>
                <w:sz w:val="20"/>
              </w:rPr>
            </w:pPr>
            <w:r>
              <w:rPr>
                <w:rFonts w:ascii="times new roman" w:hAnsi="times new roman"/>
                <w:b/>
                <w:sz w:val="20"/>
              </w:rPr>
              <w:t>from Inception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(July 27, 1999) to</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5" w:type="dxa"/>
            <w:tcBorders/>
            <w:shd w:fill="auto" w:val="clear"/>
            <w:tcMar>
              <w:top w:w="0" w:type="dxa"/>
              <w:bottom w:w="0" w:type="dxa"/>
            </w:tcMar>
            <w:vAlign w:val="bottom"/>
          </w:tcPr>
          <w:p>
            <w:pPr>
              <w:pStyle w:val="TableContents"/>
              <w:spacing w:before="0" w:after="283"/>
              <w:rPr/>
            </w:pPr>
            <w:r>
              <w:rPr/>
              <w:t> </w:t>
            </w:r>
          </w:p>
        </w:tc>
        <w:tc>
          <w:tcPr>
            <w:tcW w:w="1194" w:type="dxa"/>
            <w:gridSpan w:val="2"/>
            <w:tcBorders/>
            <w:shd w:fill="auto" w:val="clear"/>
            <w:tcMar>
              <w:top w:w="0" w:type="dxa"/>
              <w:bottom w:w="0" w:type="dxa"/>
            </w:tcMar>
            <w:vAlign w:val="bottom"/>
          </w:tcPr>
          <w:p>
            <w:pPr>
              <w:pStyle w:val="TableContents"/>
              <w:spacing w:before="0" w:after="283"/>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194" w:type="dxa"/>
            <w:gridSpan w:val="2"/>
            <w:tcBorders/>
            <w:shd w:fill="auto" w:val="clear"/>
            <w:tcMar>
              <w:top w:w="0" w:type="dxa"/>
              <w:bottom w:w="0" w:type="dxa"/>
            </w:tcMar>
            <w:vAlign w:val="bottom"/>
          </w:tcPr>
          <w:p>
            <w:pPr>
              <w:pStyle w:val="TableContents"/>
              <w:spacing w:before="0" w:after="283"/>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7"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Consulting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233,283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1,771,206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Consulting, stock-based</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151,500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3,791,817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Depreciation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115,693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2,408,456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Interest and finance charges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778,179</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3,910,603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Management fees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353,162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2,194,477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Management fees, stock based</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172,668</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2,847,050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Professional fees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284,288</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3,314,449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182,343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5,417,392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bottom w:val="single" w:sz="12" w:space="0" w:color="000000"/>
            </w:tcBorders>
            <w:shd w:fill="auto" w:val="clear"/>
            <w:tcMar>
              <w:top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Research and development,</w:t>
            </w:r>
          </w:p>
          <w:p>
            <w:pPr>
              <w:pStyle w:val="TableContents"/>
              <w:spacing w:before="0" w:after="0"/>
              <w:ind w:left="180" w:right="0" w:hanging="0"/>
              <w:jc w:val="left"/>
              <w:rPr/>
            </w:pPr>
            <w:r>
              <w:rPr/>
              <w:t>   </w:t>
            </w:r>
            <w:r>
              <w:rPr>
                <w:rFonts w:ascii="times new roman" w:hAnsi="times new roman"/>
                <w:sz w:val="20"/>
              </w:rPr>
              <w:t>stock-based</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Loss Before Other Items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Foreign exchange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82,659</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44,590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Gain on settlement of debt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961,056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Interest income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28" w:type="dxa"/>
            <w:tcBorders>
              <w:bottom w:val="single" w:sz="12" w:space="0" w:color="000000"/>
            </w:tcBorders>
            <w:shd w:fill="auto" w:val="clear"/>
            <w:tcMar>
              <w:top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Loss on disposal of assets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Year Ended December 31, 2009 Compared to the Year Ended December 31, 2008</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$4,461,970 during the year ended December 31, 2009 compared to $2,195,939 for the year ended December 31, 2008.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jc w:val="both"/>
        <w:rPr>
          <w:rFonts w:ascii="Times New Roman" w:hAnsi="Times New Roman"/>
          <w:sz w:val="20"/>
        </w:rPr>
      </w:pPr>
      <w:r>
        <w:rPr>
          <w:rFonts w:ascii="Times New Roman" w:hAnsi="Times New Roman"/>
          <w:sz w:val="20"/>
        </w:rPr>
        <w:t>Operating expenses incurred during the fiscal year ended December 31, 2009 were $5,382,372 compared to $2,278,598 in the prior year.  Significant changes and expenditures are outlined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92" w:name="hangingindent18"/>
      <w:bookmarkStart w:id="193" w:name="hangingindent18"/>
      <w:bookmarkEnd w:id="193"/>
    </w:p>
    <w:tbl>
      <w:tblPr>
        <w:tblW w:w="5000" w:type="pct"/>
        <w:jc w:val="center"/>
        <w:tblInd w:w="0" w:type="dxa"/>
        <w:tblCellMar>
          <w:top w:w="0" w:type="dxa"/>
          <w:left w:w="0" w:type="dxa"/>
          <w:bottom w:w="0" w:type="dxa"/>
          <w:right w:w="0" w:type="dxa"/>
        </w:tblCellMar>
      </w:tblPr>
      <w:tblGrid>
        <w:gridCol w:w="81"/>
        <w:gridCol w:w="95"/>
        <w:gridCol w:w="10029"/>
      </w:tblGrid>
      <w:tr>
        <w:trPr/>
        <w:tc>
          <w:tcPr>
            <w:tcW w:w="8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were $552,339 during the fiscal year ended December 31, 2009 compared to $233,283 during the prior fiscal year.  The increase was due primarily to business development services including those relating to financing and debt restructuring that were not in place during the prior period.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4" w:name="hangingindent19"/>
      <w:bookmarkStart w:id="195" w:name="hangingindent19"/>
      <w:bookmarkEnd w:id="195"/>
    </w:p>
    <w:tbl>
      <w:tblPr>
        <w:tblW w:w="5000" w:type="pct"/>
        <w:jc w:val="center"/>
        <w:tblInd w:w="0" w:type="dxa"/>
        <w:tblCellMar>
          <w:top w:w="0" w:type="dxa"/>
          <w:left w:w="0" w:type="dxa"/>
          <w:bottom w:w="0" w:type="dxa"/>
          <w:right w:w="0" w:type="dxa"/>
        </w:tblCellMar>
      </w:tblPr>
      <w:tblGrid>
        <w:gridCol w:w="83"/>
        <w:gridCol w:w="95"/>
        <w:gridCol w:w="10027"/>
      </w:tblGrid>
      <w:tr>
        <w:trPr/>
        <w:tc>
          <w:tcPr>
            <w:tcW w:w="8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Stock-based consulting fees were $506,042 in the year ended December 31, 2009 compared to $151,500 in the prior year.  The current and prior year charges result from the fair valuation of shares issued to consultants and options granted to or earned by consultants during such periods.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6" w:name="hangingindent20"/>
      <w:bookmarkStart w:id="197" w:name="hangingindent20"/>
      <w:bookmarkEnd w:id="197"/>
    </w:p>
    <w:tbl>
      <w:tblPr>
        <w:tblW w:w="5000" w:type="pct"/>
        <w:jc w:val="center"/>
        <w:tblInd w:w="0" w:type="dxa"/>
        <w:tblCellMar>
          <w:top w:w="0" w:type="dxa"/>
          <w:left w:w="0" w:type="dxa"/>
          <w:bottom w:w="0" w:type="dxa"/>
          <w:right w:w="0" w:type="dxa"/>
        </w:tblCellMar>
      </w:tblPr>
      <w:tblGrid>
        <w:gridCol w:w="82"/>
        <w:gridCol w:w="95"/>
        <w:gridCol w:w="10028"/>
      </w:tblGrid>
      <w:tr>
        <w:trPr/>
        <w:tc>
          <w:tcPr>
            <w:tcW w:w="8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were $85,146 in the year ended December 31, 2009 compared to $115,693 in the prior year, with the decrease resulting primarily from a reduction in operations in the current year due to resource restrictions, including the closure of the Vancouver location.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98" w:name="hangingindent21"/>
      <w:bookmarkStart w:id="199" w:name="hangingindent21"/>
      <w:bookmarkEnd w:id="199"/>
    </w:p>
    <w:tbl>
      <w:tblPr>
        <w:tblW w:w="5000" w:type="pct"/>
        <w:jc w:val="center"/>
        <w:tblInd w:w="0" w:type="dxa"/>
        <w:tblCellMar>
          <w:top w:w="0" w:type="dxa"/>
          <w:left w:w="0" w:type="dxa"/>
          <w:bottom w:w="0" w:type="dxa"/>
          <w:right w:w="0" w:type="dxa"/>
        </w:tblCellMar>
      </w:tblPr>
      <w:tblGrid>
        <w:gridCol w:w="83"/>
        <w:gridCol w:w="95"/>
        <w:gridCol w:w="10027"/>
      </w:tblGrid>
      <w:tr>
        <w:trPr/>
        <w:tc>
          <w:tcPr>
            <w:tcW w:w="8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were $1,188,934 during the fiscal year ended December 31, 2009 compared to $778,179 during the prior fiscal year.  Current and prior period interest charges are primarily accretion of interest and the fair value of warrants issued with promissory notes.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00" w:name="hangingindent22"/>
      <w:bookmarkStart w:id="201" w:name="hangingindent22"/>
      <w:bookmarkEnd w:id="201"/>
    </w:p>
    <w:tbl>
      <w:tblPr>
        <w:tblW w:w="5000" w:type="pct"/>
        <w:jc w:val="center"/>
        <w:tblInd w:w="0" w:type="dxa"/>
        <w:tblCellMar>
          <w:top w:w="0" w:type="dxa"/>
          <w:left w:w="0" w:type="dxa"/>
          <w:bottom w:w="0" w:type="dxa"/>
          <w:right w:w="0" w:type="dxa"/>
        </w:tblCellMar>
      </w:tblPr>
      <w:tblGrid>
        <w:gridCol w:w="71"/>
        <w:gridCol w:w="95"/>
        <w:gridCol w:w="10039"/>
      </w:tblGrid>
      <w:tr>
        <w:trPr/>
        <w:tc>
          <w:tcPr>
            <w:tcW w:w="7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were $260,242 in the year ended December 31, 2009 compared to $353,162 in the prior year, with the difference resulting primarily from a change in executive compensation during the second half of the prior year and additional directors’ fees during the current year.  Additionally, our Board of Directors and management were reorganized during the year, and as of June 1, 2009, a portion of the fees paid or accrued to our Chief Executive Officer have been allocated to research and development.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02" w:name="PGBRK17"/>
      <w:bookmarkStart w:id="203" w:name="PGBRK17"/>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04" w:name="FTR17"/>
      <w:bookmarkStart w:id="205" w:name="FTR1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206" w:name="GLFTR17"/>
      <w:bookmarkEnd w:id="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7" w:name="PN17"/>
      <w:bookmarkEnd w:id="207"/>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08" w:name="HDR17"/>
      <w:bookmarkStart w:id="209" w:name="HDR17"/>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10" w:name="GLHDR17"/>
      <w:bookmarkEnd w:id="2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11" w:name="hangingindent23"/>
      <w:bookmarkStart w:id="212" w:name="hangingindent23"/>
      <w:bookmarkEnd w:id="212"/>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Stock-based management fees were $2,019,660 in the year ended December 31, 2009 compared to $172,668 in the prior year.  The current and prior year charges result from the fair valuation of options granted to management that were earned during the period.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3" w:name="hangingindent24"/>
      <w:bookmarkStart w:id="214" w:name="hangingindent24"/>
      <w:bookmarkEnd w:id="214"/>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were $673,227 in the year ended December 31, 2009 compared to $284,288 in the prior year.  The increase from the prior year results from significant activity relating to debt restructuring and continuing patent applications in the current year.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5" w:name="hangingindent25"/>
      <w:bookmarkStart w:id="216" w:name="hangingindent25"/>
      <w:bookmarkEnd w:id="216"/>
    </w:p>
    <w:tbl>
      <w:tblPr>
        <w:tblW w:w="5000" w:type="pct"/>
        <w:jc w:val="center"/>
        <w:tblInd w:w="0" w:type="dxa"/>
        <w:tblCellMar>
          <w:top w:w="0" w:type="dxa"/>
          <w:left w:w="0" w:type="dxa"/>
          <w:bottom w:w="0" w:type="dxa"/>
          <w:right w:w="0" w:type="dxa"/>
        </w:tblCellMar>
      </w:tblPr>
      <w:tblGrid>
        <w:gridCol w:w="73"/>
        <w:gridCol w:w="95"/>
        <w:gridCol w:w="10037"/>
      </w:tblGrid>
      <w:tr>
        <w:trPr/>
        <w:tc>
          <w:tcPr>
            <w:tcW w:w="7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costs during the fiscal year ended December 31, 2009 were $93,041 compared to $182,343 during the prior fiscal year.  The decrease results from research and consulting service agreements in effect during the prior fiscal year.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fiscal year ended December 31, 2009, we recorded a net gain on settlement of debt of $961,056 from $Nil in the prior year.  The gain was recognized in conjunction with the retirement of debt and obligations through conversion to equity and debt settlement arrangements with creditors.  The cumulative net gain includes the fair value of common stock and warrants issued as part of the transaction.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Foreign exchange decreased to a loss of $38,069 during the fiscal year ended December 31, 2009 from a gain of $82,659 in the prior year.  Interest income increased to $2,814 during the fiscal year ended December 31, 2009 from $Nil in the prior year.  Loss on disposal of assets increased to $5,399 during the fiscal year ended December 31, 2009 from $Nil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net loss for the year ended December 31, 2009 was $4,461,970 or ($0.23) per share, compared to a net loss of $2,195,939 or ($0.90) per share in the prior period.  The weighted average number of shares outstanding was 19,704,002 for the year ended December 31, 2009 compared to 2,390,084 for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Liquidity and Capital Resources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our cash and working capital as of December 31, 2009 and 2008:</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2712"/>
        <w:gridCol w:w="3617"/>
        <w:gridCol w:w="3876"/>
      </w:tblGrid>
      <w:tr>
        <w:trPr/>
        <w:tc>
          <w:tcPr>
            <w:tcW w:w="2712"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3617"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387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tc>
      </w:tr>
      <w:tr>
        <w:trPr/>
        <w:tc>
          <w:tcPr>
            <w:tcW w:w="2712" w:type="dxa"/>
            <w:tcBorders/>
            <w:shd w:fill="auto" w:val="clear"/>
            <w:tcMar>
              <w:top w:w="0" w:type="dxa"/>
              <w:bottom w:w="0" w:type="dxa"/>
            </w:tcMar>
            <w:vAlign w:val="bottom"/>
          </w:tcPr>
          <w:p>
            <w:pPr>
              <w:pStyle w:val="TableContents"/>
              <w:spacing w:before="0" w:after="283"/>
              <w:rPr/>
            </w:pPr>
            <w:r>
              <w:rPr/>
              <w:t xml:space="preserve">  </w:t>
            </w:r>
          </w:p>
        </w:tc>
        <w:tc>
          <w:tcPr>
            <w:tcW w:w="3617" w:type="dxa"/>
            <w:tcBorders/>
            <w:shd w:fill="auto" w:val="clear"/>
            <w:tcMar>
              <w:top w:w="0" w:type="dxa"/>
              <w:bottom w:w="0" w:type="dxa"/>
            </w:tcMar>
            <w:vAlign w:val="bottom"/>
          </w:tcPr>
          <w:p>
            <w:pPr>
              <w:pStyle w:val="TableContents"/>
              <w:spacing w:before="0" w:after="283"/>
              <w:rPr/>
            </w:pPr>
            <w:r>
              <w:rPr/>
              <w:t xml:space="preserve">  </w:t>
            </w:r>
          </w:p>
        </w:tc>
        <w:tc>
          <w:tcPr>
            <w:tcW w:w="3876" w:type="dxa"/>
            <w:tcBorders/>
            <w:shd w:fill="auto" w:val="clear"/>
            <w:tcMar>
              <w:top w:w="0" w:type="dxa"/>
              <w:bottom w:w="0" w:type="dxa"/>
            </w:tcMar>
            <w:vAlign w:val="bottom"/>
          </w:tcPr>
          <w:p>
            <w:pPr>
              <w:pStyle w:val="TableContents"/>
              <w:spacing w:before="0" w:after="283"/>
              <w:rPr/>
            </w:pPr>
            <w:r>
              <w:rPr/>
              <w:t xml:space="preserve">  </w:t>
            </w:r>
          </w:p>
        </w:tc>
      </w:tr>
      <w:tr>
        <w:trPr/>
        <w:tc>
          <w:tcPr>
            <w:tcW w:w="2712" w:type="dxa"/>
            <w:tcBorders/>
            <w:shd w:fill="auto" w:val="clear"/>
            <w:tcMar>
              <w:top w:w="0" w:type="dxa"/>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Cash reserves</w:t>
            </w:r>
          </w:p>
        </w:tc>
        <w:tc>
          <w:tcPr>
            <w:tcW w:w="3617" w:type="dxa"/>
            <w:tcBorders/>
            <w:shd w:fill="auto" w:val="clear"/>
            <w:tcMar>
              <w:top w:w="0" w:type="dxa"/>
              <w:bottom w:w="0" w:type="dxa"/>
            </w:tcMar>
            <w:vAlign w:val="bottom"/>
          </w:tcPr>
          <w:p>
            <w:pPr>
              <w:pStyle w:val="TableContents"/>
              <w:spacing w:before="0" w:after="0"/>
              <w:ind w:left="0" w:right="1153" w:hanging="0"/>
              <w:jc w:val="right"/>
              <w:rPr>
                <w:rFonts w:ascii="times new roman" w:hAnsi="times new roman"/>
                <w:sz w:val="20"/>
              </w:rPr>
            </w:pPr>
            <w:r>
              <w:rPr>
                <w:rFonts w:ascii="times new roman" w:hAnsi="times new roman"/>
                <w:sz w:val="20"/>
              </w:rPr>
              <w:t>$   141,431 </w:t>
            </w:r>
          </w:p>
        </w:tc>
        <w:tc>
          <w:tcPr>
            <w:tcW w:w="3876" w:type="dxa"/>
            <w:tcBorders/>
            <w:shd w:fill="auto" w:val="clear"/>
            <w:tcMar>
              <w:top w:w="0" w:type="dxa"/>
              <w:bottom w:w="0" w:type="dxa"/>
            </w:tcMar>
            <w:vAlign w:val="bottom"/>
          </w:tcPr>
          <w:p>
            <w:pPr>
              <w:pStyle w:val="TableContents"/>
              <w:spacing w:before="0" w:after="0"/>
              <w:ind w:left="0" w:right="973" w:hanging="0"/>
              <w:jc w:val="right"/>
              <w:rPr>
                <w:rFonts w:ascii="times new roman" w:hAnsi="times new roman"/>
                <w:sz w:val="20"/>
              </w:rPr>
            </w:pPr>
            <w:r>
              <w:rPr>
                <w:rFonts w:ascii="times new roman" w:hAnsi="times new roman"/>
                <w:sz w:val="20"/>
              </w:rPr>
              <w:t>$              987 </w:t>
            </w:r>
          </w:p>
        </w:tc>
      </w:tr>
      <w:tr>
        <w:trPr/>
        <w:tc>
          <w:tcPr>
            <w:tcW w:w="2712" w:type="dxa"/>
            <w:tcBorders>
              <w:bottom w:val="double" w:sz="8" w:space="0" w:color="000000"/>
            </w:tcBorders>
            <w:shd w:fill="auto" w:val="clear"/>
            <w:tcMar>
              <w:top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Working capital (deficit)</w:t>
            </w:r>
          </w:p>
        </w:tc>
        <w:tc>
          <w:tcPr>
            <w:tcW w:w="3617" w:type="dxa"/>
            <w:tcBorders>
              <w:bottom w:val="double" w:sz="8" w:space="0" w:color="000000"/>
            </w:tcBorders>
            <w:shd w:fill="auto" w:val="clear"/>
            <w:tcMar>
              <w:top w:w="0" w:type="dxa"/>
            </w:tcMar>
            <w:vAlign w:val="bottom"/>
          </w:tcPr>
          <w:p>
            <w:pPr>
              <w:pStyle w:val="TableContents"/>
              <w:spacing w:before="0" w:after="0"/>
              <w:ind w:left="0" w:right="1153" w:hanging="0"/>
              <w:jc w:val="right"/>
              <w:rPr>
                <w:rFonts w:ascii="times new roman" w:hAnsi="times new roman"/>
                <w:sz w:val="20"/>
              </w:rPr>
            </w:pPr>
            <w:r>
              <w:rPr>
                <w:rFonts w:ascii="times new roman" w:hAnsi="times new roman"/>
                <w:sz w:val="20"/>
              </w:rPr>
              <w:t>$  (629,388)</w:t>
            </w:r>
          </w:p>
        </w:tc>
        <w:tc>
          <w:tcPr>
            <w:tcW w:w="3876" w:type="dxa"/>
            <w:tcBorders>
              <w:bottom w:val="double" w:sz="8" w:space="0" w:color="000000"/>
            </w:tcBorders>
            <w:shd w:fill="auto" w:val="clear"/>
            <w:tcMar>
              <w:top w:w="0" w:type="dxa"/>
            </w:tcMar>
            <w:vAlign w:val="bottom"/>
          </w:tcPr>
          <w:p>
            <w:pPr>
              <w:pStyle w:val="TableContents"/>
              <w:spacing w:before="0" w:after="0"/>
              <w:ind w:left="0" w:right="973" w:hanging="0"/>
              <w:jc w:val="right"/>
              <w:rPr>
                <w:rFonts w:ascii="times new roman" w:hAnsi="times new roman"/>
                <w:sz w:val="20"/>
              </w:rPr>
            </w:pPr>
            <w:r>
              <w:rPr>
                <w:rFonts w:ascii="times new roman" w:hAnsi="times new roman"/>
                <w:sz w:val="20"/>
              </w:rPr>
              <w:t>$  (3,032,512)</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the availability of additional financing, we intend to spend approximately $3,000,000 over the next twelve months in carrying out our plan of operations.  At December 31, 2009, we had $141,431 of cash on hand and a working capital deficit of $629,388.  As such, our working capital at December 31, 2009 will not be sufficient to enable us to pay our general and administrative expenses, and to pursue our plan of operations over the next twelve months.  We anticipate that we will require additional funding of approximately $3,000,000.  Our management is currently making significant efforts to secure the needed financing, but we have not yet secured any commitments with respect to such financing.  If we are not able to obtain financing in the amounts required or on terms that are acceptable to us, we may be forced to scale back, or abandon, our plan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from levels established twelve months ago, and that there is no certainty that these levels will stabilize or reverse.  Any of these factors could have a material impact upon our ability to raise financing and, as a result, upon our short-term or long-term liquidity.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 w:name="PGBRK18"/>
      <w:bookmarkStart w:id="218" w:name="PGBRK18"/>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FTR18"/>
      <w:bookmarkStart w:id="220" w:name="FTR18"/>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1" w:name="GLFTR18"/>
      <w:bookmarkEnd w:id="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2" w:name="PN18"/>
      <w:bookmarkEnd w:id="222"/>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HDR18"/>
      <w:bookmarkStart w:id="224" w:name="HDR18"/>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5" w:name="GLHDR18"/>
      <w:bookmarkEnd w:id="2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2009, we had accumulated losses of $25,274,076 since inception.  Our financial statements do not include any adjustments to the recoverability and classification of recorded asset amounts and classification of liabilities that might be necessary should we be unable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Operating activities in the year ended December 31, 2009 used cash of $1,121,726 compared to $714,425 in the year ended December 31, 2008.  Operating activities in the period from inception on July 27, 1999 to December 31, 2009 used cash of $12,619,522.  Operating activities have primarily used cash as a result of the operating and organizational activities such as consulting fees, management fees, professional fees and research and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In the year ended December 31, 2009, investing activities used cash of $Nil compared to $Nil in the year ended December 31, 2008.  In the period from inception on July 27, 1999 to December 31, 2009 investing activities provided cash of $204,747.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As we have had no revenues since inception, we have financed our operations primarily through private placements of our stock.  Financing activities in the year ended December 31, 2009 provided cash of $1,262,170 compared to $547,873 in the year ended December 31, 2008.  In the period from inception on July 27, 1999 to December 31, 2009 financing activities provided net cash of $12,556,206 primarily from the sale of our equity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 2 of our consolidated financial statements for our year ended December 31, 2009 for a 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7A.                      QUANTITATIVE AND QUALITATIVE DISCLOSURES ABOUT MARKET RISK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19"/>
      <w:bookmarkStart w:id="227" w:name="PGBRK19"/>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19"/>
      <w:bookmarkStart w:id="229" w:name="FTR19"/>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19"/>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19"/>
      <w:bookmarkEnd w:id="231"/>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19"/>
      <w:bookmarkStart w:id="233" w:name="HDR19"/>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 w:name="GLHDR19"/>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8.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FINANCIAL STATEMENTS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 AND 2008</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Notes to the Consolidated Financial Statements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5" w:name="PGBRK20"/>
      <w:bookmarkStart w:id="236" w:name="PGBRK20"/>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 w:name="FTR20"/>
      <w:bookmarkStart w:id="238" w:name="FTR20"/>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9" w:name="GLFTR20"/>
      <w:bookmarkEnd w:id="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0" w:name="PN20"/>
      <w:bookmarkEnd w:id="240"/>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HDR20"/>
      <w:bookmarkStart w:id="242" w:name="HDR20"/>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3" w:name="GLHDR20"/>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pPr>
      <w:r>
        <w:rPr/>
        <w:drawing>
          <wp:inline distT="0" distB="0" distL="0" distR="0">
            <wp:extent cx="11029950" cy="1400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29950" cy="1400175"/>
                    </a:xfrm>
                    <a:prstGeom prst="rect">
                      <a:avLst/>
                    </a:prstGeom>
                  </pic:spPr>
                </pic:pic>
              </a:graphicData>
            </a:graphic>
          </wp:inline>
        </w:drawing>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Stockholders and Board of Directors of TapImmune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TapImmune Inc. (a development stage company) as of December 31, 2009 and 2008 and the related consolidated statements of operations, stockholders’ deficit and cash flows for the years ended December 31, 2009 and 2008 and the period from July 27, 1999 (inception) through December 31, 2009.  These financial statements are the responsibility of the Company’s management.  Our responsibility is to express an opinion on these financial statements based on our audits.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and assessing the accounting principles used and significant estimates made by management, as well as evaluating the overall financial statement presentation.  We believe that our audits provide a reasonable basis for our opinion.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these consolidated financial statements present fairly, in all material respects, the financial position of TapImmune Inc. as of December 31, 2009 and 2008 and the results of its operations and its cash flows for the years ended December 31, 2009 and 2008 and the period from July 27, 1999 (inception) through December 31, 2009 in conformity with accounting principles generally accepted in the United States of America.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that the Company will continue as a going concern.  As discussed in Note 1 to the financial statements, the Company has not generated revenues since inception, has incurred losses in developing its business, and further losses are anticipated.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pStyle w:val="TextBody"/>
        <w:spacing w:before="0" w:after="0"/>
        <w:ind w:left="0" w:right="0" w:hanging="0"/>
        <w:rPr/>
      </w:pPr>
      <w:r>
        <w:rPr/>
      </w:r>
    </w:p>
    <w:p>
      <w:pPr>
        <w:pStyle w:val="TextBody"/>
        <w:spacing w:before="0" w:after="0"/>
        <w:ind w:left="0" w:right="0" w:hanging="0"/>
        <w:jc w:val="center"/>
        <w:rPr>
          <w:u w:val="single"/>
        </w:rPr>
      </w:pPr>
      <w:r>
        <w:rPr>
          <w:u w:val="single"/>
        </w:rPr>
        <w:t>/s/ DMCL</w:t>
      </w:r>
    </w:p>
    <w:p>
      <w:pPr>
        <w:pStyle w:val="TextBody"/>
        <w:spacing w:before="0" w:after="0"/>
        <w:ind w:left="0" w:right="0" w:hanging="0"/>
        <w:jc w:val="right"/>
        <w:rPr/>
      </w:pPr>
      <w:r>
        <w:rPr/>
        <w:br/>
        <w:t>DALE MATHESON CARR-HILTON LABONTE LLP</w:t>
      </w:r>
    </w:p>
    <w:p>
      <w:pPr>
        <w:pStyle w:val="TextBody"/>
        <w:spacing w:before="0" w:after="0"/>
        <w:ind w:left="0" w:right="0" w:hanging="0"/>
        <w:jc w:val="right"/>
        <w:rPr>
          <w:rFonts w:ascii="Times New Roman" w:hAnsi="Times New Roman"/>
          <w:sz w:val="20"/>
        </w:rPr>
      </w:pPr>
      <w:r>
        <w:rPr>
          <w:rFonts w:ascii="Times New Roman" w:hAnsi="Times New Roman"/>
          <w:sz w:val="20"/>
        </w:rPr>
        <w:t>CHARTERED ACCOUNTANTS</w:t>
      </w:r>
    </w:p>
    <w:p>
      <w:pPr>
        <w:pStyle w:val="TextBody"/>
        <w:spacing w:before="0" w:after="0"/>
        <w:ind w:left="0" w:right="0" w:hanging="0"/>
        <w:jc w:val="left"/>
        <w:rPr>
          <w:rFonts w:ascii="Times New Roman" w:hAnsi="Times New Roman"/>
          <w:sz w:val="20"/>
        </w:rPr>
      </w:pPr>
      <w:r>
        <w:rPr>
          <w:rFonts w:ascii="Times New Roman" w:hAnsi="Times New Roman"/>
          <w:sz w:val="20"/>
        </w:rPr>
        <w:t>Vancouver, Canada</w:t>
      </w:r>
    </w:p>
    <w:p>
      <w:pPr>
        <w:pStyle w:val="TextBody"/>
        <w:spacing w:before="0" w:after="0"/>
        <w:ind w:left="0" w:right="0" w:hanging="0"/>
        <w:jc w:val="left"/>
        <w:rPr>
          <w:rFonts w:ascii="Times New Roman" w:hAnsi="Times New Roman"/>
          <w:sz w:val="20"/>
        </w:rPr>
      </w:pPr>
      <w:r>
        <w:rPr>
          <w:rFonts w:ascii="Times New Roman" w:hAnsi="Times New Roman"/>
          <w:sz w:val="20"/>
        </w:rPr>
        <w:t>April 9,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pPr>
      <w:r>
        <w:rPr/>
        <w:drawing>
          <wp:inline distT="0" distB="0" distL="0" distR="0">
            <wp:extent cx="733425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34250" cy="533400"/>
                    </a:xfrm>
                    <a:prstGeom prst="rect">
                      <a:avLst/>
                    </a:prstGeom>
                  </pic:spPr>
                </pic:pic>
              </a:graphicData>
            </a:graphic>
          </wp:inline>
        </w:drawing>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4" w:name="PGBRK21"/>
      <w:bookmarkStart w:id="245" w:name="PGBRK21"/>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6" w:name="FTR21"/>
      <w:bookmarkStart w:id="247" w:name="FTR21"/>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8" w:name="GLFTR21"/>
      <w:bookmarkEnd w:id="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9" w:name="PN21"/>
      <w:bookmarkEnd w:id="249"/>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0" w:name="HDR21"/>
      <w:bookmarkStart w:id="251" w:name="HDR21"/>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2" w:name="GLHDR21"/>
      <w:bookmarkEnd w:id="2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7318"/>
        <w:gridCol w:w="106"/>
        <w:gridCol w:w="125"/>
        <w:gridCol w:w="1097"/>
        <w:gridCol w:w="112"/>
        <w:gridCol w:w="106"/>
        <w:gridCol w:w="125"/>
        <w:gridCol w:w="1097"/>
        <w:gridCol w:w="119"/>
      </w:tblGrid>
      <w:tr>
        <w:trPr/>
        <w:tc>
          <w:tcPr>
            <w:tcW w:w="7318" w:type="dxa"/>
            <w:tcBorders>
              <w:top w:val="single" w:sz="12" w:space="0" w:color="000000"/>
            </w:tcBorders>
            <w:shd w:fill="auto" w:val="clear"/>
            <w:vAlign w:val="bottom"/>
          </w:tcPr>
          <w:p>
            <w:pPr>
              <w:pStyle w:val="TableContents"/>
              <w:spacing w:before="0" w:after="283"/>
              <w:rPr/>
            </w:pPr>
            <w:r>
              <w:rPr/>
              <w:t xml:space="preserve">  </w:t>
            </w:r>
          </w:p>
        </w:tc>
        <w:tc>
          <w:tcPr>
            <w:tcW w:w="106" w:type="dxa"/>
            <w:tcBorders>
              <w:top w:val="single" w:sz="12" w:space="0" w:color="000000"/>
            </w:tcBorders>
            <w:shd w:fill="auto" w:val="clear"/>
            <w:vAlign w:val="bottom"/>
          </w:tcPr>
          <w:p>
            <w:pPr>
              <w:pStyle w:val="TableContents"/>
              <w:spacing w:before="0" w:after="283"/>
              <w:rPr/>
            </w:pPr>
            <w:r>
              <w:rPr/>
              <w:t> </w:t>
            </w:r>
          </w:p>
        </w:tc>
        <w:tc>
          <w:tcPr>
            <w:tcW w:w="1222" w:type="dxa"/>
            <w:gridSpan w:val="2"/>
            <w:tcBorders>
              <w:top w:val="single" w:sz="12" w:space="0" w:color="000000"/>
            </w:tcBorders>
            <w:shd w:fill="auto" w:val="clear"/>
            <w:vAlign w:val="bottom"/>
          </w:tcPr>
          <w:p>
            <w:pPr>
              <w:pStyle w:val="TableContents"/>
              <w:spacing w:before="0" w:after="283"/>
              <w:rPr/>
            </w:pPr>
            <w:r>
              <w:rPr/>
              <w:t> </w:t>
            </w:r>
          </w:p>
        </w:tc>
        <w:tc>
          <w:tcPr>
            <w:tcW w:w="112" w:type="dxa"/>
            <w:tcBorders>
              <w:top w:val="single" w:sz="12" w:space="0" w:color="000000"/>
            </w:tcBorders>
            <w:shd w:fill="auto" w:val="clear"/>
            <w:vAlign w:val="bottom"/>
          </w:tcPr>
          <w:p>
            <w:pPr>
              <w:pStyle w:val="TableContents"/>
              <w:spacing w:before="0" w:after="283"/>
              <w:jc w:val="left"/>
              <w:rPr/>
            </w:pPr>
            <w:r>
              <w:rPr/>
              <w:t> </w:t>
            </w:r>
          </w:p>
        </w:tc>
        <w:tc>
          <w:tcPr>
            <w:tcW w:w="106" w:type="dxa"/>
            <w:tcBorders>
              <w:top w:val="single" w:sz="12" w:space="0" w:color="000000"/>
            </w:tcBorders>
            <w:shd w:fill="auto" w:val="clear"/>
            <w:vAlign w:val="bottom"/>
          </w:tcPr>
          <w:p>
            <w:pPr>
              <w:pStyle w:val="TableContents"/>
              <w:spacing w:before="0" w:after="283"/>
              <w:rPr/>
            </w:pPr>
            <w:r>
              <w:rPr/>
              <w:t> </w:t>
            </w:r>
          </w:p>
        </w:tc>
        <w:tc>
          <w:tcPr>
            <w:tcW w:w="1222" w:type="dxa"/>
            <w:gridSpan w:val="2"/>
            <w:tcBorders>
              <w:top w:val="single" w:sz="12" w:space="0" w:color="000000"/>
            </w:tcBorders>
            <w:shd w:fill="auto" w:val="clear"/>
            <w:vAlign w:val="bottom"/>
          </w:tcPr>
          <w:p>
            <w:pPr>
              <w:pStyle w:val="TableContents"/>
              <w:spacing w:before="0" w:after="283"/>
              <w:rPr/>
            </w:pPr>
            <w:r>
              <w:rPr/>
              <w:t> </w:t>
            </w:r>
          </w:p>
        </w:tc>
        <w:tc>
          <w:tcPr>
            <w:tcW w:w="119" w:type="dxa"/>
            <w:tcBorders>
              <w:top w:val="single" w:sz="12" w:space="0" w:color="000000"/>
            </w:tcBorders>
            <w:shd w:fill="auto" w:val="cle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from government agency</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33,263</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deposits (Note 9)</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214,501</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43,770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FURNITURE AND EQUIPMENT, NET</w:t>
            </w:r>
            <w:r>
              <w:rPr>
                <w:rFonts w:ascii="times new roman" w:hAnsi="times new roman"/>
                <w:sz w:val="20"/>
              </w:rPr>
              <w:t xml:space="preserve"> (Note 3)</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9,139</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52,909</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586,556</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1,544,603</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agreement obligations (Note 4)</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45,676</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243,598</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payable (Note 5)</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Short term debt (Note 5)</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763,327</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related parties (Note 6)</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468,121</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986,353</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3,076,282</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stock (Note 7)</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authorized, 38,361,674 (2008 - 2,414,983) shares</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issued and outstanding</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24,152,319</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17,500,559</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and warrants to be issued (Notes 5, 7, and 11)</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323,750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income (loss)</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(3,023,373</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52,909</w:t>
            </w:r>
          </w:p>
        </w:tc>
        <w:tc>
          <w:tcPr>
            <w:tcW w:w="119"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(Notes 1, 4, 5, 10 and 11)</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3" w:name="PGBRK22"/>
      <w:bookmarkStart w:id="254" w:name="PGBRK22"/>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FTR22"/>
      <w:bookmarkStart w:id="256" w:name="FTR22"/>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7" w:name="GLFTR22"/>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8" w:name="PN22"/>
      <w:bookmarkEnd w:id="258"/>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9" w:name="HDR22"/>
      <w:bookmarkStart w:id="260" w:name="HDR22"/>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1" w:name="GLHDR22"/>
      <w:bookmarkEnd w:id="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5958"/>
        <w:gridCol w:w="104"/>
        <w:gridCol w:w="125"/>
        <w:gridCol w:w="1071"/>
        <w:gridCol w:w="110"/>
        <w:gridCol w:w="104"/>
        <w:gridCol w:w="125"/>
        <w:gridCol w:w="1057"/>
        <w:gridCol w:w="109"/>
        <w:gridCol w:w="104"/>
        <w:gridCol w:w="125"/>
        <w:gridCol w:w="1090"/>
        <w:gridCol w:w="123"/>
      </w:tblGrid>
      <w:tr>
        <w:trPr/>
        <w:tc>
          <w:tcPr>
            <w:tcW w:w="5958"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9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8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1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196"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182"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1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4" w:type="dxa"/>
            <w:tcBorders/>
            <w:shd w:fill="auto" w:val="clear"/>
            <w:tcMar>
              <w:top w:w="0" w:type="dxa"/>
              <w:bottom w:w="0" w:type="dxa"/>
            </w:tcMar>
            <w:vAlign w:val="bottom"/>
          </w:tcPr>
          <w:p>
            <w:pPr>
              <w:pStyle w:val="TableContents"/>
              <w:spacing w:before="0" w:after="283"/>
              <w:rPr/>
            </w:pPr>
            <w:r>
              <w:rPr/>
              <w:t> </w:t>
            </w:r>
          </w:p>
        </w:tc>
        <w:tc>
          <w:tcPr>
            <w:tcW w:w="1196"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182"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1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233,283</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1,771,206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stock-based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151,500</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3,791,817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115,693</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2,408,456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financing charges (Note 5)</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778,179</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3,910,603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(Note 6)</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353,162</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2,194,477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stock-based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172,668</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2,847,050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284,288</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3,314,449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(Note 6)</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182,343</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5,417,392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stock-based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82,659</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44,590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 of debt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961,056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7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19,704,002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5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2,390,084</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2" w:name="PGBRK23"/>
      <w:bookmarkStart w:id="263" w:name="PGBRK23"/>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4" w:name="FTR23"/>
      <w:bookmarkStart w:id="265" w:name="FTR23"/>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6" w:name="GLFTR23"/>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7" w:name="PN23"/>
      <w:bookmarkEnd w:id="267"/>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 w:name="HDR23"/>
      <w:bookmarkStart w:id="269" w:name="HDR23"/>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0" w:name="GLHDR23"/>
      <w:bookmarkEnd w:id="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508"/>
        <w:gridCol w:w="74"/>
        <w:gridCol w:w="74"/>
        <w:gridCol w:w="865"/>
        <w:gridCol w:w="92"/>
        <w:gridCol w:w="74"/>
        <w:gridCol w:w="134"/>
        <w:gridCol w:w="680"/>
        <w:gridCol w:w="92"/>
        <w:gridCol w:w="74"/>
        <w:gridCol w:w="134"/>
        <w:gridCol w:w="1004"/>
        <w:gridCol w:w="91"/>
        <w:gridCol w:w="74"/>
        <w:gridCol w:w="136"/>
        <w:gridCol w:w="886"/>
        <w:gridCol w:w="92"/>
        <w:gridCol w:w="74"/>
        <w:gridCol w:w="142"/>
        <w:gridCol w:w="1074"/>
        <w:gridCol w:w="92"/>
        <w:gridCol w:w="74"/>
        <w:gridCol w:w="241"/>
        <w:gridCol w:w="1141"/>
        <w:gridCol w:w="91"/>
        <w:gridCol w:w="74"/>
        <w:gridCol w:w="134"/>
        <w:gridCol w:w="865"/>
        <w:gridCol w:w="119"/>
      </w:tblGrid>
      <w:tr>
        <w:trPr/>
        <w:tc>
          <w:tcPr>
            <w:tcW w:w="1508"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1919"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2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1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38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999" w:type="dxa"/>
            <w:gridSpan w:val="2"/>
            <w:tcBorders>
              <w:top w:val="single" w:sz="12" w:space="0" w:color="000000"/>
            </w:tcBorders>
            <w:shd w:fill="auto" w:val="clear"/>
            <w:vAlign w:val="bottom"/>
          </w:tcPr>
          <w:p>
            <w:pPr>
              <w:pStyle w:val="TableContents"/>
              <w:spacing w:before="0" w:after="283"/>
              <w:rPr/>
            </w:pPr>
            <w:r>
              <w:rPr/>
              <w:t> </w:t>
            </w:r>
          </w:p>
        </w:tc>
        <w:tc>
          <w:tcPr>
            <w:tcW w:w="119" w:type="dxa"/>
            <w:tcBorders>
              <w:top w:val="single" w:sz="12" w:space="0" w:color="000000"/>
            </w:tcBorders>
            <w:shd w:fill="auto" w:val="cle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incorporation - July 27,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to the founders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cash</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subscriptions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100,367</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with UBC agreement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2,160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for license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 net of finders’ fees of $95,570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56,353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749,166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572,630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34,160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512,058</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512,400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finders’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4,986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419,499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1,266,034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(1,016,065</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252,228</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$1.88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82,706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264,894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434,512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1,613,635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(74,049</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 of $17,000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170,425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settlement of debt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7,266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136,172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136,245</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GPI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1,920,232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232,696</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7,180,164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493,712</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acquisition recapitalization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(6,603,087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4"/>
      <w:bookmarkStart w:id="272" w:name="PGBRK2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4"/>
      <w:bookmarkStart w:id="274" w:name="FTR24"/>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5" w:name="GLFTR24"/>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24"/>
      <w:bookmarkEnd w:id="276"/>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4"/>
      <w:bookmarkStart w:id="278" w:name="HDR24"/>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9" w:name="GLHDR24"/>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432"/>
        <w:gridCol w:w="78"/>
        <w:gridCol w:w="78"/>
        <w:gridCol w:w="834"/>
        <w:gridCol w:w="78"/>
        <w:gridCol w:w="78"/>
        <w:gridCol w:w="90"/>
        <w:gridCol w:w="759"/>
        <w:gridCol w:w="78"/>
        <w:gridCol w:w="78"/>
        <w:gridCol w:w="78"/>
        <w:gridCol w:w="959"/>
        <w:gridCol w:w="95"/>
        <w:gridCol w:w="78"/>
        <w:gridCol w:w="83"/>
        <w:gridCol w:w="954"/>
        <w:gridCol w:w="170"/>
        <w:gridCol w:w="77"/>
        <w:gridCol w:w="85"/>
        <w:gridCol w:w="1127"/>
        <w:gridCol w:w="95"/>
        <w:gridCol w:w="78"/>
        <w:gridCol w:w="118"/>
        <w:gridCol w:w="1244"/>
        <w:gridCol w:w="95"/>
        <w:gridCol w:w="78"/>
        <w:gridCol w:w="78"/>
        <w:gridCol w:w="1009"/>
        <w:gridCol w:w="121"/>
      </w:tblGrid>
      <w:tr>
        <w:trPr/>
        <w:tc>
          <w:tcPr>
            <w:tcW w:w="1432" w:type="dxa"/>
            <w:tcBorders>
              <w:top w:val="single" w:sz="12" w:space="0" w:color="000000"/>
            </w:tcBorders>
            <w:shd w:fill="auto" w:val="clear"/>
            <w:vAlign w:val="bottom"/>
          </w:tcPr>
          <w:p>
            <w:pPr>
              <w:pStyle w:val="TableContents"/>
              <w:spacing w:before="0" w:after="283"/>
              <w:rPr/>
            </w:pPr>
            <w:r>
              <w:rPr/>
              <w:t xml:space="preserve">  </w:t>
            </w:r>
          </w:p>
        </w:tc>
        <w:tc>
          <w:tcPr>
            <w:tcW w:w="78" w:type="dxa"/>
            <w:tcBorders>
              <w:top w:val="single" w:sz="12" w:space="0" w:color="000000"/>
            </w:tcBorders>
            <w:shd w:fill="auto" w:val="clear"/>
            <w:vAlign w:val="bottom"/>
          </w:tcPr>
          <w:p>
            <w:pPr>
              <w:pStyle w:val="TableContents"/>
              <w:spacing w:before="0" w:after="283"/>
              <w:rPr/>
            </w:pPr>
            <w:r>
              <w:rPr/>
              <w:t> </w:t>
            </w:r>
          </w:p>
        </w:tc>
        <w:tc>
          <w:tcPr>
            <w:tcW w:w="1917"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8"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170" w:type="dxa"/>
            <w:tcBorders>
              <w:top w:val="single" w:sz="12" w:space="0" w:color="000000"/>
            </w:tcBorders>
            <w:shd w:fill="auto" w:val="clear"/>
            <w:vAlign w:val="bottom"/>
          </w:tcPr>
          <w:p>
            <w:pPr>
              <w:pStyle w:val="TableContents"/>
              <w:spacing w:before="0" w:after="283"/>
              <w:jc w:val="left"/>
              <w:rPr/>
            </w:pPr>
            <w:r>
              <w:rPr/>
              <w:t> </w:t>
            </w:r>
          </w:p>
        </w:tc>
        <w:tc>
          <w:tcPr>
            <w:tcW w:w="77" w:type="dxa"/>
            <w:tcBorders>
              <w:top w:val="single" w:sz="12" w:space="0" w:color="000000"/>
            </w:tcBorders>
            <w:shd w:fill="auto" w:val="clear"/>
            <w:vAlign w:val="bottom"/>
          </w:tcPr>
          <w:p>
            <w:pPr>
              <w:pStyle w:val="TableContents"/>
              <w:spacing w:before="0" w:after="283"/>
              <w:rPr/>
            </w:pPr>
            <w:r>
              <w:rPr/>
              <w:t> </w:t>
            </w:r>
          </w:p>
        </w:tc>
        <w:tc>
          <w:tcPr>
            <w:tcW w:w="121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36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87"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post reverse acquisition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2,497,309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726,408</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subscription proceeds received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$6.25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17,016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1,063,330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50,959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2002</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633,901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4,241,873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(3,972,760</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465,829</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92,745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1,420,888</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$12.50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214,983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22,214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521,593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license agreement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Subscriptions repaid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2003</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752,321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9,147,319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(9,751,665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(46,922</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(643,745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$1.75 per share, net of finders’ fees of $50,000</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34,286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549,657</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convertible notes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14,291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204,942</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205,085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Settlement of debt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 w:name="PGBRK25"/>
      <w:bookmarkStart w:id="281" w:name="PGBRK25"/>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FTR25"/>
      <w:bookmarkStart w:id="283" w:name="FTR25"/>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4" w:name="GLFTR25"/>
      <w:bookmarkEnd w:id="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5" w:name="PN25"/>
      <w:bookmarkEnd w:id="285"/>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HDR25"/>
      <w:bookmarkStart w:id="287" w:name="HDR25"/>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8" w:name="GLHDR25"/>
      <w:bookmarkEnd w:id="2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307"/>
        <w:gridCol w:w="74"/>
        <w:gridCol w:w="74"/>
        <w:gridCol w:w="961"/>
        <w:gridCol w:w="74"/>
        <w:gridCol w:w="74"/>
        <w:gridCol w:w="76"/>
        <w:gridCol w:w="743"/>
        <w:gridCol w:w="74"/>
        <w:gridCol w:w="74"/>
        <w:gridCol w:w="74"/>
        <w:gridCol w:w="1061"/>
        <w:gridCol w:w="93"/>
        <w:gridCol w:w="74"/>
        <w:gridCol w:w="387"/>
        <w:gridCol w:w="647"/>
        <w:gridCol w:w="74"/>
        <w:gridCol w:w="74"/>
        <w:gridCol w:w="74"/>
        <w:gridCol w:w="1161"/>
        <w:gridCol w:w="93"/>
        <w:gridCol w:w="74"/>
        <w:gridCol w:w="120"/>
        <w:gridCol w:w="1288"/>
        <w:gridCol w:w="93"/>
        <w:gridCol w:w="74"/>
        <w:gridCol w:w="74"/>
        <w:gridCol w:w="1018"/>
        <w:gridCol w:w="121"/>
      </w:tblGrid>
      <w:tr>
        <w:trPr/>
        <w:tc>
          <w:tcPr>
            <w:tcW w:w="1307"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2002"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34"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40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92"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2004</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804,155</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10,050,385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(12,434,770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(2,440,130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component of convertible note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$0.38 per share, net of finders’ fees</w:t>
            </w:r>
          </w:p>
          <w:p>
            <w:pPr>
              <w:pStyle w:val="TableContents"/>
              <w:spacing w:before="0" w:after="0"/>
              <w:ind w:left="0" w:right="0" w:hanging="0"/>
              <w:jc w:val="left"/>
              <w:rPr/>
            </w:pPr>
            <w:r>
              <w:rPr/>
              <w:t>  </w:t>
            </w:r>
            <w:r>
              <w:rPr>
                <w:rFonts w:ascii="times new roman" w:hAnsi="times new roman"/>
                <w:sz w:val="20"/>
              </w:rPr>
              <w:t>of $97,620 and legal fees of $100,561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362,732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1,158,437</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1,162,064</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11,255,072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(13,420,369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(66,120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(2,219,748</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feature on</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with</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2006</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11,749,572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(14,724,756</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(36,565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(3,000,080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542,820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notes:</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- 2006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492,522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- 2007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1,011,936</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accounts payable</w:t>
            </w:r>
          </w:p>
          <w:p>
            <w:pPr>
              <w:pStyle w:val="TableContents"/>
              <w:spacing w:before="0" w:after="0"/>
              <w:ind w:left="0" w:right="0" w:hanging="0"/>
              <w:jc w:val="left"/>
              <w:rPr/>
            </w:pPr>
            <w:r>
              <w:rPr/>
              <w:t>  </w:t>
            </w:r>
            <w:r>
              <w:rPr>
                <w:rFonts w:ascii="times new roman" w:hAnsi="times new roman"/>
                <w:sz w:val="20"/>
              </w:rPr>
              <w:t>and related party debt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291,181</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725,040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727,952</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finance charges on the 2007</w:t>
            </w:r>
          </w:p>
          <w:p>
            <w:pPr>
              <w:pStyle w:val="TableContents"/>
              <w:spacing w:before="0" w:after="0"/>
              <w:ind w:left="0" w:right="0" w:hanging="0"/>
              <w:jc w:val="left"/>
              <w:rPr/>
            </w:pPr>
            <w:r>
              <w:rPr/>
              <w:t>  </w:t>
            </w:r>
            <w:r>
              <w:rPr>
                <w:rFonts w:ascii="times new roman" w:hAnsi="times new roman"/>
                <w:sz w:val="20"/>
              </w:rPr>
              <w:t>convertible notes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149,400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 at a</w:t>
            </w:r>
          </w:p>
          <w:p>
            <w:pPr>
              <w:pStyle w:val="TableContents"/>
              <w:spacing w:before="0" w:after="0"/>
              <w:ind w:left="0" w:right="0" w:hanging="0"/>
              <w:jc w:val="left"/>
              <w:rPr/>
            </w:pPr>
            <w:r>
              <w:rPr/>
              <w:t>  </w:t>
            </w:r>
            <w:r>
              <w:rPr>
                <w:rFonts w:ascii="times new roman" w:hAnsi="times new roman"/>
                <w:sz w:val="20"/>
              </w:rPr>
              <w:t>fair value of $0.36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Financing charges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9" w:name="PGBRK26"/>
      <w:bookmarkStart w:id="290" w:name="PGBRK26"/>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FTR26"/>
      <w:bookmarkStart w:id="292" w:name="FTR26"/>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3" w:name="GLFTR26"/>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4" w:name="PN26"/>
      <w:bookmarkEnd w:id="29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HDR26"/>
      <w:bookmarkStart w:id="296" w:name="HDR26"/>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7" w:name="GLHDR26"/>
      <w:bookmarkEnd w:id="2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446"/>
        <w:gridCol w:w="80"/>
        <w:gridCol w:w="80"/>
        <w:gridCol w:w="946"/>
        <w:gridCol w:w="80"/>
        <w:gridCol w:w="80"/>
        <w:gridCol w:w="82"/>
        <w:gridCol w:w="783"/>
        <w:gridCol w:w="80"/>
        <w:gridCol w:w="80"/>
        <w:gridCol w:w="79"/>
        <w:gridCol w:w="1021"/>
        <w:gridCol w:w="80"/>
        <w:gridCol w:w="80"/>
        <w:gridCol w:w="88"/>
        <w:gridCol w:w="938"/>
        <w:gridCol w:w="80"/>
        <w:gridCol w:w="80"/>
        <w:gridCol w:w="81"/>
        <w:gridCol w:w="1096"/>
        <w:gridCol w:w="94"/>
        <w:gridCol w:w="79"/>
        <w:gridCol w:w="115"/>
        <w:gridCol w:w="1191"/>
        <w:gridCol w:w="94"/>
        <w:gridCol w:w="80"/>
        <w:gridCol w:w="80"/>
        <w:gridCol w:w="989"/>
        <w:gridCol w:w="123"/>
      </w:tblGrid>
      <w:tr>
        <w:trPr/>
        <w:tc>
          <w:tcPr>
            <w:tcW w:w="1446" w:type="dxa"/>
            <w:tcBorders>
              <w:top w:val="single" w:sz="12" w:space="0" w:color="000000"/>
            </w:tcBorders>
            <w:shd w:fill="auto" w:val="clear"/>
            <w:vAlign w:val="bottom"/>
          </w:tcPr>
          <w:p>
            <w:pPr>
              <w:pStyle w:val="TableContents"/>
              <w:spacing w:before="0" w:after="283"/>
              <w:rPr/>
            </w:pPr>
            <w:r>
              <w:rPr/>
              <w:t xml:space="preserve">  </w:t>
            </w:r>
          </w:p>
        </w:tc>
        <w:tc>
          <w:tcPr>
            <w:tcW w:w="80" w:type="dxa"/>
            <w:tcBorders>
              <w:top w:val="single" w:sz="12" w:space="0" w:color="000000"/>
            </w:tcBorders>
            <w:shd w:fill="auto" w:val="clear"/>
            <w:vAlign w:val="bottom"/>
          </w:tcPr>
          <w:p>
            <w:pPr>
              <w:pStyle w:val="TableContents"/>
              <w:spacing w:before="0" w:after="283"/>
              <w:rPr/>
            </w:pPr>
            <w:r>
              <w:rPr/>
              <w:t> </w:t>
            </w:r>
          </w:p>
        </w:tc>
        <w:tc>
          <w:tcPr>
            <w:tcW w:w="2051"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0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2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7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79" w:type="dxa"/>
            <w:tcBorders>
              <w:top w:val="single" w:sz="12" w:space="0" w:color="000000"/>
            </w:tcBorders>
            <w:shd w:fill="auto" w:val="clear"/>
            <w:vAlign w:val="bottom"/>
          </w:tcPr>
          <w:p>
            <w:pPr>
              <w:pStyle w:val="TableContents"/>
              <w:spacing w:before="0" w:after="283"/>
              <w:rPr/>
            </w:pPr>
            <w:r>
              <w:rPr/>
              <w:t> </w:t>
            </w:r>
          </w:p>
        </w:tc>
        <w:tc>
          <w:tcPr>
            <w:tcW w:w="130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69" w:type="dxa"/>
            <w:gridSpan w:val="2"/>
            <w:tcBorders>
              <w:top w:val="single" w:sz="12" w:space="0" w:color="000000"/>
            </w:tcBorders>
            <w:shd w:fill="auto" w:val="clear"/>
            <w:vAlign w:val="bottom"/>
          </w:tcPr>
          <w:p>
            <w:pPr>
              <w:pStyle w:val="TableContents"/>
              <w:spacing w:before="0" w:after="283"/>
              <w:rPr/>
            </w:pPr>
            <w:r>
              <w:rPr/>
              <w:t> </w:t>
            </w:r>
          </w:p>
        </w:tc>
        <w:tc>
          <w:tcPr>
            <w:tcW w:w="123" w:type="dxa"/>
            <w:tcBorders>
              <w:top w:val="single" w:sz="12" w:space="0" w:color="000000"/>
            </w:tcBorders>
            <w:shd w:fill="auto" w:val="clear"/>
            <w:vAlign w:val="bottom"/>
          </w:tcPr>
          <w:p>
            <w:pPr>
              <w:pStyle w:val="TableContents"/>
              <w:spacing w:before="0" w:after="283"/>
              <w:jc w:val="left"/>
              <w:rPr/>
            </w:pPr>
            <w:r>
              <w:rPr/>
              <w:t> </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conversion feature on</w:t>
            </w:r>
          </w:p>
          <w:p>
            <w:pPr>
              <w:pStyle w:val="TableContents"/>
              <w:spacing w:before="0" w:after="0"/>
              <w:ind w:left="0" w:right="0" w:hanging="0"/>
              <w:jc w:val="left"/>
              <w:rPr/>
            </w:pPr>
            <w:r>
              <w:rPr/>
              <w:t>   </w:t>
            </w:r>
            <w:r>
              <w:rPr>
                <w:rFonts w:ascii="times new roman" w:hAnsi="times new roman"/>
                <w:sz w:val="20"/>
              </w:rPr>
              <w:t>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as finders’ fees</w:t>
            </w:r>
          </w:p>
          <w:p>
            <w:pPr>
              <w:pStyle w:val="TableContents"/>
              <w:spacing w:before="0" w:after="0"/>
              <w:ind w:left="0" w:right="0" w:hanging="0"/>
              <w:jc w:val="left"/>
              <w:rPr/>
            </w:pPr>
            <w:r>
              <w:rPr/>
              <w:t>   </w:t>
            </w:r>
            <w:r>
              <w:rPr>
                <w:rFonts w:ascii="times new roman" w:hAnsi="times new roman"/>
                <w:sz w:val="20"/>
              </w:rPr>
              <w:t>for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Re-pricing and extension of warrants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warrants at fair value pursuant</w:t>
            </w:r>
          </w:p>
          <w:p>
            <w:pPr>
              <w:pStyle w:val="TableContents"/>
              <w:spacing w:before="0" w:after="0"/>
              <w:ind w:left="0" w:right="0" w:hanging="0"/>
              <w:jc w:val="left"/>
              <w:rPr/>
            </w:pPr>
            <w:r>
              <w:rPr/>
              <w:t>   </w:t>
            </w:r>
            <w:r>
              <w:rPr>
                <w:rFonts w:ascii="times new roman" w:hAnsi="times new roman"/>
                <w:sz w:val="20"/>
              </w:rPr>
              <w:t>to promissory note extension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service agreements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4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8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8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2007</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2,350,268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16,910,218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(18,616,167</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(1,674,772</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 in July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34,860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June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20,715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24,793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w:t>
            </w:r>
          </w:p>
          <w:p>
            <w:pPr>
              <w:pStyle w:val="TableContents"/>
              <w:spacing w:before="0" w:after="0"/>
              <w:ind w:left="0" w:right="0" w:hanging="0"/>
              <w:jc w:val="left"/>
              <w:rPr/>
            </w:pPr>
            <w:r>
              <w:rPr/>
              <w:t>  </w:t>
            </w:r>
            <w:r>
              <w:rPr>
                <w:rFonts w:ascii="times new roman" w:hAnsi="times new roman"/>
                <w:sz w:val="20"/>
              </w:rPr>
              <w:t>at a fair value of $0.30 per share in April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89,700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2008 promissory notes in May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to be issued in</w:t>
            </w:r>
          </w:p>
          <w:p>
            <w:pPr>
              <w:pStyle w:val="TableContents"/>
              <w:spacing w:before="0" w:after="0"/>
              <w:ind w:left="0" w:right="0" w:hanging="0"/>
              <w:jc w:val="left"/>
              <w:rPr/>
            </w:pPr>
            <w:r>
              <w:rPr/>
              <w:t>  </w:t>
            </w:r>
            <w:r>
              <w:rPr>
                <w:rFonts w:ascii="times new roman" w:hAnsi="times new roman"/>
                <w:sz w:val="20"/>
              </w:rPr>
              <w:t>connection with notes payable in October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January to December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12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8" w:name="PGBRK27"/>
      <w:bookmarkStart w:id="299" w:name="PGBRK27"/>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 w:name="FTR27"/>
      <w:bookmarkStart w:id="301" w:name="FTR27"/>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2" w:name="GLFTR27"/>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3" w:name="PN27"/>
      <w:bookmarkEnd w:id="30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HDR27"/>
      <w:bookmarkStart w:id="305" w:name="HDR27"/>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6" w:name="GLHDR27"/>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0" w:type="dxa"/>
          <w:right w:w="0" w:type="dxa"/>
        </w:tblCellMar>
      </w:tblPr>
      <w:tblGrid>
        <w:gridCol w:w="1506"/>
        <w:gridCol w:w="68"/>
        <w:gridCol w:w="68"/>
        <w:gridCol w:w="1001"/>
        <w:gridCol w:w="68"/>
        <w:gridCol w:w="68"/>
        <w:gridCol w:w="129"/>
        <w:gridCol w:w="718"/>
        <w:gridCol w:w="87"/>
        <w:gridCol w:w="67"/>
        <w:gridCol w:w="129"/>
        <w:gridCol w:w="1001"/>
        <w:gridCol w:w="68"/>
        <w:gridCol w:w="68"/>
        <w:gridCol w:w="132"/>
        <w:gridCol w:w="838"/>
        <w:gridCol w:w="87"/>
        <w:gridCol w:w="68"/>
        <w:gridCol w:w="129"/>
        <w:gridCol w:w="1058"/>
        <w:gridCol w:w="87"/>
        <w:gridCol w:w="67"/>
        <w:gridCol w:w="208"/>
        <w:gridCol w:w="1130"/>
        <w:gridCol w:w="87"/>
        <w:gridCol w:w="68"/>
        <w:gridCol w:w="129"/>
        <w:gridCol w:w="958"/>
        <w:gridCol w:w="113"/>
      </w:tblGrid>
      <w:tr>
        <w:trPr/>
        <w:tc>
          <w:tcPr>
            <w:tcW w:w="1506" w:type="dxa"/>
            <w:tcBorders>
              <w:top w:val="single" w:sz="12" w:space="0" w:color="000000"/>
            </w:tcBorders>
            <w:shd w:fill="auto" w:val="clear"/>
            <w:vAlign w:val="bottom"/>
          </w:tcPr>
          <w:p>
            <w:pPr>
              <w:pStyle w:val="TableContents"/>
              <w:spacing w:before="0" w:after="283"/>
              <w:rPr/>
            </w:pPr>
            <w:r>
              <w:rPr/>
              <w:t xml:space="preserve">  </w:t>
            </w:r>
          </w:p>
        </w:tc>
        <w:tc>
          <w:tcPr>
            <w:tcW w:w="68" w:type="dxa"/>
            <w:tcBorders>
              <w:top w:val="single" w:sz="12" w:space="0" w:color="000000"/>
            </w:tcBorders>
            <w:shd w:fill="auto" w:val="clear"/>
            <w:vAlign w:val="bottom"/>
          </w:tcPr>
          <w:p>
            <w:pPr>
              <w:pStyle w:val="TableContents"/>
              <w:spacing w:before="0" w:after="283"/>
              <w:rPr/>
            </w:pPr>
            <w:r>
              <w:rPr/>
              <w:t> </w:t>
            </w:r>
          </w:p>
        </w:tc>
        <w:tc>
          <w:tcPr>
            <w:tcW w:w="2052"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7" w:type="dxa"/>
            <w:tcBorders>
              <w:top w:val="single" w:sz="12" w:space="0" w:color="000000"/>
            </w:tcBorders>
            <w:shd w:fill="auto" w:val="clear"/>
            <w:vAlign w:val="bottom"/>
          </w:tcPr>
          <w:p>
            <w:pPr>
              <w:pStyle w:val="TableContents"/>
              <w:spacing w:before="0" w:after="283"/>
              <w:rPr/>
            </w:pPr>
            <w:r>
              <w:rPr/>
              <w:t> </w:t>
            </w:r>
          </w:p>
        </w:tc>
        <w:tc>
          <w:tcPr>
            <w:tcW w:w="113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68" w:type="dxa"/>
            <w:tcBorders>
              <w:top w:val="single" w:sz="12" w:space="0" w:color="000000"/>
            </w:tcBorders>
            <w:shd w:fill="auto" w:val="clear"/>
            <w:vAlign w:val="bottom"/>
          </w:tcPr>
          <w:p>
            <w:pPr>
              <w:pStyle w:val="TableContents"/>
              <w:spacing w:before="0" w:after="283"/>
              <w:jc w:val="left"/>
              <w:rPr/>
            </w:pPr>
            <w:r>
              <w:rPr/>
              <w:t> </w:t>
            </w:r>
          </w:p>
        </w:tc>
        <w:tc>
          <w:tcPr>
            <w:tcW w:w="68" w:type="dxa"/>
            <w:tcBorders>
              <w:top w:val="single" w:sz="12" w:space="0" w:color="000000"/>
            </w:tcBorders>
            <w:shd w:fill="auto" w:val="clear"/>
            <w:vAlign w:val="bottom"/>
          </w:tcPr>
          <w:p>
            <w:pPr>
              <w:pStyle w:val="TableContents"/>
              <w:spacing w:before="0" w:after="283"/>
              <w:rPr/>
            </w:pPr>
            <w:r>
              <w:rPr/>
              <w:t> </w:t>
            </w:r>
          </w:p>
        </w:tc>
        <w:tc>
          <w:tcPr>
            <w:tcW w:w="97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8" w:type="dxa"/>
            <w:tcBorders>
              <w:top w:val="single" w:sz="12" w:space="0" w:color="000000"/>
            </w:tcBorders>
            <w:shd w:fill="auto" w:val="clear"/>
            <w:vAlign w:val="bottom"/>
          </w:tcPr>
          <w:p>
            <w:pPr>
              <w:pStyle w:val="TableContents"/>
              <w:spacing w:before="0" w:after="283"/>
              <w:rPr/>
            </w:pPr>
            <w:r>
              <w:rPr/>
              <w:t> </w:t>
            </w:r>
          </w:p>
        </w:tc>
        <w:tc>
          <w:tcPr>
            <w:tcW w:w="118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7" w:type="dxa"/>
            <w:tcBorders>
              <w:top w:val="single" w:sz="12" w:space="0" w:color="000000"/>
            </w:tcBorders>
            <w:shd w:fill="auto" w:val="clear"/>
            <w:vAlign w:val="bottom"/>
          </w:tcPr>
          <w:p>
            <w:pPr>
              <w:pStyle w:val="TableContents"/>
              <w:spacing w:before="0" w:after="283"/>
              <w:rPr/>
            </w:pPr>
            <w:r>
              <w:rPr/>
              <w:t> </w:t>
            </w:r>
          </w:p>
        </w:tc>
        <w:tc>
          <w:tcPr>
            <w:tcW w:w="13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8" w:type="dxa"/>
            <w:tcBorders>
              <w:top w:val="single" w:sz="12" w:space="0" w:color="000000"/>
            </w:tcBorders>
            <w:shd w:fill="auto" w:val="clear"/>
            <w:vAlign w:val="bottom"/>
          </w:tcPr>
          <w:p>
            <w:pPr>
              <w:pStyle w:val="TableContents"/>
              <w:spacing w:before="0" w:after="283"/>
              <w:rPr/>
            </w:pPr>
            <w:r>
              <w:rPr/>
              <w:t> </w:t>
            </w:r>
          </w:p>
        </w:tc>
        <w:tc>
          <w:tcPr>
            <w:tcW w:w="1087" w:type="dxa"/>
            <w:gridSpan w:val="2"/>
            <w:tcBorders>
              <w:top w:val="single" w:sz="12" w:space="0" w:color="000000"/>
            </w:tcBorders>
            <w:shd w:fill="auto" w:val="clear"/>
            <w:vAlign w:val="bottom"/>
          </w:tcPr>
          <w:p>
            <w:pPr>
              <w:pStyle w:val="TableContents"/>
              <w:spacing w:before="0" w:after="283"/>
              <w:rPr/>
            </w:pPr>
            <w:r>
              <w:rPr/>
              <w:t> </w:t>
            </w:r>
          </w:p>
        </w:tc>
        <w:tc>
          <w:tcPr>
            <w:tcW w:w="113" w:type="dxa"/>
            <w:tcBorders>
              <w:top w:val="single" w:sz="12" w:space="0" w:color="000000"/>
            </w:tcBorders>
            <w:shd w:fill="auto" w:val="clear"/>
            <w:vAlign w:val="bottom"/>
          </w:tcPr>
          <w:p>
            <w:pPr>
              <w:pStyle w:val="TableContents"/>
              <w:spacing w:before="0" w:after="283"/>
              <w:jc w:val="left"/>
              <w:rPr/>
            </w:pPr>
            <w:r>
              <w:rPr/>
              <w:t> </w:t>
            </w:r>
          </w:p>
        </w:tc>
      </w:tr>
      <w:tr>
        <w:trPr/>
        <w:tc>
          <w:tcPr>
            <w:tcW w:w="1506"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68" w:type="dxa"/>
            <w:tcBorders/>
            <w:shd w:fill="auto" w:val="clear"/>
            <w:tcMar>
              <w:top w:w="0" w:type="dxa"/>
            </w:tcMar>
            <w:vAlign w:val="bottom"/>
          </w:tcPr>
          <w:p>
            <w:pPr>
              <w:pStyle w:val="TableContents"/>
              <w:spacing w:before="0" w:after="283"/>
              <w:rPr/>
            </w:pPr>
            <w:r>
              <w:rPr/>
              <w:t> </w:t>
            </w:r>
          </w:p>
        </w:tc>
        <w:tc>
          <w:tcPr>
            <w:tcW w:w="106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84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13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97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1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3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0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283"/>
              <w:rPr/>
            </w:pPr>
            <w:r>
              <w:rPr/>
              <w:t xml:space="preserve">  </w:t>
            </w:r>
          </w:p>
        </w:tc>
        <w:tc>
          <w:tcPr>
            <w:tcW w:w="68" w:type="dxa"/>
            <w:tcBorders/>
            <w:shd w:fill="auto" w:val="clear"/>
            <w:tcMar>
              <w:top w:w="0" w:type="dxa"/>
            </w:tcMar>
            <w:vAlign w:val="bottom"/>
          </w:tcPr>
          <w:p>
            <w:pPr>
              <w:pStyle w:val="TableContents"/>
              <w:spacing w:before="0" w:after="283"/>
              <w:rPr/>
            </w:pPr>
            <w:r>
              <w:rPr/>
              <w:t> </w:t>
            </w:r>
          </w:p>
        </w:tc>
        <w:tc>
          <w:tcPr>
            <w:tcW w:w="1069" w:type="dxa"/>
            <w:gridSpan w:val="2"/>
            <w:tcBorders/>
            <w:shd w:fill="auto" w:val="clear"/>
            <w:tcMar>
              <w:top w:w="0" w:type="dxa"/>
            </w:tcMar>
            <w:vAlign w:val="bottom"/>
          </w:tcPr>
          <w:p>
            <w:pPr>
              <w:pStyle w:val="TableContents"/>
              <w:spacing w:before="0" w:after="283"/>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847"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130" w:type="dxa"/>
            <w:gridSpan w:val="2"/>
            <w:tcBorders/>
            <w:shd w:fill="auto" w:val="clear"/>
            <w:tcMar>
              <w:top w:w="0" w:type="dxa"/>
            </w:tcMar>
            <w:vAlign w:val="bottom"/>
          </w:tcPr>
          <w:p>
            <w:pPr>
              <w:pStyle w:val="TableContents"/>
              <w:spacing w:before="0" w:after="283"/>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970"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187"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338"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087"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2,414,983</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24,150</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17,500,559</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323,750</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(3,023,373</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split recapitalization adjustment (rounding) in July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68" w:type="dxa"/>
            <w:tcBorders/>
            <w:shd w:fill="auto" w:val="clear"/>
            <w:tcMar>
              <w:top w:w="0" w:type="dxa"/>
            </w:tcMar>
            <w:vAlign w:val="bottom"/>
          </w:tcPr>
          <w:p>
            <w:pPr>
              <w:pStyle w:val="TableContents"/>
              <w:spacing w:before="0" w:after="283"/>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pPr>
            <w:r>
              <w:rPr/>
              <w:t> </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at $0.80 per share in November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875,000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699,125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 service agreements in August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27,475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w:t>
            </w:r>
          </w:p>
          <w:p>
            <w:pPr>
              <w:pStyle w:val="TableContents"/>
              <w:spacing w:before="0" w:after="0"/>
              <w:ind w:left="0" w:right="0" w:hanging="0"/>
              <w:jc w:val="left"/>
              <w:rPr/>
            </w:pPr>
            <w:r>
              <w:rPr/>
              <w:t>  </w:t>
            </w:r>
            <w:r>
              <w:rPr>
                <w:rFonts w:ascii="times new roman" w:hAnsi="times new roman"/>
                <w:sz w:val="20"/>
              </w:rPr>
              <w:t>debt settlement agreements in July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33,812,065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2,044,580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2,078,392</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August and November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1,234,508</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241,515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242,750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October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February , May and  June 2009 in connection with promissory notes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725,669</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(300,350</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425,319</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August and October 2009 in connection  with convertible notes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December 2009 pursuant  to service agreements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w:t>
            </w:r>
          </w:p>
          <w:p>
            <w:pPr>
              <w:pStyle w:val="TableContents"/>
              <w:spacing w:before="0" w:after="0"/>
              <w:ind w:left="0" w:right="0" w:hanging="0"/>
              <w:jc w:val="left"/>
              <w:rPr/>
            </w:pPr>
            <w:r>
              <w:rPr/>
              <w:t>  </w:t>
            </w:r>
            <w:r>
              <w:rPr>
                <w:rFonts w:ascii="times new roman" w:hAnsi="times new roman"/>
                <w:sz w:val="20"/>
              </w:rPr>
              <w:t>pursuant to service agreements in December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debt settlement agreements in September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6"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38,361,674</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24,152,319</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7" w:name="PGBRK28"/>
      <w:bookmarkStart w:id="308" w:name="PGBRK28"/>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FTR28"/>
      <w:bookmarkStart w:id="310" w:name="FTR28"/>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1" w:name="GLFTR28"/>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2" w:name="PN28"/>
      <w:bookmarkEnd w:id="31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3" w:name="HDR28"/>
      <w:bookmarkStart w:id="314" w:name="HDR28"/>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 w:name="GLHDR28"/>
      <w:bookmarkEnd w:id="3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5935"/>
        <w:gridCol w:w="105"/>
        <w:gridCol w:w="126"/>
        <w:gridCol w:w="1066"/>
        <w:gridCol w:w="111"/>
        <w:gridCol w:w="105"/>
        <w:gridCol w:w="126"/>
        <w:gridCol w:w="1066"/>
        <w:gridCol w:w="111"/>
        <w:gridCol w:w="105"/>
        <w:gridCol w:w="126"/>
        <w:gridCol w:w="1100"/>
        <w:gridCol w:w="123"/>
      </w:tblGrid>
      <w:tr>
        <w:trPr/>
        <w:tc>
          <w:tcPr>
            <w:tcW w:w="593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22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192"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192"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6"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213,228</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Gain on settlement of debt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(961,056</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financing charges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1,073,255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664,545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3,548,089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Stock based compensation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2,525,702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324,168</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7,267,117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32,230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26,371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25,793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631,244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389,323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2,486,013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20,209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43,832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263,807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w:t>
            </w:r>
          </w:p>
          <w:p>
            <w:pPr>
              <w:pStyle w:val="TableContents"/>
              <w:spacing w:before="0" w:after="0"/>
              <w:ind w:left="0" w:right="0" w:hanging="0"/>
              <w:jc w:val="left"/>
              <w:rPr/>
            </w:pPr>
            <w:r>
              <w:rPr/>
              <w:t>  </w:t>
            </w:r>
            <w:r>
              <w:rPr>
                <w:rFonts w:ascii="times new roman" w:hAnsi="times new roman"/>
                <w:b/>
                <w:sz w:val="20"/>
              </w:rPr>
              <w:t>OPERATING ACTIVITIES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(1,121,726</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(714,425</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(12,619,522</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shares, net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9,622,125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658,450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and loans payable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related parties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77,170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365,873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1,355,786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FINANCING ACTIVITIES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1,262,170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547,873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12,556,206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furniture and equipment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acquired on reverse acquisition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INVESTING ACTIVITIES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140,444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(166,552</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167,539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SUPPLEMENTAL CASH FLOW INFORMATION AND</w:t>
      </w:r>
    </w:p>
    <w:p>
      <w:pPr>
        <w:pStyle w:val="TextBody"/>
        <w:spacing w:before="0" w:after="0"/>
        <w:ind w:left="0" w:right="0" w:hanging="0"/>
        <w:jc w:val="left"/>
        <w:rPr/>
      </w:pPr>
      <w:r>
        <w:rPr/>
        <w:t>  </w:t>
      </w:r>
      <w:r>
        <w:rPr>
          <w:rFonts w:ascii="Times New Roman" w:hAnsi="Times New Roman"/>
          <w:b/>
          <w:sz w:val="20"/>
        </w:rPr>
        <w:t>NONCASH INVESTING AND FINANCING ACTIVITIES</w:t>
      </w:r>
      <w:r>
        <w:rPr>
          <w:rFonts w:ascii="Times New Roman" w:hAnsi="Times New Roman"/>
          <w:sz w:val="20"/>
        </w:rPr>
        <w:t xml:space="preserve"> (Note 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 w:name="PGBRK29"/>
      <w:bookmarkStart w:id="317" w:name="PGBRK29"/>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FTR29"/>
      <w:bookmarkStart w:id="319" w:name="FTR29"/>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0" w:name="GLFTR29"/>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1" w:name="PN29"/>
      <w:bookmarkEnd w:id="321"/>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HDR29"/>
      <w:bookmarkStart w:id="323" w:name="HDR29"/>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4" w:name="GLHDR29"/>
      <w:bookmarkEnd w:id="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rFonts w:ascii="Times New Roman" w:hAnsi="Times New Roman"/>
          <w:b/>
          <w:sz w:val="20"/>
        </w:rPr>
      </w:pPr>
      <w:r>
        <w:rPr>
          <w:rFonts w:ascii="Times New Roman" w:hAnsi="Times New Roman"/>
          <w:b/>
          <w:sz w:val="20"/>
        </w:rPr>
        <w:t>NOTE 1:  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July 10, 2009 the Company executed a 1 for 10 reverse stock split reducing the authorized capital to 50,000,000 common shares with a $0.001 par value and 5,000,000 non-voting preferred shares with a $0.001 par value.  Unless specifically noted, all amounts have been retroactively restated to recognize the reverse stock splits (refer to Note 7).  Effective February 21, 2010, the Company increased its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December 31, 2009, the Company had a working capital and stockholders’ deficit of $629,388, and had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 (refer to Note 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are presented in United States dollars and have been prepared in accordance with accounting principles generally accepted in the United States of America.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30"/>
      <w:bookmarkStart w:id="326" w:name="PGBRK30"/>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30"/>
      <w:bookmarkStart w:id="328" w:name="FTR30"/>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30"/>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30"/>
      <w:bookmarkEnd w:id="330"/>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30"/>
      <w:bookmarkStart w:id="332" w:name="HDR30"/>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30"/>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include the accounts of the Company and its wholly-owned subsidiaries GeneMax Pharmaceuticals Inc. (“GPI”) and GeneMax Pharmaceuticals Canada Inc. (“GPC”).  All significant intercompany balances and transactions are eliminated upon consolidation.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jc w:val="both"/>
        <w:rPr>
          <w:rFonts w:ascii="Times New Roman" w:hAnsi="Times New Roman"/>
          <w:sz w:val="20"/>
        </w:rPr>
      </w:pPr>
      <w:r>
        <w:rPr>
          <w:rFonts w:ascii="Times New Roman" w:hAnsi="Times New Roman"/>
          <w:sz w:val="20"/>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the useful lives of furniture and equipment, allocation of costs to research and development and accrued liabilities.  Matters impacting the company’s ability to continue as a going concern and contingencies also involve the use of estimates and assumptions.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objective of Accounting Standards Codification (“ASC”) 820, </w:t>
      </w:r>
      <w:r>
        <w:rPr>
          <w:rFonts w:ascii="Times New Roman" w:hAnsi="Times New Roman"/>
          <w:i/>
          <w:sz w:val="20"/>
        </w:rPr>
        <w:t>Fair Value Measurements and Disclosures</w:t>
      </w:r>
      <w:r>
        <w:rPr>
          <w:rFonts w:ascii="Times New Roman" w:hAnsi="Times New Roman"/>
          <w:sz w:val="20"/>
        </w:rPr>
        <w:t>, is to increase consistency and comparability in fair value measurements and to expand disclosures about fair value measurements. ASC 820 defines fair value, establishes a framework for measuring fair value in generally accepted accounting principles, and expands disclosures about fair value measurements.  ASC 820 applies under other accounting pronouncements that require or permit fair value measurements and does not require any new fair value measurements.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Foreign Currency Translation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functional currency of the Company, including its subsidiary, is United States dollars.  GPC maintains its accounting records in its local currency (Canadian dollar).  In accordance with ASC 830, </w:t>
      </w:r>
      <w:r>
        <w:rPr>
          <w:rFonts w:ascii="Times New Roman" w:hAnsi="Times New Roman"/>
          <w:i/>
          <w:sz w:val="20"/>
        </w:rPr>
        <w:t>Foreign Currency Matters</w:t>
      </w:r>
      <w:r>
        <w:rPr>
          <w:rFonts w:ascii="Times New Roman" w:hAnsi="Times New Roman"/>
          <w:sz w:val="20"/>
        </w:rPr>
        <w:t>, the financial statements of the Company's subsidiary is translated into United States dollars using period end exchange rates for monetary assets and liabilities and average exchange rates for revenues and expenses.  Non-monetary assets are translated at their historical exchange rates.  Net gains and losses resulting from foreign exchange translations and foreign currency exchange gains and losses on transactions occurring in a currency other than the Company's functional currency are included in the determination of net income in the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Financial Instruments and Concentration of Credit Risk</w:t>
      </w:r>
    </w:p>
    <w:p>
      <w:pPr>
        <w:pStyle w:val="TextBody"/>
        <w:spacing w:before="0" w:after="0"/>
        <w:ind w:left="0" w:right="0" w:hanging="0"/>
        <w:jc w:val="both"/>
        <w:rPr>
          <w:rFonts w:ascii="Times New Roman" w:hAnsi="Times New Roman"/>
          <w:sz w:val="20"/>
        </w:rPr>
      </w:pPr>
      <w:r>
        <w:rPr>
          <w:rFonts w:ascii="Times New Roman" w:hAnsi="Times New Roman"/>
          <w:sz w:val="20"/>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classified as financial instruments.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jc w:val="both"/>
        <w:rPr>
          <w:rFonts w:ascii="Times New Roman" w:hAnsi="Times New Roman"/>
          <w:sz w:val="20"/>
        </w:rPr>
      </w:pPr>
      <w:r>
        <w:rPr>
          <w:rFonts w:ascii="Times New Roman" w:hAnsi="Times New Roman"/>
          <w:sz w:val="20"/>
        </w:rPr>
        <w:t>Furniture and equipment is recorded at cost and amortized using the straight-line method over the estimated useful life at the following rates:</w:t>
      </w:r>
    </w:p>
    <w:p>
      <w:pPr>
        <w:pStyle w:val="TextBody"/>
        <w:spacing w:before="0" w:after="0"/>
        <w:ind w:left="2160" w:right="0" w:hanging="0"/>
        <w:jc w:val="both"/>
        <w:rPr/>
      </w:pPr>
      <w:r>
        <w:rPr/>
        <w:t> </w:t>
      </w:r>
    </w:p>
    <w:tbl>
      <w:tblPr>
        <w:tblW w:w="3000" w:type="pct"/>
        <w:jc w:val="left"/>
        <w:tblInd w:w="0" w:type="dxa"/>
        <w:shd w:fill="FFFFFF" w:val="clear"/>
        <w:tblCellMar>
          <w:top w:w="0" w:type="dxa"/>
          <w:left w:w="0" w:type="dxa"/>
          <w:bottom w:w="0" w:type="dxa"/>
          <w:right w:w="0" w:type="dxa"/>
        </w:tblCellMar>
      </w:tblPr>
      <w:tblGrid>
        <w:gridCol w:w="3061"/>
        <w:gridCol w:w="3062"/>
      </w:tblGrid>
      <w:tr>
        <w:trPr/>
        <w:tc>
          <w:tcPr>
            <w:tcW w:w="3061" w:type="dxa"/>
            <w:tcBorders/>
            <w:shd w:fill="FFFFFF" w:val="clear"/>
            <w:vAlign w:val="center"/>
          </w:tcPr>
          <w:p>
            <w:pPr>
              <w:pStyle w:val="TableContents"/>
              <w:spacing w:before="0" w:after="283"/>
              <w:rPr/>
            </w:pPr>
            <w:r>
              <w:rPr/>
              <w:t> </w:t>
            </w:r>
            <w:r>
              <w:rPr>
                <w:rFonts w:ascii="times new roman" w:hAnsi="times new roman"/>
                <w:sz w:val="20"/>
              </w:rPr>
              <w:t>Computer Equipment </w:t>
            </w:r>
          </w:p>
        </w:tc>
        <w:tc>
          <w:tcPr>
            <w:tcW w:w="3062" w:type="dxa"/>
            <w:tcBorders/>
            <w:shd w:fill="FFFFFF" w:val="clear"/>
            <w:vAlign w:val="center"/>
          </w:tcPr>
          <w:p>
            <w:pPr>
              <w:pStyle w:val="TableContents"/>
              <w:spacing w:before="0" w:after="283"/>
              <w:rPr/>
            </w:pPr>
            <w:r>
              <w:rPr/>
              <w:t> </w:t>
            </w:r>
            <w:r>
              <w:rPr>
                <w:rFonts w:ascii="times new roman" w:hAnsi="times new roman"/>
                <w:sz w:val="20"/>
              </w:rPr>
              <w:t>2 years</w:t>
            </w:r>
          </w:p>
        </w:tc>
      </w:tr>
      <w:tr>
        <w:trPr/>
        <w:tc>
          <w:tcPr>
            <w:tcW w:w="3061" w:type="dxa"/>
            <w:tcBorders/>
            <w:shd w:fill="FFFFFF" w:val="clear"/>
            <w:vAlign w:val="center"/>
          </w:tcPr>
          <w:p>
            <w:pPr>
              <w:pStyle w:val="TableContents"/>
              <w:spacing w:before="0" w:after="283"/>
              <w:rPr/>
            </w:pPr>
            <w:r>
              <w:rPr/>
              <w:t> </w:t>
            </w:r>
            <w:r>
              <w:rPr>
                <w:rFonts w:ascii="times new roman" w:hAnsi="times new roman"/>
                <w:sz w:val="20"/>
              </w:rPr>
              <w:t>Furniture and Fixtures</w:t>
            </w:r>
          </w:p>
        </w:tc>
        <w:tc>
          <w:tcPr>
            <w:tcW w:w="3062" w:type="dxa"/>
            <w:tcBorders/>
            <w:shd w:fill="FFFFFF" w:val="clear"/>
            <w:vAlign w:val="center"/>
          </w:tcPr>
          <w:p>
            <w:pPr>
              <w:pStyle w:val="TableContents"/>
              <w:spacing w:before="0" w:after="283"/>
              <w:rPr/>
            </w:pPr>
            <w:r>
              <w:rPr/>
              <w:t> </w:t>
            </w:r>
            <w:r>
              <w:rPr>
                <w:rFonts w:ascii="times new roman" w:hAnsi="times new roman"/>
                <w:sz w:val="20"/>
              </w:rPr>
              <w:t>5 years</w:t>
            </w:r>
          </w:p>
        </w:tc>
      </w:tr>
      <w:tr>
        <w:trPr/>
        <w:tc>
          <w:tcPr>
            <w:tcW w:w="3061" w:type="dxa"/>
            <w:tcBorders/>
            <w:shd w:fill="FFFFFF" w:val="clear"/>
            <w:vAlign w:val="center"/>
          </w:tcPr>
          <w:p>
            <w:pPr>
              <w:pStyle w:val="TableContents"/>
              <w:spacing w:before="0" w:after="283"/>
              <w:rPr/>
            </w:pPr>
            <w:r>
              <w:rPr/>
              <w:t> </w:t>
            </w:r>
            <w:r>
              <w:rPr>
                <w:rFonts w:ascii="times new roman" w:hAnsi="times new roman"/>
                <w:sz w:val="20"/>
              </w:rPr>
              <w:t>Laboratory Equipment  </w:t>
            </w:r>
          </w:p>
        </w:tc>
        <w:tc>
          <w:tcPr>
            <w:tcW w:w="3062" w:type="dxa"/>
            <w:tcBorders/>
            <w:shd w:fill="FFFFFF" w:val="clear"/>
            <w:vAlign w:val="center"/>
          </w:tcPr>
          <w:p>
            <w:pPr>
              <w:pStyle w:val="TableContents"/>
              <w:spacing w:before="0" w:after="283"/>
              <w:rPr/>
            </w:pPr>
            <w:r>
              <w:rPr/>
              <w:t> </w:t>
            </w:r>
            <w:r>
              <w:rPr>
                <w:rFonts w:ascii="times new roman" w:hAnsi="times new roman"/>
                <w:sz w:val="20"/>
              </w:rPr>
              <w:t>3 years</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Impairment of Long-Lived Assets</w:t>
      </w:r>
    </w:p>
    <w:p>
      <w:pPr>
        <w:pStyle w:val="TextBody"/>
        <w:spacing w:before="0" w:after="0"/>
        <w:ind w:left="0" w:right="0" w:hanging="0"/>
        <w:jc w:val="both"/>
        <w:rPr>
          <w:rFonts w:ascii="Times New Roman" w:hAnsi="Times New Roman"/>
          <w:sz w:val="20"/>
        </w:rPr>
      </w:pPr>
      <w:r>
        <w:rPr>
          <w:rFonts w:ascii="Times New Roman" w:hAnsi="Times New Roman"/>
          <w:sz w:val="20"/>
        </w:rPr>
        <w:t>Long-lived assets are reviewed for impairment whenever events or changes in circumstances indicate the carrying amount of an asset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significantly before the end of its estimated useful life.  Recoverability of these assets is measured by comparison of its carrying amount to future undiscounted cash flows the assets are expected to generate.  An impairment loss is recognized when the carrying amount is not recoverable and exceeds fair value.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4" w:name="PGBRK31"/>
      <w:bookmarkStart w:id="335" w:name="PGBRK31"/>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6" w:name="FTR31"/>
      <w:bookmarkStart w:id="337" w:name="FTR31"/>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8" w:name="GLFTR31"/>
      <w:bookmarkEnd w:id="3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9" w:name="PN31"/>
      <w:bookmarkEnd w:id="339"/>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HDR31"/>
      <w:bookmarkStart w:id="341" w:name="HDR31"/>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2" w:name="GLHDR31"/>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uses the Black-Scholes option-pricing model to determine the grant date fair-value of stock-based awards under ASC 718, </w:t>
      </w:r>
      <w:r>
        <w:rPr>
          <w:rFonts w:ascii="Times New Roman" w:hAnsi="Times New Roman"/>
          <w:i/>
          <w:sz w:val="20"/>
        </w:rPr>
        <w:t>Compensation – Stock Compensation</w:t>
      </w:r>
      <w:r>
        <w:rPr>
          <w:rFonts w:ascii="Times New Roman" w:hAnsi="Times New Roman"/>
          <w:sz w:val="20"/>
        </w:rPr>
        <w:t>.  The fair value is recorded in income depending on the terms and conditions of the award, and the nature of the relationship of the recipient of the award to the Company.  The Company records the grant date fair value in income in line with the period over which it was earned.  For employees and management this is typically considered to be the vesting period of the award.  For consultants the fair value of the award is recorded in income over the term of the service period, and unvested amounts are revalued at each reporting period over the service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Deferred Financing Fees</w:t>
      </w:r>
    </w:p>
    <w:p>
      <w:pPr>
        <w:pStyle w:val="TextBody"/>
        <w:spacing w:before="0" w:after="0"/>
        <w:ind w:left="0" w:right="0" w:hanging="0"/>
        <w:jc w:val="both"/>
        <w:rPr>
          <w:rFonts w:ascii="Times New Roman" w:hAnsi="Times New Roman"/>
          <w:sz w:val="20"/>
        </w:rPr>
      </w:pPr>
      <w:r>
        <w:rPr>
          <w:rFonts w:ascii="Times New Roman" w:hAnsi="Times New Roman"/>
          <w:sz w:val="20"/>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Costs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Income Taxes</w:t>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the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Deferred tax assets and liabilities are measured using enacted tax rates expected to apply to the taxable income in the years in which those differences are expected to be recovered or settled.  The effect on deferred tax assets and liabilities of a change in tax rates is recognized in income in the period that includes the date of enactment.  The Company recognizes deferred taxes on unrealized gains directly within other comprehensive income, and concurrently releases part of the valuation allowance resulting in nil impact within OCI or on the balance sheet.  As at December 31, 2009, the Company had net operating loss carry forwards; however, due to the uncertainty of realization, the Company has provided a full valuation allowance for the potential deferred tax assets resulting from these loss carry forwards.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includes no dilution and is computed by dividing loss attributable to common stockholders by the weighted average number of common shares outstanding for the period.  Diluted earnings per share reflect the potential dilution of securities that could share in the earnings (loss) of the Company.  The common shares potentially issuable on conversion of outstanding convertible debentures and exercise of stock options were not included in the calculation of weighted average number of shares outstanding because the effect would be anti-dilutive.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July 1, 2009, the Company adopted ASC 855, </w:t>
      </w:r>
      <w:r>
        <w:rPr>
          <w:rFonts w:ascii="Times New Roman" w:hAnsi="Times New Roman"/>
          <w:i/>
          <w:sz w:val="20"/>
        </w:rPr>
        <w:t>Subsequent Events</w:t>
      </w:r>
      <w:r>
        <w:rPr>
          <w:rFonts w:ascii="Times New Roman" w:hAnsi="Times New Roman"/>
          <w:sz w:val="20"/>
        </w:rPr>
        <w:t>.  ASC 855 establishes general standards of accounting for and disclosures of events that occur after the balance sheet date but before financial statements are issued or are available to be issued.  ASC 855 requires the disclosure of the date through which an entity has evaluated subsequent events and the basis for that date. ASC 855 is effective for interim financial periods ending after June 15, 2009.  The adoption of ASC 855 did not affect the Company's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Guidance Not Yet Adopted</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reviewed recently issued accounting pronouncements and plans to adopt those that apply to it.  The Company does not expect the adoption of these pronouncements to have a material impact on its financial position, results of operations or cash flows.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 w:name="PGBRK32"/>
      <w:bookmarkStart w:id="344" w:name="PGBRK32"/>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5" w:name="FTR32"/>
      <w:bookmarkStart w:id="346" w:name="FTR32"/>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7" w:name="GLFTR32"/>
      <w:bookmarkEnd w:id="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8" w:name="PN32"/>
      <w:bookmarkEnd w:id="348"/>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HDR32"/>
      <w:bookmarkStart w:id="350" w:name="HDR32"/>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1" w:name="GLHDR32"/>
      <w:bookmarkEnd w:id="3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3:  FURNITURE AND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Furniture and equipment consisted of the following:</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6363"/>
        <w:gridCol w:w="1921"/>
        <w:gridCol w:w="1921"/>
      </w:tblGrid>
      <w:tr>
        <w:trPr/>
        <w:tc>
          <w:tcPr>
            <w:tcW w:w="6363" w:type="dxa"/>
            <w:tcBorders>
              <w:top w:val="single" w:sz="12" w:space="0" w:color="000000"/>
            </w:tcBorders>
            <w:shd w:fill="auto" w:val="clear"/>
            <w:vAlign w:val="bottom"/>
          </w:tcPr>
          <w:p>
            <w:pPr>
              <w:pStyle w:val="TableContents"/>
              <w:spacing w:before="0" w:after="283"/>
              <w:rPr/>
            </w:pPr>
            <w:r>
              <w:rPr/>
              <w:t xml:space="preserve">  </w:t>
            </w:r>
          </w:p>
        </w:tc>
        <w:tc>
          <w:tcPr>
            <w:tcW w:w="1921" w:type="dxa"/>
            <w:tcBorders>
              <w:top w:val="single" w:sz="12" w:space="0" w:color="000000"/>
            </w:tcBorders>
            <w:shd w:fill="auto" w:val="clear"/>
            <w:vAlign w:val="bottom"/>
          </w:tcPr>
          <w:p>
            <w:pPr>
              <w:pStyle w:val="TableContents"/>
              <w:spacing w:before="0" w:after="283"/>
              <w:rPr/>
            </w:pPr>
            <w:r>
              <w:rPr/>
              <w:t xml:space="preserve">  </w:t>
            </w:r>
          </w:p>
        </w:tc>
        <w:tc>
          <w:tcPr>
            <w:tcW w:w="1921" w:type="dxa"/>
            <w:tcBorders>
              <w:top w:val="single" w:sz="12" w:space="0" w:color="000000"/>
            </w:tcBorders>
            <w:shd w:fill="auto" w:val="clear"/>
            <w:vAlign w:val="bottom"/>
          </w:tcPr>
          <w:p>
            <w:pPr>
              <w:pStyle w:val="TableContents"/>
              <w:spacing w:before="0" w:after="283"/>
              <w:rPr/>
            </w:pPr>
            <w:r>
              <w:rPr/>
              <w:t xml:space="preserve">  </w:t>
            </w:r>
          </w:p>
        </w:tc>
      </w:tr>
      <w:tr>
        <w:trPr/>
        <w:tc>
          <w:tcPr>
            <w:tcW w:w="6363"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r>
      <w:tr>
        <w:trPr/>
        <w:tc>
          <w:tcPr>
            <w:tcW w:w="6363"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r>
      <w:tr>
        <w:trPr/>
        <w:tc>
          <w:tcPr>
            <w:tcW w:w="6363"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4,533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4,533 </w:t>
            </w:r>
          </w:p>
        </w:tc>
      </w:tr>
      <w:tr>
        <w:trPr/>
        <w:tc>
          <w:tcPr>
            <w:tcW w:w="6363"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fixtures</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3,161 </w:t>
            </w:r>
          </w:p>
        </w:tc>
      </w:tr>
      <w:tr>
        <w:trPr/>
        <w:tc>
          <w:tcPr>
            <w:tcW w:w="636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Laboratory equipment</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16,704 </w:t>
            </w:r>
          </w:p>
        </w:tc>
      </w:tr>
      <w:tr>
        <w:trPr/>
        <w:tc>
          <w:tcPr>
            <w:tcW w:w="6363"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4,533 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24,398 </w:t>
            </w:r>
          </w:p>
        </w:tc>
      </w:tr>
      <w:tr>
        <w:trPr/>
        <w:tc>
          <w:tcPr>
            <w:tcW w:w="6363"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r>
      <w:tr>
        <w:trPr/>
        <w:tc>
          <w:tcPr>
            <w:tcW w:w="636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(4,533)</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(15,259)</w:t>
            </w:r>
          </w:p>
        </w:tc>
      </w:tr>
      <w:tr>
        <w:trPr/>
        <w:tc>
          <w:tcPr>
            <w:tcW w:w="6363"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92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 </w:t>
            </w:r>
          </w:p>
        </w:tc>
        <w:tc>
          <w:tcPr>
            <w:tcW w:w="192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9,139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4:  RESEARCH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and the issuance of 265,000 shares of the Company’s common stock.  As at December 31, 2009 the $25,467 (€17,000) cash payment has been made and the $243,800 fair value of the non-cash settlement, determined by the market price at settlement date, has been recorded as a stock issuance obligation.  On January 26, 2010 the Company issued the 265,000 shares of restricted common stock pursuant to the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December 31, 2009, the Company had accrued $45,676 (€31,250) under the amended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2" w:name="PGBRK33"/>
      <w:bookmarkStart w:id="353" w:name="PGBRK33"/>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4" w:name="FTR33"/>
      <w:bookmarkStart w:id="355" w:name="FTR33"/>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6" w:name="GLFTR33"/>
      <w:bookmarkEnd w:id="3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7" w:name="PN33"/>
      <w:bookmarkEnd w:id="357"/>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 w:name="HDR33"/>
      <w:bookmarkStart w:id="359" w:name="HDR33"/>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 w:name="GLHDR33"/>
      <w:bookmarkEnd w:id="3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5:  SHORT TERM DEBT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is a summary of debt instrument transactions that are relevant to the current and prior year:</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1941"/>
        <w:gridCol w:w="90"/>
        <w:gridCol w:w="506"/>
        <w:gridCol w:w="614"/>
        <w:gridCol w:w="90"/>
        <w:gridCol w:w="90"/>
        <w:gridCol w:w="151"/>
        <w:gridCol w:w="1100"/>
        <w:gridCol w:w="90"/>
        <w:gridCol w:w="90"/>
        <w:gridCol w:w="159"/>
        <w:gridCol w:w="1016"/>
        <w:gridCol w:w="90"/>
        <w:gridCol w:w="90"/>
        <w:gridCol w:w="152"/>
        <w:gridCol w:w="969"/>
        <w:gridCol w:w="90"/>
        <w:gridCol w:w="90"/>
        <w:gridCol w:w="151"/>
        <w:gridCol w:w="1015"/>
        <w:gridCol w:w="109"/>
        <w:gridCol w:w="90"/>
        <w:gridCol w:w="180"/>
        <w:gridCol w:w="1122"/>
        <w:gridCol w:w="120"/>
      </w:tblGrid>
      <w:tr>
        <w:trPr/>
        <w:tc>
          <w:tcPr>
            <w:tcW w:w="1941"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Unsecured</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2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Balance at December 31, 2009</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25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Amount Settled Through Share Issuance</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7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Accrued Interest to Settlement Date</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Balance at December 31, 2008</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6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Note Discount at December 31, 2008</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30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Outstanding Principal Balance at December 31, 2008</w:t>
            </w:r>
          </w:p>
        </w:tc>
        <w:tc>
          <w:tcPr>
            <w:tcW w:w="120"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1120"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25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75"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2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66"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302" w:type="dxa"/>
            <w:gridSpan w:val="2"/>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2004 Convertible Debenture</w:t>
            </w:r>
          </w:p>
        </w:tc>
        <w:tc>
          <w:tcPr>
            <w:tcW w:w="90" w:type="dxa"/>
            <w:tcBorders/>
            <w:shd w:fill="auto" w:val="clear"/>
            <w:tcMar>
              <w:top w:w="0" w:type="dxa"/>
              <w:bottom w:w="0" w:type="dxa"/>
            </w:tcMar>
            <w:vAlign w:val="bottom"/>
          </w:tcPr>
          <w:p>
            <w:pPr>
              <w:pStyle w:val="TableContents"/>
              <w:spacing w:before="0" w:after="283"/>
              <w:rPr/>
            </w:pPr>
            <w:r>
              <w:rPr/>
              <w:t> </w:t>
            </w:r>
          </w:p>
        </w:tc>
        <w:tc>
          <w:tcPr>
            <w:tcW w:w="1120"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25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75"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2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66"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302" w:type="dxa"/>
            <w:gridSpan w:val="2"/>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(i), 8% interest,</w:t>
            </w:r>
          </w:p>
          <w:p>
            <w:pPr>
              <w:pStyle w:val="TableContents"/>
              <w:spacing w:before="0" w:after="0"/>
              <w:ind w:left="0" w:right="0" w:hanging="0"/>
              <w:jc w:val="left"/>
              <w:rPr>
                <w:rFonts w:ascii="times new roman" w:hAnsi="times new roman"/>
                <w:sz w:val="20"/>
              </w:rPr>
            </w:pPr>
            <w:r>
              <w:rPr>
                <w:rFonts w:ascii="times new roman" w:hAnsi="times new roman"/>
                <w:sz w:val="20"/>
              </w:rPr>
              <w:t>demandable</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73,520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16,887</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2007 Promissory Notes</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(ii) &amp; (iii), 12% interest,</w:t>
            </w:r>
          </w:p>
          <w:p>
            <w:pPr>
              <w:pStyle w:val="TableContents"/>
              <w:spacing w:before="0" w:after="0"/>
              <w:ind w:left="0" w:right="0" w:hanging="0"/>
              <w:jc w:val="left"/>
              <w:rPr>
                <w:rFonts w:ascii="times new roman" w:hAnsi="times new roman"/>
                <w:sz w:val="20"/>
              </w:rPr>
            </w:pPr>
            <w:r>
              <w:rPr>
                <w:rFonts w:ascii="times new roman" w:hAnsi="times new roman"/>
                <w:sz w:val="20"/>
              </w:rPr>
              <w:t>due 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407,710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82,710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284,119</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(40,811</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325,000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2008 Promissory Notes</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(iv),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78,303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13,303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54,545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(10,455</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(v),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32,193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5,193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22,657</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(4,343</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(vi) &amp; (vii), 18% interest,</w:t>
            </w:r>
          </w:p>
          <w:p>
            <w:pPr>
              <w:pStyle w:val="TableContents"/>
              <w:spacing w:before="0" w:after="0"/>
              <w:ind w:left="0" w:right="0" w:hanging="0"/>
              <w:jc w:val="left"/>
              <w:rPr>
                <w:rFonts w:ascii="times new roman" w:hAnsi="times new roman"/>
                <w:sz w:val="20"/>
              </w:rPr>
            </w:pPr>
            <w:r>
              <w:rPr>
                <w:rFonts w:ascii="times new roman" w:hAnsi="times new roman"/>
                <w:sz w:val="20"/>
              </w:rPr>
              <w:t>due 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533,564</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83,564</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377,620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(72,380</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(viii),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29,685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4,685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20,979</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(4,021</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(ix),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61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10,890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1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96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3,407</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1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(6,593</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1,165,865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207,232</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819,960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(138,673</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958,633</w:t>
            </w:r>
          </w:p>
        </w:tc>
        <w:tc>
          <w:tcPr>
            <w:tcW w:w="120"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(ii) &amp; (iii) Issued on August 31, 2007 to a company related through a family member of a director.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 Issued May 5, 2008 to a company controlled by a director.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(vi) &amp; (vii) Issued on May 14, 2008 to a company related through a family member of an officer.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(viii) Issued May 15, 2008 to an officer of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(ix) Issued November 15, 2008 to an officer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the Company issued 31,812,065 shares with a fair value of $1,678,391 in settlement of $3,181,207 resulting in a gain on debt settlement of $1,502,815 (refer to Note 7).</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799"/>
        <w:gridCol w:w="110"/>
        <w:gridCol w:w="170"/>
        <w:gridCol w:w="1142"/>
        <w:gridCol w:w="110"/>
        <w:gridCol w:w="110"/>
        <w:gridCol w:w="657"/>
        <w:gridCol w:w="886"/>
        <w:gridCol w:w="110"/>
        <w:gridCol w:w="110"/>
        <w:gridCol w:w="171"/>
        <w:gridCol w:w="1150"/>
        <w:gridCol w:w="110"/>
        <w:gridCol w:w="110"/>
        <w:gridCol w:w="522"/>
        <w:gridCol w:w="800"/>
        <w:gridCol w:w="138"/>
      </w:tblGrid>
      <w:tr>
        <w:trPr/>
        <w:tc>
          <w:tcPr>
            <w:tcW w:w="379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1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4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2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799"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3"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2"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379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0"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3"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2"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379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(x), 30% interest, due October 4, 2009</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52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Debentures, the Company entered into a Security Agreement with the Debenture holders secured by all of the Company’s assets, including the Company’s tangible assets and patents and patent applications, until there has been full compliance with the terms of the Debentures.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warrants which have a term of two years from the date of issuance.  Management estimated the fair value of these warrants to be $60,000 using the Black-Scholes pricing model (refer to Note 7).</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 w:name="PGBRK34"/>
      <w:bookmarkStart w:id="362" w:name="PGBRK34"/>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FTR34"/>
      <w:bookmarkStart w:id="364" w:name="FTR34"/>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5" w:name="GLFTR34"/>
      <w:bookmarkEnd w:id="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6" w:name="PN34"/>
      <w:bookmarkEnd w:id="366"/>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7" w:name="HDR34"/>
      <w:bookmarkStart w:id="368" w:name="HDR34"/>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9" w:name="GLHDR34"/>
      <w:bookmarkEnd w:id="3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2009, no repayment has been made to the principal amount and interest of $35,396 (2008 - $Nil) has been accrued and included in accounts payable and accrued liabilities.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70"/>
        <w:gridCol w:w="109"/>
        <w:gridCol w:w="167"/>
        <w:gridCol w:w="1127"/>
        <w:gridCol w:w="109"/>
        <w:gridCol w:w="109"/>
        <w:gridCol w:w="190"/>
        <w:gridCol w:w="1327"/>
        <w:gridCol w:w="127"/>
        <w:gridCol w:w="108"/>
        <w:gridCol w:w="168"/>
        <w:gridCol w:w="1135"/>
        <w:gridCol w:w="109"/>
        <w:gridCol w:w="109"/>
        <w:gridCol w:w="506"/>
        <w:gridCol w:w="798"/>
        <w:gridCol w:w="137"/>
      </w:tblGrid>
      <w:tr>
        <w:trPr/>
        <w:tc>
          <w:tcPr>
            <w:tcW w:w="3870"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2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51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8" w:type="dxa"/>
            <w:tcBorders>
              <w:top w:val="single" w:sz="12" w:space="0" w:color="000000"/>
            </w:tcBorders>
            <w:shd w:fill="auto" w:val="clear"/>
            <w:tcMar>
              <w:bottom w:w="0" w:type="dxa"/>
            </w:tcMar>
            <w:vAlign w:val="bottom"/>
          </w:tcPr>
          <w:p>
            <w:pPr>
              <w:pStyle w:val="TableContents"/>
              <w:spacing w:before="0" w:after="283"/>
              <w:rPr/>
            </w:pPr>
            <w:r>
              <w:rPr/>
              <w:t> </w:t>
            </w:r>
          </w:p>
        </w:tc>
        <w:tc>
          <w:tcPr>
            <w:tcW w:w="130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30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37"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87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Debentures</w:t>
            </w:r>
          </w:p>
        </w:tc>
        <w:tc>
          <w:tcPr>
            <w:tcW w:w="109" w:type="dxa"/>
            <w:tcBorders/>
            <w:shd w:fill="auto" w:val="clear"/>
            <w:tcMar>
              <w:top w:w="0" w:type="dxa"/>
              <w:bottom w:w="0" w:type="dxa"/>
            </w:tcMar>
            <w:vAlign w:val="bottom"/>
          </w:tcPr>
          <w:p>
            <w:pPr>
              <w:pStyle w:val="TableContents"/>
              <w:spacing w:before="0" w:after="283"/>
              <w:rPr/>
            </w:pPr>
            <w:r>
              <w:rPr/>
              <w:t> </w:t>
            </w:r>
          </w:p>
        </w:tc>
        <w:tc>
          <w:tcPr>
            <w:tcW w:w="1294"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517" w:type="dxa"/>
            <w:gridSpan w:val="2"/>
            <w:tcBorders/>
            <w:shd w:fill="auto" w:val="clear"/>
            <w:tcMar>
              <w:top w:w="0" w:type="dxa"/>
              <w:bottom w:w="0" w:type="dxa"/>
            </w:tcMar>
            <w:vAlign w:val="bottom"/>
          </w:tcPr>
          <w:p>
            <w:pPr>
              <w:pStyle w:val="TableContents"/>
              <w:spacing w:before="0" w:after="283"/>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08" w:type="dxa"/>
            <w:tcBorders/>
            <w:shd w:fill="auto" w:val="clear"/>
            <w:tcMar>
              <w:top w:w="0" w:type="dxa"/>
              <w:bottom w:w="0" w:type="dxa"/>
            </w:tcMar>
            <w:vAlign w:val="bottom"/>
          </w:tcPr>
          <w:p>
            <w:pPr>
              <w:pStyle w:val="TableContents"/>
              <w:spacing w:before="0" w:after="283"/>
              <w:rPr/>
            </w:pPr>
            <w:r>
              <w:rPr/>
              <w:t> </w:t>
            </w:r>
          </w:p>
        </w:tc>
        <w:tc>
          <w:tcPr>
            <w:tcW w:w="1303"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304" w:type="dxa"/>
            <w:gridSpan w:val="2"/>
            <w:tcBorders/>
            <w:shd w:fill="auto" w:val="clear"/>
            <w:tcMar>
              <w:top w:w="0" w:type="dxa"/>
              <w:bottom w:w="0" w:type="dxa"/>
            </w:tcMar>
            <w:vAlign w:val="bottom"/>
          </w:tcPr>
          <w:p>
            <w:pPr>
              <w:pStyle w:val="TableContents"/>
              <w:spacing w:before="0" w:after="283"/>
              <w:rPr/>
            </w:pPr>
            <w:r>
              <w:rPr/>
              <w:t> </w:t>
            </w:r>
          </w:p>
        </w:tc>
        <w:tc>
          <w:tcPr>
            <w:tcW w:w="137" w:type="dxa"/>
            <w:tcBorders/>
            <w:shd w:fill="auto" w:val="clear"/>
            <w:tcMar>
              <w:top w:w="0" w:type="dxa"/>
              <w:bottom w:w="0" w:type="dxa"/>
            </w:tcMar>
            <w:vAlign w:val="bottom"/>
          </w:tcPr>
          <w:p>
            <w:pPr>
              <w:pStyle w:val="TableContents"/>
              <w:spacing w:before="0" w:after="283"/>
              <w:jc w:val="left"/>
              <w:rPr/>
            </w:pPr>
            <w:r>
              <w:rPr/>
              <w:t> </w:t>
            </w:r>
          </w:p>
        </w:tc>
      </w:tr>
      <w:tr>
        <w:trPr/>
        <w:tc>
          <w:tcPr>
            <w:tcW w:w="387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(xi), 10% interest, due February 28, 2010</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6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9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(146,979</w:t>
            </w:r>
          </w:p>
        </w:tc>
        <w:tc>
          <w:tcPr>
            <w:tcW w:w="1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Mar>
              <w:top w:w="0" w:type="dxa"/>
              <w:bottom w:w="0" w:type="dxa"/>
            </w:tcMar>
            <w:vAlign w:val="bottom"/>
          </w:tcPr>
          <w:p>
            <w:pPr>
              <w:pStyle w:val="TableContents"/>
              <w:spacing w:before="0" w:after="283"/>
              <w:jc w:val="right"/>
              <w:rPr/>
            </w:pPr>
            <w:r>
              <w:rPr/>
              <w:t> </w:t>
            </w:r>
          </w:p>
        </w:tc>
        <w:tc>
          <w:tcPr>
            <w:tcW w:w="168"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7"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(xi) On August 31, 2009, the Company completed a convertible debenture financing of $350,000 issuing a convertible promissory note bearing interest at 10% per annum.  If not converted, the note would be due on February 28, 2010.  The unpaid amount of principal and accrued interest can be converted at any time at the holder's option into shares of the Company's common stock at a price of $0.80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will automatically convert to equity if, during the term of the note, the Company receives funding equal to or exceeding $2,000,000 through the sale of its shares of common stock or additional debt instruments that are converted into common stock during the term of the debenture.  If the Company does not receive $2,000,000 additional funding by the end of the term the holders may convert the debentures into 3,500,000 common shares of the Company or get repaid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is limited to the face value of the loan (refer to Note 7).</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had transactions with certain officers and directors of the Company for the fiscal year ended December 31, 2009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0" w:name="hangingindent26"/>
      <w:bookmarkStart w:id="371" w:name="hangingindent26"/>
      <w:bookmarkEnd w:id="371"/>
    </w:p>
    <w:tbl>
      <w:tblPr>
        <w:tblW w:w="5000" w:type="pct"/>
        <w:jc w:val="center"/>
        <w:tblInd w:w="0" w:type="dxa"/>
        <w:tblCellMar>
          <w:top w:w="0" w:type="dxa"/>
          <w:left w:w="0" w:type="dxa"/>
          <w:bottom w:w="0" w:type="dxa"/>
          <w:right w:w="0" w:type="dxa"/>
        </w:tblCellMar>
      </w:tblPr>
      <w:tblGrid>
        <w:gridCol w:w="80"/>
        <w:gridCol w:w="131"/>
        <w:gridCol w:w="9994"/>
      </w:tblGrid>
      <w:tr>
        <w:trPr/>
        <w:tc>
          <w:tcPr>
            <w:tcW w:w="80" w:type="dxa"/>
            <w:tcBorders/>
            <w:shd w:fill="auto" w:val="clear"/>
          </w:tcPr>
          <w:p>
            <w:pPr>
              <w:pStyle w:val="TableContents"/>
              <w:spacing w:before="0" w:after="0"/>
              <w:rPr/>
            </w:pPr>
            <w:r>
              <w:rPr/>
              <w:t xml:space="preserve">  </w:t>
            </w:r>
          </w:p>
        </w:tc>
        <w:tc>
          <w:tcPr>
            <w:tcW w:w="13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$260,242 (2008 - $308,162) in management fees, $42,000 (2008 - $74,579) in research and development, and recorded an additional $2,019,660 (2008 - $172,668) as management fees, in stock based compensation expense for the estimated fair value of options to management that were vested during the year;</w:t>
            </w:r>
          </w:p>
        </w:tc>
      </w:tr>
    </w:tbl>
    <w:p>
      <w:pPr>
        <w:pStyle w:val="Normal"/>
        <w:spacing w:before="0" w:after="0"/>
        <w:rPr>
          <w:sz w:val="4"/>
          <w:szCs w:val="4"/>
        </w:rPr>
      </w:pPr>
      <w:r>
        <w:rPr>
          <w:sz w:val="4"/>
          <w:szCs w:val="4"/>
        </w:rPr>
      </w:r>
      <w:bookmarkStart w:id="372" w:name="hangingindent27"/>
      <w:bookmarkStart w:id="373" w:name="hangingindent27"/>
      <w:bookmarkEnd w:id="373"/>
    </w:p>
    <w:tbl>
      <w:tblPr>
        <w:tblW w:w="5000" w:type="pct"/>
        <w:jc w:val="center"/>
        <w:tblInd w:w="0" w:type="dxa"/>
        <w:tblCellMar>
          <w:top w:w="0" w:type="dxa"/>
          <w:left w:w="0" w:type="dxa"/>
          <w:bottom w:w="0" w:type="dxa"/>
          <w:right w:w="0" w:type="dxa"/>
        </w:tblCellMar>
      </w:tblPr>
      <w:tblGrid>
        <w:gridCol w:w="96"/>
        <w:gridCol w:w="162"/>
        <w:gridCol w:w="9947"/>
      </w:tblGrid>
      <w:tr>
        <w:trPr/>
        <w:tc>
          <w:tcPr>
            <w:tcW w:w="96" w:type="dxa"/>
            <w:tcBorders/>
            <w:shd w:fill="auto" w:val="clear"/>
          </w:tcPr>
          <w:p>
            <w:pPr>
              <w:pStyle w:val="TableContents"/>
              <w:spacing w:before="0" w:after="0"/>
              <w:rPr/>
            </w:pPr>
            <w:r>
              <w:rPr/>
              <w:t xml:space="preserve">  </w:t>
            </w:r>
          </w:p>
        </w:tc>
        <w:tc>
          <w:tcPr>
            <w:tcW w:w="16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4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effective June 4, 2009, an outstanding balance of $595,987 due to directors and officers was settled through the issuance of 5,959,870 shares in conjunction with a debt settlement agreement;</w:t>
            </w:r>
          </w:p>
        </w:tc>
      </w:tr>
    </w:tbl>
    <w:p>
      <w:pPr>
        <w:pStyle w:val="Normal"/>
        <w:spacing w:before="0" w:after="0"/>
        <w:rPr>
          <w:sz w:val="4"/>
          <w:szCs w:val="4"/>
        </w:rPr>
      </w:pPr>
      <w:r>
        <w:rPr>
          <w:sz w:val="4"/>
          <w:szCs w:val="4"/>
        </w:rPr>
      </w:r>
      <w:bookmarkStart w:id="374" w:name="hangingindent28"/>
      <w:bookmarkStart w:id="375" w:name="hangingindent28"/>
      <w:bookmarkEnd w:id="375"/>
    </w:p>
    <w:tbl>
      <w:tblPr>
        <w:tblW w:w="5000" w:type="pct"/>
        <w:jc w:val="center"/>
        <w:tblInd w:w="0" w:type="dxa"/>
        <w:tblCellMar>
          <w:top w:w="0" w:type="dxa"/>
          <w:left w:w="0" w:type="dxa"/>
          <w:bottom w:w="0" w:type="dxa"/>
          <w:right w:w="0" w:type="dxa"/>
        </w:tblCellMar>
      </w:tblPr>
      <w:tblGrid>
        <w:gridCol w:w="68"/>
        <w:gridCol w:w="119"/>
        <w:gridCol w:w="10018"/>
      </w:tblGrid>
      <w:tr>
        <w:trPr/>
        <w:tc>
          <w:tcPr>
            <w:tcW w:w="68" w:type="dxa"/>
            <w:tcBorders/>
            <w:shd w:fill="auto" w:val="clear"/>
          </w:tcPr>
          <w:p>
            <w:pPr>
              <w:pStyle w:val="TableContents"/>
              <w:spacing w:before="0" w:after="0"/>
              <w:rPr/>
            </w:pPr>
            <w:r>
              <w:rPr/>
              <w:t xml:space="preserve">  </w:t>
            </w:r>
          </w:p>
        </w:tc>
        <w:tc>
          <w:tcPr>
            <w:tcW w:w="1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$9,247 (2008 - $16,932) in interest and finance charges on a $125,000 promissory note due to a company related through a direct family member of a current director (refer to Note 5); incurred $14,795 (2008 - $27,090) in interest and finance charges on a $200,000 convertible promissory note due to the same company (refer to Note 5); and incurred $40,881 (2008 - $35,369) in interest and finance charges related to an agreement to issue warrants in connection with extending the terms of the $125,000 and $200,000 notes through March 30, 2009 (refer to Note 5), and effective June 4, 2009 the outstanding principal and interest was settled in conjunction with an equity issuance;</w:t>
            </w:r>
          </w:p>
        </w:tc>
      </w:tr>
    </w:tbl>
    <w:p>
      <w:pPr>
        <w:pStyle w:val="Normal"/>
        <w:spacing w:before="0" w:after="0"/>
        <w:rPr>
          <w:sz w:val="4"/>
          <w:szCs w:val="4"/>
        </w:rPr>
      </w:pPr>
      <w:r>
        <w:rPr>
          <w:sz w:val="4"/>
          <w:szCs w:val="4"/>
        </w:rPr>
      </w:r>
      <w:bookmarkStart w:id="376" w:name="hangingindent29"/>
      <w:bookmarkStart w:id="377" w:name="hangingindent29"/>
      <w:bookmarkEnd w:id="377"/>
    </w:p>
    <w:tbl>
      <w:tblPr>
        <w:tblW w:w="5000" w:type="pct"/>
        <w:jc w:val="center"/>
        <w:tblInd w:w="0" w:type="dxa"/>
        <w:tblCellMar>
          <w:top w:w="0" w:type="dxa"/>
          <w:left w:w="0" w:type="dxa"/>
          <w:bottom w:w="0" w:type="dxa"/>
          <w:right w:w="0" w:type="dxa"/>
        </w:tblCellMar>
      </w:tblPr>
      <w:tblGrid>
        <w:gridCol w:w="73"/>
        <w:gridCol w:w="139"/>
        <w:gridCol w:w="9993"/>
      </w:tblGrid>
      <w:tr>
        <w:trPr/>
        <w:tc>
          <w:tcPr>
            <w:tcW w:w="73"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$1,997 (2008 - $3,196) in interest and finance charges on a $27,000 promissory note issued to a company controlled by a director of the Company, and incurred $4,343 (2008 - $3,757) in interest and finance charges related to an agreement to issue warrants in connection to extending the term through March 30, 2009 (refer to Note 5), and effective June 4, 2009 the outstanding principal and interest was settled in conjunction with an equity issuance;</w:t>
            </w:r>
          </w:p>
        </w:tc>
      </w:tr>
    </w:tbl>
    <w:p>
      <w:pPr>
        <w:pStyle w:val="Normal"/>
        <w:spacing w:before="0" w:after="0"/>
        <w:rPr>
          <w:sz w:val="4"/>
          <w:szCs w:val="4"/>
        </w:rPr>
      </w:pPr>
      <w:r>
        <w:rPr>
          <w:sz w:val="4"/>
          <w:szCs w:val="4"/>
        </w:rPr>
      </w:r>
      <w:bookmarkStart w:id="378" w:name="hangingindent30"/>
      <w:bookmarkStart w:id="379" w:name="hangingindent30"/>
      <w:bookmarkEnd w:id="379"/>
    </w:p>
    <w:tbl>
      <w:tblPr>
        <w:tblW w:w="5000" w:type="pct"/>
        <w:jc w:val="center"/>
        <w:tblInd w:w="0" w:type="dxa"/>
        <w:tblCellMar>
          <w:top w:w="0" w:type="dxa"/>
          <w:left w:w="0" w:type="dxa"/>
          <w:bottom w:w="0" w:type="dxa"/>
          <w:right w:w="0" w:type="dxa"/>
        </w:tblCellMar>
      </w:tblPr>
      <w:tblGrid>
        <w:gridCol w:w="68"/>
        <w:gridCol w:w="119"/>
        <w:gridCol w:w="10018"/>
      </w:tblGrid>
      <w:tr>
        <w:trPr/>
        <w:tc>
          <w:tcPr>
            <w:tcW w:w="68" w:type="dxa"/>
            <w:tcBorders/>
            <w:shd w:fill="auto" w:val="clear"/>
          </w:tcPr>
          <w:p>
            <w:pPr>
              <w:pStyle w:val="TableContents"/>
              <w:spacing w:before="0" w:after="0"/>
              <w:rPr/>
            </w:pPr>
            <w:r>
              <w:rPr/>
              <w:t xml:space="preserve">  </w:t>
            </w:r>
          </w:p>
        </w:tc>
        <w:tc>
          <w:tcPr>
            <w:tcW w:w="1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$14,795 (2008 - $22,784) in interest and finance charges on a $200,000 promissory note issued to a company related through a family member of an officer of the Company (refer to Note 5); incurred $18,493 (2008 - $27,493) in interest and finance charges on a $250,000 promissory note issued to the same company (refer to Note 5); and incurred $72,380 (2008 - $62,620) in interest and finance charges related to an agreement to issue warrants in connection to extending the terms of the $200,000 and $250,000 notes through March 30, 2009 (refer to Note 5), and effective June 4, 2009 the outstanding principal and interest was settled in conjunction with an equity issuance;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80" w:name="PGBRK35"/>
      <w:bookmarkStart w:id="381" w:name="PGBRK35"/>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82" w:name="FTR35"/>
      <w:bookmarkStart w:id="383" w:name="FTR35"/>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384" w:name="GLFTR35"/>
      <w:bookmarkEnd w:id="3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5" w:name="PN35"/>
      <w:bookmarkEnd w:id="385"/>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86" w:name="HDR35"/>
      <w:bookmarkStart w:id="387" w:name="HDR35"/>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388" w:name="GLHDR35"/>
      <w:bookmarkEnd w:id="3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Normal"/>
        <w:spacing w:before="0" w:after="0"/>
        <w:rPr>
          <w:sz w:val="4"/>
          <w:szCs w:val="4"/>
        </w:rPr>
      </w:pPr>
      <w:r>
        <w:rPr>
          <w:sz w:val="4"/>
          <w:szCs w:val="4"/>
        </w:rPr>
      </w:r>
      <w:bookmarkStart w:id="389" w:name="hangingindent31"/>
      <w:bookmarkStart w:id="390" w:name="hangingindent31"/>
      <w:bookmarkEnd w:id="390"/>
    </w:p>
    <w:tbl>
      <w:tblPr>
        <w:tblW w:w="5000" w:type="pct"/>
        <w:jc w:val="center"/>
        <w:tblInd w:w="0" w:type="dxa"/>
        <w:tblCellMar>
          <w:top w:w="0" w:type="dxa"/>
          <w:left w:w="0" w:type="dxa"/>
          <w:bottom w:w="0" w:type="dxa"/>
          <w:right w:w="0" w:type="dxa"/>
        </w:tblCellMar>
      </w:tblPr>
      <w:tblGrid>
        <w:gridCol w:w="74"/>
        <w:gridCol w:w="95"/>
        <w:gridCol w:w="10036"/>
      </w:tblGrid>
      <w:tr>
        <w:trPr/>
        <w:tc>
          <w:tcPr>
            <w:tcW w:w="7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$1,849 (2008 - $2,836) in interest and finance charges on a $25,000 promissory note issued to an officer of the Company, and incurred $4,021 (2008 - $3,479) in interest and finance charges related to an agreement to issue warrants in connection to extending the term through March 30, 2009 (refer to Note 5), and effective June 4, 2009 the outstanding principal and interest was settled in conjunction with an equity issuance;</w:t>
            </w:r>
          </w:p>
        </w:tc>
      </w:tr>
    </w:tbl>
    <w:p>
      <w:pPr>
        <w:pStyle w:val="Normal"/>
        <w:spacing w:before="0" w:after="0"/>
        <w:rPr>
          <w:sz w:val="4"/>
          <w:szCs w:val="4"/>
        </w:rPr>
      </w:pPr>
      <w:r>
        <w:rPr>
          <w:sz w:val="4"/>
          <w:szCs w:val="4"/>
        </w:rPr>
      </w:r>
      <w:bookmarkStart w:id="391" w:name="hangingindent32"/>
      <w:bookmarkStart w:id="392" w:name="hangingindent32"/>
      <w:bookmarkEnd w:id="392"/>
    </w:p>
    <w:tbl>
      <w:tblPr>
        <w:tblW w:w="5000" w:type="pct"/>
        <w:jc w:val="center"/>
        <w:tblInd w:w="0" w:type="dxa"/>
        <w:tblCellMar>
          <w:top w:w="0" w:type="dxa"/>
          <w:left w:w="0" w:type="dxa"/>
          <w:bottom w:w="0" w:type="dxa"/>
          <w:right w:w="0" w:type="dxa"/>
        </w:tblCellMar>
      </w:tblPr>
      <w:tblGrid>
        <w:gridCol w:w="75"/>
        <w:gridCol w:w="141"/>
        <w:gridCol w:w="9989"/>
      </w:tblGrid>
      <w:tr>
        <w:trPr/>
        <w:tc>
          <w:tcPr>
            <w:tcW w:w="75"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99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$740 (2008 - $150) in interest and finance charges on a $10,000 promissory note issued to an officer of the Company, and incurred $4,343 (2008 - $3,407) in interest and finance charges related to an agreement to issue warrants in connection to the note issuance (refer to Note 5), and effective June 4, 2009 the outstanding principal and interest was settled in conjunction with an equity issuance; and</w:t>
            </w:r>
          </w:p>
        </w:tc>
      </w:tr>
    </w:tbl>
    <w:p>
      <w:pPr>
        <w:pStyle w:val="Normal"/>
        <w:spacing w:before="0" w:after="0"/>
        <w:rPr>
          <w:sz w:val="4"/>
          <w:szCs w:val="4"/>
        </w:rPr>
      </w:pPr>
      <w:r>
        <w:rPr>
          <w:sz w:val="4"/>
          <w:szCs w:val="4"/>
        </w:rPr>
      </w:r>
      <w:bookmarkStart w:id="393" w:name="hangingindent33"/>
      <w:bookmarkStart w:id="394" w:name="hangingindent33"/>
      <w:bookmarkEnd w:id="394"/>
    </w:p>
    <w:tbl>
      <w:tblPr>
        <w:tblW w:w="5000" w:type="pct"/>
        <w:jc w:val="center"/>
        <w:tblInd w:w="0" w:type="dxa"/>
        <w:tblCellMar>
          <w:top w:w="0" w:type="dxa"/>
          <w:left w:w="0" w:type="dxa"/>
          <w:bottom w:w="0" w:type="dxa"/>
          <w:right w:w="0" w:type="dxa"/>
        </w:tblCellMar>
      </w:tblPr>
      <w:tblGrid>
        <w:gridCol w:w="72"/>
        <w:gridCol w:w="138"/>
        <w:gridCol w:w="9995"/>
      </w:tblGrid>
      <w:tr>
        <w:trPr/>
        <w:tc>
          <w:tcPr>
            <w:tcW w:w="72"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99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a $15,000 secured promissory note bearing interest at 30% per annum and issued 30,000 transferable and registerable share purchase warrants with an exercise price of $0.20 per share for an exercise period of up to two years from the issuance date to a direct family member of an officer of the Company, incurred $4,068 (2008 - $Nil) in interest and finance charges on the $15,000 promissory note, and incurred $4,167 (2008 - $Nil) in interest and finance charges related to the issued warrants (refer to Note 5).</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The Company has accounted for the debt settlement transactions with related parties at management’s estimate of fair value, which was determined by reference to similar settlements with arms-length parties.  The debt settlement transactions with related parties resulted in a gain of $284,368 being included in the statement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2009, the Company had amounts owing to directors and officers of $16,100 (2008 - $468,121).  These amounts were in the normal course of operations.  Amounts due to related parties are unsecured, non-interest bearing and have no specific terms of repayment, except as described above.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7:  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500,000,000 common shares with $0.001 par value and 5,000,000 non-voting preferred shares with $0.001 par value.  On March 27, 2007, the Company’s Articles of Incorporation were amended to increase the authorized shares of common stock from 20,000,000 shares of common stock to 80,000,000 shares of common stock, and on January 22, 2009 the authorized shares of common stock increased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value.  Effective February 21, 2010, the Company increased its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2008 Share Transactions</w:t>
      </w:r>
    </w:p>
    <w:p>
      <w:pPr>
        <w:pStyle w:val="TextBody"/>
        <w:spacing w:before="0" w:after="0"/>
        <w:ind w:left="0" w:right="0" w:hanging="0"/>
        <w:jc w:val="both"/>
        <w:rPr>
          <w:rFonts w:ascii="Times New Roman" w:hAnsi="Times New Roman"/>
          <w:sz w:val="20"/>
        </w:rPr>
      </w:pPr>
      <w:r>
        <w:rPr>
          <w:rFonts w:ascii="Times New Roman" w:hAnsi="Times New Roman"/>
          <w:sz w:val="20"/>
        </w:rPr>
        <w:t>On April 8, 2008, the Company issued 30,000 shares of restricted common stock with an estimated fair value based on market trading of $3.00 per share, pursuant to a consulting services agreement.  The $90,000 estimated fair value of the issued shares has been recorded as stock-based consulting fees.  Additionally, pursuant to the consulting services agreement, the Company had agreed to issue stock options to acquire 20,000 shares of the Company’s common stock at an exercise price of $2.50 per share.  The vesting and expiry terms were to be determined at the time of grant. As of December 31, 2009 the options were not issued and there was no vesting or expiry terms established.  No stock based compensation has been recorded for this commitment as the fair value can not be reasonably determined at the commitment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31, 2008, with an effective date of June 30, 2008, the Company completed a private placement in the amount of 14,000 Units at a subscription price of $2.50 per unit for gross proceeds to the Company of $35,000.  Each Unit is comprised of one common share and one-half of one non-transferable share purchase warrant of the Company.  Each whole warrant entitles the holder to purchase an additional common share of the Company at an exercise price of $3.00 per share for a period which is the earlier of (i) two years from the date of issuance, or (ii) 18 months from the effective date of registration.  The Company estimated the total fair market value of the warrants to be $21,000 at the date of grant, using the Black-Scholes option pricing model using an expected life of 18 months, a risk-free interest rate of 2.60% and an expected volatility of 202%.  The fair value of the warrants has been included in capital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5" w:name="PGBRK36"/>
      <w:bookmarkStart w:id="396" w:name="PGBRK36"/>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 w:name="FTR36"/>
      <w:bookmarkStart w:id="398" w:name="FTR36"/>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9" w:name="GLFTR36"/>
      <w:bookmarkEnd w:id="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0" w:name="PN36"/>
      <w:bookmarkEnd w:id="400"/>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1" w:name="HDR36"/>
      <w:bookmarkStart w:id="402" w:name="HDR36"/>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3" w:name="GLHDR36"/>
      <w:bookmarkEnd w:id="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2008 the Company issued 20,715 shares of restricted common stock pursuant to the exercise of 35,800 warrants, for total proceeds of $25,000.  Of the 35,800 warrants exercised, 25,800 were exercised for $Nil proceeds, in accordance with a cash-less exercise option, resulting in the issuance of 10,715 shares of restricted common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2009 Share Transactions</w:t>
      </w:r>
    </w:p>
    <w:p>
      <w:pPr>
        <w:pStyle w:val="TextBody"/>
        <w:spacing w:before="0" w:after="0"/>
        <w:ind w:left="0" w:right="0" w:hanging="0"/>
        <w:jc w:val="both"/>
        <w:rPr>
          <w:rFonts w:ascii="Times New Roman" w:hAnsi="Times New Roman"/>
          <w:sz w:val="20"/>
        </w:rPr>
      </w:pPr>
      <w:r>
        <w:rPr>
          <w:rFonts w:ascii="Times New Roman" w:hAnsi="Times New Roman"/>
          <w:sz w:val="20"/>
        </w:rPr>
        <w:t>Effective June 4, 2009, the Company completed a debt conversion and assignment transaction resulting in an obligation to issue 31,812,065 common shares in conjunction with the retirement of $3,181,207 in accounts payable and accrued liabilities, notes payable and related party debt.  The shares were issued on July 1, 2009.  Management estimated the fair value of the resultant obligation to issue shares to be $1,678,392 based on third party debt settlements.  Included in the statement of operations is a gain on debt settlement of $972,369, net of transaction costs.  Of the 33,812,065 share issuance, 2,000,000 shares were issued pursuant to a consulting services agreement related to the debt conversion and assignment transaction.  The 2,000,000 share issuance has an estimated fair value of $400,000 which was recorded against the gain on debt settlement.  The Company also settled accounts payable and incurred a loss on debt settlement of $11,314.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10, 2009, the Company issued 162,500 shares of its common stock pursuant to the exercise of 130,000 warrants on a cashless basis for $Nil proceeds, and as a settlement with the warrant holders which included a waiver of rights to additional ratchet provisions.  The warrants were originally issued in conjunction with a 2007 Loan and Security Agreement.  At the time of issuance, the market price of shares was $1.10 per share and the estimated fair value of $178,750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10, 2009, the Company issued 25,000 shares of its restricted common stock pursuant to a consulting services agreement in relation to the settlement of financing transaction.  At the time of issuance, the market price of shares was $1.10 per share and the estimated fair value of $27,500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26, 2009, the Company issued 50,000 shares of its common stock pursuant to the exercise of 40,000 warrants on a cashless basis for $Nil proceeds, as a settlement with the warrant holders which included a waiver of rights to additional ratchet provisions.  The warrants were originally issued in conjunction with a 2007 Loan and Security Agreement.  At the time of issuance, the market price of shares was $1.28 per share and the estimated fair value of $64,000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20, 2009, the Company issued 314,466 shares of its common stock pursuant to the exercise of 385,532 warrants on a cashless basis for $Nil proceeds.  The warrants were originally issued in conjunction with the 2009 Secured Loan Agreement (refer to Note 5).  The fair value of these shares was determined by management to be $62,893.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6, 2009, the Company completed a private placement for 625,000 Units at a subscription price of $0.80 per Unit for gross proceeds of $500,000.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6,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30,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30, 2009, the Company issued 707,542 shares of its common stock pursuant to the exercise of 915,642 warrants on a cashless basis for $Nil proceeds.  The warrants were originally issued in conjunction with the 2009 Secured Loan Agreement (refer to Note 5).  The fair value of these shares was determined by management to be $141,508.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separately disclosed the fair market value of the warrants attached to private placements units during the current and prior fiscal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4" w:name="PGBRK37"/>
      <w:bookmarkStart w:id="405" w:name="PGBRK37"/>
      <w:bookmarkEnd w:id="4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 w:name="FTR37"/>
      <w:bookmarkStart w:id="407" w:name="FTR37"/>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8" w:name="GLFTR37"/>
      <w:bookmarkEnd w:id="4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9" w:name="PN37"/>
      <w:bookmarkEnd w:id="409"/>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0" w:name="HDR37"/>
      <w:bookmarkStart w:id="411" w:name="HDR37"/>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2" w:name="GLHDR37"/>
      <w:bookmarkEnd w:id="4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is a summary of warrant issuances during the current year:</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2269"/>
        <w:gridCol w:w="96"/>
        <w:gridCol w:w="96"/>
        <w:gridCol w:w="1059"/>
        <w:gridCol w:w="96"/>
        <w:gridCol w:w="96"/>
        <w:gridCol w:w="136"/>
        <w:gridCol w:w="931"/>
        <w:gridCol w:w="96"/>
        <w:gridCol w:w="96"/>
        <w:gridCol w:w="136"/>
        <w:gridCol w:w="966"/>
        <w:gridCol w:w="96"/>
        <w:gridCol w:w="96"/>
        <w:gridCol w:w="137"/>
        <w:gridCol w:w="973"/>
        <w:gridCol w:w="96"/>
        <w:gridCol w:w="96"/>
        <w:gridCol w:w="155"/>
        <w:gridCol w:w="992"/>
        <w:gridCol w:w="96"/>
        <w:gridCol w:w="96"/>
        <w:gridCol w:w="147"/>
        <w:gridCol w:w="1027"/>
        <w:gridCol w:w="125"/>
      </w:tblGrid>
      <w:tr>
        <w:trPr/>
        <w:tc>
          <w:tcPr>
            <w:tcW w:w="2269" w:type="dxa"/>
            <w:tcBorders>
              <w:top w:val="single" w:sz="12" w:space="0" w:color="000000"/>
            </w:tcBorders>
            <w:shd w:fill="auto" w:val="clear"/>
            <w:vAlign w:val="bottom"/>
          </w:tcPr>
          <w:p>
            <w:pPr>
              <w:pStyle w:val="TableContents"/>
              <w:spacing w:before="0" w:after="283"/>
              <w:rPr/>
            </w:pPr>
            <w:r>
              <w:rPr/>
              <w:t xml:space="preserve">  </w:t>
            </w:r>
          </w:p>
        </w:tc>
        <w:tc>
          <w:tcPr>
            <w:tcW w:w="96" w:type="dxa"/>
            <w:tcBorders>
              <w:top w:val="single" w:sz="12" w:space="0" w:color="000000"/>
            </w:tcBorders>
            <w:shd w:fill="auto" w:val="clear"/>
            <w:vAlign w:val="bottom"/>
          </w:tcPr>
          <w:p>
            <w:pPr>
              <w:pStyle w:val="TableContents"/>
              <w:spacing w:before="0" w:after="283"/>
              <w:rPr/>
            </w:pPr>
            <w:r>
              <w:rPr/>
              <w:t> </w:t>
            </w:r>
          </w:p>
        </w:tc>
        <w:tc>
          <w:tcPr>
            <w:tcW w:w="1155" w:type="dxa"/>
            <w:gridSpan w:val="2"/>
            <w:tcBorders>
              <w:top w:val="single" w:sz="12" w:space="0" w:color="000000"/>
            </w:tcBorders>
            <w:shd w:fill="auto" w:val="clear"/>
            <w:vAlign w:val="bottom"/>
          </w:tcPr>
          <w:p>
            <w:pPr>
              <w:pStyle w:val="TableContents"/>
              <w:spacing w:before="0" w:after="283"/>
              <w:rPr/>
            </w:pPr>
            <w:r>
              <w:rPr/>
              <w:t> </w:t>
            </w:r>
          </w:p>
        </w:tc>
        <w:tc>
          <w:tcPr>
            <w:tcW w:w="96" w:type="dxa"/>
            <w:tcBorders>
              <w:top w:val="single" w:sz="12" w:space="0" w:color="000000"/>
            </w:tcBorders>
            <w:shd w:fill="auto" w:val="clear"/>
            <w:vAlign w:val="bottom"/>
          </w:tcPr>
          <w:p>
            <w:pPr>
              <w:pStyle w:val="TableContents"/>
              <w:spacing w:before="0" w:after="283"/>
              <w:jc w:val="left"/>
              <w:rPr/>
            </w:pPr>
            <w:r>
              <w:rPr/>
              <w:t> </w:t>
            </w:r>
          </w:p>
        </w:tc>
        <w:tc>
          <w:tcPr>
            <w:tcW w:w="96" w:type="dxa"/>
            <w:tcBorders>
              <w:top w:val="single" w:sz="12" w:space="0" w:color="000000"/>
            </w:tcBorders>
            <w:shd w:fill="auto" w:val="clear"/>
            <w:vAlign w:val="bottom"/>
          </w:tcPr>
          <w:p>
            <w:pPr>
              <w:pStyle w:val="TableContents"/>
              <w:spacing w:before="0" w:after="283"/>
              <w:rPr/>
            </w:pPr>
            <w:r>
              <w:rPr/>
              <w:t> </w:t>
            </w:r>
          </w:p>
        </w:tc>
        <w:tc>
          <w:tcPr>
            <w:tcW w:w="1067" w:type="dxa"/>
            <w:gridSpan w:val="2"/>
            <w:tcBorders>
              <w:top w:val="single" w:sz="12" w:space="0" w:color="000000"/>
            </w:tcBorders>
            <w:shd w:fill="auto" w:val="clear"/>
            <w:vAlign w:val="bottom"/>
          </w:tcPr>
          <w:p>
            <w:pPr>
              <w:pStyle w:val="TableContents"/>
              <w:spacing w:before="0" w:after="283"/>
              <w:rPr/>
            </w:pPr>
            <w:r>
              <w:rPr/>
              <w:t> </w:t>
            </w:r>
          </w:p>
        </w:tc>
        <w:tc>
          <w:tcPr>
            <w:tcW w:w="96" w:type="dxa"/>
            <w:tcBorders>
              <w:top w:val="single" w:sz="12" w:space="0" w:color="000000"/>
            </w:tcBorders>
            <w:shd w:fill="auto" w:val="clear"/>
            <w:vAlign w:val="bottom"/>
          </w:tcPr>
          <w:p>
            <w:pPr>
              <w:pStyle w:val="TableContents"/>
              <w:spacing w:before="0" w:after="283"/>
              <w:jc w:val="left"/>
              <w:rPr/>
            </w:pPr>
            <w:r>
              <w:rPr/>
              <w:t> </w:t>
            </w:r>
          </w:p>
        </w:tc>
        <w:tc>
          <w:tcPr>
            <w:tcW w:w="96" w:type="dxa"/>
            <w:tcBorders>
              <w:top w:val="single" w:sz="12" w:space="0" w:color="000000"/>
            </w:tcBorders>
            <w:shd w:fill="auto" w:val="clear"/>
            <w:vAlign w:val="bottom"/>
          </w:tcPr>
          <w:p>
            <w:pPr>
              <w:pStyle w:val="TableContents"/>
              <w:spacing w:before="0" w:after="283"/>
              <w:rPr/>
            </w:pPr>
            <w:r>
              <w:rPr/>
              <w:t> </w:t>
            </w:r>
          </w:p>
        </w:tc>
        <w:tc>
          <w:tcPr>
            <w:tcW w:w="5109" w:type="dxa"/>
            <w:gridSpan w:val="14"/>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Estimated fair value recorded as</w:t>
            </w:r>
          </w:p>
        </w:tc>
        <w:tc>
          <w:tcPr>
            <w:tcW w:w="125" w:type="dxa"/>
            <w:tcBorders>
              <w:top w:val="single" w:sz="12" w:space="0" w:color="000000"/>
            </w:tcBorders>
            <w:shd w:fill="auto" w:val="clear"/>
            <w:vAlign w:val="bottom"/>
          </w:tcPr>
          <w:p>
            <w:pPr>
              <w:pStyle w:val="TableContents"/>
              <w:spacing w:before="0" w:after="283"/>
              <w:jc w:val="left"/>
              <w:rPr/>
            </w:pPr>
            <w:r>
              <w:rPr/>
              <w:t> </w:t>
            </w:r>
          </w:p>
        </w:tc>
      </w:tr>
      <w:tr>
        <w:trPr/>
        <w:tc>
          <w:tcPr>
            <w:tcW w:w="226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w:t>
            </w:r>
          </w:p>
        </w:tc>
        <w:tc>
          <w:tcPr>
            <w:tcW w:w="96" w:type="dxa"/>
            <w:tcBorders/>
            <w:shd w:fill="auto" w:val="clear"/>
            <w:tcMar>
              <w:top w:w="0" w:type="dxa"/>
            </w:tcMar>
            <w:vAlign w:val="bottom"/>
          </w:tcPr>
          <w:p>
            <w:pPr>
              <w:pStyle w:val="TableContents"/>
              <w:spacing w:before="0" w:after="283"/>
              <w:jc w:val="right"/>
              <w:rPr/>
            </w:pPr>
            <w:r>
              <w:rPr/>
              <w:t> </w:t>
            </w:r>
          </w:p>
        </w:tc>
        <w:tc>
          <w:tcPr>
            <w:tcW w:w="115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Number of Warrants Issued</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06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Exercise Price per Share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Interest and Finance Charges</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1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Note Discounts</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4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Loss on Debt Settlement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7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Consulting Services</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 Consideration for</w:t>
            </w:r>
          </w:p>
          <w:p>
            <w:pPr>
              <w:pStyle w:val="TableContents"/>
              <w:spacing w:before="0" w:after="0"/>
              <w:ind w:left="0" w:right="0" w:hanging="0"/>
              <w:jc w:val="left"/>
              <w:rPr>
                <w:rFonts w:ascii="times new roman" w:hAnsi="times new roman"/>
                <w:sz w:val="20"/>
              </w:rPr>
            </w:pPr>
            <w:r>
              <w:rPr>
                <w:rFonts w:ascii="times new roman" w:hAnsi="times new roman"/>
                <w:sz w:val="20"/>
              </w:rPr>
              <w:t>promissory note extensions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532,700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0.10 – $2.50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290,350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(ii) Consideration for</w:t>
            </w:r>
          </w:p>
          <w:p>
            <w:pPr>
              <w:pStyle w:val="TableContents"/>
              <w:spacing w:before="0" w:after="0"/>
              <w:ind w:left="0" w:right="0" w:hanging="0"/>
              <w:jc w:val="left"/>
              <w:rPr>
                <w:rFonts w:ascii="times new roman" w:hAnsi="times new roman"/>
                <w:sz w:val="20"/>
              </w:rPr>
            </w:pPr>
            <w:r>
              <w:rPr>
                <w:rFonts w:ascii="times new roman" w:hAnsi="times new roman"/>
                <w:sz w:val="20"/>
              </w:rPr>
              <w:t>promissory note grants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1,758,674</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0.10 – $0.20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pPr>
            <w:r>
              <w:rPr/>
              <w:t> </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398,801</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pPr>
            <w:r>
              <w:rPr/>
              <w:t> </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(iii) Debt settlement</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pPr>
            <w:r>
              <w:rPr/>
              <w:t> </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pPr>
            <w:r>
              <w:rPr/>
              <w:t> </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(iv) Consideration for</w:t>
            </w:r>
          </w:p>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1,225,000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0.50 – $0.60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pPr>
            <w:r>
              <w:rPr/>
              <w:t> </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pPr>
            <w:r>
              <w:rPr/>
              <w:t> </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622,750</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Units in private placements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7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9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5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4,421,374</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36"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31"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36"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66"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37"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73"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55"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92"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47"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27"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During the year ended December 31, 2009, the Company extended terms of the 2007 and 2008 promissory notes (refer to Note 5) in exchange for the issuance of 532,700 warrants.  The fair value of these warrants was determined to be $290,350 using the Black-Scholes option pricing model with an expected life of 2 - 3 years, a risk free interest rate of 1.64% - 4.21%, a dividend yield of 0%, and an expected volatility of 100% - 199%. For the fiscal year ended December 31, 2009 the remaining $132,079 of the total value was expensed as financing charges.</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(ii) During the year ended December 31, 2009, in connection with debenture issuances, the following transactions occurred: the Company issued 20,000 share purchase warrants on March 11, 2009, the Company issued 270,000 warrants on February 4, 2009, the Company issued to the secured promissory note lenders (refer to Note 5), 1,031,174 share purchase warrants on July 1, 2009 and October 28, 2009, and the Company issued 437,500 share purchase warrants on August 31, 2009.  The aggregate fair value of these warrants was determined to be $398,801 using the Black-Scholes option pricing model with an expected life of 2 - - 5 years, a risk free interest rate of 0.23% - 1.64%, a dividend yield of 0%, and an expected volatility of 195% - 245%. The fair values of the warrants issued on February 4, 2009 and August 31, 2009 were recorded as discounts to the notes and are being amortized over the term of the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(iii) On July 14, 2009, the Company issued 30,000 share purchase warrants as part of the debt assignment transaction.  The fair value of these warrants was determined to be $12,000, using the Black-Scholes option pricing model with an expected life of 4 years, a risk free interest rate of 0.96%, a dividend yield of 0%, and an expected volatility of 192%.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(iv) During the year ended December 31, 2009, pursuant to consulting services agreements, the following transactions occurred: the Company issued 200,000 share purchase warrants on December 17, 2009, the Company issued 125,000 share purchase warrants on December 18, 2009, the Company issued a further 400,000 share purchase warrants on December 18, 2009, the Company issued a further 500,000 share purchase warrants on December 18, 2009.  The aggregate fair value of these warrants was determined to be $622,750 using the Black-Scholes option pricing model with an expected life of 5 years, a risk free interest rate of 2.24% - 2.3%, a dividend yield of 0%, and an expected volatility of 236%.  The expensed portion of the value of these warrants during the year ended December 31, 2009 was $374,270.  The remaining portion of $248,480 will be recorded in fiscal 2010 as stock based consulting fees.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3" w:name="PGBRK38"/>
      <w:bookmarkStart w:id="414" w:name="PGBRK38"/>
      <w:bookmarkEnd w:id="4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5" w:name="FTR38"/>
      <w:bookmarkStart w:id="416" w:name="FTR38"/>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7" w:name="GLFTR38"/>
      <w:bookmarkEnd w:id="4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8" w:name="PN38"/>
      <w:bookmarkEnd w:id="418"/>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9" w:name="HDR38"/>
      <w:bookmarkStart w:id="420" w:name="HDR38"/>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1" w:name="GLHDR38"/>
      <w:bookmarkEnd w:id="4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issued stock purchase warrants as of December 31, 2009 and changes during the year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81"/>
        <w:gridCol w:w="113"/>
        <w:gridCol w:w="113"/>
        <w:gridCol w:w="1223"/>
        <w:gridCol w:w="124"/>
        <w:gridCol w:w="113"/>
        <w:gridCol w:w="180"/>
        <w:gridCol w:w="1073"/>
        <w:gridCol w:w="124"/>
        <w:gridCol w:w="112"/>
        <w:gridCol w:w="141"/>
        <w:gridCol w:w="1170"/>
        <w:gridCol w:w="138"/>
      </w:tblGrid>
      <w:tr>
        <w:trPr/>
        <w:tc>
          <w:tcPr>
            <w:tcW w:w="5581"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3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5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1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36"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53"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311"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2007</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1,107,167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120,400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(35,800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3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2008</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1,191,767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4,421,374</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(1,471,174</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(0.46</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(29,167</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4,112,800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7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rFonts w:ascii="Times New Roman" w:hAnsi="Times New Roman"/>
          <w:sz w:val="20"/>
        </w:rPr>
      </w:pPr>
      <w:r>
        <w:rPr>
          <w:rFonts w:ascii="Times New Roman" w:hAnsi="Times New Roman"/>
          <w:sz w:val="20"/>
        </w:rPr>
        <w:t>On June 8, 2007, the Board of Directors of the Company approved the adoption of a stock option plan (the “2007 Plan”) allowing for the granting of up to 640,000 options to directors, officers, employees and consultants of the Company and its subsidiaries.  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  Options granted under the Plan may have vesting requirements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(164,000 to consultants and 468,000 to officers and directors)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expensed portion of the value of these options during the year ended December 31, 2009 was $23,500 (2008 - $234,168)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years.  The expensed portion of the value of these options during the year ended December 31, 2009 was $2,068,400 which was recorded as $72,240 stock based consulting and $1,996,160 stock based management fees.  The remaining portion of $1,130,400 will be recorded in fiscal 2010 as stock based consulting and management fees.  The 2009 Stock Plan, the grant of the stock options thereunder and the repricing of existing options are subject to shareholder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December 31, 2009 and changes during the year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89"/>
        <w:gridCol w:w="113"/>
        <w:gridCol w:w="113"/>
        <w:gridCol w:w="1200"/>
        <w:gridCol w:w="125"/>
        <w:gridCol w:w="113"/>
        <w:gridCol w:w="182"/>
        <w:gridCol w:w="1080"/>
        <w:gridCol w:w="125"/>
        <w:gridCol w:w="113"/>
        <w:gridCol w:w="136"/>
        <w:gridCol w:w="1185"/>
        <w:gridCol w:w="131"/>
      </w:tblGrid>
      <w:tr>
        <w:trPr/>
        <w:tc>
          <w:tcPr>
            <w:tcW w:w="558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6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13"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62"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321" w:type="dxa"/>
            <w:gridSpan w:val="2"/>
            <w:tcBorders/>
            <w:shd w:fill="auto" w:val="clear"/>
            <w:tcMar>
              <w:top w:w="0" w:type="dxa"/>
              <w:bottom w:w="0" w:type="dxa"/>
            </w:tcMar>
            <w:vAlign w:val="bottom"/>
          </w:tcPr>
          <w:p>
            <w:pPr>
              <w:pStyle w:val="TableContents"/>
              <w:spacing w:before="0" w:after="283"/>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2007 and 2008</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632,000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Cancelled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8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3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2" w:name="PGBRK39"/>
      <w:bookmarkStart w:id="423" w:name="PGBRK39"/>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4" w:name="FTR39"/>
      <w:bookmarkStart w:id="425" w:name="FTR39"/>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6" w:name="GLFTR39"/>
      <w:bookmarkEnd w:id="4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7" w:name="PN39"/>
      <w:bookmarkEnd w:id="427"/>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8" w:name="HDR39"/>
      <w:bookmarkStart w:id="429" w:name="HDR39"/>
      <w:bookmarkEnd w:id="4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0" w:name="GLHDR39"/>
      <w:bookmarkEnd w:id="4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December 31, 2009 and changes during the year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180"/>
        <w:gridCol w:w="121"/>
        <w:gridCol w:w="121"/>
        <w:gridCol w:w="1393"/>
        <w:gridCol w:w="137"/>
        <w:gridCol w:w="121"/>
        <w:gridCol w:w="386"/>
        <w:gridCol w:w="1608"/>
        <w:gridCol w:w="138"/>
      </w:tblGrid>
      <w:tr>
        <w:trPr/>
        <w:tc>
          <w:tcPr>
            <w:tcW w:w="618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51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w:t>
            </w:r>
          </w:p>
        </w:tc>
        <w:tc>
          <w:tcPr>
            <w:tcW w:w="137"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9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514" w:type="dxa"/>
            <w:gridSpan w:val="2"/>
            <w:tcBorders/>
            <w:shd w:fill="auto" w:val="clear"/>
            <w:tcMar>
              <w:top w:w="0" w:type="dxa"/>
              <w:bottom w:w="0" w:type="dxa"/>
            </w:tcMar>
            <w:vAlign w:val="bottom"/>
          </w:tcPr>
          <w:p>
            <w:pPr>
              <w:pStyle w:val="TableContents"/>
              <w:spacing w:before="0" w:after="283"/>
              <w:rPr/>
            </w:pPr>
            <w:r>
              <w:rPr/>
              <w:t> </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1994"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2007</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322,000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pPr>
            <w:r>
              <w:rPr/>
              <w:t> </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3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(242,000</w:t>
            </w:r>
          </w:p>
        </w:tc>
        <w:tc>
          <w:tcPr>
            <w:tcW w:w="13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60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2008</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pPr>
            <w:r>
              <w:rPr/>
              <w:t> </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pPr>
            <w:r>
              <w:rPr/>
              <w:t> </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3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(1,993,000</w:t>
            </w:r>
          </w:p>
        </w:tc>
        <w:tc>
          <w:tcPr>
            <w:tcW w:w="13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60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39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0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8: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identified or quantified any significant temporary differences between the Company’s tax and financial bases of assets and liabilities that result in deferred tax assets, except for the Company’s net operating loss carry-forwards amounting to approximately $11,770,000 at December 31, 2009 (2008 - - $10,575,000), which may be available to reduce future year’s taxable income.  These carry forwards begin to expire, if not utilized, commencing in 2010.  Future tax benefits which may arise as a result of these losses have not been recognized in these financial statements, as their realization does not meet a more likely than not test and accordingly, the Company has recorded a valuation allowance for the potential deferred tax asset relating to these tax loss carry forwards.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reviews its valuation allowance requirements on an annual basis based on management’s expectations of future operations.  Should circumstances change resulting in a change in management’s judgment about the recoverability of future tax assets, the impact of the change on the valuation allowance would be reflected in current operations and disclosures.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policy is to accrue amounts for known or likely interest and penalties related to unrecognized tax charges or likely penalties and interest in its provision for income taxes.  Additionally, ASC 740-10 requires that a company recognize in its financial statements the impact of a tax position that is more likely than not to be sustained upon examination based on the technical merits of the position.  The Company has incurred taxable losses for all tax years since inception and accordingly, no provision for taxes has been recorded for the current or any prior fiscal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actual income tax provisions differ from the expected amounts calculated by applying the combined federal and state corporate income tax rates to the Company’s loss before income taxes and other temporary adjusted as appropriate for temporary and permanent tax basis differences.  The components of these differences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6697"/>
        <w:gridCol w:w="116"/>
        <w:gridCol w:w="157"/>
        <w:gridCol w:w="1279"/>
        <w:gridCol w:w="194"/>
        <w:gridCol w:w="116"/>
        <w:gridCol w:w="157"/>
        <w:gridCol w:w="1279"/>
        <w:gridCol w:w="210"/>
      </w:tblGrid>
      <w:tr>
        <w:trPr/>
        <w:tc>
          <w:tcPr>
            <w:tcW w:w="6697" w:type="dxa"/>
            <w:tcBorders>
              <w:top w:val="single" w:sz="12" w:space="0" w:color="000000"/>
            </w:tcBorders>
            <w:shd w:fill="auto" w:val="clear"/>
            <w:vAlign w:val="bottom"/>
          </w:tcPr>
          <w:p>
            <w:pPr>
              <w:pStyle w:val="TableContents"/>
              <w:spacing w:before="0" w:after="283"/>
              <w:rPr/>
            </w:pPr>
            <w:r>
              <w:rPr/>
              <w:t xml:space="preserve">  </w:t>
            </w:r>
          </w:p>
        </w:tc>
        <w:tc>
          <w:tcPr>
            <w:tcW w:w="116" w:type="dxa"/>
            <w:tcBorders>
              <w:top w:val="single" w:sz="12" w:space="0" w:color="000000"/>
            </w:tcBorders>
            <w:shd w:fill="auto" w:val="clear"/>
            <w:vAlign w:val="bottom"/>
          </w:tcPr>
          <w:p>
            <w:pPr>
              <w:pStyle w:val="TableContents"/>
              <w:spacing w:before="0" w:after="283"/>
              <w:rPr/>
            </w:pPr>
            <w:r>
              <w:rPr/>
              <w:t> </w:t>
            </w:r>
          </w:p>
        </w:tc>
        <w:tc>
          <w:tcPr>
            <w:tcW w:w="143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94" w:type="dxa"/>
            <w:tcBorders>
              <w:top w:val="single" w:sz="12" w:space="0" w:color="000000"/>
            </w:tcBorders>
            <w:shd w:fill="auto" w:val="clear"/>
            <w:vAlign w:val="bottom"/>
          </w:tcPr>
          <w:p>
            <w:pPr>
              <w:pStyle w:val="TableContents"/>
              <w:spacing w:before="0" w:after="283"/>
              <w:jc w:val="left"/>
              <w:rPr/>
            </w:pPr>
            <w:r>
              <w:rPr/>
              <w:t> </w:t>
            </w:r>
          </w:p>
        </w:tc>
        <w:tc>
          <w:tcPr>
            <w:tcW w:w="116" w:type="dxa"/>
            <w:tcBorders>
              <w:top w:val="single" w:sz="12" w:space="0" w:color="000000"/>
            </w:tcBorders>
            <w:shd w:fill="auto" w:val="clear"/>
            <w:vAlign w:val="bottom"/>
          </w:tcPr>
          <w:p>
            <w:pPr>
              <w:pStyle w:val="TableContents"/>
              <w:spacing w:before="0" w:after="283"/>
              <w:rPr/>
            </w:pPr>
            <w:r>
              <w:rPr/>
              <w:t> </w:t>
            </w:r>
          </w:p>
        </w:tc>
        <w:tc>
          <w:tcPr>
            <w:tcW w:w="143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210" w:type="dxa"/>
            <w:tcBorders>
              <w:top w:val="single" w:sz="12" w:space="0" w:color="000000"/>
            </w:tcBorders>
            <w:shd w:fill="auto" w:val="clear"/>
            <w:vAlign w:val="bottom"/>
          </w:tcPr>
          <w:p>
            <w:pPr>
              <w:pStyle w:val="TableContents"/>
              <w:spacing w:before="0" w:after="283"/>
              <w:jc w:val="left"/>
              <w:rPr/>
            </w:pPr>
            <w:r>
              <w:rPr/>
              <w:t> </w:t>
            </w:r>
          </w:p>
        </w:tc>
      </w:tr>
      <w:tr>
        <w:trPr/>
        <w:tc>
          <w:tcPr>
            <w:tcW w:w="669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shd w:fill="auto" w:val="clear"/>
            <w:tcMar>
              <w:top w:w="0" w:type="dxa"/>
            </w:tcMar>
            <w:vAlign w:val="bottom"/>
          </w:tcPr>
          <w:p>
            <w:pPr>
              <w:pStyle w:val="TableContents"/>
              <w:spacing w:before="0" w:after="283"/>
              <w:rPr/>
            </w:pPr>
            <w:r>
              <w:rPr/>
              <w:t> </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shd w:fill="auto" w:val="clear"/>
            <w:tcMar>
              <w:top w:w="0" w:type="dxa"/>
            </w:tcMar>
            <w:vAlign w:val="bottom"/>
          </w:tcPr>
          <w:p>
            <w:pPr>
              <w:pStyle w:val="TableContents"/>
              <w:spacing w:before="0" w:after="283"/>
              <w:rPr/>
            </w:pPr>
            <w:r>
              <w:rPr/>
              <w:t> </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(2,195,411</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Corporate tax rate</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tax recovery</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(1,561,690</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(768,579</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auto" w:val="clear"/>
            <w:tcMar>
              <w:top w:w="0"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resulting from:</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Permanent differences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377,529</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232,591</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Other items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(3,908</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(3,908</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 in enacted tax rates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914,482</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Change in valuation allowance</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1,188,069</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(374,586</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recovery</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0"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1" w:name="PGBRK40"/>
      <w:bookmarkStart w:id="432" w:name="PGBRK40"/>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 w:name="FTR40"/>
      <w:bookmarkStart w:id="434" w:name="FTR40"/>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5" w:name="GLFTR40"/>
      <w:bookmarkEnd w:id="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6" w:name="PN40"/>
      <w:bookmarkEnd w:id="436"/>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7" w:name="HDR40"/>
      <w:bookmarkStart w:id="438" w:name="HDR40"/>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9" w:name="GLHDR40"/>
      <w:bookmarkEnd w:id="4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deferred tax assets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7352"/>
        <w:gridCol w:w="108"/>
        <w:gridCol w:w="125"/>
        <w:gridCol w:w="1076"/>
        <w:gridCol w:w="113"/>
        <w:gridCol w:w="108"/>
        <w:gridCol w:w="125"/>
        <w:gridCol w:w="1076"/>
        <w:gridCol w:w="122"/>
      </w:tblGrid>
      <w:tr>
        <w:trPr/>
        <w:tc>
          <w:tcPr>
            <w:tcW w:w="7352" w:type="dxa"/>
            <w:tcBorders>
              <w:top w:val="single" w:sz="12" w:space="0" w:color="000000"/>
            </w:tcBorders>
            <w:shd w:fill="auto" w:val="clear"/>
            <w:vAlign w:val="bottom"/>
          </w:tcPr>
          <w:p>
            <w:pPr>
              <w:pStyle w:val="TableContents"/>
              <w:spacing w:before="0" w:after="283"/>
              <w:rPr/>
            </w:pPr>
            <w:r>
              <w:rPr/>
              <w:t xml:space="preserve">  </w:t>
            </w:r>
          </w:p>
        </w:tc>
        <w:tc>
          <w:tcPr>
            <w:tcW w:w="108"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13" w:type="dxa"/>
            <w:tcBorders>
              <w:top w:val="single" w:sz="12" w:space="0" w:color="000000"/>
            </w:tcBorders>
            <w:shd w:fill="auto" w:val="clear"/>
            <w:vAlign w:val="bottom"/>
          </w:tcPr>
          <w:p>
            <w:pPr>
              <w:pStyle w:val="TableContents"/>
              <w:spacing w:before="0" w:after="283"/>
              <w:jc w:val="left"/>
              <w:rPr/>
            </w:pPr>
            <w:r>
              <w:rPr/>
              <w:t> </w:t>
            </w:r>
          </w:p>
        </w:tc>
        <w:tc>
          <w:tcPr>
            <w:tcW w:w="108"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22" w:type="dxa"/>
            <w:tcBorders>
              <w:top w:val="single" w:sz="12" w:space="0" w:color="000000"/>
            </w:tcBorders>
            <w:shd w:fill="auto" w:val="clear"/>
            <w:vAlign w:val="bottom"/>
          </w:tcPr>
          <w:p>
            <w:pPr>
              <w:pStyle w:val="TableContents"/>
              <w:spacing w:before="0" w:after="283"/>
              <w:jc w:val="left"/>
              <w:rPr/>
            </w:pPr>
            <w:r>
              <w:rPr/>
              <w:t> </w:t>
            </w:r>
          </w:p>
        </w:tc>
      </w:tr>
      <w:tr>
        <w:trPr/>
        <w:tc>
          <w:tcPr>
            <w:tcW w:w="735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283"/>
              <w:rPr/>
            </w:pPr>
            <w:r>
              <w:rPr/>
              <w:t xml:space="preserve">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 option expense</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2,333,683</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1,601,518</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carry-forwards and tax pools</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3,966,692</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3,510,788</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Valuation allowance</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(6,300,375</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(5,112,306</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52"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income tax assets</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the criteria for recognizing future income tax assets have not been met due to the uncertainty of realization, a valuation allowance of 100% has been recorded for the current and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for the US entities within the consolidated group of companies. Canadian corporate tax returns to the end of 2007 have been filed.  Both taxing authorities prescribe penalties for failing to file certain tax returns and supplemental disclosures.  Upon filing and/or review there could be penalties and interest assessed.  Such penalties vary by jurisdiction and by assessing practices and authorities.  As the Company has incurred losses since inception anticipated risk for exposure to penalties for income tax liability is determined to be low.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has considered the likelihood and significance of possible penalties associated with its current and intended filing positions and has determined, based on their assessment, that such penalties, if any, would not be expected to be material (refer to Note 10).</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9:  SUPPLEMENTAL CASH FLOW INFORMATION AND</w:t>
      </w:r>
    </w:p>
    <w:p>
      <w:pPr>
        <w:pStyle w:val="TextBody"/>
        <w:spacing w:before="0" w:after="0"/>
        <w:ind w:left="900" w:right="0" w:hanging="0"/>
        <w:jc w:val="left"/>
        <w:rPr>
          <w:rFonts w:ascii="Times New Roman" w:hAnsi="Times New Roman"/>
          <w:b/>
          <w:sz w:val="20"/>
        </w:rPr>
      </w:pPr>
      <w:bookmarkStart w:id="440" w:name="TAB11"/>
      <w:bookmarkEnd w:id="440"/>
      <w:r>
        <w:rPr>
          <w:rFonts w:ascii="Times New Roman" w:hAnsi="Times New Roman"/>
          <w:b/>
          <w:sz w:val="20"/>
        </w:rPr>
        <w:t>NON-CASH INVESTING AND FINANCING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disclosed in Notes 5, 6 and 7 effective June 4, 2009, the Company completed a debt conversion and assignment transaction resulting in the issuance 33,812,065 common shares in conjunction with the retirement of $3,181,207 (2008 - $Nil) in accounts payable and accrued liabilities, notes payable and related party debt.  Accordingly, the Company recorded a cumulative net gain on the settlement of debt of $972,370 (2008 - $Nil) related to the transaction.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disclosed in Note 4 effective September 30, 2009, the Company completed the settlement of research obligations of $248,938 (2008 - $Nil) for cash and a stock issuance obligation with a cumulative fair value of $269,267 (2008 - $Nil) resulting in a loss of $20,329. Also, effective September 30, 2009, the Company recorded a gain on the settlement of outstanding legal fees of $9,014.  The aggregate impact of these two settlements  was a loss of $11,314.</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prepaid portion of shares issued in exchange for public relations and consulting services amounted to $214,501 (2008 - $Nil).</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6657"/>
        <w:gridCol w:w="131"/>
        <w:gridCol w:w="506"/>
        <w:gridCol w:w="998"/>
        <w:gridCol w:w="131"/>
        <w:gridCol w:w="131"/>
        <w:gridCol w:w="506"/>
        <w:gridCol w:w="998"/>
        <w:gridCol w:w="147"/>
      </w:tblGrid>
      <w:tr>
        <w:trPr/>
        <w:tc>
          <w:tcPr>
            <w:tcW w:w="6657" w:type="dxa"/>
            <w:tcBorders>
              <w:top w:val="single" w:sz="12" w:space="0" w:color="000000"/>
            </w:tcBorders>
            <w:shd w:fill="auto" w:val="clear"/>
            <w:vAlign w:val="bottom"/>
          </w:tcPr>
          <w:p>
            <w:pPr>
              <w:pStyle w:val="TableContents"/>
              <w:spacing w:before="0" w:after="283"/>
              <w:rPr/>
            </w:pPr>
            <w:r>
              <w:rPr/>
              <w:t xml:space="preserve">  </w:t>
            </w:r>
          </w:p>
        </w:tc>
        <w:tc>
          <w:tcPr>
            <w:tcW w:w="131" w:type="dxa"/>
            <w:tcBorders>
              <w:top w:val="single" w:sz="12" w:space="0" w:color="000000"/>
            </w:tcBorders>
            <w:shd w:fill="auto" w:val="clear"/>
            <w:vAlign w:val="bottom"/>
          </w:tcPr>
          <w:p>
            <w:pPr>
              <w:pStyle w:val="TableContents"/>
              <w:spacing w:before="0" w:after="283"/>
              <w:rPr/>
            </w:pPr>
            <w:r>
              <w:rPr/>
              <w:t> </w:t>
            </w:r>
          </w:p>
        </w:tc>
        <w:tc>
          <w:tcPr>
            <w:tcW w:w="1504" w:type="dxa"/>
            <w:gridSpan w:val="2"/>
            <w:tcBorders>
              <w:top w:val="single" w:sz="12" w:space="0" w:color="000000"/>
            </w:tcBorders>
            <w:shd w:fill="auto" w:val="clear"/>
            <w:vAlign w:val="bottom"/>
          </w:tcPr>
          <w:p>
            <w:pPr>
              <w:pStyle w:val="TableContents"/>
              <w:spacing w:before="0" w:after="283"/>
              <w:rPr/>
            </w:pPr>
            <w:r>
              <w:rPr/>
              <w:t> </w:t>
            </w:r>
          </w:p>
        </w:tc>
        <w:tc>
          <w:tcPr>
            <w:tcW w:w="131" w:type="dxa"/>
            <w:tcBorders>
              <w:top w:val="single" w:sz="12" w:space="0" w:color="000000"/>
            </w:tcBorders>
            <w:shd w:fill="auto" w:val="clear"/>
            <w:vAlign w:val="bottom"/>
          </w:tcPr>
          <w:p>
            <w:pPr>
              <w:pStyle w:val="TableContents"/>
              <w:spacing w:before="0" w:after="283"/>
              <w:jc w:val="left"/>
              <w:rPr/>
            </w:pPr>
            <w:r>
              <w:rPr/>
              <w:t> </w:t>
            </w:r>
          </w:p>
        </w:tc>
        <w:tc>
          <w:tcPr>
            <w:tcW w:w="131" w:type="dxa"/>
            <w:tcBorders>
              <w:top w:val="single" w:sz="12" w:space="0" w:color="000000"/>
            </w:tcBorders>
            <w:shd w:fill="auto" w:val="clear"/>
            <w:vAlign w:val="bottom"/>
          </w:tcPr>
          <w:p>
            <w:pPr>
              <w:pStyle w:val="TableContents"/>
              <w:spacing w:before="0" w:after="283"/>
              <w:rPr/>
            </w:pPr>
            <w:r>
              <w:rPr/>
              <w:t> </w:t>
            </w:r>
          </w:p>
        </w:tc>
        <w:tc>
          <w:tcPr>
            <w:tcW w:w="1504" w:type="dxa"/>
            <w:gridSpan w:val="2"/>
            <w:tcBorders>
              <w:top w:val="single" w:sz="12" w:space="0" w:color="000000"/>
            </w:tcBorders>
            <w:shd w:fill="auto" w:val="clear"/>
            <w:vAlign w:val="bottom"/>
          </w:tcPr>
          <w:p>
            <w:pPr>
              <w:pStyle w:val="TableContents"/>
              <w:spacing w:before="0" w:after="283"/>
              <w:rPr/>
            </w:pPr>
            <w:r>
              <w:rPr/>
              <w:t> </w:t>
            </w:r>
          </w:p>
        </w:tc>
        <w:tc>
          <w:tcPr>
            <w:tcW w:w="147" w:type="dxa"/>
            <w:tcBorders>
              <w:top w:val="single" w:sz="12" w:space="0" w:color="000000"/>
            </w:tcBorders>
            <w:shd w:fill="auto" w:val="clear"/>
            <w:vAlign w:val="bottom"/>
          </w:tcPr>
          <w:p>
            <w:pPr>
              <w:pStyle w:val="TableContents"/>
              <w:spacing w:before="0" w:after="283"/>
              <w:jc w:val="left"/>
              <w:rPr/>
            </w:pPr>
            <w:r>
              <w:rPr/>
              <w:t> </w:t>
            </w:r>
          </w:p>
        </w:tc>
      </w:tr>
      <w:tr>
        <w:trPr/>
        <w:tc>
          <w:tcPr>
            <w:tcW w:w="665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47" w:type="dxa"/>
            <w:tcBorders/>
            <w:shd w:fill="auto" w:val="clear"/>
            <w:tcMar>
              <w:top w:w="0" w:type="dxa"/>
            </w:tcMar>
            <w:vAlign w:val="bottom"/>
          </w:tcPr>
          <w:p>
            <w:pPr>
              <w:pStyle w:val="TableContents"/>
              <w:spacing w:before="0" w:after="283"/>
              <w:jc w:val="left"/>
              <w:rPr/>
            </w:pPr>
            <w:r>
              <w:rPr/>
              <w:t> </w:t>
            </w:r>
          </w:p>
        </w:tc>
      </w:tr>
      <w:tr>
        <w:trPr/>
        <w:tc>
          <w:tcPr>
            <w:tcW w:w="6657" w:type="dxa"/>
            <w:tcBorders/>
            <w:shd w:fill="auto" w:val="clear"/>
            <w:tcMar>
              <w:top w:w="0" w:type="dxa"/>
            </w:tcMar>
            <w:vAlign w:val="bottom"/>
          </w:tcPr>
          <w:p>
            <w:pPr>
              <w:pStyle w:val="TableContents"/>
              <w:spacing w:before="0" w:after="283"/>
              <w:rPr/>
            </w:pPr>
            <w:r>
              <w:rPr/>
              <w:t xml:space="preserve">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shd w:fill="auto" w:val="clear"/>
            <w:tcMar>
              <w:top w:w="0" w:type="dxa"/>
            </w:tcMar>
            <w:vAlign w:val="bottom"/>
          </w:tcPr>
          <w:p>
            <w:pPr>
              <w:pStyle w:val="TableContents"/>
              <w:spacing w:before="0" w:after="283"/>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shd w:fill="auto" w:val="clear"/>
            <w:tcMar>
              <w:top w:w="0" w:type="dxa"/>
            </w:tcMar>
            <w:vAlign w:val="bottom"/>
          </w:tcPr>
          <w:p>
            <w:pPr>
              <w:pStyle w:val="TableContents"/>
              <w:spacing w:before="0" w:after="283"/>
              <w:rPr/>
            </w:pPr>
            <w:r>
              <w:rPr/>
              <w:t> </w:t>
            </w:r>
          </w:p>
        </w:tc>
        <w:tc>
          <w:tcPr>
            <w:tcW w:w="147" w:type="dxa"/>
            <w:tcBorders/>
            <w:shd w:fill="auto" w:val="clear"/>
            <w:tcMar>
              <w:top w:w="0" w:type="dxa"/>
            </w:tcMar>
            <w:vAlign w:val="bottom"/>
          </w:tcPr>
          <w:p>
            <w:pPr>
              <w:pStyle w:val="TableContents"/>
              <w:spacing w:before="0" w:after="283"/>
              <w:jc w:val="left"/>
              <w:rPr/>
            </w:pPr>
            <w:r>
              <w:rPr/>
              <w:t> </w:t>
            </w:r>
          </w:p>
        </w:tc>
      </w:tr>
      <w:tr>
        <w:trPr/>
        <w:tc>
          <w:tcPr>
            <w:tcW w:w="665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 in cash</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auto" w:val="clear"/>
            <w:tcMar>
              <w:top w:w="0" w:type="dxa"/>
            </w:tcMar>
            <w:vAlign w:val="bottom"/>
          </w:tcPr>
          <w:p>
            <w:pPr>
              <w:pStyle w:val="TableContents"/>
              <w:spacing w:before="0" w:after="283"/>
              <w:jc w:val="left"/>
              <w:rPr/>
            </w:pPr>
            <w:r>
              <w:rPr/>
              <w:t> </w:t>
            </w:r>
          </w:p>
        </w:tc>
      </w:tr>
      <w:tr>
        <w:trPr/>
        <w:tc>
          <w:tcPr>
            <w:tcW w:w="66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10:  CONTINGENCIES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(refer to Note 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1" w:name="PGBRK41"/>
      <w:bookmarkStart w:id="442" w:name="PGBRK41"/>
      <w:bookmarkEnd w:id="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3" w:name="FTR41"/>
      <w:bookmarkStart w:id="444" w:name="FTR41"/>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5" w:name="GLFTR41"/>
      <w:bookmarkEnd w:id="4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6" w:name="PN41"/>
      <w:bookmarkEnd w:id="446"/>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7" w:name="HDR41"/>
      <w:bookmarkStart w:id="448" w:name="HDR41"/>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9" w:name="GLHDR41"/>
      <w:bookmarkEnd w:id="4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jc w:val="both"/>
        <w:rPr>
          <w:rFonts w:ascii="Times New Roman" w:hAnsi="Times New Roman"/>
          <w:sz w:val="20"/>
        </w:rPr>
      </w:pPr>
      <w:r>
        <w:rPr>
          <w:rFonts w:ascii="Times New Roman" w:hAnsi="Times New Roman"/>
          <w:sz w:val="20"/>
        </w:rPr>
        <w:t>The Company signed an agreement effective October 1, 2008 with an arm’s length consulting firm in the United States, Dusford Overseas Management (“Dusford”) to assist in strategic planning, debt consolidation and negotiation, strategic partnering, mergers, acquisition and near and long term financing.  Pursuant to the Agreement the consulting firm is compensated $10,000 a month for the term of the Agreement (36 months with mutual cancellation clauses upon notice).  Continuation of the agreement is subject to the deliverables outlined therein including strategic planning, successful debt consolidation and restructuring and funding of at least $750,000.  After certain restructuring efforts have taken place, the consulting firm would be provided with a mobilization fee of $75,000 (settled), issued 2,000,000 common shares and three tranches of warrants, the first priced at the market when issued and the subsequent warrants at 50% and 100% premiums, respectively, to the first set of warrants.  As at December 31, 2009, the monthly and mobilization fees through June 30, 2009 have been converted as part of the debt settlement transaction, monthly fees from July 1, 2009 through September 30, 2009 have been paid, monthly fees from October 1, 2009 through December 31, 2009 have been accrued, the 2,000,000 shares were issued as a result of the June 4, 2009 debt conversion and assignment transaction (refer to Note 7).  The warrants have not been issued.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 (refer to Note 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17, 2009, the Company entered into a six month consulting services agreement.  Pursuant to the terms of the agreement, the Company agreed to: (i) issue 250,000 shares of its common stock, (ii) issue 250,000 share purchase warrants to acquire an equivalent number of common shares of the Company, at an exercise price of $0.50 per share and for an exercise period of up to five years from the issuance date, and (iii) issue 250,000 share purchase warrants to acquire an equivalent number of common shares of the Company, at an exercise price of $0.60 per share for an exercise period of up to five years from the issuance date.  The fair value of these warrants was determined to be $255,000 using the Black-Scholes option pricing model (refer to Note 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17, 2009, the Company entered into a second six month consulting services agreement.  Pursuant to the terms of the agreement, the Company agreed to issue 100,000 shares of its restricted common stock.  At the time of entry into the agreement, the market price of shares was $0.52 per share and the estimated fair value of $52,000 was recorded as an issuance obligation.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17, 2009, the Company entered into a third six month consulting services agreement.  Pursuant to the terms of the agreement, the Company agreed to issue 100,000 shares of its restricted common stock.  At the time of entry into the agreement, the market price of shares was $0.52 per share and the estimated fair value of $52,000 was recorded as an issuance obligation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Operating Lease</w:t>
      </w:r>
    </w:p>
    <w:p>
      <w:pPr>
        <w:pStyle w:val="TextBody"/>
        <w:spacing w:before="0" w:after="0"/>
        <w:ind w:left="0" w:right="0" w:hanging="0"/>
        <w:jc w:val="both"/>
        <w:rPr>
          <w:rFonts w:ascii="Times New Roman" w:hAnsi="Times New Roman"/>
          <w:sz w:val="20"/>
        </w:rPr>
      </w:pPr>
      <w:r>
        <w:rPr>
          <w:rFonts w:ascii="Times New Roman" w:hAnsi="Times New Roman"/>
          <w:sz w:val="20"/>
        </w:rPr>
        <w:t>On June 22, 2009, the Company entered into a one year office lease in Bellevue, Washington commencing on July 1, 2009.  The terms of the lease require the Company to make minimum monthly payments of $2,654 per month.</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June 30, 2010.  The aggregate minimum annual payments for the year ending December 31 is as follows:</w:t>
      </w:r>
    </w:p>
    <w:p>
      <w:pPr>
        <w:pStyle w:val="TextBody"/>
        <w:spacing w:before="0" w:after="0"/>
        <w:ind w:left="0" w:right="0" w:hanging="0"/>
        <w:jc w:val="both"/>
        <w:rPr/>
      </w:pPr>
      <w:r>
        <w:rPr/>
        <w:t> </w:t>
      </w:r>
    </w:p>
    <w:p>
      <w:pPr>
        <w:pStyle w:val="TextBody"/>
        <w:spacing w:before="0" w:after="0"/>
        <w:ind w:left="2160" w:right="0" w:hanging="0"/>
        <w:jc w:val="left"/>
        <w:rPr>
          <w:rFonts w:ascii="Times New Roman" w:hAnsi="Times New Roman"/>
          <w:sz w:val="20"/>
        </w:rPr>
      </w:pPr>
      <w:r>
        <w:rPr>
          <w:rFonts w:ascii="Times New Roman" w:hAnsi="Times New Roman"/>
          <w:sz w:val="20"/>
        </w:rPr>
        <w:t>2010                                                      $87,424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0" w:name="PGBRK42"/>
      <w:bookmarkStart w:id="451" w:name="PGBRK42"/>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 w:name="FTR42"/>
      <w:bookmarkStart w:id="453" w:name="FTR42"/>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4" w:name="GLFTR42"/>
      <w:bookmarkEnd w:id="4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5" w:name="PN42"/>
      <w:bookmarkEnd w:id="455"/>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 w:name="HDR42"/>
      <w:bookmarkStart w:id="457" w:name="HDR42"/>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8" w:name="GLHDR42"/>
      <w:bookmarkEnd w:id="4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11:  SUBSEQUENT EVENTS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January 19, 2010, the Company entered into a one year consulting services agreement.  Pursuant to the terms of the agreement, the Company issued (i) 600,000 share purchase warrants to acquire an equivalent number of common shares of the Company, at an exercise price of $0.50 per share for an exercise period of up to three years from the issuance date, and (ii) 600,000 share purchase warrants to acquire an equivalent number of common shares of the Company, at an exercise price of $0.60 per share and for an exercise period of up to three years from the issuance date.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January 22, 2010, the Company and Dusford agreed to terminate the consulting agreement (Note 10). Dusford has released the company from any and all obligations under the contract including the 2,250,000 unissued warrants that have now been cancelled and any unpaid accrued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February 8, 2010, the Company entered into a debt settlement agreement for an outstanding amount of $100,000 which was settled through the issuance of 750,000 share purchase warrants to acquire an equivalent number of common shares of the Company, at an exercise price of $0.50 per share and for an exercise period of up to five years from the issuance date.</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9" w:name="PGBRK43"/>
      <w:bookmarkStart w:id="460" w:name="PGBRK43"/>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 w:name="FTR43"/>
      <w:bookmarkStart w:id="462" w:name="FTR43"/>
      <w:bookmarkEnd w:id="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3" w:name="GLFTR43"/>
      <w:bookmarkEnd w:id="4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4" w:name="PN43"/>
      <w:bookmarkEnd w:id="464"/>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5" w:name="HDR43"/>
      <w:bookmarkStart w:id="466" w:name="HDR43"/>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7" w:name="GLHDR43"/>
      <w:bookmarkEnd w:id="4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468" w:name="hangingindent34"/>
      <w:bookmarkStart w:id="469" w:name="hangingindent34"/>
      <w:bookmarkEnd w:id="469"/>
    </w:p>
    <w:tbl>
      <w:tblPr>
        <w:tblW w:w="5000" w:type="pct"/>
        <w:jc w:val="center"/>
        <w:tblInd w:w="0" w:type="dxa"/>
        <w:tblCellMar>
          <w:top w:w="0" w:type="dxa"/>
          <w:left w:w="0" w:type="dxa"/>
          <w:bottom w:w="0" w:type="dxa"/>
          <w:right w:w="0" w:type="dxa"/>
        </w:tblCellMar>
      </w:tblPr>
      <w:tblGrid>
        <w:gridCol w:w="724"/>
        <w:gridCol w:w="9481"/>
      </w:tblGrid>
      <w:tr>
        <w:trPr/>
        <w:tc>
          <w:tcPr>
            <w:tcW w:w="724"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w:t>
            </w:r>
          </w:p>
        </w:tc>
        <w:tc>
          <w:tcPr>
            <w:tcW w:w="94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CHANGES IN AND DISAGREEMENTS WITH ACCOUNTANTS ON ACCOUNTING AND FINANCIAL DISCLOSURE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had no disagreements with our principal independent accountants.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0" w:name="hangingindent35"/>
      <w:bookmarkStart w:id="471" w:name="hangingindent35"/>
      <w:bookmarkEnd w:id="471"/>
    </w:p>
    <w:tbl>
      <w:tblPr>
        <w:tblW w:w="5000" w:type="pct"/>
        <w:jc w:val="center"/>
        <w:tblInd w:w="0" w:type="dxa"/>
        <w:tblCellMar>
          <w:top w:w="0" w:type="dxa"/>
          <w:left w:w="0" w:type="dxa"/>
          <w:bottom w:w="0" w:type="dxa"/>
          <w:right w:w="0" w:type="dxa"/>
        </w:tblCellMar>
      </w:tblPr>
      <w:tblGrid>
        <w:gridCol w:w="2356"/>
        <w:gridCol w:w="7849"/>
      </w:tblGrid>
      <w:tr>
        <w:trPr/>
        <w:tc>
          <w:tcPr>
            <w:tcW w:w="235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9A.</w:t>
            </w:r>
          </w:p>
        </w:tc>
        <w:tc>
          <w:tcPr>
            <w:tcW w:w="784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CONTROLS AND 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both"/>
        <w:rPr>
          <w:rFonts w:ascii="Times New Roman" w:hAnsi="Times New Roman"/>
          <w:sz w:val="20"/>
        </w:rPr>
      </w:pPr>
      <w:r>
        <w:rPr>
          <w:rFonts w:ascii="Times New Roman" w:hAnsi="Times New Roman"/>
          <w:sz w:val="20"/>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Principal Executive Officer and Principal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2009,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of the Treadway Commission ("COSO") and SEC guidance on conducting such assessments.  Based on that evaluation, they concluded that, as at December 31, 2009 such internal controls and procedures were not effective to detect the inappropriate application of US GAAP rules as more fully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a lack of independent members on the current audit committee and a lack of outside directors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none of the material weaknesses set forth above had a material adverse effect on the Company's financial results for the fiscal year ended December 31, 2009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2" w:name="PGBRK44"/>
      <w:bookmarkStart w:id="473" w:name="PGBRK44"/>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 w:name="FTR44"/>
      <w:bookmarkStart w:id="475" w:name="FTR44"/>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6" w:name="GLFTR44"/>
      <w:bookmarkEnd w:id="4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7" w:name="PN44"/>
      <w:bookmarkEnd w:id="477"/>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 w:name="HDR44"/>
      <w:bookmarkStart w:id="479" w:name="HDR44"/>
      <w:bookmarkEnd w:id="4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0" w:name="GLHDR44"/>
      <w:bookmarkEnd w:id="4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committed to improving our financial organization.  As part of this commitment, we will continue to enhance our internal control over financial reporting by: i) expanding our personnel, ii) improving segregated duties consistent with control objectives, iii) appointing one or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appointment of one or more outside directors, who shall be appointed to a fully functioning audit committee, will remedy the ineffective audit committee and a lack of outside directors on our Board.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does not include an attestation report of the Company’s registered public accounting firm regarding internal controls over financial reporting.  Management’s report was not subject to attestation by the Company’s registered public accounting firm pursuant to the temporary rules of the SEC that permit the Company to provide only management’s report in this annual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both"/>
        <w:rPr>
          <w:rFonts w:ascii="Times New Roman" w:hAnsi="Times New Roman"/>
          <w:sz w:val="20"/>
        </w:rPr>
      </w:pPr>
      <w:r>
        <w:rPr>
          <w:rFonts w:ascii="Times New Roman" w:hAnsi="Times New Roman"/>
          <w:sz w:val="20"/>
        </w:rPr>
        <w:t>There have been no changes in our internal control over financial reporting during our fourth fiscal quarter of our fiscal year ended December 31, 2009 that have materially affected, or are reasonably likely to materially affect, our internal control over financial reporting.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1" w:name="hangingindent36"/>
      <w:bookmarkStart w:id="482" w:name="hangingindent36"/>
      <w:bookmarkEnd w:id="482"/>
    </w:p>
    <w:tbl>
      <w:tblPr>
        <w:tblW w:w="5000" w:type="pct"/>
        <w:jc w:val="center"/>
        <w:tblInd w:w="0" w:type="dxa"/>
        <w:tblCellMar>
          <w:top w:w="0" w:type="dxa"/>
          <w:left w:w="0" w:type="dxa"/>
          <w:bottom w:w="0" w:type="dxa"/>
          <w:right w:w="0" w:type="dxa"/>
        </w:tblCellMar>
      </w:tblPr>
      <w:tblGrid>
        <w:gridCol w:w="2908"/>
        <w:gridCol w:w="7297"/>
      </w:tblGrid>
      <w:tr>
        <w:trPr/>
        <w:tc>
          <w:tcPr>
            <w:tcW w:w="290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9B.</w:t>
            </w:r>
          </w:p>
        </w:tc>
        <w:tc>
          <w:tcPr>
            <w:tcW w:w="72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OTHER INFORMATION</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3" w:name="hangingindent37"/>
      <w:bookmarkStart w:id="484" w:name="hangingindent37"/>
      <w:bookmarkEnd w:id="484"/>
    </w:p>
    <w:tbl>
      <w:tblPr>
        <w:tblW w:w="5000" w:type="pct"/>
        <w:jc w:val="center"/>
        <w:tblInd w:w="0" w:type="dxa"/>
        <w:tblCellMar>
          <w:top w:w="0" w:type="dxa"/>
          <w:left w:w="0" w:type="dxa"/>
          <w:bottom w:w="0" w:type="dxa"/>
          <w:right w:w="0" w:type="dxa"/>
        </w:tblCellMar>
      </w:tblPr>
      <w:tblGrid>
        <w:gridCol w:w="1162"/>
        <w:gridCol w:w="9043"/>
      </w:tblGrid>
      <w:tr>
        <w:trPr/>
        <w:tc>
          <w:tcPr>
            <w:tcW w:w="1162"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10.</w:t>
            </w:r>
          </w:p>
        </w:tc>
        <w:tc>
          <w:tcPr>
            <w:tcW w:w="904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DIRECTORS, EXECUTIVE OFFICERS AND CORPORATE GOVERNANCE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directors and executive officers and their respective ages as of the date of this annual report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572"/>
        <w:gridCol w:w="2294"/>
        <w:gridCol w:w="4339"/>
      </w:tblGrid>
      <w:tr>
        <w:trPr/>
        <w:tc>
          <w:tcPr>
            <w:tcW w:w="3572"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229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4339"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 with the Company</w:t>
            </w:r>
          </w:p>
        </w:tc>
      </w:tr>
      <w:tr>
        <w:trPr/>
        <w:tc>
          <w:tcPr>
            <w:tcW w:w="3572"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2294"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c>
          <w:tcPr>
            <w:tcW w:w="433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 Principal Executive Officer</w:t>
            </w:r>
          </w:p>
        </w:tc>
      </w:tr>
      <w:tr>
        <w:trPr/>
        <w:tc>
          <w:tcPr>
            <w:tcW w:w="3572"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2294" w:type="dxa"/>
            <w:tcBorders/>
            <w:shd w:fill="auto" w:val="clear"/>
            <w:tcMar>
              <w:top w:w="0" w:type="dxa"/>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57</w:t>
            </w:r>
          </w:p>
        </w:tc>
        <w:tc>
          <w:tcPr>
            <w:tcW w:w="433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Secretary, Treasurer, Chief Financial Officer, Principal Accounting Officer and a Director</w:t>
            </w:r>
          </w:p>
        </w:tc>
      </w:tr>
      <w:tr>
        <w:trPr/>
        <w:tc>
          <w:tcPr>
            <w:tcW w:w="3572"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2294" w:type="dxa"/>
            <w:tcBorders>
              <w:bottom w:val="double" w:sz="8"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37</w:t>
            </w:r>
          </w:p>
        </w:tc>
        <w:tc>
          <w:tcPr>
            <w:tcW w:w="433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a Director</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describes the business experience of each of our directors and executive officers, including other directorships held in reporting companies: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5" w:name="PGBRK45"/>
      <w:bookmarkStart w:id="486" w:name="PGBRK45"/>
      <w:bookmarkEnd w:id="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7" w:name="FTR45"/>
      <w:bookmarkStart w:id="488" w:name="FTR45"/>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9" w:name="GLFTR45"/>
      <w:bookmarkEnd w:id="4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0" w:name="PN45"/>
      <w:bookmarkEnd w:id="490"/>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1" w:name="HDR45"/>
      <w:bookmarkStart w:id="492" w:name="HDR45"/>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3" w:name="GLHDR45"/>
      <w:bookmarkEnd w:id="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Glynn Wilson, Ph.D., Executive Chairman</w:t>
      </w:r>
    </w:p>
    <w:p>
      <w:pPr>
        <w:pStyle w:val="TextBody"/>
        <w:spacing w:before="0" w:after="0"/>
        <w:ind w:left="0" w:right="0" w:hanging="0"/>
        <w:jc w:val="both"/>
        <w:rPr>
          <w:rFonts w:ascii="Times New Roman" w:hAnsi="Times New Roman"/>
          <w:sz w:val="20"/>
        </w:rPr>
      </w:pPr>
      <w:r>
        <w:rPr>
          <w:rFonts w:ascii="Times New Roman" w:hAnsi="Times New Roman"/>
          <w:sz w:val="20"/>
        </w:rPr>
        <w:t>Dr. Wilson brings an extensive background of success in corporate management and product development with tenures in both major multinational pharmaceutical companies and start-up pharmaceutical/biotech organizations.  Dr. Wilson's former positions include Head of Drug Delivery at SmithKline Beecham Pharmaceuticals, Research Area Head in Advanced Drug Delivery at Ciba-Geigy Pharmaceuticals, and President and co-founder of Auriga Pharmaceuticals.  As Executive Vice President of R&amp;D at Tacora Corporation he was responsible for merging the Company with Access Pharmaceuticals.  He is a recognized leader in the development of drug delivery systems and has been involved in taking lead products &amp; technologies from concept to commercialization.  Glynn has a Ph.D. in Biochemistry and conducted medical research at The Rockefeller University, New York. He has been on the Board of TapImmune for 4 years.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Denis D Corin, President</w:t>
      </w:r>
    </w:p>
    <w:p>
      <w:pPr>
        <w:pStyle w:val="TextBody"/>
        <w:spacing w:before="0" w:after="0"/>
        <w:ind w:left="0" w:right="0" w:hanging="0"/>
        <w:jc w:val="both"/>
        <w:rPr>
          <w:rFonts w:ascii="Times New Roman" w:hAnsi="Times New Roman"/>
          <w:sz w:val="20"/>
        </w:rPr>
      </w:pPr>
      <w:r>
        <w:rPr>
          <w:rFonts w:ascii="Times New Roman" w:hAnsi="Times New Roman"/>
          <w:sz w:val="20"/>
        </w:rPr>
        <w:t>Denis Corin served as TapImmune’s President and CEO from November 2006 to July 2009.  He is a management consultant.  Mr. Corin has worked in large pharmaceutical (Novartis), diagnostic instrumentation companies (Beckman Coulter) as well as the small cap biotech arena (MIV Therapeutics).  He holds a double major Bachelors degree in Economics and Marketing from the University of Natal, South Africa.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Tracy A Moore, Chief Financial Officer</w:t>
      </w:r>
    </w:p>
    <w:p>
      <w:pPr>
        <w:pStyle w:val="TextBody"/>
        <w:spacing w:before="0" w:after="0"/>
        <w:ind w:left="0" w:right="0" w:hanging="0"/>
        <w:jc w:val="both"/>
        <w:rPr>
          <w:rFonts w:ascii="Times New Roman" w:hAnsi="Times New Roman"/>
          <w:sz w:val="20"/>
        </w:rPr>
      </w:pPr>
      <w:r>
        <w:rPr>
          <w:rFonts w:ascii="Times New Roman" w:hAnsi="Times New Roman"/>
          <w:sz w:val="20"/>
        </w:rPr>
        <w:t>Tracy A. Moore specializes in corporate finance matters, strategic planning and business planning services.  In addition to his consulting practice, he has owned and operated a variety of businesses.  He serves on boards of directors and advises boards on financing, business planning issues, mergers, acquisitions, divestitures, joint ventures and fund raising. Mr. Moore has provided corporate finance services to private, going public and publicly traded companies since 1990 in 15 countries.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Between 1976 and 1990, Mr. Moore worked for three international accounting firms in restructuring, consulting and audit positions.  Mr. Moore received a Bachelor of Commerce in Accounting and Management Information Systems from the University of British Columbia in 1976 and was admitted as a member of the Institute of Chartered Accountants in British Columbia in 1979 (and resigned in 2008).</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Term of Office</w:t>
      </w:r>
    </w:p>
    <w:p>
      <w:pPr>
        <w:pStyle w:val="TextBody"/>
        <w:spacing w:before="0" w:after="0"/>
        <w:ind w:left="0" w:right="0" w:hanging="0"/>
        <w:jc w:val="both"/>
        <w:rPr>
          <w:rFonts w:ascii="Times New Roman" w:hAnsi="Times New Roman"/>
          <w:sz w:val="20"/>
        </w:rPr>
      </w:pPr>
      <w:r>
        <w:rPr>
          <w:rFonts w:ascii="Times New Roman" w:hAnsi="Times New Roman"/>
          <w:sz w:val="20"/>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Significant Employees</w:t>
      </w:r>
    </w:p>
    <w:p>
      <w:pPr>
        <w:pStyle w:val="TextBody"/>
        <w:spacing w:before="0" w:after="0"/>
        <w:ind w:left="0" w:right="0" w:hanging="0"/>
        <w:jc w:val="both"/>
        <w:rPr>
          <w:rFonts w:ascii="Times New Roman" w:hAnsi="Times New Roman"/>
          <w:sz w:val="20"/>
        </w:rPr>
      </w:pPr>
      <w:r>
        <w:rPr>
          <w:rFonts w:ascii="Times New Roman" w:hAnsi="Times New Roman"/>
          <w:sz w:val="20"/>
        </w:rPr>
        <w:t>We have no significant employees other than our executive officers.</w:t>
      </w:r>
      <w:bookmarkStart w:id="494" w:name="directors"/>
      <w:bookmarkEnd w:id="494"/>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Committee</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has established an Audit Committee which functions pursuant to a written charter adopted by our Board of Directors in March 2004.  The members of our Audit Committee are Messrs. Moore and Corin, and Dr. Wilson.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has determined that our Audit Committee does not have a member that qualifies as an “audit committee financial expert” as defined in Item 401(e) of Regulation S-B.  Our Board of Directors believes that it is capable of analyzing and evaluating our financial statements and understanding internal controls and procedures for financial reporting and that retaining an independent director who would qualify as an “audit committee financial expert” would be overly costly and burdensome at this time.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5" w:name="PGBRK46"/>
      <w:bookmarkStart w:id="496" w:name="PGBRK46"/>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 w:name="FTR46"/>
      <w:bookmarkStart w:id="498" w:name="FTR46"/>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9" w:name="GLFTR46"/>
      <w:bookmarkEnd w:id="4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0" w:name="PN46"/>
      <w:bookmarkEnd w:id="500"/>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 w:name="HDR46"/>
      <w:bookmarkStart w:id="502" w:name="HDR46"/>
      <w:bookmarkEnd w:id="5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3" w:name="GLHDR46"/>
      <w:bookmarkEnd w:id="5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Involvement in Certain Legal Proceedings</w:t>
      </w:r>
    </w:p>
    <w:p>
      <w:pPr>
        <w:pStyle w:val="TextBody"/>
        <w:spacing w:before="0" w:after="0"/>
        <w:ind w:left="0" w:right="0" w:hanging="0"/>
        <w:jc w:val="both"/>
        <w:rPr>
          <w:rFonts w:ascii="Times New Roman" w:hAnsi="Times New Roman"/>
          <w:sz w:val="20"/>
        </w:rPr>
      </w:pPr>
      <w:r>
        <w:rPr>
          <w:rFonts w:ascii="Times New Roman" w:hAnsi="Times New Roman"/>
          <w:sz w:val="20"/>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Code of Conduct</w:t>
      </w:r>
    </w:p>
    <w:p>
      <w:pPr>
        <w:pStyle w:val="TextBody"/>
        <w:spacing w:before="0" w:after="0"/>
        <w:ind w:left="0" w:right="0" w:hanging="0"/>
        <w:jc w:val="both"/>
        <w:rPr>
          <w:rFonts w:ascii="Times New Roman" w:hAnsi="Times New Roman"/>
          <w:sz w:val="20"/>
        </w:rPr>
      </w:pPr>
      <w:r>
        <w:rPr>
          <w:rFonts w:ascii="Times New Roman" w:hAnsi="Times New Roman"/>
          <w:sz w:val="20"/>
        </w:rPr>
        <w:t>We have adopted a Code of Conduct policy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of Conduct can be viewed on our website at the following URL: http://www.tapimmune.com/investors/corporate_info/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Compliance with Section 16(a)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2009.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11.                      EXECUTIVE COMPENSATION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compensation paid to our executive officers for their services as executive officers during our fiscal years ended December 31, 2009 and December 31, 2008:</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Summary Compensation Table</w:t>
      </w:r>
    </w:p>
    <w:tbl>
      <w:tblPr>
        <w:tblW w:w="5000" w:type="pct"/>
        <w:jc w:val="left"/>
        <w:tblInd w:w="0" w:type="dxa"/>
        <w:tblCellMar>
          <w:top w:w="28" w:type="dxa"/>
          <w:left w:w="0" w:type="dxa"/>
          <w:bottom w:w="28" w:type="dxa"/>
          <w:right w:w="0" w:type="dxa"/>
        </w:tblCellMar>
      </w:tblPr>
      <w:tblGrid>
        <w:gridCol w:w="2408"/>
        <w:gridCol w:w="761"/>
        <w:gridCol w:w="1045"/>
        <w:gridCol w:w="1112"/>
        <w:gridCol w:w="1144"/>
        <w:gridCol w:w="1259"/>
        <w:gridCol w:w="1314"/>
        <w:gridCol w:w="1162"/>
      </w:tblGrid>
      <w:tr>
        <w:trPr/>
        <w:tc>
          <w:tcPr>
            <w:tcW w:w="2408"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Principal</w:t>
            </w:r>
          </w:p>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c>
          <w:tcPr>
            <w:tcW w:w="76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045"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4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259"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314"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6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40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76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45"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84,000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5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896,800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31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980,800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40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p>
            <w:pPr>
              <w:pStyle w:val="TableContents"/>
              <w:spacing w:before="0" w:after="0"/>
              <w:ind w:left="0" w:right="0" w:hanging="0"/>
              <w:jc w:val="left"/>
              <w:rPr>
                <w:rFonts w:ascii="times new roman" w:hAnsi="times new roman"/>
                <w:i/>
                <w:sz w:val="20"/>
              </w:rPr>
            </w:pPr>
            <w:r>
              <w:rPr>
                <w:rFonts w:ascii="times new roman" w:hAnsi="times new roman"/>
                <w:i/>
                <w:sz w:val="20"/>
              </w:rPr>
              <w:t>Secretary, Treasurer, CFO, Principal Accounting Officer and a director</w:t>
            </w:r>
          </w:p>
        </w:tc>
        <w:tc>
          <w:tcPr>
            <w:tcW w:w="76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45"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30,000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59"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480,000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314"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510,000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40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and a director</w:t>
            </w:r>
          </w:p>
        </w:tc>
        <w:tc>
          <w:tcPr>
            <w:tcW w:w="76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45"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138,600</w:t>
            </w:r>
          </w:p>
          <w:p>
            <w:pPr>
              <w:pStyle w:val="TableContents"/>
              <w:spacing w:before="0" w:after="0"/>
              <w:ind w:left="0" w:right="0" w:hanging="0"/>
              <w:jc w:val="center"/>
              <w:rPr>
                <w:rFonts w:ascii="times new roman" w:hAnsi="times new roman"/>
                <w:sz w:val="20"/>
              </w:rPr>
            </w:pPr>
            <w:r>
              <w:rPr>
                <w:rFonts w:ascii="times new roman" w:hAnsi="times new roman"/>
                <w:sz w:val="20"/>
              </w:rPr>
              <w:t>132,000</w:t>
            </w:r>
          </w:p>
        </w:tc>
        <w:tc>
          <w:tcPr>
            <w:tcW w:w="1112"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4"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59"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617,600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314"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62"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756,200</w:t>
            </w:r>
          </w:p>
          <w:p>
            <w:pPr>
              <w:pStyle w:val="TableContents"/>
              <w:spacing w:before="0" w:after="0"/>
              <w:ind w:left="0" w:right="0" w:hanging="0"/>
              <w:jc w:val="center"/>
              <w:rPr>
                <w:rFonts w:ascii="times new roman" w:hAnsi="times new roman"/>
                <w:sz w:val="20"/>
              </w:rPr>
            </w:pPr>
            <w:r>
              <w:rPr>
                <w:rFonts w:ascii="times new roman" w:hAnsi="times new roman"/>
                <w:sz w:val="20"/>
              </w:rPr>
              <w:t>132,000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amounts represent fees paid or accrued by us to the executive officers during the past year pursuant to various employment and consulting services agreements, as between us and the executive officers, which are described below.  Our executive officer are also reimbursed for any out-of-pocket expenses incurred in connection with corporate duties.  We presently have no pension, health, annuity, insurance, profit sharing or similar benefit plans.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4" w:name="PGBRK47"/>
      <w:bookmarkStart w:id="505" w:name="PGBRK47"/>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6" w:name="FTR47"/>
      <w:bookmarkStart w:id="507" w:name="FTR47"/>
      <w:bookmarkEnd w:id="5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8" w:name="GLFTR47"/>
      <w:bookmarkEnd w:id="5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9" w:name="PN47"/>
      <w:bookmarkEnd w:id="509"/>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0" w:name="HDR47"/>
      <w:bookmarkStart w:id="511" w:name="HDR47"/>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2" w:name="GLHDR47"/>
      <w:bookmarkEnd w:id="5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as at December 31, 2009 relating to outstanding equity awards for each Named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Outstanding Equity Awards at Year End Table</w:t>
      </w:r>
    </w:p>
    <w:tbl>
      <w:tblPr>
        <w:tblW w:w="5000" w:type="pct"/>
        <w:jc w:val="left"/>
        <w:tblInd w:w="0" w:type="dxa"/>
        <w:tblCellMar>
          <w:top w:w="28" w:type="dxa"/>
          <w:left w:w="0" w:type="dxa"/>
          <w:bottom w:w="28" w:type="dxa"/>
          <w:right w:w="0" w:type="dxa"/>
        </w:tblCellMar>
      </w:tblPr>
      <w:tblGrid>
        <w:gridCol w:w="3316"/>
        <w:gridCol w:w="1531"/>
        <w:gridCol w:w="1531"/>
        <w:gridCol w:w="1531"/>
        <w:gridCol w:w="1148"/>
        <w:gridCol w:w="1148"/>
      </w:tblGrid>
      <w:tr>
        <w:trPr/>
        <w:tc>
          <w:tcPr>
            <w:tcW w:w="331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53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(exerciseable)</w:t>
            </w:r>
          </w:p>
        </w:tc>
        <w:tc>
          <w:tcPr>
            <w:tcW w:w="153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(unexerciseable)</w:t>
            </w:r>
          </w:p>
        </w:tc>
        <w:tc>
          <w:tcPr>
            <w:tcW w:w="153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Unearned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14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14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331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40,000</w:t>
            </w:r>
          </w:p>
          <w:p>
            <w:pPr>
              <w:pStyle w:val="TableContents"/>
              <w:spacing w:before="0" w:after="0"/>
              <w:ind w:left="0" w:right="0" w:hanging="0"/>
              <w:jc w:val="center"/>
              <w:rPr>
                <w:rFonts w:ascii="times new roman" w:hAnsi="times new roman"/>
                <w:sz w:val="20"/>
              </w:rPr>
            </w:pPr>
            <w:r>
              <w:rPr>
                <w:rFonts w:ascii="times new roman" w:hAnsi="times new roman"/>
                <w:sz w:val="20"/>
              </w:rPr>
              <w:t>800,000</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800,000</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06/08/17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31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p>
            <w:pPr>
              <w:pStyle w:val="TableContents"/>
              <w:spacing w:before="0" w:after="0"/>
              <w:ind w:left="0" w:right="0" w:hanging="0"/>
              <w:jc w:val="left"/>
              <w:rPr>
                <w:rFonts w:ascii="times new roman" w:hAnsi="times new roman"/>
                <w:i/>
                <w:sz w:val="20"/>
              </w:rPr>
            </w:pPr>
            <w:r>
              <w:rPr>
                <w:rFonts w:ascii="times new roman" w:hAnsi="times new roman"/>
                <w:i/>
                <w:sz w:val="20"/>
              </w:rPr>
              <w:t>Secretary, Treasurer, CFO, Principal Accounting Officer and a director</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c>
          <w:tcPr>
            <w:tcW w:w="153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1148"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316"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and a director</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80,000</w:t>
            </w:r>
          </w:p>
          <w:p>
            <w:pPr>
              <w:pStyle w:val="TableContents"/>
              <w:spacing w:before="0" w:after="0"/>
              <w:ind w:left="0" w:right="0" w:hanging="0"/>
              <w:jc w:val="center"/>
              <w:rPr>
                <w:rFonts w:ascii="times new roman" w:hAnsi="times new roman"/>
                <w:sz w:val="20"/>
              </w:rPr>
            </w:pPr>
            <w:r>
              <w:rPr>
                <w:rFonts w:ascii="times new roman" w:hAnsi="times new roman"/>
                <w:sz w:val="20"/>
              </w:rPr>
              <w:t>550,000</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550,000</w:t>
            </w:r>
          </w:p>
        </w:tc>
        <w:tc>
          <w:tcPr>
            <w:tcW w:w="153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48"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$0.97</w:t>
            </w:r>
          </w:p>
          <w:p>
            <w:pPr>
              <w:pStyle w:val="TableContents"/>
              <w:spacing w:before="0" w:after="0"/>
              <w:ind w:left="0" w:right="0" w:hanging="0"/>
              <w:jc w:val="center"/>
              <w:rPr>
                <w:rFonts w:ascii="times new roman" w:hAnsi="times new roman"/>
                <w:sz w:val="20"/>
              </w:rPr>
            </w:pPr>
            <w:r>
              <w:rPr>
                <w:rFonts w:ascii="times new roman" w:hAnsi="times new roman"/>
                <w:sz w:val="20"/>
              </w:rPr>
              <w:t>$0.97</w:t>
            </w:r>
          </w:p>
        </w:tc>
        <w:tc>
          <w:tcPr>
            <w:tcW w:w="1148"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06/08/17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relating to compensation paid to our directors for their services as directors in the fiscal year ended December 31, 2009, and excludes compensation paid to our directors for their services as executive officers: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 Table</w:t>
      </w:r>
    </w:p>
    <w:tbl>
      <w:tblPr>
        <w:tblW w:w="5000" w:type="pct"/>
        <w:jc w:val="left"/>
        <w:tblInd w:w="0" w:type="dxa"/>
        <w:tblCellMar>
          <w:top w:w="28" w:type="dxa"/>
          <w:left w:w="0" w:type="dxa"/>
          <w:bottom w:w="28" w:type="dxa"/>
          <w:right w:w="0" w:type="dxa"/>
        </w:tblCellMar>
      </w:tblPr>
      <w:tblGrid>
        <w:gridCol w:w="2196"/>
        <w:gridCol w:w="905"/>
        <w:gridCol w:w="1421"/>
        <w:gridCol w:w="1420"/>
        <w:gridCol w:w="1421"/>
        <w:gridCol w:w="1421"/>
        <w:gridCol w:w="1421"/>
      </w:tblGrid>
      <w:tr>
        <w:trPr/>
        <w:tc>
          <w:tcPr>
            <w:tcW w:w="2196"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905"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w:t>
            </w:r>
          </w:p>
          <w:p>
            <w:pPr>
              <w:pStyle w:val="TableContents"/>
              <w:spacing w:before="0" w:after="0"/>
              <w:ind w:left="0" w:right="0" w:hanging="0"/>
              <w:jc w:val="center"/>
              <w:rPr>
                <w:rFonts w:ascii="times new roman" w:hAnsi="times new roman"/>
                <w:b/>
                <w:sz w:val="20"/>
              </w:rPr>
            </w:pPr>
            <w:r>
              <w:rPr>
                <w:rFonts w:ascii="times new roman" w:hAnsi="times new roman"/>
                <w:b/>
                <w:sz w:val="20"/>
              </w:rPr>
              <w:t>Earned or</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 in</w:t>
            </w:r>
          </w:p>
          <w:p>
            <w:pPr>
              <w:pStyle w:val="TableContents"/>
              <w:spacing w:before="0" w:after="0"/>
              <w:ind w:left="0" w:right="0" w:hanging="0"/>
              <w:jc w:val="center"/>
              <w:rPr>
                <w:rFonts w:ascii="times new roman" w:hAnsi="times new roman"/>
                <w:b/>
                <w:sz w:val="20"/>
              </w:rPr>
            </w:pPr>
            <w:r>
              <w:rPr>
                <w:rFonts w:ascii="times new roman" w:hAnsi="times new roman"/>
                <w:b/>
                <w:sz w:val="20"/>
              </w:rPr>
              <w:t>Cash</w:t>
            </w:r>
          </w:p>
        </w:tc>
        <w:tc>
          <w:tcPr>
            <w:tcW w:w="1420"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4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90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17,500</w:t>
            </w:r>
          </w:p>
          <w:p>
            <w:pPr>
              <w:pStyle w:val="TableContents"/>
              <w:spacing w:before="0" w:after="0"/>
              <w:ind w:left="0" w:right="0" w:hanging="0"/>
              <w:jc w:val="center"/>
              <w:rPr>
                <w:rFonts w:ascii="times new roman" w:hAnsi="times new roman"/>
                <w:sz w:val="20"/>
              </w:rPr>
            </w:pPr>
            <w:r>
              <w:rPr>
                <w:rFonts w:ascii="times new roman" w:hAnsi="times new roman"/>
                <w:sz w:val="20"/>
              </w:rPr>
              <w:t>42,000</w:t>
            </w:r>
          </w:p>
        </w:tc>
        <w:tc>
          <w:tcPr>
            <w:tcW w:w="1420"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17,500</w:t>
            </w:r>
          </w:p>
          <w:p>
            <w:pPr>
              <w:pStyle w:val="TableContents"/>
              <w:spacing w:before="0" w:after="0"/>
              <w:ind w:left="0" w:right="0" w:hanging="0"/>
              <w:jc w:val="center"/>
              <w:rPr>
                <w:rFonts w:ascii="times new roman" w:hAnsi="times new roman"/>
                <w:sz w:val="20"/>
              </w:rPr>
            </w:pPr>
            <w:r>
              <w:rPr>
                <w:rFonts w:ascii="times new roman" w:hAnsi="times new roman"/>
                <w:sz w:val="20"/>
              </w:rPr>
              <w:t>42,000</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90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0"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90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0"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196"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Alan Lindsay</w:t>
            </w:r>
          </w:p>
        </w:tc>
        <w:tc>
          <w:tcPr>
            <w:tcW w:w="90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25,000</w:t>
            </w:r>
          </w:p>
          <w:p>
            <w:pPr>
              <w:pStyle w:val="TableContents"/>
              <w:spacing w:before="0" w:after="0"/>
              <w:ind w:left="0" w:right="0" w:hanging="0"/>
              <w:jc w:val="center"/>
              <w:rPr>
                <w:rFonts w:ascii="times new roman" w:hAnsi="times new roman"/>
                <w:sz w:val="20"/>
              </w:rPr>
            </w:pPr>
            <w:r>
              <w:rPr>
                <w:rFonts w:ascii="times new roman" w:hAnsi="times new roman"/>
                <w:sz w:val="20"/>
              </w:rPr>
              <w:t>100,000</w:t>
            </w:r>
          </w:p>
        </w:tc>
        <w:tc>
          <w:tcPr>
            <w:tcW w:w="1420"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1,760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26,760</w:t>
            </w:r>
          </w:p>
          <w:p>
            <w:pPr>
              <w:pStyle w:val="TableContents"/>
              <w:spacing w:before="0" w:after="0"/>
              <w:ind w:left="0" w:right="0" w:hanging="0"/>
              <w:jc w:val="center"/>
              <w:rPr>
                <w:rFonts w:ascii="times new roman" w:hAnsi="times new roman"/>
                <w:sz w:val="20"/>
              </w:rPr>
            </w:pPr>
            <w:r>
              <w:rPr>
                <w:rFonts w:ascii="times new roman" w:hAnsi="times new roman"/>
                <w:sz w:val="20"/>
              </w:rPr>
              <w:t>100,000</w:t>
            </w:r>
          </w:p>
        </w:tc>
      </w:tr>
      <w:tr>
        <w:trPr/>
        <w:tc>
          <w:tcPr>
            <w:tcW w:w="2196"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Patrick A. McGowan</w:t>
            </w:r>
          </w:p>
        </w:tc>
        <w:tc>
          <w:tcPr>
            <w:tcW w:w="905"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7,142</w:t>
            </w:r>
          </w:p>
          <w:p>
            <w:pPr>
              <w:pStyle w:val="TableContents"/>
              <w:spacing w:before="0" w:after="0"/>
              <w:ind w:left="0" w:right="0" w:hanging="0"/>
              <w:jc w:val="center"/>
              <w:rPr>
                <w:rFonts w:ascii="times new roman" w:hAnsi="times new roman"/>
                <w:sz w:val="20"/>
              </w:rPr>
            </w:pPr>
            <w:r>
              <w:rPr>
                <w:rFonts w:ascii="times new roman" w:hAnsi="times new roman"/>
                <w:sz w:val="20"/>
              </w:rPr>
              <w:t>34,162</w:t>
            </w:r>
          </w:p>
        </w:tc>
        <w:tc>
          <w:tcPr>
            <w:tcW w:w="1420"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4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7,142</w:t>
            </w:r>
          </w:p>
          <w:p>
            <w:pPr>
              <w:pStyle w:val="TableContents"/>
              <w:spacing w:before="0" w:after="0"/>
              <w:ind w:left="0" w:right="0" w:hanging="0"/>
              <w:jc w:val="center"/>
              <w:rPr>
                <w:rFonts w:ascii="times new roman" w:hAnsi="times new roman"/>
                <w:sz w:val="20"/>
              </w:rPr>
            </w:pPr>
            <w:r>
              <w:rPr>
                <w:rFonts w:ascii="times new roman" w:hAnsi="times new roman"/>
                <w:sz w:val="20"/>
              </w:rPr>
              <w:t>34,162</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Employment, Consulting and Services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30, 2007, with an effective date of May 1, 2007, our Board of Directors approved an amended executive services agreement with Mr. Corin with a one year term with automatic annual renewal.  The amended agreement, provides for an increase in the month consulting fees to $10,000 USD per month through the term of the agreement, with annual increase of 10% and providing for the granting of an aggregate of not less than 1,180,000 stock options to acquire a similar number of our common shares at an exercise price of $0.97 per share for a period of not less than ten years from the date of grant as amended.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 compensation committee is comprised of Messrs. Moore and Corin, and Dr. Wilson.  All compensation is recommended and resolved by the compensation committee and board of directors.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3" w:name="PGBRK48"/>
      <w:bookmarkStart w:id="514" w:name="PGBRK48"/>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5" w:name="FTR48"/>
      <w:bookmarkStart w:id="516" w:name="FTR48"/>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7" w:name="GLFTR48"/>
      <w:bookmarkEnd w:id="5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8" w:name="PN48"/>
      <w:bookmarkEnd w:id="518"/>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 w:name="HDR48"/>
      <w:bookmarkStart w:id="520" w:name="HDR48"/>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1" w:name="GLHDR48"/>
      <w:bookmarkEnd w:id="5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22" w:name="hangingindent38"/>
      <w:bookmarkStart w:id="523" w:name="hangingindent38"/>
      <w:bookmarkEnd w:id="523"/>
    </w:p>
    <w:tbl>
      <w:tblPr>
        <w:tblW w:w="5000" w:type="pct"/>
        <w:jc w:val="center"/>
        <w:tblInd w:w="0" w:type="dxa"/>
        <w:tblCellMar>
          <w:top w:w="0" w:type="dxa"/>
          <w:left w:w="0" w:type="dxa"/>
          <w:bottom w:w="0" w:type="dxa"/>
          <w:right w:w="0" w:type="dxa"/>
        </w:tblCellMar>
      </w:tblPr>
      <w:tblGrid>
        <w:gridCol w:w="778"/>
        <w:gridCol w:w="9427"/>
      </w:tblGrid>
      <w:tr>
        <w:trPr/>
        <w:tc>
          <w:tcPr>
            <w:tcW w:w="77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12.</w:t>
            </w:r>
          </w:p>
        </w:tc>
        <w:tc>
          <w:tcPr>
            <w:tcW w:w="942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SECURITY OWNERSHIP OF CERTAIN BENEFICIAL OWNERS AND MANAGEMENT AND RELATED STOCKHOLDER MATTERS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800 Bellevue Way, NE, Suite 400, Bellevue, Washington, 98004.  Beneficial ownership, for purposes of this table, includes options to purchase common stock that are either currently exercisable or will be exercisable within 60 days of the date of this annual report.</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614"/>
        <w:gridCol w:w="2423"/>
        <w:gridCol w:w="2168"/>
      </w:tblGrid>
      <w:tr>
        <w:trPr/>
        <w:tc>
          <w:tcPr>
            <w:tcW w:w="5614"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Address of Beneficial Owner</w:t>
            </w:r>
          </w:p>
        </w:tc>
        <w:tc>
          <w:tcPr>
            <w:tcW w:w="2423"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and</w:t>
            </w:r>
          </w:p>
          <w:p>
            <w:pPr>
              <w:pStyle w:val="TableContents"/>
              <w:spacing w:before="0" w:after="0"/>
              <w:ind w:left="0" w:right="0" w:hanging="0"/>
              <w:jc w:val="center"/>
              <w:rPr>
                <w:rFonts w:ascii="times new roman" w:hAnsi="times new roman"/>
                <w:b/>
                <w:sz w:val="20"/>
              </w:rPr>
            </w:pPr>
            <w:r>
              <w:rPr>
                <w:rFonts w:ascii="times new roman" w:hAnsi="times new roman"/>
                <w:b/>
                <w:sz w:val="20"/>
              </w:rPr>
              <w:t>Nature of</w:t>
            </w:r>
          </w:p>
          <w:p>
            <w:pPr>
              <w:pStyle w:val="TableContents"/>
              <w:spacing w:before="0" w:after="0"/>
              <w:ind w:left="0" w:right="0" w:hanging="0"/>
              <w:jc w:val="center"/>
              <w:rPr>
                <w:rFonts w:ascii="times new roman" w:hAnsi="times new roman"/>
                <w:sz w:val="20"/>
              </w:rPr>
            </w:pPr>
            <w:r>
              <w:rPr>
                <w:rFonts w:ascii="times new roman" w:hAnsi="times new roman"/>
                <w:b/>
                <w:sz w:val="20"/>
              </w:rPr>
              <w:t>Beneficial Owner</w:t>
            </w:r>
            <w:r>
              <w:rPr>
                <w:rFonts w:ascii="times new roman" w:hAnsi="times new roman"/>
                <w:sz w:val="20"/>
              </w:rPr>
              <w:t>(1)</w:t>
            </w:r>
          </w:p>
        </w:tc>
        <w:tc>
          <w:tcPr>
            <w:tcW w:w="2168"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 of Class</w:t>
            </w:r>
          </w:p>
        </w:tc>
      </w:tr>
      <w:tr>
        <w:trPr/>
        <w:tc>
          <w:tcPr>
            <w:tcW w:w="561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Directors and Officers:</w:t>
            </w:r>
          </w:p>
        </w:tc>
        <w:tc>
          <w:tcPr>
            <w:tcW w:w="2423" w:type="dxa"/>
            <w:tcBorders/>
            <w:shd w:fill="auto" w:val="clear"/>
            <w:tcMar>
              <w:top w:w="0" w:type="dxa"/>
              <w:bottom w:w="0" w:type="dxa"/>
            </w:tcMar>
            <w:vAlign w:val="bottom"/>
          </w:tcPr>
          <w:p>
            <w:pPr>
              <w:pStyle w:val="TableContents"/>
              <w:spacing w:before="0" w:after="283"/>
              <w:rPr/>
            </w:pPr>
            <w:r>
              <w:rPr/>
              <w:t xml:space="preserve">  </w:t>
            </w:r>
          </w:p>
        </w:tc>
        <w:tc>
          <w:tcPr>
            <w:tcW w:w="2168" w:type="dxa"/>
            <w:tcBorders/>
            <w:shd w:fill="auto" w:val="clear"/>
            <w:tcMar>
              <w:top w:w="0" w:type="dxa"/>
              <w:bottom w:w="0" w:type="dxa"/>
            </w:tcMar>
            <w:vAlign w:val="bottom"/>
          </w:tcPr>
          <w:p>
            <w:pPr>
              <w:pStyle w:val="TableContents"/>
              <w:spacing w:before="0" w:after="283"/>
              <w:rPr/>
            </w:pPr>
            <w:r>
              <w:rPr/>
              <w:t xml:space="preserve">  </w:t>
            </w:r>
          </w:p>
        </w:tc>
      </w:tr>
      <w:tr>
        <w:trPr/>
        <w:tc>
          <w:tcPr>
            <w:tcW w:w="561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Suite 400, 800 Bellevue Way NE, Bellevue, WA 98004</w:t>
            </w:r>
          </w:p>
        </w:tc>
        <w:tc>
          <w:tcPr>
            <w:tcW w:w="242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1,740,000 (2)</w:t>
            </w:r>
          </w:p>
        </w:tc>
        <w:tc>
          <w:tcPr>
            <w:tcW w:w="2168"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4.5%</w:t>
            </w:r>
          </w:p>
        </w:tc>
      </w:tr>
      <w:tr>
        <w:trPr/>
        <w:tc>
          <w:tcPr>
            <w:tcW w:w="561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p>
            <w:pPr>
              <w:pStyle w:val="TableContents"/>
              <w:spacing w:before="0" w:after="0"/>
              <w:ind w:left="0" w:right="0" w:hanging="0"/>
              <w:jc w:val="left"/>
              <w:rPr>
                <w:rFonts w:ascii="times new roman" w:hAnsi="times new roman"/>
                <w:sz w:val="20"/>
              </w:rPr>
            </w:pPr>
            <w:r>
              <w:rPr>
                <w:rFonts w:ascii="times new roman" w:hAnsi="times new roman"/>
                <w:sz w:val="20"/>
              </w:rPr>
              <w:t>Suite 400, 800 Bellevue Way NE, Bellevue, WA 98004</w:t>
            </w:r>
          </w:p>
        </w:tc>
        <w:tc>
          <w:tcPr>
            <w:tcW w:w="242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550,000 (3)</w:t>
            </w:r>
          </w:p>
        </w:tc>
        <w:tc>
          <w:tcPr>
            <w:tcW w:w="2168"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1.4%</w:t>
            </w:r>
          </w:p>
        </w:tc>
      </w:tr>
      <w:tr>
        <w:trPr/>
        <w:tc>
          <w:tcPr>
            <w:tcW w:w="5614"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Suite 400, 800 Bellevue Way NE, Bellevue, WA 98004</w:t>
            </w:r>
          </w:p>
        </w:tc>
        <w:tc>
          <w:tcPr>
            <w:tcW w:w="2423"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2,918,308 (4)</w:t>
            </w:r>
          </w:p>
        </w:tc>
        <w:tc>
          <w:tcPr>
            <w:tcW w:w="2168"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7.5%</w:t>
            </w:r>
          </w:p>
        </w:tc>
      </w:tr>
      <w:tr>
        <w:trPr/>
        <w:tc>
          <w:tcPr>
            <w:tcW w:w="561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 officers and directors as a group (3 persons)</w:t>
            </w:r>
          </w:p>
        </w:tc>
        <w:tc>
          <w:tcPr>
            <w:tcW w:w="242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5,208,308</w:t>
            </w:r>
          </w:p>
        </w:tc>
        <w:tc>
          <w:tcPr>
            <w:tcW w:w="2168"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13.3%</w:t>
            </w:r>
          </w:p>
        </w:tc>
      </w:tr>
      <w:tr>
        <w:trPr/>
        <w:tc>
          <w:tcPr>
            <w:tcW w:w="5614" w:type="dxa"/>
            <w:tcBorders/>
            <w:shd w:fill="auto" w:val="clear"/>
            <w:tcMar>
              <w:top w:w="0" w:type="dxa"/>
              <w:bottom w:w="0" w:type="dxa"/>
            </w:tcMar>
          </w:tcPr>
          <w:p>
            <w:pPr>
              <w:pStyle w:val="TableContents"/>
              <w:spacing w:before="0" w:after="283"/>
              <w:rPr/>
            </w:pPr>
            <w:r>
              <w:rPr/>
              <w:t xml:space="preserve">  </w:t>
            </w:r>
          </w:p>
        </w:tc>
        <w:tc>
          <w:tcPr>
            <w:tcW w:w="2423" w:type="dxa"/>
            <w:tcBorders/>
            <w:shd w:fill="auto" w:val="clear"/>
            <w:tcMar>
              <w:top w:w="0" w:type="dxa"/>
              <w:bottom w:w="0" w:type="dxa"/>
            </w:tcMar>
          </w:tcPr>
          <w:p>
            <w:pPr>
              <w:pStyle w:val="TableContents"/>
              <w:spacing w:before="0" w:after="283"/>
              <w:rPr/>
            </w:pPr>
            <w:r>
              <w:rPr/>
              <w:t xml:space="preserve">  </w:t>
            </w:r>
          </w:p>
        </w:tc>
        <w:tc>
          <w:tcPr>
            <w:tcW w:w="2168" w:type="dxa"/>
            <w:tcBorders/>
            <w:shd w:fill="auto" w:val="clear"/>
            <w:tcMar>
              <w:top w:w="0" w:type="dxa"/>
              <w:bottom w:w="0" w:type="dxa"/>
            </w:tcMar>
          </w:tcPr>
          <w:p>
            <w:pPr>
              <w:pStyle w:val="TableContents"/>
              <w:spacing w:before="0" w:after="283"/>
              <w:rPr/>
            </w:pPr>
            <w:r>
              <w:rPr/>
              <w:t xml:space="preserve">  </w:t>
            </w:r>
          </w:p>
        </w:tc>
      </w:tr>
      <w:tr>
        <w:trPr/>
        <w:tc>
          <w:tcPr>
            <w:tcW w:w="5614" w:type="dxa"/>
            <w:tcBorders/>
            <w:shd w:fill="auto" w:val="clear"/>
            <w:tcMar>
              <w:top w:w="0" w:type="dxa"/>
              <w:bottom w:w="0" w:type="dxa"/>
            </w:tcMar>
          </w:tcPr>
          <w:p>
            <w:pPr>
              <w:pStyle w:val="TableContents"/>
              <w:spacing w:before="0" w:after="0"/>
              <w:ind w:left="0" w:right="0" w:hanging="0"/>
              <w:jc w:val="left"/>
              <w:rPr>
                <w:rFonts w:ascii="times new roman" w:hAnsi="times new roman"/>
                <w:b/>
                <w:sz w:val="20"/>
              </w:rPr>
            </w:pPr>
            <w:r>
              <w:rPr>
                <w:rFonts w:ascii="times new roman" w:hAnsi="times new roman"/>
                <w:b/>
                <w:sz w:val="20"/>
              </w:rPr>
              <w:t>Major Stockholders:</w:t>
            </w:r>
          </w:p>
        </w:tc>
        <w:tc>
          <w:tcPr>
            <w:tcW w:w="2423" w:type="dxa"/>
            <w:tcBorders/>
            <w:shd w:fill="auto" w:val="clear"/>
            <w:tcMar>
              <w:top w:w="0" w:type="dxa"/>
              <w:bottom w:w="0" w:type="dxa"/>
            </w:tcMar>
          </w:tcPr>
          <w:p>
            <w:pPr>
              <w:pStyle w:val="TableContents"/>
              <w:spacing w:before="0" w:after="283"/>
              <w:rPr/>
            </w:pPr>
            <w:r>
              <w:rPr/>
              <w:t xml:space="preserve">  </w:t>
            </w:r>
          </w:p>
        </w:tc>
        <w:tc>
          <w:tcPr>
            <w:tcW w:w="2168" w:type="dxa"/>
            <w:tcBorders/>
            <w:shd w:fill="auto" w:val="clear"/>
            <w:tcMar>
              <w:top w:w="0" w:type="dxa"/>
              <w:bottom w:w="0" w:type="dxa"/>
            </w:tcMar>
          </w:tcPr>
          <w:p>
            <w:pPr>
              <w:pStyle w:val="TableContents"/>
              <w:spacing w:before="0" w:after="283"/>
              <w:rPr/>
            </w:pPr>
            <w:r>
              <w:rPr/>
              <w:t xml:space="preserve">  </w:t>
            </w:r>
          </w:p>
        </w:tc>
      </w:tr>
      <w:tr>
        <w:trPr/>
        <w:tc>
          <w:tcPr>
            <w:tcW w:w="5614"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Alan P. Lindsay</w:t>
            </w:r>
          </w:p>
        </w:tc>
        <w:tc>
          <w:tcPr>
            <w:tcW w:w="2423"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2,491,547 (5)</w:t>
            </w:r>
          </w:p>
        </w:tc>
        <w:tc>
          <w:tcPr>
            <w:tcW w:w="2168"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6.4%</w:t>
            </w:r>
          </w:p>
        </w:tc>
      </w:tr>
      <w:tr>
        <w:trPr/>
        <w:tc>
          <w:tcPr>
            <w:tcW w:w="5614" w:type="dxa"/>
            <w:tcBorders/>
            <w:shd w:fill="FFFF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Paradigm Capital</w:t>
            </w:r>
          </w:p>
        </w:tc>
        <w:tc>
          <w:tcPr>
            <w:tcW w:w="2423" w:type="dxa"/>
            <w:tcBorders/>
            <w:shd w:fill="FFFF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4,077,100</w:t>
            </w:r>
          </w:p>
        </w:tc>
        <w:tc>
          <w:tcPr>
            <w:tcW w:w="2168" w:type="dxa"/>
            <w:tcBorders/>
            <w:shd w:fill="FFFF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10.4%</w:t>
            </w:r>
          </w:p>
        </w:tc>
      </w:tr>
      <w:tr>
        <w:trPr/>
        <w:tc>
          <w:tcPr>
            <w:tcW w:w="5614"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Michelle Stannard</w:t>
            </w:r>
          </w:p>
        </w:tc>
        <w:tc>
          <w:tcPr>
            <w:tcW w:w="2423"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2,496,892</w:t>
            </w:r>
          </w:p>
        </w:tc>
        <w:tc>
          <w:tcPr>
            <w:tcW w:w="2168" w:type="dxa"/>
            <w:tcBorders/>
            <w:shd w:fill="CCEEFF"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6.4%</w:t>
            </w:r>
          </w:p>
        </w:tc>
      </w:tr>
      <w:tr>
        <w:trPr/>
        <w:tc>
          <w:tcPr>
            <w:tcW w:w="5614" w:type="dxa"/>
            <w:tcBorders>
              <w:bottom w:val="double" w:sz="8"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 George Trust Company Ltd.</w:t>
            </w:r>
          </w:p>
        </w:tc>
        <w:tc>
          <w:tcPr>
            <w:tcW w:w="2423" w:type="dxa"/>
            <w:tcBorders>
              <w:bottom w:val="double" w:sz="8"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5,335,640</w:t>
            </w:r>
          </w:p>
        </w:tc>
        <w:tc>
          <w:tcPr>
            <w:tcW w:w="2168" w:type="dxa"/>
            <w:tcBorders>
              <w:bottom w:val="double" w:sz="8" w:space="0" w:color="000000"/>
            </w:tcBorders>
            <w:shd w:fill="FFFFFF"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13.7%</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4" w:name="hangingindent39"/>
      <w:bookmarkStart w:id="525" w:name="hangingindent39"/>
      <w:bookmarkEnd w:id="525"/>
    </w:p>
    <w:tbl>
      <w:tblPr>
        <w:tblW w:w="5000" w:type="pct"/>
        <w:jc w:val="center"/>
        <w:tblInd w:w="0" w:type="dxa"/>
        <w:tblCellMar>
          <w:top w:w="0" w:type="dxa"/>
          <w:left w:w="0" w:type="dxa"/>
          <w:bottom w:w="0" w:type="dxa"/>
          <w:right w:w="0" w:type="dxa"/>
        </w:tblCellMar>
      </w:tblPr>
      <w:tblGrid>
        <w:gridCol w:w="188"/>
        <w:gridCol w:w="10017"/>
      </w:tblGrid>
      <w:tr>
        <w:trPr/>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the date of this Annual Report, there were 39,076,674 shares issued and outstanding.</w:t>
            </w:r>
          </w:p>
        </w:tc>
      </w:tr>
    </w:tbl>
    <w:p>
      <w:pPr>
        <w:pStyle w:val="Normal"/>
        <w:spacing w:before="0" w:after="0"/>
        <w:rPr>
          <w:sz w:val="4"/>
          <w:szCs w:val="4"/>
        </w:rPr>
      </w:pPr>
      <w:r>
        <w:rPr>
          <w:sz w:val="4"/>
          <w:szCs w:val="4"/>
        </w:rPr>
      </w:r>
      <w:bookmarkStart w:id="526" w:name="hangingindent40"/>
      <w:bookmarkStart w:id="527" w:name="hangingindent40"/>
      <w:bookmarkEnd w:id="527"/>
    </w:p>
    <w:tbl>
      <w:tblPr>
        <w:tblW w:w="5000" w:type="pct"/>
        <w:jc w:val="center"/>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900,000 shares of common stock; and (ii) 840,000 options to acquire an equivalent number of common shares at $0.97 for 10 years.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28" w:name="PGBRK49"/>
      <w:bookmarkStart w:id="529" w:name="PGBRK49"/>
      <w:bookmarkEnd w:id="5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30" w:name="FTR49"/>
      <w:bookmarkStart w:id="531" w:name="FTR49"/>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32" w:name="GLFTR49"/>
      <w:bookmarkEnd w:id="5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3" w:name="PN49"/>
      <w:bookmarkEnd w:id="533"/>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34" w:name="HDR49"/>
      <w:bookmarkStart w:id="535" w:name="HDR49"/>
      <w:bookmarkEnd w:id="5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36" w:name="GLHDR49"/>
      <w:bookmarkEnd w:id="5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Normal"/>
        <w:spacing w:before="0" w:after="0"/>
        <w:rPr>
          <w:sz w:val="4"/>
          <w:szCs w:val="4"/>
        </w:rPr>
      </w:pPr>
      <w:r>
        <w:rPr>
          <w:sz w:val="4"/>
          <w:szCs w:val="4"/>
        </w:rPr>
      </w:r>
      <w:bookmarkStart w:id="537" w:name="hangingindent41"/>
      <w:bookmarkStart w:id="538" w:name="hangingindent41"/>
      <w:bookmarkEnd w:id="538"/>
    </w:p>
    <w:tbl>
      <w:tblPr>
        <w:tblW w:w="5000" w:type="pct"/>
        <w:jc w:val="center"/>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50,000 shares of common stock; and (ii) 500,000 options to acquire an equivalent number of common shares at $0.97 for 10 years.</w:t>
            </w:r>
          </w:p>
        </w:tc>
      </w:tr>
    </w:tbl>
    <w:p>
      <w:pPr>
        <w:pStyle w:val="Normal"/>
        <w:spacing w:before="0" w:after="0"/>
        <w:rPr>
          <w:sz w:val="4"/>
          <w:szCs w:val="4"/>
        </w:rPr>
      </w:pPr>
      <w:r>
        <w:rPr>
          <w:sz w:val="4"/>
          <w:szCs w:val="4"/>
        </w:rPr>
      </w:r>
      <w:bookmarkStart w:id="539" w:name="hangingindent42"/>
      <w:bookmarkStart w:id="540" w:name="hangingindent42"/>
      <w:bookmarkEnd w:id="540"/>
    </w:p>
    <w:tbl>
      <w:tblPr>
        <w:tblW w:w="5000" w:type="pct"/>
        <w:jc w:val="center"/>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1,925,750 shares of common stock; (ii) 295,300 shares of common stock held his spouse; (iii) 54,458 common share purchase warrants; (iv) 2,400 common share purchase warrants held by his spouse; and (v) 630,000 options to acquire an equivalent number of common shares at $0.97 for 10 years.</w:t>
            </w:r>
          </w:p>
        </w:tc>
      </w:tr>
    </w:tbl>
    <w:p>
      <w:pPr>
        <w:pStyle w:val="Normal"/>
        <w:spacing w:before="0" w:after="0"/>
        <w:rPr>
          <w:sz w:val="4"/>
          <w:szCs w:val="4"/>
        </w:rPr>
      </w:pPr>
      <w:r>
        <w:rPr>
          <w:sz w:val="4"/>
          <w:szCs w:val="4"/>
        </w:rPr>
      </w:r>
      <w:bookmarkStart w:id="541" w:name="hangingindent43"/>
      <w:bookmarkStart w:id="542" w:name="hangingindent43"/>
      <w:bookmarkEnd w:id="542"/>
    </w:p>
    <w:tbl>
      <w:tblPr>
        <w:tblW w:w="5000" w:type="pct"/>
        <w:jc w:val="center"/>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66,6667 shares of common stock held by Alan Lindsay &amp; Associates Inc., (ii) 54,000 common share purchase warrants and (iii) 88,000 options to acquire an equivalent number of common shares at $0.97 for 10 years granted.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are no arrangements or understanding among the parties set out above or their respective associates or affiliates concerning election of directors or any other matters which may require shareholder approval.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Control</w:t>
      </w:r>
    </w:p>
    <w:p>
      <w:pPr>
        <w:pStyle w:val="TextBody"/>
        <w:spacing w:before="0" w:after="0"/>
        <w:ind w:left="0" w:right="0" w:hanging="0"/>
        <w:jc w:val="both"/>
        <w:rPr>
          <w:rFonts w:ascii="Times New Roman" w:hAnsi="Times New Roman"/>
          <w:sz w:val="20"/>
        </w:rPr>
      </w:pPr>
      <w:r>
        <w:rPr>
          <w:rFonts w:ascii="Times New Roman" w:hAnsi="Times New Roman"/>
          <w:sz w:val="20"/>
        </w:rPr>
        <w:t>We are unaware of any contract, or other arrangement or provision, the operation of which may at a subsequent date result in a change of control of our Company.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43" w:name="hangingindent44"/>
      <w:bookmarkStart w:id="544" w:name="hangingindent44"/>
      <w:bookmarkEnd w:id="544"/>
    </w:p>
    <w:tbl>
      <w:tblPr>
        <w:tblW w:w="5000" w:type="pct"/>
        <w:jc w:val="center"/>
        <w:tblInd w:w="0" w:type="dxa"/>
        <w:tblCellMar>
          <w:top w:w="0" w:type="dxa"/>
          <w:left w:w="0" w:type="dxa"/>
          <w:bottom w:w="0" w:type="dxa"/>
          <w:right w:w="0" w:type="dxa"/>
        </w:tblCellMar>
      </w:tblPr>
      <w:tblGrid>
        <w:gridCol w:w="907"/>
        <w:gridCol w:w="9298"/>
      </w:tblGrid>
      <w:tr>
        <w:trPr/>
        <w:tc>
          <w:tcPr>
            <w:tcW w:w="907"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ITEM 13.</w:t>
            </w:r>
          </w:p>
        </w:tc>
        <w:tc>
          <w:tcPr>
            <w:tcW w:w="92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CERTAIN RELATIONSHIPS AND RELATED TRANSACTIONS AND DIRECTOR INDEPENDENCE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Except as described below, none of the following parties has had any material interest, direct or indirect, in any transaction with us during our last fiscal year or in any presently proposed transaction that has or will materially affect us: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45" w:name="hangingindent45"/>
      <w:bookmarkStart w:id="546" w:name="hangingindent45"/>
      <w:bookmarkEnd w:id="546"/>
    </w:p>
    <w:tbl>
      <w:tblPr>
        <w:tblW w:w="5000" w:type="pct"/>
        <w:jc w:val="center"/>
        <w:tblInd w:w="0" w:type="dxa"/>
        <w:tblCellMar>
          <w:top w:w="0" w:type="dxa"/>
          <w:left w:w="0" w:type="dxa"/>
          <w:bottom w:w="0" w:type="dxa"/>
          <w:right w:w="0" w:type="dxa"/>
        </w:tblCellMar>
      </w:tblPr>
      <w:tblGrid>
        <w:gridCol w:w="437"/>
        <w:gridCol w:w="619"/>
        <w:gridCol w:w="9149"/>
      </w:tblGrid>
      <w:tr>
        <w:trPr/>
        <w:tc>
          <w:tcPr>
            <w:tcW w:w="437" w:type="dxa"/>
            <w:tcBorders/>
            <w:shd w:fill="auto" w:val="clear"/>
          </w:tcPr>
          <w:p>
            <w:pPr>
              <w:pStyle w:val="TableContents"/>
              <w:spacing w:before="0" w:after="0"/>
              <w:rPr/>
            </w:pPr>
            <w:r>
              <w:rPr/>
              <w:t xml:space="preserve">  </w:t>
            </w:r>
          </w:p>
        </w:tc>
        <w:tc>
          <w:tcPr>
            <w:tcW w:w="6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14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of our directors or officers;</w:t>
            </w:r>
          </w:p>
        </w:tc>
      </w:tr>
    </w:tbl>
    <w:p>
      <w:pPr>
        <w:pStyle w:val="Normal"/>
        <w:spacing w:before="0" w:after="0"/>
        <w:rPr>
          <w:sz w:val="4"/>
          <w:szCs w:val="4"/>
        </w:rPr>
      </w:pPr>
      <w:r>
        <w:rPr>
          <w:sz w:val="4"/>
          <w:szCs w:val="4"/>
        </w:rPr>
      </w:r>
      <w:bookmarkStart w:id="547" w:name="hangingindent46"/>
      <w:bookmarkStart w:id="548" w:name="hangingindent46"/>
      <w:bookmarkEnd w:id="548"/>
    </w:p>
    <w:tbl>
      <w:tblPr>
        <w:tblW w:w="5000" w:type="pct"/>
        <w:jc w:val="center"/>
        <w:tblInd w:w="0" w:type="dxa"/>
        <w:tblCellMar>
          <w:top w:w="0" w:type="dxa"/>
          <w:left w:w="0" w:type="dxa"/>
          <w:bottom w:w="0" w:type="dxa"/>
          <w:right w:w="0" w:type="dxa"/>
        </w:tblCellMar>
      </w:tblPr>
      <w:tblGrid>
        <w:gridCol w:w="238"/>
        <w:gridCol w:w="337"/>
        <w:gridCol w:w="9630"/>
      </w:tblGrid>
      <w:tr>
        <w:trPr/>
        <w:tc>
          <w:tcPr>
            <w:tcW w:w="238" w:type="dxa"/>
            <w:tcBorders/>
            <w:shd w:fill="auto" w:val="clear"/>
          </w:tcPr>
          <w:p>
            <w:pPr>
              <w:pStyle w:val="TableContents"/>
              <w:spacing w:before="0" w:after="0"/>
              <w:rPr/>
            </w:pPr>
            <w:r>
              <w:rPr/>
              <w:t xml:space="preserve">  </w:t>
            </w:r>
          </w:p>
        </w:tc>
        <w:tc>
          <w:tcPr>
            <w:tcW w:w="33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6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person proposed as a nominee for election as a director;</w:t>
            </w:r>
          </w:p>
        </w:tc>
      </w:tr>
    </w:tbl>
    <w:p>
      <w:pPr>
        <w:pStyle w:val="Normal"/>
        <w:spacing w:before="0" w:after="0"/>
        <w:rPr>
          <w:sz w:val="4"/>
          <w:szCs w:val="4"/>
        </w:rPr>
      </w:pPr>
      <w:r>
        <w:rPr>
          <w:sz w:val="4"/>
          <w:szCs w:val="4"/>
        </w:rPr>
      </w:r>
      <w:bookmarkStart w:id="549" w:name="hangingindent47"/>
      <w:bookmarkStart w:id="550" w:name="hangingindent47"/>
      <w:bookmarkEnd w:id="550"/>
    </w:p>
    <w:tbl>
      <w:tblPr>
        <w:tblW w:w="5000" w:type="pct"/>
        <w:jc w:val="center"/>
        <w:tblInd w:w="0" w:type="dxa"/>
        <w:tblCellMar>
          <w:top w:w="0" w:type="dxa"/>
          <w:left w:w="0" w:type="dxa"/>
          <w:bottom w:w="0" w:type="dxa"/>
          <w:right w:w="0" w:type="dxa"/>
        </w:tblCellMar>
      </w:tblPr>
      <w:tblGrid>
        <w:gridCol w:w="103"/>
        <w:gridCol w:w="158"/>
        <w:gridCol w:w="9944"/>
      </w:tblGrid>
      <w:tr>
        <w:trPr/>
        <w:tc>
          <w:tcPr>
            <w:tcW w:w="103" w:type="dxa"/>
            <w:tcBorders/>
            <w:shd w:fill="auto" w:val="clear"/>
          </w:tcPr>
          <w:p>
            <w:pPr>
              <w:pStyle w:val="TableContents"/>
              <w:spacing w:before="0" w:after="0"/>
              <w:rPr/>
            </w:pPr>
            <w:r>
              <w:rPr/>
              <w:t xml:space="preserve">  </w:t>
            </w:r>
          </w:p>
        </w:tc>
        <w:tc>
          <w:tcPr>
            <w:tcW w:w="15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4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person who beneficially owns, directly or indirectly, shares carrying more than 5% of the voting rights attached to our outstanding shares of common stock; or</w:t>
            </w:r>
          </w:p>
        </w:tc>
      </w:tr>
    </w:tbl>
    <w:p>
      <w:pPr>
        <w:pStyle w:val="Normal"/>
        <w:spacing w:before="0" w:after="0"/>
        <w:rPr>
          <w:sz w:val="4"/>
          <w:szCs w:val="4"/>
        </w:rPr>
      </w:pPr>
      <w:r>
        <w:rPr>
          <w:sz w:val="4"/>
          <w:szCs w:val="4"/>
        </w:rPr>
      </w:r>
      <w:bookmarkStart w:id="551" w:name="hangingindent48"/>
      <w:bookmarkStart w:id="552" w:name="hangingindent48"/>
      <w:bookmarkEnd w:id="552"/>
    </w:p>
    <w:tbl>
      <w:tblPr>
        <w:tblW w:w="5000" w:type="pct"/>
        <w:jc w:val="center"/>
        <w:tblInd w:w="0" w:type="dxa"/>
        <w:tblCellMar>
          <w:top w:w="0" w:type="dxa"/>
          <w:left w:w="0" w:type="dxa"/>
          <w:bottom w:w="0" w:type="dxa"/>
          <w:right w:w="0" w:type="dxa"/>
        </w:tblCellMar>
      </w:tblPr>
      <w:tblGrid>
        <w:gridCol w:w="118"/>
        <w:gridCol w:w="169"/>
        <w:gridCol w:w="9918"/>
      </w:tblGrid>
      <w:tr>
        <w:trPr/>
        <w:tc>
          <w:tcPr>
            <w:tcW w:w="118" w:type="dxa"/>
            <w:tcBorders/>
            <w:shd w:fill="auto" w:val="clear"/>
          </w:tcPr>
          <w:p>
            <w:pPr>
              <w:pStyle w:val="TableContents"/>
              <w:spacing w:before="0" w:after="0"/>
              <w:rPr/>
            </w:pPr>
            <w:r>
              <w:rPr/>
              <w:t xml:space="preserve">  </w:t>
            </w:r>
          </w:p>
        </w:tc>
        <w:tc>
          <w:tcPr>
            <w:tcW w:w="16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member of the immediate family (including spouse, parents, children, siblings and in-laws) of any of the above persons.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had transactions with certain of our officers and directors during our fiscal year ended December 31, 2009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53" w:name="hangingindent49"/>
      <w:bookmarkStart w:id="554" w:name="hangingindent49"/>
      <w:bookmarkEnd w:id="554"/>
    </w:p>
    <w:tbl>
      <w:tblPr>
        <w:tblW w:w="5000" w:type="pct"/>
        <w:jc w:val="center"/>
        <w:tblInd w:w="0" w:type="dxa"/>
        <w:tblCellMar>
          <w:top w:w="0" w:type="dxa"/>
          <w:left w:w="0" w:type="dxa"/>
          <w:bottom w:w="0" w:type="dxa"/>
          <w:right w:w="0" w:type="dxa"/>
        </w:tblCellMar>
      </w:tblPr>
      <w:tblGrid>
        <w:gridCol w:w="82"/>
        <w:gridCol w:w="133"/>
        <w:gridCol w:w="9990"/>
      </w:tblGrid>
      <w:tr>
        <w:trPr/>
        <w:tc>
          <w:tcPr>
            <w:tcW w:w="82" w:type="dxa"/>
            <w:tcBorders/>
            <w:shd w:fill="auto" w:val="clear"/>
          </w:tcPr>
          <w:p>
            <w:pPr>
              <w:pStyle w:val="TableContents"/>
              <w:spacing w:before="0" w:after="0"/>
              <w:rPr/>
            </w:pPr>
            <w:r>
              <w:rPr/>
              <w:t xml:space="preserve">  </w:t>
            </w:r>
          </w:p>
        </w:tc>
        <w:tc>
          <w:tcPr>
            <w:tcW w:w="13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$260,242 (2008 - $308,162) in management fees, $42,000 (2008 - $74,579) in research and development, and recorded an additional $2,019,660 (2008 - $172,668) in stock based compensation expense for the fair value of options granted to management that were vested during the period;</w:t>
            </w:r>
          </w:p>
        </w:tc>
      </w:tr>
    </w:tbl>
    <w:p>
      <w:pPr>
        <w:pStyle w:val="Normal"/>
        <w:spacing w:before="0" w:after="0"/>
        <w:rPr>
          <w:sz w:val="4"/>
          <w:szCs w:val="4"/>
        </w:rPr>
      </w:pPr>
      <w:r>
        <w:rPr>
          <w:sz w:val="4"/>
          <w:szCs w:val="4"/>
        </w:rPr>
      </w:r>
      <w:bookmarkStart w:id="555" w:name="hangingindent50"/>
      <w:bookmarkStart w:id="556" w:name="hangingindent50"/>
      <w:bookmarkEnd w:id="556"/>
    </w:p>
    <w:tbl>
      <w:tblPr>
        <w:tblW w:w="5000" w:type="pct"/>
        <w:jc w:val="center"/>
        <w:tblInd w:w="0" w:type="dxa"/>
        <w:tblCellMar>
          <w:top w:w="0" w:type="dxa"/>
          <w:left w:w="0" w:type="dxa"/>
          <w:bottom w:w="0" w:type="dxa"/>
          <w:right w:w="0" w:type="dxa"/>
        </w:tblCellMar>
      </w:tblPr>
      <w:tblGrid>
        <w:gridCol w:w="94"/>
        <w:gridCol w:w="160"/>
        <w:gridCol w:w="9951"/>
      </w:tblGrid>
      <w:tr>
        <w:trPr/>
        <w:tc>
          <w:tcPr>
            <w:tcW w:w="94" w:type="dxa"/>
            <w:tcBorders/>
            <w:shd w:fill="auto" w:val="clear"/>
          </w:tcPr>
          <w:p>
            <w:pPr>
              <w:pStyle w:val="TableContents"/>
              <w:spacing w:before="0" w:after="0"/>
              <w:rPr/>
            </w:pPr>
            <w:r>
              <w:rPr/>
              <w:t xml:space="preserve">  </w:t>
            </w:r>
          </w:p>
        </w:tc>
        <w:tc>
          <w:tcPr>
            <w:tcW w:w="16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effective June 4, 2009, an outstanding balance of $595,987 due to directors and officers was settled through an obligation to issue 5,959,870 shares in conjunction with a debt settlement agreement;</w:t>
            </w:r>
          </w:p>
        </w:tc>
      </w:tr>
    </w:tbl>
    <w:p>
      <w:pPr>
        <w:pStyle w:val="Normal"/>
        <w:spacing w:before="0" w:after="0"/>
        <w:rPr>
          <w:sz w:val="4"/>
          <w:szCs w:val="4"/>
        </w:rPr>
      </w:pPr>
      <w:r>
        <w:rPr>
          <w:sz w:val="4"/>
          <w:szCs w:val="4"/>
        </w:rPr>
      </w:r>
      <w:bookmarkStart w:id="557" w:name="hangingindent51"/>
      <w:bookmarkStart w:id="558" w:name="hangingindent51"/>
      <w:bookmarkEnd w:id="558"/>
    </w:p>
    <w:tbl>
      <w:tblPr>
        <w:tblW w:w="5000" w:type="pct"/>
        <w:jc w:val="center"/>
        <w:tblInd w:w="0" w:type="dxa"/>
        <w:tblCellMar>
          <w:top w:w="0" w:type="dxa"/>
          <w:left w:w="0" w:type="dxa"/>
          <w:bottom w:w="0" w:type="dxa"/>
          <w:right w:w="0" w:type="dxa"/>
        </w:tblCellMar>
      </w:tblPr>
      <w:tblGrid>
        <w:gridCol w:w="68"/>
        <w:gridCol w:w="119"/>
        <w:gridCol w:w="10018"/>
      </w:tblGrid>
      <w:tr>
        <w:trPr/>
        <w:tc>
          <w:tcPr>
            <w:tcW w:w="68" w:type="dxa"/>
            <w:tcBorders/>
            <w:shd w:fill="auto" w:val="clear"/>
          </w:tcPr>
          <w:p>
            <w:pPr>
              <w:pStyle w:val="TableContents"/>
              <w:spacing w:before="0" w:after="0"/>
              <w:rPr/>
            </w:pPr>
            <w:r>
              <w:rPr/>
              <w:t xml:space="preserve">  </w:t>
            </w:r>
          </w:p>
        </w:tc>
        <w:tc>
          <w:tcPr>
            <w:tcW w:w="1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$9,247 (2008 - $16,932) in interest and finance charges on a $125,000 promissory note due to a company related through a direct family member of a current director (refer to Note 5(ii)); incurred $14,795 (2008 - $27,090) in interest and finance charges on a $200,000 convertible promissory note due to the same company (refer to Note 5(iii)); and incurred $40,881 (2008 - $35,369) in interest and finance charges related to an agreement to issue warrants in connection with extending the terms of the $125,000 and $200,000 notes through March 30, 2009 (refer to Note 5(iii)), and effective June 4, 2009 the outstanding principal and interest was settled in conjunction with an equity issuance obligation;</w:t>
            </w:r>
          </w:p>
        </w:tc>
      </w:tr>
    </w:tbl>
    <w:p>
      <w:pPr>
        <w:pStyle w:val="Normal"/>
        <w:spacing w:before="0" w:after="0"/>
        <w:rPr>
          <w:sz w:val="4"/>
          <w:szCs w:val="4"/>
        </w:rPr>
      </w:pPr>
      <w:r>
        <w:rPr>
          <w:sz w:val="4"/>
          <w:szCs w:val="4"/>
        </w:rPr>
      </w:r>
      <w:bookmarkStart w:id="559" w:name="hangingindent52"/>
      <w:bookmarkStart w:id="560" w:name="hangingindent52"/>
      <w:bookmarkEnd w:id="560"/>
    </w:p>
    <w:tbl>
      <w:tblPr>
        <w:tblW w:w="5000" w:type="pct"/>
        <w:jc w:val="center"/>
        <w:tblInd w:w="0" w:type="dxa"/>
        <w:tblCellMar>
          <w:top w:w="0" w:type="dxa"/>
          <w:left w:w="0" w:type="dxa"/>
          <w:bottom w:w="0" w:type="dxa"/>
          <w:right w:w="0" w:type="dxa"/>
        </w:tblCellMar>
      </w:tblPr>
      <w:tblGrid>
        <w:gridCol w:w="73"/>
        <w:gridCol w:w="139"/>
        <w:gridCol w:w="9993"/>
      </w:tblGrid>
      <w:tr>
        <w:trPr/>
        <w:tc>
          <w:tcPr>
            <w:tcW w:w="73"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$1,997 (2008 - $3,196) in interest and finance charges on a $27,000 promissory note issued to a company controlled by a director of the Company, and incurred $4,343 (2008 - $3,757) in interest and finance charges related to an agreement to issue warrants in connection to extending the term through March 30, 2009 (refer to Note 5(v)), and effective June 4, 2009 the outstanding principal and interest was settled in conjunction with an equity issuance obligation;</w:t>
            </w:r>
          </w:p>
        </w:tc>
      </w:tr>
    </w:tbl>
    <w:p>
      <w:pPr>
        <w:pStyle w:val="Normal"/>
        <w:spacing w:before="0" w:after="0"/>
        <w:rPr>
          <w:sz w:val="4"/>
          <w:szCs w:val="4"/>
        </w:rPr>
      </w:pPr>
      <w:r>
        <w:rPr>
          <w:sz w:val="4"/>
          <w:szCs w:val="4"/>
        </w:rPr>
      </w:r>
      <w:bookmarkStart w:id="561" w:name="hangingindent53"/>
      <w:bookmarkStart w:id="562" w:name="hangingindent53"/>
      <w:bookmarkEnd w:id="562"/>
    </w:p>
    <w:tbl>
      <w:tblPr>
        <w:tblW w:w="5000" w:type="pct"/>
        <w:jc w:val="center"/>
        <w:tblInd w:w="0" w:type="dxa"/>
        <w:tblCellMar>
          <w:top w:w="0" w:type="dxa"/>
          <w:left w:w="0" w:type="dxa"/>
          <w:bottom w:w="0" w:type="dxa"/>
          <w:right w:w="0" w:type="dxa"/>
        </w:tblCellMar>
      </w:tblPr>
      <w:tblGrid>
        <w:gridCol w:w="68"/>
        <w:gridCol w:w="119"/>
        <w:gridCol w:w="10018"/>
      </w:tblGrid>
      <w:tr>
        <w:trPr/>
        <w:tc>
          <w:tcPr>
            <w:tcW w:w="68" w:type="dxa"/>
            <w:tcBorders/>
            <w:shd w:fill="auto" w:val="clear"/>
          </w:tcPr>
          <w:p>
            <w:pPr>
              <w:pStyle w:val="TableContents"/>
              <w:spacing w:before="0" w:after="0"/>
              <w:rPr/>
            </w:pPr>
            <w:r>
              <w:rPr/>
              <w:t xml:space="preserve">  </w:t>
            </w:r>
          </w:p>
        </w:tc>
        <w:tc>
          <w:tcPr>
            <w:tcW w:w="1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$14,795 (2008 - $22,784) in interest and finance charges on a $200,000 promissory note issued to a company related through a family member of an officer of the Company (refer to Note 5(vi)); incurred $18,493 (2008 - $27,493) in interest and finance charges on a $250,000 promissory note issued to the same company (refer to Note 5(vii)); and incurred $72,380 (2008 - $62,620) in interest and finance charges related to an agreement to issue warrants in connection to extending the terms of the $200,000 and $250,000 notes through March 30, 2009 (refer to Note 5(vii)), and effective June 4, 2009 the outstanding principal and interest was settled in conjunction with an equity issuance obligation;</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63" w:name="PGBRK50"/>
      <w:bookmarkStart w:id="564" w:name="PGBRK50"/>
      <w:bookmarkEnd w:id="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65" w:name="FTR50"/>
      <w:bookmarkStart w:id="566" w:name="FTR50"/>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67" w:name="GLFTR50"/>
      <w:bookmarkEnd w:id="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8" w:name="PN50"/>
      <w:bookmarkEnd w:id="568"/>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69" w:name="HDR50"/>
      <w:bookmarkStart w:id="570" w:name="HDR50"/>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571" w:name="GLHDR50"/>
      <w:bookmarkEnd w:id="5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Normal"/>
        <w:spacing w:before="0" w:after="0"/>
        <w:rPr>
          <w:sz w:val="4"/>
          <w:szCs w:val="4"/>
        </w:rPr>
      </w:pPr>
      <w:r>
        <w:rPr>
          <w:sz w:val="4"/>
          <w:szCs w:val="4"/>
        </w:rPr>
      </w:r>
      <w:bookmarkStart w:id="572" w:name="hangingindent54"/>
      <w:bookmarkStart w:id="573" w:name="hangingindent54"/>
      <w:bookmarkEnd w:id="573"/>
    </w:p>
    <w:tbl>
      <w:tblPr>
        <w:tblW w:w="5000" w:type="pct"/>
        <w:jc w:val="center"/>
        <w:tblInd w:w="0" w:type="dxa"/>
        <w:tblCellMar>
          <w:top w:w="0" w:type="dxa"/>
          <w:left w:w="0" w:type="dxa"/>
          <w:bottom w:w="0" w:type="dxa"/>
          <w:right w:w="0" w:type="dxa"/>
        </w:tblCellMar>
      </w:tblPr>
      <w:tblGrid>
        <w:gridCol w:w="74"/>
        <w:gridCol w:w="95"/>
        <w:gridCol w:w="10036"/>
      </w:tblGrid>
      <w:tr>
        <w:trPr/>
        <w:tc>
          <w:tcPr>
            <w:tcW w:w="7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$1,849 (2008 - $2,836) in interest and finance charges on a $25,000 promissory note issued to an officer of the Company, and incurred $4,021 (2008 - $3,479) in interest and finance charges related to an agreement to issue warrants in connection to extending the term through March 30, 2009 (refer to Note 5(viii)), and effective June 4, 2009 the outstanding principal and interest was settled in conjunction with an equity issuance obligation;</w:t>
            </w:r>
          </w:p>
        </w:tc>
      </w:tr>
    </w:tbl>
    <w:p>
      <w:pPr>
        <w:pStyle w:val="Normal"/>
        <w:spacing w:before="0" w:after="0"/>
        <w:rPr>
          <w:sz w:val="4"/>
          <w:szCs w:val="4"/>
        </w:rPr>
      </w:pPr>
      <w:r>
        <w:rPr>
          <w:sz w:val="4"/>
          <w:szCs w:val="4"/>
        </w:rPr>
      </w:r>
      <w:bookmarkStart w:id="574" w:name="hangingindent55"/>
      <w:bookmarkStart w:id="575" w:name="hangingindent55"/>
      <w:bookmarkEnd w:id="575"/>
    </w:p>
    <w:tbl>
      <w:tblPr>
        <w:tblW w:w="5000" w:type="pct"/>
        <w:jc w:val="center"/>
        <w:tblInd w:w="0" w:type="dxa"/>
        <w:tblCellMar>
          <w:top w:w="0" w:type="dxa"/>
          <w:left w:w="0" w:type="dxa"/>
          <w:bottom w:w="0" w:type="dxa"/>
          <w:right w:w="0" w:type="dxa"/>
        </w:tblCellMar>
      </w:tblPr>
      <w:tblGrid>
        <w:gridCol w:w="75"/>
        <w:gridCol w:w="141"/>
        <w:gridCol w:w="9989"/>
      </w:tblGrid>
      <w:tr>
        <w:trPr/>
        <w:tc>
          <w:tcPr>
            <w:tcW w:w="75"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99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$740 (2008 - $150) in interest and finance charges on a $10,000 promissory note issued to an officer of the Company, and incurred $6,593 (2008 - $3,407) in interest and finance charges related to an agreement to issue warrants in connection to the note issuance (refer to Note 5(ix)), and effective June 4, 2009 the outstanding principal and interest was settled in conjunction with an equity issuance obligation; and</w:t>
            </w:r>
          </w:p>
        </w:tc>
      </w:tr>
    </w:tbl>
    <w:p>
      <w:pPr>
        <w:pStyle w:val="Normal"/>
        <w:spacing w:before="0" w:after="0"/>
        <w:rPr>
          <w:sz w:val="4"/>
          <w:szCs w:val="4"/>
        </w:rPr>
      </w:pPr>
      <w:r>
        <w:rPr>
          <w:sz w:val="4"/>
          <w:szCs w:val="4"/>
        </w:rPr>
      </w:r>
      <w:bookmarkStart w:id="576" w:name="hangingindent56"/>
      <w:bookmarkStart w:id="577" w:name="hangingindent56"/>
      <w:bookmarkEnd w:id="577"/>
    </w:p>
    <w:tbl>
      <w:tblPr>
        <w:tblW w:w="5000" w:type="pct"/>
        <w:jc w:val="center"/>
        <w:tblInd w:w="0" w:type="dxa"/>
        <w:tblCellMar>
          <w:top w:w="0" w:type="dxa"/>
          <w:left w:w="0" w:type="dxa"/>
          <w:bottom w:w="0" w:type="dxa"/>
          <w:right w:w="0" w:type="dxa"/>
        </w:tblCellMar>
      </w:tblPr>
      <w:tblGrid>
        <w:gridCol w:w="72"/>
        <w:gridCol w:w="138"/>
        <w:gridCol w:w="9995"/>
      </w:tblGrid>
      <w:tr>
        <w:trPr/>
        <w:tc>
          <w:tcPr>
            <w:tcW w:w="72"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99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a $15,000 secured promissory note bearing interest at 30% per annum and issued 30,000 transferable and registerable share purchase warrants with an exercise price of $0.20 per share for an exercise period of up to two years from the issuance date to a direct family member of an officer of the Company, incurred $4,068 (2008 - $Nil) in interest and finance charges on the $15,000 promissory note, and incurred $6,000 (2008 - $Nil) in interest and finance charges related to the issued warrants (refer to Note 5(x)).</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14.                      PRINCIPAL ACCOUNTING FEES AND SERVICES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Dale Matheson Carr-Hilton LaBonte LLP served as our independent registered public accounting firm and audited our financial statements for the fiscal years ended December 31, 2009 and 2008.  Aggregate fees for professional services rendered to us by our auditor are set forth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7246"/>
        <w:gridCol w:w="115"/>
        <w:gridCol w:w="148"/>
        <w:gridCol w:w="1096"/>
        <w:gridCol w:w="115"/>
        <w:gridCol w:w="115"/>
        <w:gridCol w:w="148"/>
        <w:gridCol w:w="1096"/>
        <w:gridCol w:w="126"/>
      </w:tblGrid>
      <w:tr>
        <w:trPr/>
        <w:tc>
          <w:tcPr>
            <w:tcW w:w="7246"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5" w:type="dxa"/>
            <w:tcBorders>
              <w:top w:val="single" w:sz="12" w:space="0" w:color="000000"/>
            </w:tcBorders>
            <w:shd w:fill="auto" w:val="clear"/>
            <w:tcMar>
              <w:bottom w:w="0" w:type="dxa"/>
            </w:tcMar>
            <w:vAlign w:val="bottom"/>
          </w:tcPr>
          <w:p>
            <w:pPr>
              <w:pStyle w:val="TableContents"/>
              <w:spacing w:before="0" w:after="283"/>
              <w:rPr/>
            </w:pPr>
            <w:r>
              <w:rPr/>
              <w:t> </w:t>
            </w:r>
          </w:p>
        </w:tc>
        <w:tc>
          <w:tcPr>
            <w:tcW w:w="12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5" w:type="dxa"/>
            <w:tcBorders>
              <w:top w:val="single" w:sz="12" w:space="0" w:color="000000"/>
            </w:tcBorders>
            <w:shd w:fill="auto" w:val="clear"/>
            <w:tcMar>
              <w:bottom w:w="0" w:type="dxa"/>
            </w:tcMar>
            <w:vAlign w:val="bottom"/>
          </w:tcPr>
          <w:p>
            <w:pPr>
              <w:pStyle w:val="TableContents"/>
              <w:spacing w:before="0" w:after="283"/>
              <w:rPr/>
            </w:pPr>
            <w:r>
              <w:rPr/>
              <w:t> </w:t>
            </w:r>
          </w:p>
        </w:tc>
        <w:tc>
          <w:tcPr>
            <w:tcW w:w="124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26"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283"/>
              <w:rPr/>
            </w:pPr>
            <w:r>
              <w:rPr/>
              <w:t xml:space="preserve">  </w:t>
            </w:r>
          </w:p>
        </w:tc>
        <w:tc>
          <w:tcPr>
            <w:tcW w:w="115" w:type="dxa"/>
            <w:tcBorders/>
            <w:shd w:fill="auto" w:val="clear"/>
            <w:tcMar>
              <w:top w:w="0" w:type="dxa"/>
              <w:bottom w:w="0" w:type="dxa"/>
            </w:tcMar>
            <w:vAlign w:val="bottom"/>
          </w:tcPr>
          <w:p>
            <w:pPr>
              <w:pStyle w:val="TableContents"/>
              <w:spacing w:before="0" w:after="283"/>
              <w:rPr/>
            </w:pPr>
            <w:r>
              <w:rPr/>
              <w:t> </w:t>
            </w:r>
          </w:p>
        </w:tc>
        <w:tc>
          <w:tcPr>
            <w:tcW w:w="1244" w:type="dxa"/>
            <w:gridSpan w:val="2"/>
            <w:tcBorders/>
            <w:shd w:fill="auto" w:val="clear"/>
            <w:tcMar>
              <w:top w:w="0" w:type="dxa"/>
              <w:bottom w:w="0" w:type="dxa"/>
            </w:tcMar>
            <w:vAlign w:val="bottom"/>
          </w:tcPr>
          <w:p>
            <w:pPr>
              <w:pStyle w:val="TableContents"/>
              <w:spacing w:before="0" w:after="283"/>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rPr/>
            </w:pPr>
            <w:r>
              <w:rPr/>
              <w:t> </w:t>
            </w:r>
          </w:p>
        </w:tc>
        <w:tc>
          <w:tcPr>
            <w:tcW w:w="1244" w:type="dxa"/>
            <w:gridSpan w:val="2"/>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43,500</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28,000</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Related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21,500</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21,100</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Fees</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244" w:type="dxa"/>
            <w:gridSpan w:val="2"/>
            <w:tcBorders>
              <w:bottom w:val="single" w:sz="12" w:space="0" w:color="000000"/>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26" w:type="dxa"/>
            <w:tcBorders/>
            <w:shd w:fill="auto" w:val="clear"/>
            <w:tcMar>
              <w:top w:w="0" w:type="dxa"/>
              <w:bottom w:w="0" w:type="dxa"/>
            </w:tcMar>
            <w:vAlign w:val="bottom"/>
          </w:tcPr>
          <w:p>
            <w:pPr>
              <w:pStyle w:val="TableContents"/>
              <w:spacing w:before="0" w:after="283"/>
              <w:jc w:val="left"/>
              <w:rPr/>
            </w:pPr>
            <w:r>
              <w:rPr/>
              <w:t> </w:t>
            </w:r>
          </w:p>
        </w:tc>
      </w:tr>
      <w:tr>
        <w:trPr/>
        <w:tc>
          <w:tcPr>
            <w:tcW w:w="7246"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15" w:type="dxa"/>
            <w:tcBorders/>
            <w:shd w:fill="auto" w:val="clear"/>
            <w:tcMar>
              <w:top w:w="0" w:type="dxa"/>
              <w:bottom w:w="0" w:type="dxa"/>
            </w:tcMar>
            <w:vAlign w:val="bottom"/>
          </w:tcPr>
          <w:p>
            <w:pPr>
              <w:pStyle w:val="TableContents"/>
              <w:spacing w:before="0" w:after="283"/>
              <w:jc w:val="left"/>
              <w:rPr/>
            </w:pPr>
            <w:r>
              <w:rPr/>
              <w:t> </w:t>
            </w:r>
          </w:p>
        </w:tc>
        <w:tc>
          <w:tcPr>
            <w:tcW w:w="148"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49,100</w:t>
            </w:r>
          </w:p>
        </w:tc>
        <w:tc>
          <w:tcPr>
            <w:tcW w:w="126"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Fees</w:t>
      </w:r>
    </w:p>
    <w:p>
      <w:pPr>
        <w:pStyle w:val="TextBody"/>
        <w:spacing w:before="0" w:after="0"/>
        <w:ind w:left="0" w:right="0" w:hanging="0"/>
        <w:jc w:val="both"/>
        <w:rPr>
          <w:rFonts w:ascii="Times New Roman" w:hAnsi="Times New Roman"/>
          <w:sz w:val="20"/>
        </w:rPr>
      </w:pPr>
      <w:r>
        <w:rPr>
          <w:rFonts w:ascii="Times New Roman" w:hAnsi="Times New Roman"/>
          <w:sz w:val="20"/>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Audit Related Fees</w:t>
      </w:r>
    </w:p>
    <w:p>
      <w:pPr>
        <w:pStyle w:val="TextBody"/>
        <w:spacing w:before="0" w:after="0"/>
        <w:ind w:left="0" w:right="0" w:hanging="0"/>
        <w:jc w:val="both"/>
        <w:rPr>
          <w:rFonts w:ascii="Times New Roman" w:hAnsi="Times New Roman"/>
          <w:sz w:val="20"/>
        </w:rPr>
      </w:pPr>
      <w:r>
        <w:rPr>
          <w:rFonts w:ascii="Times New Roman" w:hAnsi="Times New Roman"/>
          <w:sz w:val="20"/>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Tax Fees</w:t>
      </w:r>
    </w:p>
    <w:p>
      <w:pPr>
        <w:pStyle w:val="TextBody"/>
        <w:spacing w:before="0" w:after="0"/>
        <w:ind w:left="0" w:right="0" w:hanging="0"/>
        <w:jc w:val="both"/>
        <w:rPr>
          <w:rFonts w:ascii="Times New Roman" w:hAnsi="Times New Roman"/>
          <w:sz w:val="20"/>
        </w:rPr>
      </w:pPr>
      <w:r>
        <w:rPr>
          <w:rFonts w:ascii="Times New Roman" w:hAnsi="Times New Roman"/>
          <w:sz w:val="20"/>
        </w:rPr>
        <w:t>Tax fees are billed by our independent auditors for tax compliance, tax advice and tax planning.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All Other Fees</w:t>
      </w:r>
    </w:p>
    <w:p>
      <w:pPr>
        <w:pStyle w:val="TextBody"/>
        <w:spacing w:before="0" w:after="0"/>
        <w:ind w:left="0" w:right="0" w:hanging="0"/>
        <w:jc w:val="both"/>
        <w:rPr>
          <w:rFonts w:ascii="Times New Roman" w:hAnsi="Times New Roman"/>
          <w:sz w:val="20"/>
        </w:rPr>
      </w:pPr>
      <w:r>
        <w:rPr>
          <w:rFonts w:ascii="Times New Roman" w:hAnsi="Times New Roman"/>
          <w:sz w:val="20"/>
        </w:rPr>
        <w:t>All other fees include fees billed by our independent auditors for products or services other than as described in the immediately preceding three categories.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Policy on Pre-Approval of Services Performed by Independent Auditors</w:t>
      </w:r>
    </w:p>
    <w:p>
      <w:pPr>
        <w:pStyle w:val="TextBody"/>
        <w:spacing w:before="0" w:after="0"/>
        <w:ind w:left="0" w:right="0" w:hanging="0"/>
        <w:jc w:val="both"/>
        <w:rPr>
          <w:rFonts w:ascii="Times New Roman" w:hAnsi="Times New Roman"/>
          <w:sz w:val="20"/>
        </w:rPr>
      </w:pPr>
      <w:r>
        <w:rPr>
          <w:rFonts w:ascii="Times New Roman" w:hAnsi="Times New Roman"/>
          <w:sz w:val="20"/>
        </w:rPr>
        <w:t>It is our audit committee’s policy to pre-approve all audit and permissible non-audit services performed by the independent auditors.  We approved all services that our independent accountants provided to us in the past two fiscal years.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8" w:name="PGBRK51"/>
      <w:bookmarkStart w:id="579" w:name="PGBRK51"/>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0" w:name="FTR51"/>
      <w:bookmarkStart w:id="581" w:name="FTR51"/>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2" w:name="GLFTR51"/>
      <w:bookmarkStart w:id="583" w:name="GLFTR51"/>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584" w:name="PN51"/>
      <w:bookmarkEnd w:id="584"/>
      <w:r>
        <w:rPr>
          <w:rFonts w:ascii="Times New Roman" w:hAnsi="Times New Roman"/>
          <w:sz w:val="16"/>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5" w:name="HDR51"/>
      <w:bookmarkStart w:id="586" w:name="HDR51"/>
      <w:bookmarkEnd w:id="5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7" w:name="GLHDR51"/>
      <w:bookmarkStart w:id="588" w:name="GLHDR51"/>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15.                      EXHIBITS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filed with this Annual Report on Form 10-K:</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2295"/>
        <w:gridCol w:w="7910"/>
      </w:tblGrid>
      <w:tr>
        <w:trPr/>
        <w:tc>
          <w:tcPr>
            <w:tcW w:w="2295"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w:t>
            </w:r>
          </w:p>
          <w:p>
            <w:pPr>
              <w:pStyle w:val="TableContents"/>
              <w:spacing w:before="0" w:after="0"/>
              <w:ind w:left="0" w:right="0" w:hanging="0"/>
              <w:jc w:val="center"/>
              <w:rPr>
                <w:rFonts w:ascii="times new roman" w:hAnsi="times new roman"/>
                <w:b/>
                <w:sz w:val="20"/>
              </w:rPr>
            </w:pPr>
            <w:r>
              <w:rPr>
                <w:rFonts w:ascii="times new roman" w:hAnsi="times new roman"/>
                <w:b/>
                <w:sz w:val="20"/>
              </w:rPr>
              <w:t>Number</w:t>
            </w:r>
          </w:p>
        </w:tc>
        <w:tc>
          <w:tcPr>
            <w:tcW w:w="7910" w:type="dxa"/>
            <w:tcBorders>
              <w:top w:val="single" w:sz="12" w:space="0" w:color="000000"/>
              <w:bottom w:val="single" w:sz="12" w:space="0" w:color="000000"/>
            </w:tcBorders>
            <w:shd w:fill="auto" w:val="clear"/>
            <w:vAlign w:val="bottom"/>
          </w:tcPr>
          <w:p>
            <w:pPr>
              <w:pStyle w:val="TableContents"/>
              <w:spacing w:before="0" w:after="0"/>
              <w:ind w:left="720" w:right="0" w:hanging="0"/>
              <w:jc w:val="left"/>
              <w:rPr>
                <w:rFonts w:ascii="times new roman" w:hAnsi="times new roman"/>
                <w:b/>
                <w:sz w:val="20"/>
              </w:rPr>
            </w:pPr>
            <w:r>
              <w:rPr>
                <w:rFonts w:ascii="times new roman" w:hAnsi="times new roman"/>
                <w:b/>
                <w:sz w:val="20"/>
              </w:rPr>
              <w:t>Description of Exhibit</w:t>
            </w:r>
          </w:p>
        </w:tc>
      </w:tr>
      <w:tr>
        <w:trPr/>
        <w:tc>
          <w:tcPr>
            <w:tcW w:w="229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31.1</w:t>
            </w:r>
          </w:p>
        </w:tc>
        <w:tc>
          <w:tcPr>
            <w:tcW w:w="7910" w:type="dxa"/>
            <w:tcBorders/>
            <w:shd w:fill="auto" w:val="clear"/>
            <w:tcMar>
              <w:top w:w="0" w:type="dxa"/>
              <w:bottom w:w="0" w:type="dxa"/>
            </w:tcM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Certification of Principal Executive Officer pursuant to Securities Exchange Act of 1934 Rule 13a-14(a) or 15d-14(a)</w:t>
            </w:r>
          </w:p>
        </w:tc>
      </w:tr>
      <w:tr>
        <w:trPr/>
        <w:tc>
          <w:tcPr>
            <w:tcW w:w="229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31.2</w:t>
            </w:r>
          </w:p>
        </w:tc>
        <w:tc>
          <w:tcPr>
            <w:tcW w:w="7910" w:type="dxa"/>
            <w:tcBorders/>
            <w:shd w:fill="auto" w:val="clear"/>
            <w:tcMar>
              <w:top w:w="0" w:type="dxa"/>
              <w:bottom w:w="0" w:type="dxa"/>
            </w:tcM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Certification of Acting Principal Accounting Officer pursuant to Securities Exchange Act of 1934 Rule 13a-14(a) or 15d-14(a)</w:t>
            </w:r>
          </w:p>
        </w:tc>
      </w:tr>
      <w:tr>
        <w:trPr/>
        <w:tc>
          <w:tcPr>
            <w:tcW w:w="2295"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32.1</w:t>
            </w:r>
          </w:p>
        </w:tc>
        <w:tc>
          <w:tcPr>
            <w:tcW w:w="7910" w:type="dxa"/>
            <w:tcBorders/>
            <w:shd w:fill="auto" w:val="clear"/>
            <w:tcMar>
              <w:top w:w="0" w:type="dxa"/>
              <w:bottom w:w="0" w:type="dxa"/>
            </w:tcM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Certification of Principal Executive Officer pursuant to 18 U.S.C. Section 1350</w:t>
            </w:r>
          </w:p>
        </w:tc>
      </w:tr>
      <w:tr>
        <w:trPr/>
        <w:tc>
          <w:tcPr>
            <w:tcW w:w="2295"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32.2</w:t>
            </w:r>
          </w:p>
        </w:tc>
        <w:tc>
          <w:tcPr>
            <w:tcW w:w="7910" w:type="dxa"/>
            <w:tcBorders>
              <w:bottom w:val="double" w:sz="8" w:space="0" w:color="000000"/>
            </w:tcBorders>
            <w:shd w:fill="auto" w:val="clear"/>
            <w:tcMar>
              <w:top w:w="0" w:type="dxa"/>
            </w:tcM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Certification of Acting Principal Accounting Officer pursuant to 18 U.S.C. Section 1350</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9" w:name="PGBRK52"/>
      <w:bookmarkStart w:id="590" w:name="PGBRK52"/>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1" w:name="FTR52"/>
      <w:bookmarkStart w:id="592" w:name="FTR52"/>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3" w:name="GLFTR52"/>
      <w:bookmarkEnd w:id="5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4" w:name="PN52"/>
      <w:bookmarkEnd w:id="594"/>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5" w:name="HDR52"/>
      <w:bookmarkStart w:id="596" w:name="HDR52"/>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7" w:name="GLHDR52"/>
      <w:bookmarkEnd w:id="5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Section 13 and 15 (d)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p>
      <w:pPr>
        <w:pStyle w:val="TextBody"/>
        <w:spacing w:before="0" w:after="0"/>
        <w:ind w:left="3600" w:right="0" w:hanging="0"/>
        <w:jc w:val="both"/>
        <w:rPr>
          <w:rFonts w:ascii="Times New Roman" w:hAnsi="Times New Roman"/>
          <w:b/>
          <w:sz w:val="20"/>
        </w:rPr>
      </w:pPr>
      <w:r>
        <w:rPr>
          <w:rFonts w:ascii="Times New Roman" w:hAnsi="Times New Roman"/>
          <w:b/>
          <w:sz w:val="20"/>
        </w:rPr>
        <w:t>TAPIMMUNE INC.</w:t>
      </w:r>
    </w:p>
    <w:p>
      <w:pPr>
        <w:pStyle w:val="TextBody"/>
        <w:spacing w:before="0" w:after="0"/>
        <w:ind w:left="0" w:right="0" w:hanging="0"/>
        <w:jc w:val="both"/>
        <w:rPr/>
      </w:pPr>
      <w:r>
        <w:rPr/>
        <w:t> </w:t>
      </w:r>
    </w:p>
    <w:p>
      <w:pPr>
        <w:pStyle w:val="TextBody"/>
        <w:spacing w:before="0" w:after="0"/>
        <w:ind w:left="360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Glynn Wilson</w:t>
      </w:r>
    </w:p>
    <w:p>
      <w:pPr>
        <w:pStyle w:val="TextBody"/>
        <w:spacing w:before="0" w:after="0"/>
        <w:ind w:left="4320" w:right="0" w:hanging="0"/>
        <w:jc w:val="left"/>
        <w:rPr>
          <w:rFonts w:ascii="Times New Roman" w:hAnsi="Times New Roman"/>
          <w:sz w:val="20"/>
        </w:rPr>
      </w:pPr>
      <w:bookmarkStart w:id="598" w:name="TAB12"/>
      <w:bookmarkEnd w:id="598"/>
      <w:r>
        <w:rPr>
          <w:rFonts w:ascii="Times New Roman" w:hAnsi="Times New Roman"/>
          <w:sz w:val="20"/>
        </w:rPr>
        <w:t>Glynn Wilson</w:t>
      </w:r>
    </w:p>
    <w:p>
      <w:pPr>
        <w:pStyle w:val="TextBody"/>
        <w:spacing w:before="0" w:after="0"/>
        <w:ind w:left="4320" w:right="0" w:hanging="0"/>
        <w:jc w:val="left"/>
        <w:rPr>
          <w:rFonts w:ascii="Times New Roman" w:hAnsi="Times New Roman"/>
          <w:sz w:val="20"/>
        </w:rPr>
      </w:pPr>
      <w:bookmarkStart w:id="599" w:name="TAB13"/>
      <w:bookmarkEnd w:id="599"/>
      <w:r>
        <w:rPr>
          <w:rFonts w:ascii="Times New Roman" w:hAnsi="Times New Roman"/>
          <w:sz w:val="20"/>
        </w:rPr>
        <w:t>Chairman, Chief Executive Officer and Principal Executive Officer</w:t>
      </w:r>
    </w:p>
    <w:p>
      <w:pPr>
        <w:pStyle w:val="TextBody"/>
        <w:spacing w:before="0" w:after="0"/>
        <w:ind w:left="4320" w:right="0" w:hanging="0"/>
        <w:jc w:val="left"/>
        <w:rPr>
          <w:rFonts w:ascii="Times New Roman" w:hAnsi="Times New Roman"/>
          <w:sz w:val="20"/>
        </w:rPr>
      </w:pPr>
      <w:bookmarkStart w:id="600" w:name="TAB14"/>
      <w:bookmarkEnd w:id="600"/>
      <w:r>
        <w:rPr>
          <w:rFonts w:ascii="Times New Roman" w:hAnsi="Times New Roman"/>
          <w:sz w:val="20"/>
        </w:rPr>
        <w:t>Date: April 13, 2010</w:t>
      </w:r>
    </w:p>
    <w:p>
      <w:pPr>
        <w:pStyle w:val="TextBody"/>
        <w:spacing w:before="0" w:after="0"/>
        <w:ind w:left="0" w:right="0" w:hanging="0"/>
        <w:jc w:val="both"/>
        <w:rPr/>
      </w:pPr>
      <w:r>
        <w:rPr/>
        <w:t> </w:t>
      </w:r>
    </w:p>
    <w:p>
      <w:pPr>
        <w:pStyle w:val="TextBody"/>
        <w:spacing w:before="0" w:after="0"/>
        <w:ind w:left="360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Tracy A. Moore</w:t>
      </w:r>
    </w:p>
    <w:p>
      <w:pPr>
        <w:pStyle w:val="TextBody"/>
        <w:spacing w:before="0" w:after="0"/>
        <w:ind w:left="4320" w:right="0" w:hanging="0"/>
        <w:jc w:val="left"/>
        <w:rPr>
          <w:rFonts w:ascii="Times New Roman" w:hAnsi="Times New Roman"/>
          <w:sz w:val="20"/>
        </w:rPr>
      </w:pPr>
      <w:bookmarkStart w:id="601" w:name="TAB15"/>
      <w:bookmarkEnd w:id="601"/>
      <w:r>
        <w:rPr>
          <w:rFonts w:ascii="Times New Roman" w:hAnsi="Times New Roman"/>
          <w:sz w:val="20"/>
        </w:rPr>
        <w:t>Tracy A. Moore</w:t>
      </w:r>
    </w:p>
    <w:p>
      <w:pPr>
        <w:pStyle w:val="TextBody"/>
        <w:spacing w:before="0" w:after="0"/>
        <w:ind w:left="4320" w:right="0" w:hanging="0"/>
        <w:jc w:val="left"/>
        <w:rPr>
          <w:rFonts w:ascii="Times New Roman" w:hAnsi="Times New Roman"/>
          <w:sz w:val="20"/>
        </w:rPr>
      </w:pPr>
      <w:bookmarkStart w:id="602" w:name="TAB16"/>
      <w:bookmarkEnd w:id="602"/>
      <w:r>
        <w:rPr>
          <w:rFonts w:ascii="Times New Roman" w:hAnsi="Times New Roman"/>
          <w:sz w:val="20"/>
        </w:rPr>
        <w:t>Secretary, Treasurer and Chief Financial Officer, Acting Principal Accounting Officer and a director</w:t>
      </w:r>
    </w:p>
    <w:p>
      <w:pPr>
        <w:pStyle w:val="TextBody"/>
        <w:spacing w:before="0" w:after="0"/>
        <w:ind w:left="4320" w:right="0" w:hanging="0"/>
        <w:jc w:val="left"/>
        <w:rPr>
          <w:rFonts w:ascii="Times New Roman" w:hAnsi="Times New Roman"/>
          <w:sz w:val="20"/>
        </w:rPr>
      </w:pPr>
      <w:bookmarkStart w:id="603" w:name="TAB17"/>
      <w:bookmarkEnd w:id="603"/>
      <w:r>
        <w:rPr>
          <w:rFonts w:ascii="Times New Roman" w:hAnsi="Times New Roman"/>
          <w:sz w:val="20"/>
        </w:rPr>
        <w:t>Date: April 13,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pPr>
      <w:r>
        <w:rPr/>
        <w:t> </w:t>
      </w:r>
    </w:p>
    <w:p>
      <w:pPr>
        <w:pStyle w:val="TextBody"/>
        <w:spacing w:before="0" w:after="0"/>
        <w:ind w:left="3600" w:right="0" w:hanging="0"/>
        <w:jc w:val="left"/>
        <w:rPr>
          <w:rFonts w:ascii="Times New Roman" w:hAnsi="Times New Roman"/>
          <w:sz w:val="20"/>
        </w:rPr>
      </w:pPr>
      <w:r>
        <w:rPr>
          <w:rFonts w:ascii="Times New Roman" w:hAnsi="Times New Roman"/>
          <w:sz w:val="20"/>
        </w:rPr>
        <w:t>By:           </w:t>
      </w:r>
      <w:r>
        <w:rPr>
          <w:rFonts w:ascii="Times New Roman" w:hAnsi="Times New Roman"/>
          <w:i/>
          <w:sz w:val="20"/>
          <w:u w:val="single"/>
        </w:rPr>
        <w:t>/s/ Denis Corin</w:t>
      </w:r>
    </w:p>
    <w:p>
      <w:pPr>
        <w:pStyle w:val="TextBody"/>
        <w:spacing w:before="0" w:after="0"/>
        <w:ind w:left="4320" w:right="0" w:hanging="0"/>
        <w:jc w:val="left"/>
        <w:rPr>
          <w:rFonts w:ascii="Times New Roman" w:hAnsi="Times New Roman"/>
          <w:sz w:val="20"/>
        </w:rPr>
      </w:pPr>
      <w:bookmarkStart w:id="604" w:name="TAB18"/>
      <w:bookmarkEnd w:id="604"/>
      <w:r>
        <w:rPr>
          <w:rFonts w:ascii="Times New Roman" w:hAnsi="Times New Roman"/>
          <w:sz w:val="20"/>
        </w:rPr>
        <w:t>Denis Corin</w:t>
      </w:r>
    </w:p>
    <w:p>
      <w:pPr>
        <w:pStyle w:val="TextBody"/>
        <w:spacing w:before="0" w:after="0"/>
        <w:ind w:left="4320" w:right="0" w:hanging="0"/>
        <w:jc w:val="left"/>
        <w:rPr>
          <w:rFonts w:ascii="Times New Roman" w:hAnsi="Times New Roman"/>
          <w:sz w:val="20"/>
        </w:rPr>
      </w:pPr>
      <w:bookmarkStart w:id="605" w:name="TAB19"/>
      <w:bookmarkEnd w:id="605"/>
      <w:r>
        <w:rPr>
          <w:rFonts w:ascii="Times New Roman" w:hAnsi="Times New Roman"/>
          <w:sz w:val="20"/>
        </w:rPr>
        <w:t>President and a director</w:t>
      </w:r>
    </w:p>
    <w:p>
      <w:pPr>
        <w:pStyle w:val="TextBody"/>
        <w:spacing w:before="0" w:after="0"/>
        <w:ind w:left="4320" w:right="0" w:hanging="0"/>
        <w:jc w:val="left"/>
        <w:rPr>
          <w:rFonts w:ascii="Times New Roman" w:hAnsi="Times New Roman"/>
          <w:sz w:val="20"/>
        </w:rPr>
      </w:pPr>
      <w:bookmarkStart w:id="606" w:name="TAB110"/>
      <w:bookmarkEnd w:id="606"/>
      <w:r>
        <w:rPr>
          <w:rFonts w:ascii="Times New Roman" w:hAnsi="Times New Roman"/>
          <w:sz w:val="20"/>
        </w:rPr>
        <w:t>Date: April 13, 2010</w:t>
      </w:r>
    </w:p>
    <w:p>
      <w:pPr>
        <w:pStyle w:val="TextBody"/>
        <w:spacing w:before="0" w:after="0"/>
        <w:ind w:left="3600" w:right="0" w:hanging="0"/>
        <w:jc w:val="left"/>
        <w:rPr/>
      </w:pPr>
      <w:r>
        <w:rPr/>
        <w:t> </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607" w:name="exhibit31-1.htm"/>
      <w:bookmarkStart w:id="608" w:name="ksexhibit311"/>
      <w:bookmarkEnd w:id="607"/>
      <w:bookmarkEnd w:id="608"/>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Glynn Wilson,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09" w:name="hangingindent57"/>
      <w:bookmarkStart w:id="610" w:name="hangingindent57"/>
      <w:bookmarkEnd w:id="610"/>
    </w:p>
    <w:tbl>
      <w:tblPr>
        <w:tblW w:w="5000" w:type="pct"/>
        <w:jc w:val="center"/>
        <w:tblInd w:w="0" w:type="dxa"/>
        <w:tblCellMar>
          <w:top w:w="0" w:type="dxa"/>
          <w:left w:w="0" w:type="dxa"/>
          <w:bottom w:w="0" w:type="dxa"/>
          <w:right w:w="0" w:type="dxa"/>
        </w:tblCellMar>
      </w:tblPr>
      <w:tblGrid>
        <w:gridCol w:w="302"/>
        <w:gridCol w:w="9903"/>
      </w:tblGrid>
      <w:tr>
        <w:trPr/>
        <w:tc>
          <w:tcPr>
            <w:tcW w:w="3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0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1" w:name="hangingindent58"/>
      <w:bookmarkStart w:id="612" w:name="hangingindent58"/>
      <w:bookmarkEnd w:id="612"/>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3" w:name="hangingindent59"/>
      <w:bookmarkStart w:id="614" w:name="hangingindent59"/>
      <w:bookmarkEnd w:id="614"/>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5" w:name="hangingindent60"/>
      <w:bookmarkStart w:id="616" w:name="hangingindent60"/>
      <w:bookmarkEnd w:id="616"/>
    </w:p>
    <w:tbl>
      <w:tblPr>
        <w:tblW w:w="5000" w:type="pct"/>
        <w:jc w:val="center"/>
        <w:tblInd w:w="0" w:type="dxa"/>
        <w:tblCellMar>
          <w:top w:w="0" w:type="dxa"/>
          <w:left w:w="0" w:type="dxa"/>
          <w:bottom w:w="0" w:type="dxa"/>
          <w:right w:w="0" w:type="dxa"/>
        </w:tblCellMar>
      </w:tblPr>
      <w:tblGrid>
        <w:gridCol w:w="148"/>
        <w:gridCol w:w="10057"/>
      </w:tblGrid>
      <w:tr>
        <w:trPr/>
        <w:tc>
          <w:tcPr>
            <w:tcW w:w="14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7" w:name="hangingindent61"/>
      <w:bookmarkStart w:id="618" w:name="hangingindent61"/>
      <w:bookmarkEnd w:id="618"/>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9" w:name="hangingindent62"/>
      <w:bookmarkStart w:id="620" w:name="hangingindent62"/>
      <w:bookmarkEnd w:id="620"/>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1" w:name="hangingindent63"/>
      <w:bookmarkStart w:id="622" w:name="hangingindent63"/>
      <w:bookmarkEnd w:id="622"/>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3" w:name="hangingindent64"/>
      <w:bookmarkStart w:id="624" w:name="hangingindent64"/>
      <w:bookmarkEnd w:id="624"/>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5" w:name="hangingindent65"/>
      <w:bookmarkStart w:id="626" w:name="hangingindent65"/>
      <w:bookmarkEnd w:id="626"/>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7" w:name="hangingindent66"/>
      <w:bookmarkStart w:id="628" w:name="hangingindent66"/>
      <w:bookmarkEnd w:id="628"/>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9" w:name="hangingindent67"/>
      <w:bookmarkStart w:id="630" w:name="hangingindent67"/>
      <w:bookmarkEnd w:id="630"/>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April 13,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Glynn Wilson</w:t>
      </w:r>
      <w:r>
        <w:rPr>
          <w:rFonts w:ascii="Times New Roman" w:hAnsi="Times New Roman"/>
          <w:i/>
          <w:sz w:val="20"/>
        </w:rPr>
        <w:t>________________________</w:t>
      </w:r>
    </w:p>
    <w:p>
      <w:pPr>
        <w:pStyle w:val="TextBody"/>
        <w:spacing w:before="0" w:after="0"/>
        <w:ind w:left="540" w:right="0" w:hanging="0"/>
        <w:jc w:val="left"/>
        <w:rPr>
          <w:rFonts w:ascii="Times New Roman" w:hAnsi="Times New Roman"/>
          <w:sz w:val="20"/>
        </w:rPr>
      </w:pPr>
      <w:bookmarkStart w:id="631" w:name="TAB111"/>
      <w:bookmarkEnd w:id="631"/>
      <w:r>
        <w:rPr>
          <w:rFonts w:ascii="Times New Roman" w:hAnsi="Times New Roman"/>
          <w:sz w:val="20"/>
        </w:rPr>
        <w:t>Glynn Wilson</w:t>
      </w:r>
    </w:p>
    <w:p>
      <w:pPr>
        <w:pStyle w:val="TextBody"/>
        <w:spacing w:before="0" w:after="0"/>
        <w:ind w:left="540" w:right="0" w:hanging="0"/>
        <w:jc w:val="left"/>
        <w:rPr>
          <w:rFonts w:ascii="Times New Roman" w:hAnsi="Times New Roman"/>
          <w:sz w:val="20"/>
        </w:rPr>
      </w:pPr>
      <w:bookmarkStart w:id="632" w:name="TAB112"/>
      <w:bookmarkEnd w:id="632"/>
      <w:r>
        <w:rPr>
          <w:rFonts w:ascii="Times New Roman" w:hAnsi="Times New Roman"/>
          <w:sz w:val="20"/>
        </w:rPr>
        <w:t>Chairman, Chief Executive Officer and</w:t>
      </w:r>
    </w:p>
    <w:p>
      <w:pPr>
        <w:pStyle w:val="TextBody"/>
        <w:spacing w:before="0" w:after="0"/>
        <w:ind w:left="540" w:right="0" w:hanging="0"/>
        <w:jc w:val="left"/>
        <w:rPr>
          <w:rFonts w:ascii="Times New Roman" w:hAnsi="Times New Roman"/>
          <w:sz w:val="20"/>
        </w:rPr>
      </w:pPr>
      <w:bookmarkStart w:id="633" w:name="TAB113"/>
      <w:bookmarkEnd w:id="633"/>
      <w:r>
        <w:rPr>
          <w:rFonts w:ascii="Times New Roman" w:hAnsi="Times New Roman"/>
          <w:sz w:val="20"/>
        </w:rPr>
        <w:t>Principal Executive Officer</w:t>
      </w:r>
    </w:p>
    <w:p>
      <w:pPr>
        <w:pStyle w:val="TextBody"/>
        <w:spacing w:before="0" w:after="0"/>
        <w:rPr/>
      </w:pPr>
      <w:r>
        <w:rPr/>
        <w:t> </w:t>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634" w:name="exhibit31-2.htm"/>
      <w:bookmarkStart w:id="635" w:name="ksexhibit312"/>
      <w:bookmarkEnd w:id="634"/>
      <w:bookmarkEnd w:id="635"/>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jc w:val="right"/>
        <w:rPr>
          <w:b/>
        </w:rPr>
      </w:pPr>
      <w:r>
        <w:rPr>
          <w:b/>
        </w:rPr>
        <w:t>Exhibit 31.2</w:t>
      </w:r>
    </w:p>
    <w:p>
      <w:pPr>
        <w:pStyle w:val="TextBody"/>
        <w:spacing w:before="0" w:after="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Tracy A. Moore,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36" w:name="hangingindent68"/>
      <w:bookmarkStart w:id="637" w:name="hangingindent68"/>
      <w:bookmarkEnd w:id="637"/>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 of TapImmune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8" w:name="hangingindent69"/>
      <w:bookmarkStart w:id="639" w:name="hangingindent69"/>
      <w:bookmarkEnd w:id="639"/>
    </w:p>
    <w:tbl>
      <w:tblPr>
        <w:tblW w:w="5000" w:type="pct"/>
        <w:jc w:val="center"/>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0" w:name="hangingindent70"/>
      <w:bookmarkStart w:id="641" w:name="hangingindent70"/>
      <w:bookmarkEnd w:id="641"/>
    </w:p>
    <w:tbl>
      <w:tblPr>
        <w:tblW w:w="5000" w:type="pct"/>
        <w:jc w:val="center"/>
        <w:tblInd w:w="0" w:type="dxa"/>
        <w:tblCellMar>
          <w:top w:w="0" w:type="dxa"/>
          <w:left w:w="0" w:type="dxa"/>
          <w:bottom w:w="0" w:type="dxa"/>
          <w:right w:w="0" w:type="dxa"/>
        </w:tblCellMar>
      </w:tblPr>
      <w:tblGrid>
        <w:gridCol w:w="143"/>
        <w:gridCol w:w="10062"/>
      </w:tblGrid>
      <w:tr>
        <w:trPr/>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2" w:name="hangingindent71"/>
      <w:bookmarkStart w:id="643" w:name="hangingindent71"/>
      <w:bookmarkEnd w:id="643"/>
    </w:p>
    <w:tbl>
      <w:tblPr>
        <w:tblW w:w="5000" w:type="pct"/>
        <w:jc w:val="center"/>
        <w:tblInd w:w="0" w:type="dxa"/>
        <w:tblCellMar>
          <w:top w:w="0" w:type="dxa"/>
          <w:left w:w="0" w:type="dxa"/>
          <w:bottom w:w="0" w:type="dxa"/>
          <w:right w:w="0" w:type="dxa"/>
        </w:tblCellMar>
      </w:tblPr>
      <w:tblGrid>
        <w:gridCol w:w="150"/>
        <w:gridCol w:w="10055"/>
      </w:tblGrid>
      <w:tr>
        <w:trPr/>
        <w:tc>
          <w:tcPr>
            <w:tcW w:w="15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5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4" w:name="hangingindent72"/>
      <w:bookmarkStart w:id="645" w:name="hangingindent72"/>
      <w:bookmarkEnd w:id="645"/>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6" w:name="hangingindent73"/>
      <w:bookmarkStart w:id="647" w:name="hangingindent73"/>
      <w:bookmarkEnd w:id="647"/>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8" w:name="hangingindent74"/>
      <w:bookmarkStart w:id="649" w:name="hangingindent74"/>
      <w:bookmarkEnd w:id="649"/>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0" w:name="hangingindent75"/>
      <w:bookmarkStart w:id="651" w:name="hangingindent75"/>
      <w:bookmarkEnd w:id="651"/>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2" w:name="hangingindent76"/>
      <w:bookmarkStart w:id="653" w:name="hangingindent76"/>
      <w:bookmarkEnd w:id="653"/>
    </w:p>
    <w:tbl>
      <w:tblPr>
        <w:tblW w:w="5000" w:type="pct"/>
        <w:jc w:val="center"/>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4" w:name="hangingindent77"/>
      <w:bookmarkStart w:id="655" w:name="hangingindent77"/>
      <w:bookmarkEnd w:id="655"/>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6" w:name="hangingindent78"/>
      <w:bookmarkStart w:id="657" w:name="hangingindent78"/>
      <w:bookmarkEnd w:id="657"/>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April 13,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w:t>
      </w:r>
      <w:r>
        <w:rPr>
          <w:rFonts w:ascii="Times New Roman" w:hAnsi="Times New Roman"/>
          <w:sz w:val="20"/>
          <w:u w:val="single"/>
        </w:rPr>
        <w:t>/s/ Tracy A. Moore</w:t>
      </w:r>
      <w:r>
        <w:rPr>
          <w:rFonts w:ascii="Times New Roman" w:hAnsi="Times New Roman"/>
          <w:i/>
          <w:sz w:val="20"/>
        </w:rPr>
        <w:t>________________________</w:t>
      </w:r>
    </w:p>
    <w:p>
      <w:pPr>
        <w:pStyle w:val="TextBody"/>
        <w:spacing w:before="0" w:after="0"/>
        <w:ind w:left="540" w:right="0" w:hanging="0"/>
        <w:jc w:val="both"/>
        <w:rPr/>
      </w:pPr>
      <w:bookmarkStart w:id="658" w:name="TAB114"/>
      <w:bookmarkEnd w:id="658"/>
      <w:r>
        <w:rPr/>
        <w:t xml:space="preserve">    </w:t>
      </w:r>
      <w:r>
        <w:rPr>
          <w:rFonts w:ascii="Times New Roman" w:hAnsi="Times New Roman"/>
          <w:sz w:val="20"/>
        </w:rPr>
        <w:t>Tracy A. Moore</w:t>
      </w:r>
    </w:p>
    <w:p>
      <w:pPr>
        <w:pStyle w:val="TextBody"/>
        <w:spacing w:before="0" w:after="0"/>
        <w:ind w:left="720" w:right="0" w:hanging="0"/>
        <w:jc w:val="left"/>
        <w:rPr>
          <w:rFonts w:ascii="Times New Roman" w:hAnsi="Times New Roman"/>
          <w:sz w:val="20"/>
        </w:rPr>
      </w:pPr>
      <w:bookmarkStart w:id="659" w:name="TAB115"/>
      <w:bookmarkEnd w:id="659"/>
      <w:r>
        <w:rPr>
          <w:rFonts w:ascii="Times New Roman" w:hAnsi="Times New Roman"/>
          <w:sz w:val="20"/>
        </w:rPr>
        <w:t>Secretary, Treasurer, Chief Financial Officer,</w:t>
      </w:r>
    </w:p>
    <w:p>
      <w:pPr>
        <w:pStyle w:val="TextBody"/>
        <w:spacing w:before="0" w:after="0"/>
        <w:ind w:left="720" w:right="0" w:hanging="0"/>
        <w:jc w:val="left"/>
        <w:rPr>
          <w:rFonts w:ascii="Times New Roman" w:hAnsi="Times New Roman"/>
          <w:sz w:val="20"/>
        </w:rPr>
      </w:pPr>
      <w:bookmarkStart w:id="660" w:name="TAB116"/>
      <w:bookmarkEnd w:id="660"/>
      <w:r>
        <w:rPr>
          <w:rFonts w:ascii="Times New Roman" w:hAnsi="Times New Roman"/>
          <w:sz w:val="20"/>
        </w:rPr>
        <w:t>Acting Principal Accounting Officer and a director</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661" w:name="exhibit32-1.htm"/>
      <w:bookmarkStart w:id="662" w:name="ksexhibit321"/>
      <w:bookmarkEnd w:id="661"/>
      <w:bookmarkEnd w:id="662"/>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Glynn Wilson, the Chief Executive Officer of TapImmune Inc. (the “Company”), hereby certifies, pursuant to 18 U.S.C. Section 1350, as adopted pursuant to Section 906 of the Sarbanes-Oxley Act of 2002, that, to his or her knowledge, the Annual Report on Form 10-K for the year ended December 31, 2009 fully complies with the requirements of Section 13(a) or 15(d) of the Securities Exchange Act of 1934, as amended, and that the information contained in the Annual Report on Form 10-K, as amended, fairly presents in all material respects the financial condition and results of operations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April 13,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Glynn Wilson</w:t>
      </w:r>
      <w:r>
        <w:rPr>
          <w:rFonts w:ascii="Times New Roman" w:hAnsi="Times New Roman"/>
          <w:sz w:val="20"/>
        </w:rPr>
        <w:t>________________________</w:t>
      </w:r>
    </w:p>
    <w:p>
      <w:pPr>
        <w:pStyle w:val="TextBody"/>
        <w:spacing w:before="0" w:after="0"/>
        <w:ind w:left="540" w:right="0" w:hanging="0"/>
        <w:jc w:val="left"/>
        <w:rPr>
          <w:rFonts w:ascii="Times New Roman" w:hAnsi="Times New Roman"/>
          <w:sz w:val="20"/>
        </w:rPr>
      </w:pPr>
      <w:bookmarkStart w:id="663" w:name="TAB117"/>
      <w:bookmarkEnd w:id="663"/>
      <w:r>
        <w:rPr>
          <w:rFonts w:ascii="Times New Roman" w:hAnsi="Times New Roman"/>
          <w:sz w:val="20"/>
        </w:rPr>
        <w:t>Glynn Wilson</w:t>
      </w:r>
    </w:p>
    <w:p>
      <w:pPr>
        <w:pStyle w:val="TextBody"/>
        <w:spacing w:before="0" w:after="0"/>
        <w:ind w:left="540" w:right="0" w:hanging="0"/>
        <w:jc w:val="left"/>
        <w:rPr>
          <w:rFonts w:ascii="Times New Roman" w:hAnsi="Times New Roman"/>
          <w:sz w:val="20"/>
        </w:rPr>
      </w:pPr>
      <w:bookmarkStart w:id="664" w:name="TAB118"/>
      <w:bookmarkEnd w:id="664"/>
      <w:r>
        <w:rPr>
          <w:rFonts w:ascii="Times New Roman" w:hAnsi="Times New Roman"/>
          <w:sz w:val="20"/>
        </w:rPr>
        <w:t>Chairman, Chief Executive Officer,</w:t>
      </w:r>
    </w:p>
    <w:p>
      <w:pPr>
        <w:pStyle w:val="TextBody"/>
        <w:spacing w:before="0" w:after="0"/>
        <w:ind w:left="540" w:right="0" w:hanging="0"/>
        <w:jc w:val="left"/>
        <w:rPr>
          <w:rFonts w:ascii="Times New Roman" w:hAnsi="Times New Roman"/>
          <w:sz w:val="20"/>
        </w:rPr>
      </w:pPr>
      <w:bookmarkStart w:id="665" w:name="TAB119"/>
      <w:bookmarkEnd w:id="665"/>
      <w:r>
        <w:rPr>
          <w:rFonts w:ascii="Times New Roman" w:hAnsi="Times New Roman"/>
          <w:sz w:val="20"/>
        </w:rPr>
        <w:t>Principal Executive Officer and a director</w:t>
      </w:r>
    </w:p>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666" w:name="exhibit32-2.htm"/>
      <w:bookmarkStart w:id="667" w:name="ksexhibit322"/>
      <w:bookmarkEnd w:id="666"/>
      <w:bookmarkEnd w:id="667"/>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Exhibit 32.2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ACTING PRINCIPAL ACCOUNTING OFFICER</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Tracy A. Moore, the Acting Principal Accounting Officer of TapImmune Inc. (the “Company”), hereby certifies, pursuant to 18 U.S.C. Section 1350, as adopted pursuant to Section 906 of the Sarbanes-Oxley Act of 2002, that, to his or her knowledge, the Annual Report on Form 10-K for the year ended December 31, 2009 fully complies with the requirements of Section 13(a) or 15(d) of the Securities Exchange Act of 1934, as amended, and that the information contained in the Annual Report on Form 10-K, as amended, fairly presents in all material respects the financial condition and results of operations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April 13, 2010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By:          </w:t>
      </w:r>
      <w:r>
        <w:rPr>
          <w:rFonts w:ascii="Times New Roman" w:hAnsi="Times New Roman"/>
          <w:sz w:val="20"/>
          <w:u w:val="single"/>
        </w:rPr>
        <w:t>/s/ Tracy Moore</w:t>
      </w:r>
      <w:r>
        <w:rPr>
          <w:rFonts w:ascii="Times New Roman" w:hAnsi="Times New Roman"/>
          <w:sz w:val="20"/>
        </w:rPr>
        <w:t>________________________</w:t>
      </w:r>
    </w:p>
    <w:p>
      <w:pPr>
        <w:pStyle w:val="TextBody"/>
        <w:spacing w:before="0" w:after="0"/>
        <w:ind w:left="720" w:right="0" w:hanging="0"/>
        <w:jc w:val="left"/>
        <w:rPr>
          <w:rFonts w:ascii="Times New Roman" w:hAnsi="Times New Roman"/>
          <w:sz w:val="20"/>
        </w:rPr>
      </w:pPr>
      <w:bookmarkStart w:id="668" w:name="TAB120"/>
      <w:bookmarkEnd w:id="668"/>
      <w:r>
        <w:rPr>
          <w:rFonts w:ascii="Times New Roman" w:hAnsi="Times New Roman"/>
          <w:sz w:val="20"/>
        </w:rPr>
        <w:t>Tracy A. Moore</w:t>
      </w:r>
    </w:p>
    <w:p>
      <w:pPr>
        <w:pStyle w:val="TextBody"/>
        <w:spacing w:before="0" w:after="0"/>
        <w:ind w:left="720" w:right="0" w:hanging="0"/>
        <w:jc w:val="left"/>
        <w:rPr>
          <w:rFonts w:ascii="Times New Roman" w:hAnsi="Times New Roman"/>
          <w:sz w:val="20"/>
        </w:rPr>
      </w:pPr>
      <w:bookmarkStart w:id="669" w:name="TAB121"/>
      <w:bookmarkEnd w:id="669"/>
      <w:r>
        <w:rPr>
          <w:rFonts w:ascii="Times New Roman" w:hAnsi="Times New Roman"/>
          <w:sz w:val="20"/>
        </w:rPr>
        <w:t>Secretary, Treasurer, Chief Financial Officer,</w:t>
      </w:r>
    </w:p>
    <w:p>
      <w:pPr>
        <w:pStyle w:val="TextBody"/>
        <w:spacing w:before="0" w:after="0"/>
        <w:ind w:left="720" w:right="0" w:hanging="0"/>
        <w:jc w:val="left"/>
        <w:rPr>
          <w:rFonts w:ascii="Times New Roman" w:hAnsi="Times New Roman"/>
          <w:sz w:val="20"/>
        </w:rPr>
      </w:pPr>
      <w:bookmarkStart w:id="670" w:name="TAB122"/>
      <w:bookmarkEnd w:id="670"/>
      <w:r>
        <w:rPr>
          <w:rFonts w:ascii="Times New Roman" w:hAnsi="Times New Roman"/>
          <w:sz w:val="20"/>
        </w:rPr>
        <w:t>Acting Principal Accounting Officer and a director</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29753</Words>
  <CharactersWithSpaces>194018</CharactersWithSpaces>
  <Paragraphs>8152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