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22,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77032</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5" w:lineRule="exact"/>
        <w:rPr>
          <w:sz w:val="20"/>
          <w:szCs w:val="20"/>
          <w:color w:val="auto"/>
        </w:rPr>
      </w:pPr>
    </w:p>
    <w:p>
      <w:pPr>
        <w:ind w:right="20" w:firstLine="648"/>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previously announced that the Company had separated Anthony Kim, Chief Financial Officer of the Company, effective September 30, 2022, as part of the Company’s capital conservation measures. In recognition of Mr. Kim’s service to the Company, the Company will provide Mr. Kim with severance benefits that are consistent with those contemplated by his Employment Agreement, dated as of November 27, 2018, by and between the Company and Mr. Kim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xml:space="preserve">”) upon Mr. Kim’s execution of a release agreement, the </w:t>
      </w:r>
      <w:hyperlink r:id="rId13">
        <w:r>
          <w:rPr>
            <w:rFonts w:ascii="Times New Roman" w:cs="Times New Roman" w:eastAsia="Times New Roman" w:hAnsi="Times New Roman"/>
            <w:sz w:val="18"/>
            <w:szCs w:val="18"/>
            <w:color w:val="auto"/>
          </w:rPr>
          <w:t xml:space="preserve">form of which is included in the Employment Agreement. The Employment Agreement was included as </w:t>
        </w:r>
        <w:r>
          <w:rPr>
            <w:rFonts w:ascii="Times New Roman" w:cs="Times New Roman" w:eastAsia="Times New Roman" w:hAnsi="Times New Roman"/>
            <w:sz w:val="18"/>
            <w:szCs w:val="18"/>
            <w:u w:val="single" w:color="auto"/>
            <w:color w:val="0000EE"/>
          </w:rPr>
          <w:t>Exhibit 10.3 to the Company’s Current Report on</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Form 8-K filed with the Securities and Exchange Commission on December 3, 2018</w:t>
        </w:r>
        <w:r>
          <w:rPr>
            <w:rFonts w:ascii="Times New Roman" w:cs="Times New Roman" w:eastAsia="Times New Roman" w:hAnsi="Times New Roman"/>
            <w:sz w:val="18"/>
            <w:szCs w:val="18"/>
            <w:color w:val="000000"/>
          </w:rPr>
          <w:t>,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27, 2022</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Peter Hoang</w:t>
            </w:r>
          </w:p>
        </w:tc>
      </w:tr>
      <w:tr>
        <w:trPr>
          <w:trHeight w:val="189"/>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Peter Hoang</w:t>
            </w:r>
          </w:p>
        </w:tc>
      </w:tr>
      <w:tr>
        <w:trPr>
          <w:trHeight w:val="236"/>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s://www.sec.gov/Archives/edgar/data/1094038/000114420418062867/tv508378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2022-09-27T07:47:07Z</dcterms:created>
  <dcterms:modified xsi:type="dcterms:W3CDTF">2022-09-27T07:47:07Z</dcterms:modified>
</cp:coreProperties>
</file>