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366395</wp:posOffset>
            </wp:positionV>
            <wp:extent cx="72745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4290"/>
                    </a:xfrm>
                    <a:prstGeom prst="rect">
                      <a:avLst/>
                    </a:prstGeom>
                    <a:noFill/>
                  </pic:spPr>
                </pic:pic>
              </a:graphicData>
            </a:graphic>
          </wp:anchor>
        </w:drawing>
        <w:t>As filed with the Securities and Exchange Commission on July 20, 2015</w:t>
      </w:r>
    </w:p>
    <w:p>
      <w:pPr>
        <w:spacing w:after="0" w:line="189" w:lineRule="exact"/>
        <w:rPr>
          <w:sz w:val="24"/>
          <w:szCs w:val="24"/>
          <w:color w:val="auto"/>
        </w:rPr>
      </w:pPr>
    </w:p>
    <w:p>
      <w:pPr>
        <w:ind w:left="9300"/>
        <w:spacing w:after="0"/>
        <w:rPr>
          <w:sz w:val="20"/>
          <w:szCs w:val="20"/>
          <w:color w:val="auto"/>
        </w:rPr>
      </w:pPr>
      <w:r>
        <w:rPr>
          <w:rFonts w:ascii="Arial" w:cs="Arial" w:eastAsia="Arial" w:hAnsi="Arial"/>
          <w:sz w:val="13"/>
          <w:szCs w:val="13"/>
          <w:color w:val="auto"/>
        </w:rPr>
        <w:t>Registration No. 333-___________</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 S-1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REGISTRATION STATEMENT UNDER THE SECURITIES ACT OF 1933</w:t>
      </w:r>
    </w:p>
    <w:p>
      <w:pPr>
        <w:spacing w:after="0" w:line="188" w:lineRule="exact"/>
        <w:rPr>
          <w:sz w:val="24"/>
          <w:szCs w:val="24"/>
          <w:color w:val="auto"/>
        </w:rPr>
      </w:pPr>
    </w:p>
    <w:tbl>
      <w:tblPr>
        <w:tblLayout w:type="fixed"/>
        <w:tblInd w:w="120" w:type="dxa"/>
        <w:tblCellMar>
          <w:top w:w="0" w:type="dxa"/>
          <w:left w:w="0" w:type="dxa"/>
          <w:bottom w:w="0" w:type="dxa"/>
          <w:right w:w="0" w:type="dxa"/>
        </w:tblCellMar>
      </w:tblPr>
      <w:tr>
        <w:trPr>
          <w:trHeight w:val="172"/>
        </w:trPr>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540" w:type="dxa"/>
            <w:vAlign w:val="bottom"/>
            <w:gridSpan w:val="8"/>
          </w:tcPr>
          <w:p>
            <w:pPr>
              <w:jc w:val="center"/>
              <w:ind w:right="4240"/>
              <w:spacing w:after="0"/>
              <w:rPr>
                <w:sz w:val="20"/>
                <w:szCs w:val="20"/>
                <w:color w:val="auto"/>
              </w:rPr>
            </w:pPr>
            <w:r>
              <w:rPr>
                <w:rFonts w:ascii="Arial" w:cs="Arial" w:eastAsia="Arial" w:hAnsi="Arial"/>
                <w:sz w:val="15"/>
                <w:szCs w:val="15"/>
                <w:b w:val="1"/>
                <w:bCs w:val="1"/>
                <w:color w:val="auto"/>
              </w:rPr>
              <w:t>TAPIMMUNE INC.</w:t>
            </w:r>
          </w:p>
        </w:tc>
      </w:tr>
      <w:tr>
        <w:trPr>
          <w:trHeight w:val="20"/>
        </w:trPr>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5"/>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80" w:type="dxa"/>
            <w:vAlign w:val="bottom"/>
            <w:gridSpan w:val="9"/>
          </w:tcPr>
          <w:p>
            <w:pPr>
              <w:jc w:val="center"/>
              <w:ind w:right="3160"/>
              <w:spacing w:after="0"/>
              <w:rPr>
                <w:sz w:val="20"/>
                <w:szCs w:val="20"/>
                <w:color w:val="auto"/>
              </w:rPr>
            </w:pPr>
            <w:r>
              <w:rPr>
                <w:rFonts w:ascii="Arial" w:cs="Arial" w:eastAsia="Arial" w:hAnsi="Arial"/>
                <w:sz w:val="15"/>
                <w:szCs w:val="15"/>
                <w:color w:val="auto"/>
                <w:w w:val="92"/>
              </w:rPr>
              <w:t>(Name of Issuer in Its Charter)</w:t>
            </w:r>
          </w:p>
        </w:tc>
      </w:tr>
      <w:tr>
        <w:trPr>
          <w:trHeight w:val="352"/>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Nevada</w:t>
            </w:r>
          </w:p>
        </w:tc>
        <w:tc>
          <w:tcPr>
            <w:tcW w:w="4640" w:type="dxa"/>
            <w:vAlign w:val="bottom"/>
            <w:gridSpan w:val="5"/>
          </w:tcPr>
          <w:p>
            <w:pPr>
              <w:spacing w:after="0"/>
              <w:rPr>
                <w:sz w:val="24"/>
                <w:szCs w:val="24"/>
                <w:color w:val="auto"/>
              </w:rPr>
            </w:pPr>
          </w:p>
        </w:tc>
      </w:tr>
      <w:tr>
        <w:trPr>
          <w:trHeight w:val="194"/>
        </w:trPr>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580" w:type="dxa"/>
            <w:vAlign w:val="bottom"/>
            <w:gridSpan w:val="9"/>
          </w:tcPr>
          <w:p>
            <w:pPr>
              <w:jc w:val="center"/>
              <w:ind w:right="3200"/>
              <w:spacing w:after="0"/>
              <w:rPr>
                <w:sz w:val="20"/>
                <w:szCs w:val="20"/>
                <w:color w:val="auto"/>
              </w:rPr>
            </w:pPr>
            <w:r>
              <w:rPr>
                <w:rFonts w:ascii="Arial" w:cs="Arial" w:eastAsia="Arial" w:hAnsi="Arial"/>
                <w:sz w:val="15"/>
                <w:szCs w:val="15"/>
                <w:color w:val="auto"/>
                <w:w w:val="93"/>
              </w:rPr>
              <w:t>(State or other jurisdiction of incorporation)</w:t>
            </w:r>
          </w:p>
        </w:tc>
      </w:tr>
      <w:tr>
        <w:trPr>
          <w:trHeight w:val="352"/>
        </w:trPr>
        <w:tc>
          <w:tcPr>
            <w:tcW w:w="16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9"/>
              </w:rPr>
              <w:t>2836</w:t>
            </w:r>
          </w:p>
        </w:tc>
        <w:tc>
          <w:tcPr>
            <w:tcW w:w="1980" w:type="dxa"/>
            <w:vAlign w:val="bottom"/>
          </w:tcPr>
          <w:p>
            <w:pPr>
              <w:spacing w:after="0"/>
              <w:rPr>
                <w:sz w:val="24"/>
                <w:szCs w:val="24"/>
                <w:color w:val="auto"/>
              </w:rPr>
            </w:pPr>
          </w:p>
        </w:tc>
        <w:tc>
          <w:tcPr>
            <w:tcW w:w="5160" w:type="dxa"/>
            <w:vAlign w:val="bottom"/>
            <w:gridSpan w:val="7"/>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9"/>
              </w:rPr>
              <w:t>88-0277072</w:t>
            </w:r>
          </w:p>
        </w:tc>
        <w:tc>
          <w:tcPr>
            <w:tcW w:w="680" w:type="dxa"/>
            <w:vAlign w:val="bottom"/>
          </w:tcPr>
          <w:p>
            <w:pPr>
              <w:spacing w:after="0"/>
              <w:rPr>
                <w:sz w:val="24"/>
                <w:szCs w:val="24"/>
                <w:color w:val="auto"/>
              </w:rPr>
            </w:pPr>
          </w:p>
        </w:tc>
      </w:tr>
      <w:tr>
        <w:trPr>
          <w:trHeight w:val="194"/>
        </w:trPr>
        <w:tc>
          <w:tcPr>
            <w:tcW w:w="3900" w:type="dxa"/>
            <w:vAlign w:val="bottom"/>
            <w:gridSpan w:val="3"/>
          </w:tcPr>
          <w:p>
            <w:pPr>
              <w:jc w:val="center"/>
              <w:ind w:right="380"/>
              <w:spacing w:after="0"/>
              <w:rPr>
                <w:sz w:val="20"/>
                <w:szCs w:val="20"/>
                <w:color w:val="auto"/>
              </w:rPr>
            </w:pPr>
            <w:r>
              <w:rPr>
                <w:rFonts w:ascii="Arial" w:cs="Arial" w:eastAsia="Arial" w:hAnsi="Arial"/>
                <w:sz w:val="15"/>
                <w:szCs w:val="15"/>
                <w:color w:val="auto"/>
                <w:w w:val="92"/>
              </w:rPr>
              <w:t>(Primary Standard Industrial Classification Code Number)</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40" w:type="dxa"/>
            <w:vAlign w:val="bottom"/>
            <w:gridSpan w:val="3"/>
          </w:tcPr>
          <w:p>
            <w:pPr>
              <w:jc w:val="center"/>
              <w:ind w:left="2085"/>
              <w:spacing w:after="0"/>
              <w:rPr>
                <w:sz w:val="20"/>
                <w:szCs w:val="20"/>
                <w:color w:val="auto"/>
              </w:rPr>
            </w:pPr>
            <w:r>
              <w:rPr>
                <w:rFonts w:ascii="Arial" w:cs="Arial" w:eastAsia="Arial" w:hAnsi="Arial"/>
                <w:sz w:val="15"/>
                <w:szCs w:val="15"/>
                <w:color w:val="auto"/>
                <w:w w:val="95"/>
              </w:rPr>
              <w:t>(IRS Employer Identification No.)</w:t>
            </w:r>
          </w:p>
        </w:tc>
      </w:tr>
      <w:tr>
        <w:trPr>
          <w:trHeight w:val="349"/>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80" w:type="dxa"/>
            <w:vAlign w:val="bottom"/>
            <w:gridSpan w:val="9"/>
          </w:tcPr>
          <w:p>
            <w:pPr>
              <w:jc w:val="center"/>
              <w:ind w:right="3180"/>
              <w:spacing w:after="0"/>
              <w:rPr>
                <w:sz w:val="20"/>
                <w:szCs w:val="20"/>
                <w:color w:val="auto"/>
              </w:rPr>
            </w:pPr>
            <w:r>
              <w:rPr>
                <w:rFonts w:ascii="Arial" w:cs="Arial" w:eastAsia="Arial" w:hAnsi="Arial"/>
                <w:sz w:val="15"/>
                <w:szCs w:val="15"/>
                <w:b w:val="1"/>
                <w:bCs w:val="1"/>
                <w:color w:val="auto"/>
                <w:w w:val="89"/>
              </w:rPr>
              <w:t>1551 Eastlake Avenue East,</w:t>
            </w:r>
          </w:p>
        </w:tc>
      </w:tr>
      <w:tr>
        <w:trPr>
          <w:trHeight w:val="181"/>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580" w:type="dxa"/>
            <w:vAlign w:val="bottom"/>
            <w:gridSpan w:val="9"/>
          </w:tcPr>
          <w:p>
            <w:pPr>
              <w:jc w:val="center"/>
              <w:ind w:right="3200"/>
              <w:spacing w:after="0"/>
              <w:rPr>
                <w:sz w:val="20"/>
                <w:szCs w:val="20"/>
                <w:color w:val="auto"/>
              </w:rPr>
            </w:pPr>
            <w:r>
              <w:rPr>
                <w:rFonts w:ascii="Arial" w:cs="Arial" w:eastAsia="Arial" w:hAnsi="Arial"/>
                <w:sz w:val="15"/>
                <w:szCs w:val="15"/>
                <w:b w:val="1"/>
                <w:bCs w:val="1"/>
                <w:color w:val="auto"/>
                <w:w w:val="90"/>
              </w:rPr>
              <w:t>Suite 100, Seattle, WA</w:t>
            </w:r>
          </w:p>
        </w:tc>
      </w:tr>
      <w:tr>
        <w:trPr>
          <w:trHeight w:val="162"/>
        </w:trPr>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gridSpan w:val="2"/>
          </w:tcPr>
          <w:p>
            <w:pPr>
              <w:spacing w:after="0"/>
              <w:rPr>
                <w:sz w:val="14"/>
                <w:szCs w:val="14"/>
                <w:color w:val="auto"/>
              </w:rPr>
            </w:pPr>
          </w:p>
        </w:tc>
        <w:tc>
          <w:tcPr>
            <w:tcW w:w="940" w:type="dxa"/>
            <w:vAlign w:val="bottom"/>
            <w:tcBorders>
              <w:bottom w:val="single" w:sz="8" w:color="auto"/>
            </w:tcBorders>
            <w:gridSpan w:val="3"/>
          </w:tcPr>
          <w:p>
            <w:pPr>
              <w:jc w:val="right"/>
              <w:spacing w:after="0" w:line="161" w:lineRule="exact"/>
              <w:rPr>
                <w:sz w:val="20"/>
                <w:szCs w:val="20"/>
                <w:color w:val="auto"/>
              </w:rPr>
            </w:pPr>
            <w:r>
              <w:rPr>
                <w:rFonts w:ascii="Arial" w:cs="Arial" w:eastAsia="Arial" w:hAnsi="Arial"/>
                <w:sz w:val="15"/>
                <w:szCs w:val="15"/>
                <w:b w:val="1"/>
                <w:bCs w:val="1"/>
                <w:color w:val="auto"/>
                <w:w w:val="89"/>
              </w:rPr>
              <w:t>(206) 504-7278</w:t>
            </w:r>
          </w:p>
        </w:tc>
        <w:tc>
          <w:tcPr>
            <w:tcW w:w="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including zip code, and telephone number, including area code, of registrant’s principal executive offices)</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Sierra Corporate Services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100 West Liberty Street, 10th Floor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Reno, Nevada 89501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(Name, Address, Including Zip Code, and Telephone Number,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Including Area Code, of Agent for Service)</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Copies to:</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William S. Rosenstadt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Sanders Ortoli Vaughn-Flam Rosenstadt LLP</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501 Madison Avenue – 14th Floor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New York, NY 10022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Telephone: 212-588-0022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Fax: 212-826-9307</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As soon as practicable after this registration statement becomes effective.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Approximate date of commencement of proposed sale to the public</w:t>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x</w:t>
      </w:r>
    </w:p>
    <w:p>
      <w:pPr>
        <w:spacing w:after="0" w:line="201" w:lineRule="exact"/>
        <w:rPr>
          <w:sz w:val="24"/>
          <w:szCs w:val="24"/>
          <w:color w:val="auto"/>
        </w:rPr>
      </w:pPr>
    </w:p>
    <w:p>
      <w:pPr>
        <w:ind w:right="240"/>
        <w:spacing w:after="0" w:line="276"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46" w:lineRule="exact"/>
        <w:rPr>
          <w:sz w:val="24"/>
          <w:szCs w:val="24"/>
          <w:color w:val="auto"/>
        </w:rPr>
      </w:pPr>
    </w:p>
    <w:p>
      <w:pPr>
        <w:ind w:right="140"/>
        <w:spacing w:after="0" w:line="276" w:lineRule="auto"/>
        <w:rPr>
          <w:sz w:val="20"/>
          <w:szCs w:val="20"/>
          <w:color w:val="auto"/>
        </w:rPr>
      </w:pPr>
      <w:r>
        <w:rPr>
          <w:rFonts w:ascii="Arial" w:cs="Arial" w:eastAsia="Arial" w:hAnsi="Arial"/>
          <w:sz w:val="15"/>
          <w:szCs w:val="15"/>
          <w:color w:val="auto"/>
        </w:rPr>
        <w:t>If this Form is a post-effective amendment filed pursuant to Rule 462(c) under the Securities Act of 1933, check the following box and list the Securities Act registration statement number of the earlier effective registration statement for the same offering. o</w:t>
      </w:r>
    </w:p>
    <w:p>
      <w:pPr>
        <w:spacing w:after="0" w:line="146" w:lineRule="exact"/>
        <w:rPr>
          <w:sz w:val="24"/>
          <w:szCs w:val="24"/>
          <w:color w:val="auto"/>
        </w:rPr>
      </w:pPr>
    </w:p>
    <w:p>
      <w:pPr>
        <w:ind w:right="140"/>
        <w:spacing w:after="0" w:line="276" w:lineRule="auto"/>
        <w:rPr>
          <w:sz w:val="20"/>
          <w:szCs w:val="20"/>
          <w:color w:val="auto"/>
        </w:rPr>
      </w:pPr>
      <w:r>
        <w:rPr>
          <w:rFonts w:ascii="Arial" w:cs="Arial" w:eastAsia="Arial" w:hAnsi="Arial"/>
          <w:sz w:val="15"/>
          <w:szCs w:val="15"/>
          <w:color w:val="auto"/>
        </w:rPr>
        <w:t>If this Form is a post-effective amendment filed pursuant to Rule 462(d) under the Securities Act of 1933, check the following box and list the Securities Act registration statement number of the earlier effective registration statement for the same offering. o</w:t>
      </w:r>
    </w:p>
    <w:p>
      <w:pPr>
        <w:spacing w:after="0" w:line="146" w:lineRule="exact"/>
        <w:rPr>
          <w:sz w:val="24"/>
          <w:szCs w:val="24"/>
          <w:color w:val="auto"/>
        </w:rPr>
      </w:pPr>
    </w:p>
    <w:p>
      <w:pPr>
        <w:ind w:right="40"/>
        <w:spacing w:after="0" w:line="27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ind w:left="540"/>
              <w:spacing w:after="0"/>
              <w:rPr>
                <w:sz w:val="20"/>
                <w:szCs w:val="20"/>
                <w:color w:val="auto"/>
              </w:rPr>
            </w:pPr>
            <w:r>
              <w:rPr>
                <w:rFonts w:ascii="Arial" w:cs="Arial" w:eastAsia="Arial" w:hAnsi="Arial"/>
                <w:sz w:val="15"/>
                <w:szCs w:val="15"/>
                <w:color w:val="auto"/>
              </w:rPr>
              <w:t>Large accelerated filer o</w:t>
            </w:r>
          </w:p>
        </w:tc>
        <w:tc>
          <w:tcPr>
            <w:tcW w:w="5720" w:type="dxa"/>
            <w:vAlign w:val="bottom"/>
          </w:tcPr>
          <w:p>
            <w:pPr>
              <w:ind w:left="960"/>
              <w:spacing w:after="0"/>
              <w:rPr>
                <w:sz w:val="20"/>
                <w:szCs w:val="20"/>
                <w:color w:val="auto"/>
              </w:rPr>
            </w:pPr>
            <w:r>
              <w:rPr>
                <w:rFonts w:ascii="Arial" w:cs="Arial" w:eastAsia="Arial" w:hAnsi="Arial"/>
                <w:sz w:val="15"/>
                <w:szCs w:val="15"/>
                <w:color w:val="auto"/>
              </w:rPr>
              <w:t>Accelerated filer o</w:t>
            </w:r>
          </w:p>
        </w:tc>
      </w:tr>
      <w:tr>
        <w:trPr>
          <w:trHeight w:val="190"/>
        </w:trPr>
        <w:tc>
          <w:tcPr>
            <w:tcW w:w="5720" w:type="dxa"/>
            <w:vAlign w:val="bottom"/>
          </w:tcPr>
          <w:p>
            <w:pPr>
              <w:ind w:left="540"/>
              <w:spacing w:after="0"/>
              <w:rPr>
                <w:sz w:val="20"/>
                <w:szCs w:val="20"/>
                <w:color w:val="auto"/>
              </w:rPr>
            </w:pPr>
            <w:r>
              <w:rPr>
                <w:rFonts w:ascii="Arial" w:cs="Arial" w:eastAsia="Arial" w:hAnsi="Arial"/>
                <w:sz w:val="15"/>
                <w:szCs w:val="15"/>
                <w:color w:val="auto"/>
              </w:rPr>
              <w:t>Non-accelerated filer o (Do not check if a smaller reporting company)</w:t>
            </w:r>
          </w:p>
        </w:tc>
        <w:tc>
          <w:tcPr>
            <w:tcW w:w="5720" w:type="dxa"/>
            <w:vAlign w:val="bottom"/>
          </w:tcPr>
          <w:p>
            <w:pPr>
              <w:ind w:left="960"/>
              <w:spacing w:after="0"/>
              <w:rPr>
                <w:sz w:val="20"/>
                <w:szCs w:val="20"/>
                <w:color w:val="auto"/>
              </w:rPr>
            </w:pPr>
            <w:r>
              <w:rPr>
                <w:rFonts w:ascii="Arial" w:cs="Arial" w:eastAsia="Arial" w:hAnsi="Arial"/>
                <w:sz w:val="15"/>
                <w:szCs w:val="15"/>
                <w:color w:val="auto"/>
              </w:rPr>
              <w:t>Smaller reporting company x</w:t>
            </w:r>
          </w:p>
        </w:tc>
      </w:tr>
      <w:tr>
        <w:trPr>
          <w:trHeight w:val="1117"/>
        </w:trPr>
        <w:tc>
          <w:tcPr>
            <w:tcW w:w="572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02" w:right="2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920" w:type="dxa"/>
            <w:vAlign w:val="bottom"/>
            <w:gridSpan w:val="6"/>
          </w:tcPr>
          <w:p>
            <w:pPr>
              <w:jc w:val="right"/>
              <w:ind w:right="385"/>
              <w:spacing w:after="0"/>
              <w:rPr>
                <w:sz w:val="20"/>
                <w:szCs w:val="20"/>
                <w:color w:val="auto"/>
              </w:rPr>
            </w:pPr>
            <w:r>
              <w:rPr>
                <w:rFonts w:ascii="Arial" w:cs="Arial" w:eastAsia="Arial" w:hAnsi="Arial"/>
                <w:sz w:val="15"/>
                <w:szCs w:val="15"/>
                <w:b w:val="1"/>
                <w:bCs w:val="1"/>
                <w:color w:val="auto"/>
              </w:rPr>
              <w:t>CALCULATION OF REGISTRATION FEE</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6"/>
              </w:rPr>
              <w:t>Proposed</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5"/>
              </w:rPr>
              <w:t>Maximum</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center"/>
              <w:ind w:right="785"/>
              <w:spacing w:after="0"/>
              <w:rPr>
                <w:sz w:val="20"/>
                <w:szCs w:val="20"/>
                <w:color w:val="auto"/>
              </w:rPr>
            </w:pPr>
            <w:r>
              <w:rPr>
                <w:rFonts w:ascii="Arial" w:cs="Arial" w:eastAsia="Arial" w:hAnsi="Arial"/>
                <w:sz w:val="15"/>
                <w:szCs w:val="15"/>
                <w:b w:val="1"/>
                <w:bCs w:val="1"/>
                <w:color w:val="auto"/>
                <w:w w:val="86"/>
              </w:rPr>
              <w:t>Proposed</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Offering</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center"/>
              <w:ind w:right="765"/>
              <w:spacing w:after="0"/>
              <w:rPr>
                <w:sz w:val="20"/>
                <w:szCs w:val="20"/>
                <w:color w:val="auto"/>
              </w:rPr>
            </w:pPr>
            <w:r>
              <w:rPr>
                <w:rFonts w:ascii="Arial" w:cs="Arial" w:eastAsia="Arial" w:hAnsi="Arial"/>
                <w:sz w:val="15"/>
                <w:szCs w:val="15"/>
                <w:b w:val="1"/>
                <w:bCs w:val="1"/>
                <w:color w:val="auto"/>
                <w:w w:val="95"/>
              </w:rPr>
              <w:t>Maximum</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Price</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center"/>
              <w:ind w:right="765"/>
              <w:spacing w:after="0"/>
              <w:rPr>
                <w:sz w:val="20"/>
                <w:szCs w:val="20"/>
                <w:color w:val="auto"/>
              </w:rPr>
            </w:pPr>
            <w:r>
              <w:rPr>
                <w:rFonts w:ascii="Arial" w:cs="Arial" w:eastAsia="Arial" w:hAnsi="Arial"/>
                <w:sz w:val="15"/>
                <w:szCs w:val="15"/>
                <w:b w:val="1"/>
                <w:bCs w:val="1"/>
                <w:color w:val="auto"/>
                <w:w w:val="88"/>
              </w:rPr>
              <w:t>Aggregate</w:t>
            </w: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Amount of</w:t>
            </w:r>
          </w:p>
        </w:tc>
      </w:tr>
      <w:tr>
        <w:trPr>
          <w:trHeight w:val="181"/>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ind w:left="240"/>
              <w:spacing w:after="0"/>
              <w:rPr>
                <w:sz w:val="20"/>
                <w:szCs w:val="20"/>
                <w:color w:val="auto"/>
              </w:rPr>
            </w:pPr>
            <w:r>
              <w:rPr>
                <w:rFonts w:ascii="Arial" w:cs="Arial" w:eastAsia="Arial" w:hAnsi="Arial"/>
                <w:sz w:val="15"/>
                <w:szCs w:val="15"/>
                <w:b w:val="1"/>
                <w:bCs w:val="1"/>
                <w:color w:val="auto"/>
              </w:rPr>
              <w:t>Amount to Be</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0"/>
              </w:rPr>
              <w:t>Per</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center"/>
              <w:ind w:right="785"/>
              <w:spacing w:after="0"/>
              <w:rPr>
                <w:sz w:val="20"/>
                <w:szCs w:val="20"/>
                <w:color w:val="auto"/>
              </w:rPr>
            </w:pPr>
            <w:r>
              <w:rPr>
                <w:rFonts w:ascii="Arial" w:cs="Arial" w:eastAsia="Arial" w:hAnsi="Arial"/>
                <w:sz w:val="15"/>
                <w:szCs w:val="15"/>
                <w:b w:val="1"/>
                <w:bCs w:val="1"/>
                <w:color w:val="auto"/>
                <w:w w:val="95"/>
              </w:rPr>
              <w:t>Offering</w:t>
            </w:r>
          </w:p>
        </w:tc>
        <w:tc>
          <w:tcPr>
            <w:tcW w:w="116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1"/>
              </w:rPr>
              <w:t>Registration</w:t>
            </w:r>
          </w:p>
        </w:tc>
      </w:tr>
      <w:tr>
        <w:trPr>
          <w:trHeight w:val="195"/>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Title of Each Class of Securities to Be Registered</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Registered</w:t>
            </w:r>
          </w:p>
        </w:tc>
        <w:tc>
          <w:tcPr>
            <w:tcW w:w="240" w:type="dxa"/>
            <w:vAlign w:val="bottom"/>
            <w:gridSpan w:val="2"/>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Security (1)</w:t>
            </w:r>
          </w:p>
        </w:tc>
        <w:tc>
          <w:tcPr>
            <w:tcW w:w="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5"/>
              <w:spacing w:after="0"/>
              <w:rPr>
                <w:sz w:val="20"/>
                <w:szCs w:val="20"/>
                <w:color w:val="auto"/>
              </w:rPr>
            </w:pPr>
            <w:r>
              <w:rPr>
                <w:rFonts w:ascii="Arial" w:cs="Arial" w:eastAsia="Arial" w:hAnsi="Arial"/>
                <w:sz w:val="15"/>
                <w:szCs w:val="15"/>
                <w:b w:val="1"/>
                <w:bCs w:val="1"/>
                <w:color w:val="auto"/>
                <w:w w:val="91"/>
              </w:rPr>
              <w:t>Price (1)</w:t>
            </w:r>
          </w:p>
        </w:tc>
        <w:tc>
          <w:tcPr>
            <w:tcW w:w="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05"/>
              <w:spacing w:after="0"/>
              <w:rPr>
                <w:sz w:val="20"/>
                <w:szCs w:val="20"/>
                <w:color w:val="auto"/>
              </w:rPr>
            </w:pPr>
            <w:r>
              <w:rPr>
                <w:rFonts w:ascii="Arial" w:cs="Arial" w:eastAsia="Arial" w:hAnsi="Arial"/>
                <w:sz w:val="15"/>
                <w:szCs w:val="15"/>
                <w:b w:val="1"/>
                <w:bCs w:val="1"/>
                <w:color w:val="auto"/>
                <w:w w:val="90"/>
              </w:rPr>
              <w:t>Fee (1)</w:t>
            </w:r>
          </w:p>
        </w:tc>
        <w:tc>
          <w:tcPr>
            <w:tcW w:w="20" w:type="dxa"/>
            <w:vAlign w:val="bottom"/>
          </w:tcPr>
          <w:p>
            <w:pPr>
              <w:spacing w:after="0"/>
              <w:rPr>
                <w:sz w:val="16"/>
                <w:szCs w:val="16"/>
                <w:color w:val="auto"/>
              </w:rPr>
            </w:pPr>
          </w:p>
        </w:tc>
      </w:tr>
      <w:tr>
        <w:trPr>
          <w:trHeight w:val="20"/>
        </w:trPr>
        <w:tc>
          <w:tcPr>
            <w:tcW w:w="37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Series B Warrants</w:t>
            </w: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7,320,000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jc w:val="right"/>
              <w:ind w:right="985"/>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3"/>
                <w:szCs w:val="13"/>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top w:val="single" w:sz="8" w:color="auto"/>
            </w:tcBorders>
          </w:tcPr>
          <w:p>
            <w:pPr>
              <w:jc w:val="right"/>
              <w:ind w:right="5"/>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5"/>
                <w:szCs w:val="15"/>
                <w:color w:val="auto"/>
              </w:rPr>
              <w:t>671.96</w:t>
            </w:r>
          </w:p>
        </w:tc>
        <w:tc>
          <w:tcPr>
            <w:tcW w:w="20" w:type="dxa"/>
            <w:vAlign w:val="bottom"/>
          </w:tcPr>
          <w:p>
            <w:pPr>
              <w:spacing w:after="0"/>
              <w:rPr>
                <w:sz w:val="13"/>
                <w:szCs w:val="13"/>
                <w:color w:val="auto"/>
              </w:rPr>
            </w:pPr>
          </w:p>
        </w:tc>
      </w:tr>
      <w:tr>
        <w:trPr>
          <w:trHeight w:val="181"/>
        </w:trPr>
        <w:tc>
          <w:tcPr>
            <w:tcW w:w="3700" w:type="dxa"/>
            <w:vAlign w:val="bottom"/>
            <w:gridSpan w:val="2"/>
          </w:tcPr>
          <w:p>
            <w:pPr>
              <w:spacing w:after="0"/>
              <w:rPr>
                <w:sz w:val="20"/>
                <w:szCs w:val="20"/>
                <w:color w:val="auto"/>
              </w:rPr>
            </w:pPr>
            <w:r>
              <w:rPr>
                <w:rFonts w:ascii="Arial" w:cs="Arial" w:eastAsia="Arial" w:hAnsi="Arial"/>
                <w:sz w:val="15"/>
                <w:szCs w:val="15"/>
                <w:color w:val="auto"/>
              </w:rPr>
              <w:t>Series C Warrants</w:t>
            </w:r>
          </w:p>
        </w:tc>
        <w:tc>
          <w:tcPr>
            <w:tcW w:w="2560" w:type="dxa"/>
            <w:vAlign w:val="bottom"/>
            <w:gridSpan w:val="4"/>
          </w:tcPr>
          <w:p>
            <w:pPr>
              <w:jc w:val="right"/>
              <w:ind w:right="20"/>
              <w:spacing w:after="0"/>
              <w:rPr>
                <w:sz w:val="20"/>
                <w:szCs w:val="20"/>
                <w:color w:val="auto"/>
              </w:rPr>
            </w:pPr>
            <w:r>
              <w:rPr>
                <w:rFonts w:ascii="Arial" w:cs="Arial" w:eastAsia="Arial" w:hAnsi="Arial"/>
                <w:sz w:val="15"/>
                <w:szCs w:val="15"/>
                <w:color w:val="auto"/>
              </w:rPr>
              <w:t>7,320,000</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5"/>
                <w:szCs w:val="15"/>
                <w:color w:val="auto"/>
              </w:rPr>
              <w:t>671.96</w:t>
            </w:r>
          </w:p>
        </w:tc>
      </w:tr>
      <w:tr>
        <w:trPr>
          <w:trHeight w:val="181"/>
        </w:trPr>
        <w:tc>
          <w:tcPr>
            <w:tcW w:w="3700" w:type="dxa"/>
            <w:vAlign w:val="bottom"/>
            <w:gridSpan w:val="2"/>
          </w:tcPr>
          <w:p>
            <w:pPr>
              <w:spacing w:after="0"/>
              <w:rPr>
                <w:sz w:val="20"/>
                <w:szCs w:val="20"/>
                <w:color w:val="auto"/>
              </w:rPr>
            </w:pPr>
            <w:r>
              <w:rPr>
                <w:rFonts w:ascii="Arial" w:cs="Arial" w:eastAsia="Arial" w:hAnsi="Arial"/>
                <w:sz w:val="15"/>
                <w:szCs w:val="15"/>
                <w:color w:val="auto"/>
              </w:rPr>
              <w:t>Series B-1 Warrants</w:t>
            </w:r>
          </w:p>
        </w:tc>
        <w:tc>
          <w:tcPr>
            <w:tcW w:w="2560" w:type="dxa"/>
            <w:vAlign w:val="bottom"/>
            <w:gridSpan w:val="4"/>
          </w:tcPr>
          <w:p>
            <w:pPr>
              <w:jc w:val="right"/>
              <w:ind w:right="20"/>
              <w:spacing w:after="0"/>
              <w:rPr>
                <w:sz w:val="20"/>
                <w:szCs w:val="20"/>
                <w:color w:val="auto"/>
              </w:rPr>
            </w:pPr>
            <w:r>
              <w:rPr>
                <w:rFonts w:ascii="Arial" w:cs="Arial" w:eastAsia="Arial" w:hAnsi="Arial"/>
                <w:sz w:val="15"/>
                <w:szCs w:val="15"/>
                <w:color w:val="auto"/>
              </w:rPr>
              <w:t>5,000,000</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5"/>
                <w:szCs w:val="15"/>
                <w:color w:val="auto"/>
              </w:rPr>
              <w:t>458.99</w:t>
            </w:r>
          </w:p>
        </w:tc>
      </w:tr>
      <w:tr>
        <w:trPr>
          <w:trHeight w:val="194"/>
        </w:trPr>
        <w:tc>
          <w:tcPr>
            <w:tcW w:w="3700" w:type="dxa"/>
            <w:vAlign w:val="bottom"/>
            <w:gridSpan w:val="2"/>
          </w:tcPr>
          <w:p>
            <w:pPr>
              <w:spacing w:after="0"/>
              <w:rPr>
                <w:sz w:val="20"/>
                <w:szCs w:val="20"/>
                <w:color w:val="auto"/>
              </w:rPr>
            </w:pPr>
            <w:r>
              <w:rPr>
                <w:rFonts w:ascii="Arial" w:cs="Arial" w:eastAsia="Arial" w:hAnsi="Arial"/>
                <w:sz w:val="15"/>
                <w:szCs w:val="15"/>
                <w:color w:val="auto"/>
              </w:rPr>
              <w:t>Common Stock</w:t>
            </w:r>
          </w:p>
        </w:tc>
        <w:tc>
          <w:tcPr>
            <w:tcW w:w="2560" w:type="dxa"/>
            <w:vAlign w:val="bottom"/>
            <w:gridSpan w:val="4"/>
          </w:tcPr>
          <w:p>
            <w:pPr>
              <w:jc w:val="right"/>
              <w:ind w:right="20"/>
              <w:spacing w:after="0"/>
              <w:rPr>
                <w:sz w:val="20"/>
                <w:szCs w:val="20"/>
                <w:color w:val="auto"/>
              </w:rPr>
            </w:pPr>
            <w:r>
              <w:rPr>
                <w:rFonts w:ascii="Arial" w:cs="Arial" w:eastAsia="Arial" w:hAnsi="Arial"/>
                <w:sz w:val="15"/>
                <w:szCs w:val="15"/>
                <w:color w:val="auto"/>
              </w:rPr>
              <w:t>5,000,000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5"/>
                <w:szCs w:val="15"/>
                <w:color w:val="auto"/>
              </w:rPr>
              <w:t>458.99</w:t>
            </w:r>
          </w:p>
        </w:tc>
      </w:tr>
      <w:tr>
        <w:trPr>
          <w:trHeight w:val="190"/>
        </w:trPr>
        <w:tc>
          <w:tcPr>
            <w:tcW w:w="37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140" w:type="dxa"/>
            <w:vAlign w:val="bottom"/>
            <w:gridSpan w:val="2"/>
          </w:tcPr>
          <w:p>
            <w:pPr>
              <w:spacing w:after="0"/>
              <w:rPr>
                <w:sz w:val="16"/>
                <w:szCs w:val="16"/>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24,640,000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3"/>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2,261.90</w:t>
            </w:r>
          </w:p>
        </w:tc>
        <w:tc>
          <w:tcPr>
            <w:tcW w:w="20" w:type="dxa"/>
            <w:vAlign w:val="bottom"/>
          </w:tcPr>
          <w:p>
            <w:pPr>
              <w:spacing w:after="0"/>
              <w:rPr>
                <w:sz w:val="16"/>
                <w:szCs w:val="16"/>
                <w:color w:val="auto"/>
              </w:rPr>
            </w:pPr>
          </w:p>
        </w:tc>
      </w:tr>
    </w:tbl>
    <w:p>
      <w:pPr>
        <w:spacing w:after="0" w:line="184" w:lineRule="exact"/>
        <w:rPr>
          <w:sz w:val="20"/>
          <w:szCs w:val="20"/>
          <w:color w:val="auto"/>
        </w:rPr>
      </w:pPr>
    </w:p>
    <w:p>
      <w:pPr>
        <w:ind w:left="410" w:hanging="410"/>
        <w:spacing w:after="0"/>
        <w:tabs>
          <w:tab w:leader="none" w:pos="41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 under the Securities Act of 1933, as amended.</w:t>
      </w:r>
    </w:p>
    <w:p>
      <w:pPr>
        <w:spacing w:after="0" w:line="208" w:lineRule="exact"/>
        <w:rPr>
          <w:sz w:val="20"/>
          <w:szCs w:val="20"/>
          <w:color w:val="auto"/>
        </w:rPr>
      </w:pPr>
    </w:p>
    <w:p>
      <w:pPr>
        <w:jc w:val="both"/>
        <w:ind w:left="10"/>
        <w:spacing w:after="0" w:line="261"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693420</wp:posOffset>
            </wp:positionV>
            <wp:extent cx="727456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453" w:right="21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5"/>
          <w:szCs w:val="15"/>
          <w:b w:val="1"/>
          <w:bCs w:val="1"/>
          <w:i w:val="1"/>
          <w:iCs w:val="1"/>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5"/>
          <w:szCs w:val="15"/>
          <w:b w:val="1"/>
          <w:bCs w:val="1"/>
          <w:i w:val="1"/>
          <w:iCs w:val="1"/>
          <w:color w:val="auto"/>
        </w:rPr>
        <w:t>Subject to Completion—Dated July 20, 2015</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273050</wp:posOffset>
            </wp:positionV>
            <wp:extent cx="1565910" cy="869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5910" cy="86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24,640,000 Shares of Common Stock</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auto"/>
        </w:rPr>
        <w:t>This prospectus covers the resale of:</w:t>
      </w:r>
    </w:p>
    <w:p>
      <w:pPr>
        <w:spacing w:after="0" w:line="212" w:lineRule="exact"/>
        <w:rPr>
          <w:sz w:val="20"/>
          <w:szCs w:val="20"/>
          <w:color w:val="auto"/>
        </w:rPr>
      </w:pPr>
    </w:p>
    <w:p>
      <w:pPr>
        <w:ind w:left="1080" w:hanging="547"/>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7,320,000 shares of common stock issuable upon exercise of 7,320,000 Series B Warrants issued on May 28, 2015;</w:t>
      </w:r>
    </w:p>
    <w:p>
      <w:pPr>
        <w:spacing w:after="0" w:line="212" w:lineRule="exact"/>
        <w:rPr>
          <w:rFonts w:ascii="Arial" w:cs="Arial" w:eastAsia="Arial" w:hAnsi="Arial"/>
          <w:sz w:val="15"/>
          <w:szCs w:val="15"/>
          <w:color w:val="auto"/>
        </w:rPr>
      </w:pPr>
    </w:p>
    <w:p>
      <w:pPr>
        <w:ind w:left="1080" w:hanging="547"/>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7,320,000 shares of common stock issuable upon exercise of 7,320,000 Series C Warrants issued on May 28, 2015;</w:t>
      </w:r>
    </w:p>
    <w:p>
      <w:pPr>
        <w:spacing w:after="0" w:line="212" w:lineRule="exact"/>
        <w:rPr>
          <w:rFonts w:ascii="Arial" w:cs="Arial" w:eastAsia="Arial" w:hAnsi="Arial"/>
          <w:sz w:val="15"/>
          <w:szCs w:val="15"/>
          <w:color w:val="auto"/>
        </w:rPr>
      </w:pPr>
    </w:p>
    <w:p>
      <w:pPr>
        <w:ind w:left="1080" w:hanging="547"/>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5,000,000 shares of common stock issuable upon exercise of 5,000,000 Series B-1 Warrants issued on May 28, 2015; and</w:t>
      </w:r>
    </w:p>
    <w:p>
      <w:pPr>
        <w:spacing w:after="0" w:line="212" w:lineRule="exact"/>
        <w:rPr>
          <w:rFonts w:ascii="Arial" w:cs="Arial" w:eastAsia="Arial" w:hAnsi="Arial"/>
          <w:sz w:val="15"/>
          <w:szCs w:val="15"/>
          <w:color w:val="auto"/>
        </w:rPr>
      </w:pPr>
    </w:p>
    <w:p>
      <w:pPr>
        <w:ind w:left="1080" w:hanging="547"/>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5,000,000 shares of common stock issued to a shareholder on June 16, 2015.</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Our common stock is quoted on the OTCQB under the symbol “TPIV.” On July 15, 2015, the last reported sale price of our common stock on the OTCQB was $0.79 per share, and we had approximately 38,073,791 shares of common stock outstanding.</w:t>
      </w:r>
    </w:p>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selling stockholders may offer all or part of the shares for resale from time to time through public or private transactions, at either prevailing market prices or at privately negotiated prices.</w:t>
      </w:r>
    </w:p>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in our securities involves risks. You should review carefully the risks and uncertainties described under the heading “</w:t>
      </w:r>
      <w:r>
        <w:rPr>
          <w:rFonts w:ascii="Arial" w:cs="Arial" w:eastAsia="Arial" w:hAnsi="Arial"/>
          <w:sz w:val="15"/>
          <w:szCs w:val="15"/>
          <w:b w:val="1"/>
          <w:bCs w:val="1"/>
          <w:u w:val="single" w:color="auto"/>
          <w:color w:val="auto"/>
        </w:rPr>
        <w:t>Risk Factors</w:t>
      </w:r>
      <w:r>
        <w:rPr>
          <w:rFonts w:ascii="Arial" w:cs="Arial" w:eastAsia="Arial" w:hAnsi="Arial"/>
          <w:sz w:val="15"/>
          <w:szCs w:val="15"/>
          <w:b w:val="1"/>
          <w:bCs w:val="1"/>
          <w:color w:val="auto"/>
        </w:rPr>
        <w:t>” on page 1.</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date of this prospectus is July ___,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856615</wp:posOffset>
            </wp:positionV>
            <wp:extent cx="727456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0080" w:type="dxa"/>
            <w:vAlign w:val="bottom"/>
          </w:tcPr>
          <w:p>
            <w:pPr>
              <w:ind w:left="5120"/>
              <w:spacing w:after="0"/>
              <w:rPr>
                <w:sz w:val="20"/>
                <w:szCs w:val="20"/>
                <w:color w:val="auto"/>
              </w:rPr>
            </w:pPr>
            <w:r>
              <w:rPr>
                <w:rFonts w:ascii="Arial" w:cs="Arial" w:eastAsia="Arial" w:hAnsi="Arial"/>
                <w:sz w:val="15"/>
                <w:szCs w:val="15"/>
                <w:b w:val="1"/>
                <w:bCs w:val="1"/>
                <w:color w:val="auto"/>
              </w:rPr>
              <w:t>Table of Contents</w:t>
            </w:r>
          </w:p>
        </w:tc>
        <w:tc>
          <w:tcPr>
            <w:tcW w:w="1340" w:type="dxa"/>
            <w:vAlign w:val="bottom"/>
          </w:tcPr>
          <w:p>
            <w:pPr>
              <w:spacing w:after="0"/>
              <w:rPr>
                <w:sz w:val="16"/>
                <w:szCs w:val="16"/>
                <w:color w:val="auto"/>
              </w:rPr>
            </w:pPr>
          </w:p>
        </w:tc>
      </w:tr>
      <w:tr>
        <w:trPr>
          <w:trHeight w:val="388"/>
        </w:trPr>
        <w:tc>
          <w:tcPr>
            <w:tcW w:w="2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Page</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Prospectus Summary</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i</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Risk Factors</w:t>
            </w:r>
          </w:p>
        </w:tc>
        <w:tc>
          <w:tcPr>
            <w:tcW w:w="13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Use of Proceeds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Determination of Offering Price</w:t>
            </w:r>
          </w:p>
        </w:tc>
        <w:tc>
          <w:tcPr>
            <w:tcW w:w="134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Selling Stockholders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Plan of Distribution</w:t>
            </w:r>
          </w:p>
        </w:tc>
        <w:tc>
          <w:tcPr>
            <w:tcW w:w="13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Description of Securities to be Registered</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Business</w:t>
            </w:r>
          </w:p>
        </w:tc>
        <w:tc>
          <w:tcPr>
            <w:tcW w:w="13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Market For Common Equity and Related Stockholder Matters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3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Management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Transactions with Related Persons</w:t>
            </w:r>
          </w:p>
        </w:tc>
        <w:tc>
          <w:tcPr>
            <w:tcW w:w="134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Executive Compensation</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Beneficial Ownership of Principal Stockholders, Officers and Directors</w:t>
            </w:r>
          </w:p>
        </w:tc>
        <w:tc>
          <w:tcPr>
            <w:tcW w:w="13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Experts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Legal Matters</w:t>
            </w:r>
          </w:p>
        </w:tc>
        <w:tc>
          <w:tcPr>
            <w:tcW w:w="13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Disclosure of Commission Position of Indemnification For Securities Act Liabilities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Where You Can Find Additional Information</w:t>
            </w:r>
          </w:p>
        </w:tc>
        <w:tc>
          <w:tcPr>
            <w:tcW w:w="13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Index to Financial Statements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3921"/>
        </w:trPr>
        <w:tc>
          <w:tcPr>
            <w:tcW w:w="20" w:type="dxa"/>
            <w:vAlign w:val="bottom"/>
          </w:tcPr>
          <w:p>
            <w:pPr>
              <w:spacing w:after="0"/>
              <w:rPr>
                <w:sz w:val="24"/>
                <w:szCs w:val="24"/>
                <w:color w:val="auto"/>
              </w:rPr>
            </w:pPr>
          </w:p>
        </w:tc>
        <w:tc>
          <w:tcPr>
            <w:tcW w:w="100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PROSPECTUS SUMMARY</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Our principal product candidates are:</w:t>
      </w:r>
    </w:p>
    <w:p>
      <w:pPr>
        <w:spacing w:after="0" w:line="212" w:lineRule="exact"/>
        <w:rPr>
          <w:sz w:val="20"/>
          <w:szCs w:val="20"/>
          <w:color w:val="auto"/>
        </w:rPr>
      </w:pPr>
    </w:p>
    <w:p>
      <w:pPr>
        <w:ind w:left="1160" w:hanging="627"/>
        <w:spacing w:after="0"/>
        <w:tabs>
          <w:tab w:leader="none" w:pos="11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new Her2/neu breast cancer immunotherapeutic vaccine technology in-licensed from the Mayo Clinic, MN,</w:t>
      </w:r>
    </w:p>
    <w:p>
      <w:pPr>
        <w:spacing w:after="0" w:line="17" w:lineRule="exact"/>
        <w:rPr>
          <w:rFonts w:ascii="Arial" w:cs="Arial" w:eastAsia="Arial" w:hAnsi="Arial"/>
          <w:sz w:val="15"/>
          <w:szCs w:val="15"/>
          <w:color w:val="auto"/>
        </w:rPr>
      </w:pPr>
    </w:p>
    <w:p>
      <w:pPr>
        <w:ind w:left="1160" w:hanging="627"/>
        <w:spacing w:after="0" w:line="251" w:lineRule="auto"/>
        <w:tabs>
          <w:tab w:leader="none" w:pos="11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Folate Alpha Receptor immunotherapeutic vaccine comprised of a set of unique peptide epitopes targeting both breast cancer and ovarian cancer that we have an option to in-license from the Mayo Clinic,</w:t>
      </w:r>
    </w:p>
    <w:p>
      <w:pPr>
        <w:spacing w:after="0" w:line="1" w:lineRule="exact"/>
        <w:rPr>
          <w:rFonts w:ascii="Arial" w:cs="Arial" w:eastAsia="Arial" w:hAnsi="Arial"/>
          <w:sz w:val="15"/>
          <w:szCs w:val="15"/>
          <w:color w:val="auto"/>
        </w:rPr>
      </w:pPr>
    </w:p>
    <w:p>
      <w:pPr>
        <w:ind w:left="1160" w:hanging="627"/>
        <w:spacing w:after="0"/>
        <w:tabs>
          <w:tab w:leader="none" w:pos="1160" w:val="left"/>
        </w:tabs>
        <w:numPr>
          <w:ilvl w:val="0"/>
          <w:numId w:val="3"/>
        </w:numPr>
        <w:rPr>
          <w:rFonts w:ascii="Arial" w:cs="Arial" w:eastAsia="Arial" w:hAnsi="Arial"/>
          <w:sz w:val="15"/>
          <w:szCs w:val="15"/>
          <w:color w:val="auto"/>
        </w:rPr>
      </w:pPr>
      <w:r>
        <w:rPr>
          <w:rFonts w:ascii="Arial" w:cs="Arial" w:eastAsia="Arial" w:hAnsi="Arial"/>
          <w:sz w:val="15"/>
          <w:szCs w:val="15"/>
          <w:color w:val="auto"/>
        </w:rPr>
        <w:t>Polystart™, our proprietary immunotherapeutic, nucleic acid-based expression technology,</w:t>
      </w:r>
    </w:p>
    <w:p>
      <w:pPr>
        <w:spacing w:after="0" w:line="8" w:lineRule="exact"/>
        <w:rPr>
          <w:rFonts w:ascii="Arial" w:cs="Arial" w:eastAsia="Arial" w:hAnsi="Arial"/>
          <w:sz w:val="15"/>
          <w:szCs w:val="15"/>
          <w:color w:val="auto"/>
        </w:rPr>
      </w:pPr>
    </w:p>
    <w:p>
      <w:pPr>
        <w:ind w:left="1160" w:hanging="627"/>
        <w:spacing w:after="0"/>
        <w:tabs>
          <w:tab w:leader="none" w:pos="11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TAP, a DNA technology expressing Transporter associated with Antigen Processing, and</w:t>
      </w:r>
    </w:p>
    <w:p>
      <w:pPr>
        <w:spacing w:after="0" w:line="8" w:lineRule="exact"/>
        <w:rPr>
          <w:rFonts w:ascii="Arial" w:cs="Arial" w:eastAsia="Arial" w:hAnsi="Arial"/>
          <w:sz w:val="15"/>
          <w:szCs w:val="15"/>
          <w:color w:val="auto"/>
        </w:rPr>
      </w:pPr>
    </w:p>
    <w:p>
      <w:pPr>
        <w:ind w:left="1160" w:hanging="627"/>
        <w:spacing w:after="0"/>
        <w:tabs>
          <w:tab w:leader="none" w:pos="1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the field of infectious diseases, use of our technology platforms to create and improve on therapeutic vaccines for pandemic diseases and national preparedness.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 Candidates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current operations are focused on developing four product candidates. Two of these candidates are completing Phase I clinical trials, and we plan to progress them into Phase II clinical trials in 2015. The remaining product candidates are proprietary immunotherapeutic technologies that are in preclinical trials.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Folate Alpha Receptor</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March 2014, we acquired the option to in-license the technology being used in a late stage 24 patient, Phase l clinical program in ovarian cancer (Folate Alpha) being conducted by the Mayo Clinic. We have the exclusive option to in-license the Folate Alpha Receptor upon the completion of Phase I. We may exercise our option to acquire that license prior to the completion of Phase I. This product candidate was generally well tolerated and safe and generated immune responses in the majority of patients in Phase I, and planning for Phase II is well underway</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Folate Alpha Receptor is expressed in over 90% of ovarian cancer and in 86% of triple negative breast cancer, for which the only treatment options are surgery and chemotherapy, leaving a very important and urgent clinical need for new therapeutics. In ovarian cancer, time to recurrence is relatively short for this type of cancer and survival prognosis is extremely poor after recurrence. We intend to initiate a Phase II trial in the second or third quarter of 2015 to include the Folate Alpha Receptor epitopes. This trial will likely focus on either triple-negative breast or ovarian cancer. As both of these cancer indications have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5"/>
          <w:szCs w:val="15"/>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Her2neu breast cancer and triple negative breast cancer.</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Her2/NEU</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2011,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with 22 patients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2015. An additional secondary endpoint incorporated into this Phase I trial will be a two-year follow-on recording time to disease recurrence in the participating breast cancer patients. The assessment of vaccine safety (primary endpoint) was completed in 2014 and evaluation of immunogenicity (secondary endpoint) for this trial is currently scheduled for completion in 2015 with a full set of interim data expected in Q1 of 2015.</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2015 is to progress the Her2/neu vaccine into the above mentioned Phase 1(b)/II clinical trial.</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155"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Our business strategy with respect to the peptide vaccines is to take them through Phase II clinical trials and then partner with pharmaceutical marketing organizations ahead of Phase III trials.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Polystart™</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We have undertaken preclinical studies with our Polystart™/PAA technology in connection with a vaccine candidate, and we have been encouraged by the results.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6" w:name="page7"/>
    <w:bookmarkEnd w:id="6"/>
    <w:p>
      <w:pPr>
        <w:ind w:left="260"/>
        <w:spacing w:after="0"/>
        <w:rPr>
          <w:sz w:val="20"/>
          <w:szCs w:val="20"/>
          <w:color w:val="auto"/>
        </w:rPr>
      </w:pPr>
      <w:r>
        <w:rPr>
          <w:rFonts w:ascii="Arial" w:cs="Arial" w:eastAsia="Arial" w:hAnsi="Arial"/>
          <w:sz w:val="15"/>
          <w:szCs w:val="15"/>
          <w:b w:val="1"/>
          <w:bCs w:val="1"/>
          <w:i w:val="1"/>
          <w:iCs w:val="1"/>
          <w:color w:val="auto"/>
        </w:rPr>
        <w:t>TAP</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TAP is our DNA expression technology designed to make cancer cells more immunogenic. In many solid cancer tumors, the TAP (</w:t>
      </w:r>
      <w:r>
        <w:rPr>
          <w:rFonts w:ascii="Arial" w:cs="Arial" w:eastAsia="Arial" w:hAnsi="Arial"/>
          <w:sz w:val="15"/>
          <w:szCs w:val="15"/>
          <w:b w:val="1"/>
          <w:bCs w:val="1"/>
          <w:color w:val="auto"/>
        </w:rPr>
        <w:t>T</w:t>
      </w:r>
      <w:r>
        <w:rPr>
          <w:rFonts w:ascii="Arial" w:cs="Arial" w:eastAsia="Arial" w:hAnsi="Arial"/>
          <w:sz w:val="15"/>
          <w:szCs w:val="15"/>
          <w:color w:val="auto"/>
        </w:rPr>
        <w:t xml:space="preserve">ransporter associated with </w:t>
      </w:r>
      <w:r>
        <w:rPr>
          <w:rFonts w:ascii="Arial" w:cs="Arial" w:eastAsia="Arial" w:hAnsi="Arial"/>
          <w:sz w:val="15"/>
          <w:szCs w:val="15"/>
          <w:b w:val="1"/>
          <w:bCs w:val="1"/>
          <w:color w:val="auto"/>
        </w:rPr>
        <w:t>A</w:t>
      </w:r>
      <w:r>
        <w:rPr>
          <w:rFonts w:ascii="Arial" w:cs="Arial" w:eastAsia="Arial" w:hAnsi="Arial"/>
          <w:sz w:val="15"/>
          <w:szCs w:val="15"/>
          <w:color w:val="auto"/>
        </w:rPr>
        <w:t xml:space="preserve">ntigen </w:t>
      </w:r>
      <w:r>
        <w:rPr>
          <w:rFonts w:ascii="Arial" w:cs="Arial" w:eastAsia="Arial" w:hAnsi="Arial"/>
          <w:sz w:val="15"/>
          <w:szCs w:val="15"/>
          <w:b w:val="1"/>
          <w:bCs w:val="1"/>
          <w:color w:val="auto"/>
        </w:rPr>
        <w:t>P</w:t>
      </w:r>
      <w:r>
        <w:rPr>
          <w:rFonts w:ascii="Arial" w:cs="Arial" w:eastAsia="Arial" w:hAnsi="Arial"/>
          <w:sz w:val="15"/>
          <w:szCs w:val="15"/>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Our TAP technology was acquired from the University of British Columbia in full and is therefore not subject to any licensing fees or downstream royalty payments.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Our principal executive offices are located at 1551 Eastlake Avenue East, Suite 100, Seattle, WA 98102 and our telephone number is (206) 504-7278.</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194"/>
        </w:trPr>
        <w:tc>
          <w:tcPr>
            <w:tcW w:w="3800" w:type="dxa"/>
            <w:vAlign w:val="bottom"/>
          </w:tcPr>
          <w:p>
            <w:pPr>
              <w:spacing w:after="0"/>
              <w:rPr>
                <w:sz w:val="20"/>
                <w:szCs w:val="20"/>
                <w:color w:val="auto"/>
              </w:rPr>
            </w:pPr>
            <w:r>
              <w:rPr>
                <w:rFonts w:ascii="Arial" w:cs="Arial" w:eastAsia="Arial" w:hAnsi="Arial"/>
                <w:sz w:val="15"/>
                <w:szCs w:val="15"/>
                <w:b w:val="1"/>
                <w:bCs w:val="1"/>
                <w:color w:val="auto"/>
              </w:rPr>
              <w:t>Common stock outstanding:</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38,073,791 shares as of July 15, 2015</w:t>
            </w:r>
          </w:p>
        </w:tc>
        <w:tc>
          <w:tcPr>
            <w:tcW w:w="0" w:type="dxa"/>
            <w:vAlign w:val="bottom"/>
          </w:tcPr>
          <w:p>
            <w:pPr>
              <w:spacing w:after="0"/>
              <w:rPr>
                <w:sz w:val="1"/>
                <w:szCs w:val="1"/>
                <w:color w:val="auto"/>
              </w:rPr>
            </w:pPr>
          </w:p>
        </w:tc>
      </w:tr>
      <w:tr>
        <w:trPr>
          <w:trHeight w:val="362"/>
        </w:trPr>
        <w:tc>
          <w:tcPr>
            <w:tcW w:w="3800" w:type="dxa"/>
            <w:vAlign w:val="bottom"/>
          </w:tcPr>
          <w:p>
            <w:pPr>
              <w:spacing w:after="0"/>
              <w:rPr>
                <w:sz w:val="20"/>
                <w:szCs w:val="20"/>
                <w:color w:val="auto"/>
              </w:rPr>
            </w:pPr>
            <w:r>
              <w:rPr>
                <w:rFonts w:ascii="Arial" w:cs="Arial" w:eastAsia="Arial" w:hAnsi="Arial"/>
                <w:sz w:val="15"/>
                <w:szCs w:val="15"/>
                <w:b w:val="1"/>
                <w:bCs w:val="1"/>
                <w:color w:val="auto"/>
              </w:rPr>
              <w:t>Common stock offered by selling stockholders:</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24,640,000 shares</w:t>
            </w:r>
          </w:p>
        </w:tc>
        <w:tc>
          <w:tcPr>
            <w:tcW w:w="0" w:type="dxa"/>
            <w:vAlign w:val="bottom"/>
          </w:tcPr>
          <w:p>
            <w:pPr>
              <w:spacing w:after="0"/>
              <w:rPr>
                <w:sz w:val="1"/>
                <w:szCs w:val="1"/>
                <w:color w:val="auto"/>
              </w:rPr>
            </w:pPr>
          </w:p>
        </w:tc>
      </w:tr>
      <w:tr>
        <w:trPr>
          <w:trHeight w:val="362"/>
        </w:trPr>
        <w:tc>
          <w:tcPr>
            <w:tcW w:w="3800" w:type="dxa"/>
            <w:vAlign w:val="bottom"/>
          </w:tcPr>
          <w:p>
            <w:pPr>
              <w:spacing w:after="0"/>
              <w:rPr>
                <w:sz w:val="20"/>
                <w:szCs w:val="20"/>
                <w:color w:val="auto"/>
              </w:rPr>
            </w:pPr>
            <w:r>
              <w:rPr>
                <w:rFonts w:ascii="Arial" w:cs="Arial" w:eastAsia="Arial" w:hAnsi="Arial"/>
                <w:sz w:val="15"/>
                <w:szCs w:val="15"/>
                <w:b w:val="1"/>
                <w:bCs w:val="1"/>
                <w:color w:val="auto"/>
              </w:rPr>
              <w:t>Common stock outstanding after the offering:</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57,713,791 shares(1)</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0"/>
                <w:szCs w:val="20"/>
                <w:color w:val="auto"/>
              </w:rPr>
            </w:pPr>
            <w:r>
              <w:rPr>
                <w:rFonts w:ascii="Arial" w:cs="Arial" w:eastAsia="Arial" w:hAnsi="Arial"/>
                <w:sz w:val="15"/>
                <w:szCs w:val="15"/>
                <w:b w:val="1"/>
                <w:bCs w:val="1"/>
                <w:color w:val="auto"/>
              </w:rPr>
              <w:t>Use of Proceeds:</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1"/>
              </w:rPr>
              <w:t>We will not receive any proceeds from the sale of the common stock by the selling stockholders. We may receive</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proceeds if the following warrants are exercised:</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5"/>
                <w:szCs w:val="15"/>
                <w:color w:val="auto"/>
              </w:rPr>
              <w:t>(i)</w:t>
            </w:r>
          </w:p>
        </w:tc>
        <w:tc>
          <w:tcPr>
            <w:tcW w:w="6180" w:type="dxa"/>
            <w:vAlign w:val="bottom"/>
          </w:tcPr>
          <w:p>
            <w:pPr>
              <w:ind w:left="40"/>
              <w:spacing w:after="0"/>
              <w:rPr>
                <w:sz w:val="20"/>
                <w:szCs w:val="20"/>
                <w:color w:val="auto"/>
              </w:rPr>
            </w:pPr>
            <w:r>
              <w:rPr>
                <w:rFonts w:ascii="Arial" w:cs="Arial" w:eastAsia="Arial" w:hAnsi="Arial"/>
                <w:sz w:val="15"/>
                <w:szCs w:val="15"/>
                <w:color w:val="auto"/>
              </w:rPr>
              <w:t>up to $1,464,000 if the Series B Warrants are exercised;</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1460" w:type="dxa"/>
            <w:vAlign w:val="bottom"/>
          </w:tcPr>
          <w:p>
            <w:pPr>
              <w:ind w:left="1200"/>
              <w:spacing w:after="0"/>
              <w:rPr>
                <w:sz w:val="20"/>
                <w:szCs w:val="20"/>
                <w:color w:val="auto"/>
              </w:rPr>
            </w:pPr>
            <w:r>
              <w:rPr>
                <w:rFonts w:ascii="Arial" w:cs="Arial" w:eastAsia="Arial" w:hAnsi="Arial"/>
                <w:sz w:val="15"/>
                <w:szCs w:val="15"/>
                <w:color w:val="auto"/>
              </w:rPr>
              <w:t>(iv)</w:t>
            </w:r>
          </w:p>
        </w:tc>
        <w:tc>
          <w:tcPr>
            <w:tcW w:w="6180" w:type="dxa"/>
            <w:vAlign w:val="bottom"/>
          </w:tcPr>
          <w:p>
            <w:pPr>
              <w:ind w:left="40"/>
              <w:spacing w:after="0"/>
              <w:rPr>
                <w:sz w:val="20"/>
                <w:szCs w:val="20"/>
                <w:color w:val="auto"/>
              </w:rPr>
            </w:pPr>
            <w:r>
              <w:rPr>
                <w:rFonts w:ascii="Arial" w:cs="Arial" w:eastAsia="Arial" w:hAnsi="Arial"/>
                <w:sz w:val="15"/>
                <w:szCs w:val="15"/>
                <w:color w:val="auto"/>
              </w:rPr>
              <w:t>up to $3,660,000 if the Series C Warrants are exercised; and</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460" w:type="dxa"/>
            <w:vAlign w:val="bottom"/>
          </w:tcPr>
          <w:p>
            <w:pPr>
              <w:ind w:left="1200"/>
              <w:spacing w:after="0"/>
              <w:rPr>
                <w:sz w:val="20"/>
                <w:szCs w:val="20"/>
                <w:color w:val="auto"/>
              </w:rPr>
            </w:pPr>
            <w:r>
              <w:rPr>
                <w:rFonts w:ascii="Arial" w:cs="Arial" w:eastAsia="Arial" w:hAnsi="Arial"/>
                <w:sz w:val="15"/>
                <w:szCs w:val="15"/>
                <w:color w:val="auto"/>
              </w:rPr>
              <w:t>(iii)</w:t>
            </w:r>
          </w:p>
        </w:tc>
        <w:tc>
          <w:tcPr>
            <w:tcW w:w="6180" w:type="dxa"/>
            <w:vAlign w:val="bottom"/>
          </w:tcPr>
          <w:p>
            <w:pPr>
              <w:ind w:left="40"/>
              <w:spacing w:after="0"/>
              <w:rPr>
                <w:sz w:val="20"/>
                <w:szCs w:val="20"/>
                <w:color w:val="auto"/>
              </w:rPr>
            </w:pPr>
            <w:r>
              <w:rPr>
                <w:rFonts w:ascii="Arial" w:cs="Arial" w:eastAsia="Arial" w:hAnsi="Arial"/>
                <w:sz w:val="15"/>
                <w:szCs w:val="15"/>
                <w:color w:val="auto"/>
              </w:rPr>
              <w:t>up to $1,000,000 if the Series B-1 Warrants are exercised</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4"/>
                <w:szCs w:val="24"/>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2"/>
              </w:rPr>
              <w:t>(to the extent the registration statement of which this prospectus is a part is then effective and, if applicable, the</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2"/>
              </w:rPr>
              <w:t>“cashless exercise” provision is not utilized by the holder). Any proceeds will be used for general corporate and</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6"/>
              </w:rPr>
              <w:t>working capital or for other purposes that the Board of Directors, in their good faith, deems to be in the best</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3"/>
              </w:rPr>
              <w:t>interest of the Company. No assurances can be given that any of such warrants will be exercised. See “Use of</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460" w:type="dxa"/>
            <w:vAlign w:val="bottom"/>
          </w:tcPr>
          <w:p>
            <w:pPr>
              <w:ind w:left="800"/>
              <w:spacing w:after="0"/>
              <w:rPr>
                <w:sz w:val="20"/>
                <w:szCs w:val="20"/>
                <w:color w:val="auto"/>
              </w:rPr>
            </w:pPr>
            <w:r>
              <w:rPr>
                <w:rFonts w:ascii="Arial" w:cs="Arial" w:eastAsia="Arial" w:hAnsi="Arial"/>
                <w:sz w:val="15"/>
                <w:szCs w:val="15"/>
                <w:color w:val="auto"/>
                <w:w w:val="88"/>
              </w:rPr>
              <w:t>Proceeds.”</w:t>
            </w:r>
          </w:p>
        </w:tc>
        <w:tc>
          <w:tcPr>
            <w:tcW w:w="6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3800" w:type="dxa"/>
            <w:vAlign w:val="bottom"/>
          </w:tcPr>
          <w:p>
            <w:pPr>
              <w:spacing w:after="0"/>
              <w:rPr>
                <w:sz w:val="20"/>
                <w:szCs w:val="20"/>
                <w:color w:val="auto"/>
              </w:rPr>
            </w:pPr>
            <w:r>
              <w:rPr>
                <w:rFonts w:ascii="Arial" w:cs="Arial" w:eastAsia="Arial" w:hAnsi="Arial"/>
                <w:sz w:val="15"/>
                <w:szCs w:val="15"/>
                <w:b w:val="1"/>
                <w:bCs w:val="1"/>
                <w:color w:val="auto"/>
              </w:rPr>
              <w:t>Quotation of common stock:</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Our common stock is listed for quotation on the OTCQB market under the symbol “TPIV.”</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0"/>
                <w:szCs w:val="20"/>
                <w:color w:val="auto"/>
              </w:rPr>
            </w:pPr>
            <w:r>
              <w:rPr>
                <w:rFonts w:ascii="Arial" w:cs="Arial" w:eastAsia="Arial" w:hAnsi="Arial"/>
                <w:sz w:val="15"/>
                <w:szCs w:val="15"/>
                <w:b w:val="1"/>
                <w:bCs w:val="1"/>
                <w:color w:val="auto"/>
              </w:rPr>
              <w:t>Dividend policy:</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1"/>
              </w:rPr>
              <w:t>We currently intend to retain any future earnings to fund the development and growth of our business. Therefore,</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we do not currently anticipate paying cash dividends on our common stock.</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0"/>
                <w:szCs w:val="20"/>
                <w:color w:val="auto"/>
              </w:rPr>
            </w:pPr>
            <w:r>
              <w:rPr>
                <w:rFonts w:ascii="Arial" w:cs="Arial" w:eastAsia="Arial" w:hAnsi="Arial"/>
                <w:sz w:val="15"/>
                <w:szCs w:val="15"/>
                <w:b w:val="1"/>
                <w:bCs w:val="1"/>
                <w:color w:val="auto"/>
              </w:rPr>
              <w:t>Risk factors:</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2"/>
              </w:rPr>
              <w:t>An investment in our company is highly speculative and involves a significant degree of risk. See “Risk Factors”</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2"/>
              </w:rPr>
              <w:t>and other information included in this prospectus for a discussion of factors you should carefully consider before</w:t>
            </w:r>
          </w:p>
        </w:tc>
        <w:tc>
          <w:tcPr>
            <w:tcW w:w="0" w:type="dxa"/>
            <w:vAlign w:val="bottom"/>
          </w:tcPr>
          <w:p>
            <w:pPr>
              <w:spacing w:after="0"/>
              <w:rPr>
                <w:sz w:val="1"/>
                <w:szCs w:val="1"/>
                <w:color w:val="auto"/>
              </w:rPr>
            </w:pPr>
          </w:p>
        </w:tc>
      </w:tr>
      <w:tr>
        <w:trPr>
          <w:trHeight w:val="190"/>
        </w:trPr>
        <w:tc>
          <w:tcPr>
            <w:tcW w:w="3800" w:type="dxa"/>
            <w:vAlign w:val="bottom"/>
            <w:vMerge w:val="restart"/>
          </w:tcPr>
          <w:p>
            <w:pPr>
              <w:spacing w:after="0"/>
              <w:rPr>
                <w:sz w:val="20"/>
                <w:szCs w:val="20"/>
                <w:color w:val="auto"/>
              </w:rPr>
            </w:pPr>
            <w:r>
              <w:rPr>
                <w:rFonts w:ascii="Arial" w:cs="Arial" w:eastAsia="Arial" w:hAnsi="Arial"/>
                <w:sz w:val="15"/>
                <w:szCs w:val="15"/>
                <w:color w:val="auto"/>
              </w:rPr>
              <w:t>________</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deciding to invest in shares of our common stock.</w:t>
            </w:r>
          </w:p>
        </w:tc>
        <w:tc>
          <w:tcPr>
            <w:tcW w:w="0" w:type="dxa"/>
            <w:vAlign w:val="bottom"/>
          </w:tcPr>
          <w:p>
            <w:pPr>
              <w:spacing w:after="0"/>
              <w:rPr>
                <w:sz w:val="1"/>
                <w:szCs w:val="1"/>
                <w:color w:val="auto"/>
              </w:rPr>
            </w:pPr>
          </w:p>
        </w:tc>
      </w:tr>
      <w:tr>
        <w:trPr>
          <w:trHeight w:val="181"/>
        </w:trPr>
        <w:tc>
          <w:tcPr>
            <w:tcW w:w="380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0" w:hanging="10"/>
        <w:spacing w:after="0" w:line="263" w:lineRule="auto"/>
        <w:tabs>
          <w:tab w:leader="none" w:pos="592" w:val="left"/>
        </w:tabs>
        <w:numPr>
          <w:ilvl w:val="0"/>
          <w:numId w:val="4"/>
        </w:numPr>
        <w:rPr>
          <w:rFonts w:ascii="Arial" w:cs="Arial" w:eastAsia="Arial" w:hAnsi="Arial"/>
          <w:sz w:val="15"/>
          <w:szCs w:val="15"/>
          <w:color w:val="auto"/>
        </w:rPr>
      </w:pPr>
      <w:r>
        <w:rPr>
          <w:rFonts w:ascii="Arial" w:cs="Arial" w:eastAsia="Arial" w:hAnsi="Arial"/>
          <w:sz w:val="15"/>
          <w:szCs w:val="15"/>
          <w:color w:val="auto"/>
        </w:rPr>
        <w:t>Assumes the exercise of all warrants being resold pursuant to this prospectus, that none of the other outstanding warrants or options are exercised and that we do not issue any other shares of common stock.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34"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5"/>
          <w:szCs w:val="15"/>
          <w:b w:val="1"/>
          <w:bCs w:val="1"/>
          <w:color w:val="auto"/>
        </w:rPr>
        <w:t>RISK FACTORS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Investing in our securities involves a high degree of risk. You should carefully consider and evaluate all of the information included and incorporated by reference or deemed to be incorporated by reference in this prospectus. Our business, results of operations or financial condition could be adversely affected by any of these risks or by additional risks and uncertainties not currently known to us or that we currently consider immaterial.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a development stage company with a history of operating losses.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sustained losses from operations in each fiscal year since our inception, and we expect losses to continue for the indefinite future due to the substantial investment in research and development. As of March 31, 2015, we had an accumulated deficit of $87,291,000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not yet sold any products or received regulatory approval to sell our products.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able to develop products successfully or develop them on a timely basis.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9" w:name="page10"/>
    <w:bookmarkEnd w:id="9"/>
    <w:p>
      <w:pPr>
        <w:jc w:val="both"/>
        <w:spacing w:after="0" w:line="258" w:lineRule="auto"/>
        <w:rPr>
          <w:sz w:val="20"/>
          <w:szCs w:val="20"/>
          <w:color w:val="auto"/>
        </w:rPr>
      </w:pPr>
      <w:r>
        <w:rPr>
          <w:rFonts w:ascii="Arial" w:cs="Arial" w:eastAsia="Arial" w:hAnsi="Arial"/>
          <w:sz w:val="15"/>
          <w:szCs w:val="15"/>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achieve commercial success even if our product candidates are approved for sale.</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46" w:lineRule="exact"/>
        <w:rPr>
          <w:sz w:val="20"/>
          <w:szCs w:val="20"/>
          <w:color w:val="auto"/>
        </w:rPr>
      </w:pPr>
    </w:p>
    <w:p>
      <w:pPr>
        <w:ind w:left="920" w:hanging="658"/>
        <w:spacing w:after="0"/>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acceptance of the formulation of immunotherapies by health care professionals and patients;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failure of third-parties that we may enter into collaboration agreements with for the manufacture, sales, marketing and distribution of our products; and</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availability, effectiveness and relative cost of alternative treatments which may be developed by competitors.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face legal claims; Litigation is expensive and we may not be able to afford the costs.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research and development programs are subject to uncertainty.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Factors affecting our research and development programs include, but are not limited to:</w:t>
      </w:r>
    </w:p>
    <w:p>
      <w:pPr>
        <w:spacing w:after="0" w:line="189" w:lineRule="exact"/>
        <w:rPr>
          <w:sz w:val="20"/>
          <w:szCs w:val="20"/>
          <w:color w:val="auto"/>
        </w:rPr>
      </w:pPr>
    </w:p>
    <w:p>
      <w:pPr>
        <w:ind w:left="940" w:hanging="678"/>
        <w:spacing w:after="0"/>
        <w:tabs>
          <w:tab w:leader="none" w:pos="9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competition from companies that are substantially and financially stronger than we are;</w:t>
      </w:r>
    </w:p>
    <w:p>
      <w:pPr>
        <w:spacing w:after="0" w:line="189" w:lineRule="exact"/>
        <w:rPr>
          <w:rFonts w:ascii="Arial" w:cs="Arial" w:eastAsia="Arial" w:hAnsi="Arial"/>
          <w:sz w:val="15"/>
          <w:szCs w:val="15"/>
          <w:color w:val="auto"/>
        </w:rPr>
      </w:pPr>
    </w:p>
    <w:p>
      <w:pPr>
        <w:ind w:left="940" w:hanging="678"/>
        <w:spacing w:after="0"/>
        <w:tabs>
          <w:tab w:leader="none" w:pos="940" w:val="left"/>
        </w:tabs>
        <w:numPr>
          <w:ilvl w:val="0"/>
          <w:numId w:val="6"/>
        </w:numPr>
        <w:rPr>
          <w:rFonts w:ascii="Arial" w:cs="Arial" w:eastAsia="Arial" w:hAnsi="Arial"/>
          <w:sz w:val="15"/>
          <w:szCs w:val="15"/>
          <w:color w:val="auto"/>
        </w:rPr>
      </w:pPr>
      <w:r>
        <w:rPr>
          <w:rFonts w:ascii="Arial" w:cs="Arial" w:eastAsia="Arial" w:hAnsi="Arial"/>
          <w:sz w:val="15"/>
          <w:szCs w:val="15"/>
          <w:color w:val="auto"/>
        </w:rPr>
        <w:t>need for acceptance of our Immunotherapies;</w:t>
      </w:r>
    </w:p>
    <w:p>
      <w:pPr>
        <w:spacing w:after="0" w:line="189" w:lineRule="exact"/>
        <w:rPr>
          <w:rFonts w:ascii="Arial" w:cs="Arial" w:eastAsia="Arial" w:hAnsi="Arial"/>
          <w:sz w:val="15"/>
          <w:szCs w:val="15"/>
          <w:color w:val="auto"/>
        </w:rPr>
      </w:pPr>
    </w:p>
    <w:p>
      <w:pPr>
        <w:ind w:left="940" w:hanging="678"/>
        <w:spacing w:after="0"/>
        <w:tabs>
          <w:tab w:leader="none" w:pos="9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anticipate and adapt to a competitive market and rapid technological developments;</w:t>
      </w:r>
    </w:p>
    <w:p>
      <w:pPr>
        <w:spacing w:after="0" w:line="189" w:lineRule="exact"/>
        <w:rPr>
          <w:rFonts w:ascii="Arial" w:cs="Arial" w:eastAsia="Arial" w:hAnsi="Arial"/>
          <w:sz w:val="15"/>
          <w:szCs w:val="15"/>
          <w:color w:val="auto"/>
        </w:rPr>
      </w:pPr>
    </w:p>
    <w:p>
      <w:pPr>
        <w:ind w:left="940" w:hanging="678"/>
        <w:spacing w:after="0"/>
        <w:tabs>
          <w:tab w:leader="none" w:pos="9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amount and timing of operating costs and capital expenditures relating to expansion of our business, operations and infrastructure;</w:t>
      </w:r>
    </w:p>
    <w:p>
      <w:pPr>
        <w:spacing w:after="0" w:line="189" w:lineRule="exact"/>
        <w:rPr>
          <w:rFonts w:ascii="Arial" w:cs="Arial" w:eastAsia="Arial" w:hAnsi="Arial"/>
          <w:sz w:val="15"/>
          <w:szCs w:val="15"/>
          <w:color w:val="auto"/>
        </w:rPr>
      </w:pPr>
    </w:p>
    <w:p>
      <w:pPr>
        <w:ind w:left="660" w:hanging="398"/>
        <w:spacing w:after="0" w:line="276" w:lineRule="auto"/>
        <w:tabs>
          <w:tab w:leader="none" w:pos="984" w:val="left"/>
        </w:tabs>
        <w:numPr>
          <w:ilvl w:val="0"/>
          <w:numId w:val="6"/>
        </w:numPr>
        <w:rPr>
          <w:rFonts w:ascii="Arial" w:cs="Arial" w:eastAsia="Arial" w:hAnsi="Arial"/>
          <w:sz w:val="15"/>
          <w:szCs w:val="15"/>
          <w:color w:val="auto"/>
        </w:rPr>
      </w:pPr>
      <w:r>
        <w:rPr>
          <w:rFonts w:ascii="Arial" w:cs="Arial" w:eastAsia="Arial" w:hAnsi="Arial"/>
          <w:sz w:val="15"/>
          <w:szCs w:val="15"/>
          <w:color w:val="auto"/>
        </w:rPr>
        <w:t>need to rely on multiple levels of outside funding due to the length of drug development cycles and governmental approved protocols associated with the pharmaceutical industry; and</w:t>
      </w:r>
    </w:p>
    <w:p>
      <w:pPr>
        <w:spacing w:after="0" w:line="146" w:lineRule="exact"/>
        <w:rPr>
          <w:rFonts w:ascii="Arial" w:cs="Arial" w:eastAsia="Arial" w:hAnsi="Arial"/>
          <w:sz w:val="15"/>
          <w:szCs w:val="15"/>
          <w:color w:val="auto"/>
        </w:rPr>
      </w:pPr>
    </w:p>
    <w:p>
      <w:pPr>
        <w:ind w:left="940" w:hanging="678"/>
        <w:spacing w:after="0"/>
        <w:tabs>
          <w:tab w:leader="none" w:pos="94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dependence upon key personnel including key independent consultants and advisors.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of our technologies are in-licensed from third parties, and the protection of those technologies is not entirely within our control.</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license technologies from a third party, the Mayo Clinic,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0" w:name="page11"/>
    <w:bookmarkEnd w:id="10"/>
    <w:p>
      <w:pPr>
        <w:ind w:left="660" w:right="20" w:hanging="398"/>
        <w:spacing w:after="0" w:line="276" w:lineRule="auto"/>
        <w:tabs>
          <w:tab w:leader="none" w:pos="991"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owners of the patent rights underlying the technologies that we license do not properly maintain or enforce the patents and intellectual property underlying those properties,</w:t>
      </w:r>
    </w:p>
    <w:p>
      <w:pPr>
        <w:spacing w:after="0" w:line="146" w:lineRule="exact"/>
        <w:rPr>
          <w:rFonts w:ascii="Arial" w:cs="Arial" w:eastAsia="Arial" w:hAnsi="Arial"/>
          <w:sz w:val="15"/>
          <w:szCs w:val="15"/>
          <w:color w:val="auto"/>
        </w:rPr>
      </w:pPr>
    </w:p>
    <w:p>
      <w:pPr>
        <w:ind w:left="920" w:hanging="658"/>
        <w:spacing w:after="0"/>
        <w:tabs>
          <w:tab w:leader="none" w:pos="9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Mayo Clinic seeks to terminate our license in contravention of the license agreements,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fail to make all payments due and owing under any of the licenses or,</w:t>
      </w:r>
    </w:p>
    <w:p>
      <w:pPr>
        <w:spacing w:after="0" w:line="189" w:lineRule="exact"/>
        <w:rPr>
          <w:rFonts w:ascii="Arial" w:cs="Arial" w:eastAsia="Arial" w:hAnsi="Arial"/>
          <w:sz w:val="15"/>
          <w:szCs w:val="15"/>
          <w:color w:val="auto"/>
        </w:rPr>
      </w:pPr>
    </w:p>
    <w:p>
      <w:pPr>
        <w:ind w:left="660" w:right="20" w:hanging="398"/>
        <w:spacing w:after="0" w:line="276" w:lineRule="auto"/>
        <w:tabs>
          <w:tab w:leader="none" w:pos="92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fail to obtain on commercially reasonable terms, if at all, in-licenses from the Mayo Clinic or other for other rights that are necessary to develop the technology that we have already in-licensed.</w:t>
      </w:r>
    </w:p>
    <w:p>
      <w:pPr>
        <w:spacing w:after="0" w:line="169"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We have an option to acquire an exclusive in-license technology from a third party, and if that party does not protect its license, we could lose the opportunity to develop that technology.</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We rely upon patents to protect our technology. We may be unable to protect our intellectual property rights, and we may be liable for infringing the intellectual property rights of others.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43"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1" w:name="page12"/>
    <w:bookmarkEnd w:id="11"/>
    <w:p>
      <w:pPr>
        <w:jc w:val="both"/>
        <w:spacing w:after="0" w:line="276" w:lineRule="auto"/>
        <w:rPr>
          <w:sz w:val="20"/>
          <w:szCs w:val="20"/>
          <w:color w:val="auto"/>
        </w:rPr>
      </w:pPr>
      <w:r>
        <w:rPr>
          <w:rFonts w:ascii="Arial" w:cs="Arial" w:eastAsia="Arial" w:hAnsi="Arial"/>
          <w:sz w:val="15"/>
          <w:szCs w:val="15"/>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adequately prevent disclosure of trade secrets and other proprietary information.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2"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obtain or maintain the benefits associated with orphan drug designation, including market exclusivity.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63" w:lineRule="exact"/>
        <w:rPr>
          <w:sz w:val="20"/>
          <w:szCs w:val="20"/>
          <w:color w:val="auto"/>
        </w:rPr>
      </w:pPr>
    </w:p>
    <w:p>
      <w:pPr>
        <w:jc w:val="both"/>
        <w:ind w:right="20"/>
        <w:spacing w:after="0" w:line="323" w:lineRule="auto"/>
        <w:rPr>
          <w:sz w:val="20"/>
          <w:szCs w:val="20"/>
          <w:color w:val="auto"/>
        </w:rPr>
      </w:pPr>
      <w:r>
        <w:rPr>
          <w:rFonts w:ascii="Arial" w:cs="Arial" w:eastAsia="Arial" w:hAnsi="Arial"/>
          <w:sz w:val="13"/>
          <w:szCs w:val="13"/>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no manufacturing, sales, marketing or distribution capability and we must rely upon third parties for such.</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We do not intend to create facilities to manufacture our products and therefore will depend upon third parties to do so. We currently have no agreements with any commercial manufacturers.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unable to establish or manage strategic collaborations in the future, our revenue and drug development may be limited.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2" w:name="page13"/>
    <w:bookmarkEnd w:id="12"/>
    <w:p>
      <w:pPr>
        <w:spacing w:after="0"/>
        <w:rPr>
          <w:sz w:val="20"/>
          <w:szCs w:val="20"/>
          <w:color w:val="auto"/>
        </w:rPr>
      </w:pPr>
      <w:r>
        <w:rPr>
          <w:rFonts w:ascii="Arial" w:cs="Arial" w:eastAsia="Arial" w:hAnsi="Arial"/>
          <w:sz w:val="15"/>
          <w:szCs w:val="15"/>
          <w:color w:val="auto"/>
        </w:rPr>
        <w:t>Management of our relationships with our collaborators will require:</w:t>
      </w:r>
    </w:p>
    <w:p>
      <w:pPr>
        <w:spacing w:after="0" w:line="189" w:lineRule="exact"/>
        <w:rPr>
          <w:sz w:val="20"/>
          <w:szCs w:val="20"/>
          <w:color w:val="auto"/>
        </w:rPr>
      </w:pPr>
    </w:p>
    <w:p>
      <w:pPr>
        <w:ind w:left="940" w:hanging="678"/>
        <w:spacing w:after="0"/>
        <w:tabs>
          <w:tab w:leader="none" w:pos="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significant time and effort from our management team;</w:t>
      </w:r>
    </w:p>
    <w:p>
      <w:pPr>
        <w:spacing w:after="0" w:line="189" w:lineRule="exact"/>
        <w:rPr>
          <w:rFonts w:ascii="Arial" w:cs="Arial" w:eastAsia="Arial" w:hAnsi="Arial"/>
          <w:sz w:val="15"/>
          <w:szCs w:val="15"/>
          <w:color w:val="auto"/>
        </w:rPr>
      </w:pPr>
    </w:p>
    <w:p>
      <w:pPr>
        <w:ind w:left="940" w:hanging="678"/>
        <w:spacing w:after="0"/>
        <w:tabs>
          <w:tab w:leader="none" w:pos="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coordination of our research and development programs with the research and development priorities of our collaborators; and</w:t>
      </w:r>
    </w:p>
    <w:p>
      <w:pPr>
        <w:spacing w:after="0" w:line="189" w:lineRule="exact"/>
        <w:rPr>
          <w:rFonts w:ascii="Arial" w:cs="Arial" w:eastAsia="Arial" w:hAnsi="Arial"/>
          <w:sz w:val="15"/>
          <w:szCs w:val="15"/>
          <w:color w:val="auto"/>
        </w:rPr>
      </w:pPr>
    </w:p>
    <w:p>
      <w:pPr>
        <w:ind w:left="940" w:hanging="678"/>
        <w:spacing w:after="0"/>
        <w:tabs>
          <w:tab w:leader="none" w:pos="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effective allocation of our resources to multiple projects.</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need to attract and retain highly skilled personnel; we may be unable to effectively manage growth with our limited resources.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of July 1, 2015, we had one full-time employee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depend upon our senior management and key consultants and their loss or unavailability could put us at a competitive disadvantage.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Industry</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The biotechnology and immunotherapy industries are characterized by rapid technological developments and a high degree of competition. We may be unable to compete with more substantial enterprises.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3" w:name="page14"/>
    <w:bookmarkEnd w:id="13"/>
    <w:p>
      <w:pPr>
        <w:jc w:val="both"/>
        <w:spacing w:after="0" w:line="280" w:lineRule="auto"/>
        <w:rPr>
          <w:sz w:val="20"/>
          <w:szCs w:val="20"/>
          <w:color w:val="auto"/>
        </w:rPr>
      </w:pPr>
      <w:r>
        <w:rPr>
          <w:rFonts w:ascii="Arial" w:cs="Arial" w:eastAsia="Arial" w:hAnsi="Arial"/>
          <w:sz w:val="14"/>
          <w:szCs w:val="14"/>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addition, certain of our Immunotherapies may be subject to competition from investigational new drugs and/or products developed using other technologies, some of which have completed numerous clinical trials.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subject to numerous risks inherent in conducting clinical trials.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successful development of immunotherapies is highly uncertain.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Successful development of biopharmaceuticals is highly uncertain and depends on numerous factors, many of which are beyond our control. Immunotherapies that appear promising in the early phases of development may fail to reach the market for several reasons including:</w:t>
      </w:r>
    </w:p>
    <w:p>
      <w:pPr>
        <w:spacing w:after="0" w:line="146" w:lineRule="exact"/>
        <w:rPr>
          <w:sz w:val="20"/>
          <w:szCs w:val="20"/>
          <w:color w:val="auto"/>
        </w:rPr>
      </w:pPr>
    </w:p>
    <w:p>
      <w:pPr>
        <w:ind w:left="660" w:right="20" w:hanging="398"/>
        <w:spacing w:after="0" w:line="276" w:lineRule="auto"/>
        <w:tabs>
          <w:tab w:leader="none" w:pos="1011" w:val="left"/>
        </w:tabs>
        <w:numPr>
          <w:ilvl w:val="0"/>
          <w:numId w:val="9"/>
        </w:numPr>
        <w:rPr>
          <w:rFonts w:ascii="Arial" w:cs="Arial" w:eastAsia="Arial" w:hAnsi="Arial"/>
          <w:sz w:val="15"/>
          <w:szCs w:val="15"/>
          <w:color w:val="auto"/>
        </w:rPr>
      </w:pPr>
      <w:r>
        <w:rPr>
          <w:rFonts w:ascii="Arial" w:cs="Arial" w:eastAsia="Arial" w:hAnsi="Arial"/>
          <w:sz w:val="15"/>
          <w:szCs w:val="15"/>
          <w:color w:val="auto"/>
        </w:rPr>
        <w:t>preclinical study results that may show the immunotherapy to be less effective than desired (e.g., the study failed to meet its primary objectives) or to have harmful or problematic side effects;</w:t>
      </w:r>
    </w:p>
    <w:p>
      <w:pPr>
        <w:spacing w:after="0" w:line="146" w:lineRule="exact"/>
        <w:rPr>
          <w:rFonts w:ascii="Arial" w:cs="Arial" w:eastAsia="Arial" w:hAnsi="Arial"/>
          <w:sz w:val="15"/>
          <w:szCs w:val="15"/>
          <w:color w:val="auto"/>
        </w:rPr>
      </w:pPr>
    </w:p>
    <w:p>
      <w:pPr>
        <w:ind w:left="660" w:hanging="398"/>
        <w:spacing w:after="0" w:line="276" w:lineRule="auto"/>
        <w:tabs>
          <w:tab w:leader="none" w:pos="933" w:val="left"/>
        </w:tabs>
        <w:numPr>
          <w:ilvl w:val="0"/>
          <w:numId w:val="9"/>
        </w:numPr>
        <w:rPr>
          <w:rFonts w:ascii="Arial" w:cs="Arial" w:eastAsia="Arial" w:hAnsi="Arial"/>
          <w:sz w:val="15"/>
          <w:szCs w:val="15"/>
          <w:color w:val="auto"/>
        </w:rPr>
      </w:pPr>
      <w:r>
        <w:rPr>
          <w:rFonts w:ascii="Arial" w:cs="Arial" w:eastAsia="Arial" w:hAnsi="Arial"/>
          <w:sz w:val="15"/>
          <w:szCs w:val="15"/>
          <w:color w:val="auto"/>
        </w:rPr>
        <w:t>clinical study results that may show the immunotherapy to be less effective than expected (e.g., the study failed to meet its primary endpoint) or to have unacceptable side effects;</w:t>
      </w:r>
    </w:p>
    <w:p>
      <w:pPr>
        <w:spacing w:after="0" w:line="146" w:lineRule="exact"/>
        <w:rPr>
          <w:rFonts w:ascii="Arial" w:cs="Arial" w:eastAsia="Arial" w:hAnsi="Arial"/>
          <w:sz w:val="15"/>
          <w:szCs w:val="15"/>
          <w:color w:val="auto"/>
        </w:rPr>
      </w:pPr>
    </w:p>
    <w:p>
      <w:pPr>
        <w:jc w:val="both"/>
        <w:ind w:left="660" w:hanging="398"/>
        <w:spacing w:after="0" w:line="264" w:lineRule="auto"/>
        <w:tabs>
          <w:tab w:leader="none" w:pos="932" w:val="left"/>
        </w:tabs>
        <w:numPr>
          <w:ilvl w:val="0"/>
          <w:numId w:val="9"/>
        </w:numPr>
        <w:rPr>
          <w:rFonts w:ascii="Arial" w:cs="Arial" w:eastAsia="Arial" w:hAnsi="Arial"/>
          <w:sz w:val="15"/>
          <w:szCs w:val="15"/>
          <w:color w:val="auto"/>
        </w:rPr>
      </w:pPr>
      <w:r>
        <w:rPr>
          <w:rFonts w:ascii="Arial" w:cs="Arial" w:eastAsia="Arial" w:hAnsi="Arial"/>
          <w:sz w:val="15"/>
          <w:szCs w:val="15"/>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154" w:lineRule="exact"/>
        <w:rPr>
          <w:rFonts w:ascii="Arial" w:cs="Arial" w:eastAsia="Arial" w:hAnsi="Arial"/>
          <w:sz w:val="15"/>
          <w:szCs w:val="15"/>
          <w:color w:val="auto"/>
        </w:rPr>
      </w:pPr>
    </w:p>
    <w:p>
      <w:pPr>
        <w:ind w:left="920" w:hanging="658"/>
        <w:spacing w:after="0"/>
        <w:tabs>
          <w:tab w:leader="none" w:pos="92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manufacturing costs, formulation issues, pricing or reimbursement issues, or other factors that make the immunotherapy uneconomical; and</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proprietary rights of others and their competing products and technologies that may prevent the immunotherapy from being commercialized.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5"/>
          <w:szCs w:val="15"/>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must comply with significant government regulations.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5" w:name="page16"/>
    <w:bookmarkEnd w:id="15"/>
    <w:p>
      <w:pPr>
        <w:ind w:right="20"/>
        <w:spacing w:after="0" w:line="276" w:lineRule="auto"/>
        <w:rPr>
          <w:sz w:val="20"/>
          <w:szCs w:val="20"/>
          <w:color w:val="auto"/>
        </w:rPr>
      </w:pPr>
      <w:r>
        <w:rPr>
          <w:rFonts w:ascii="Arial" w:cs="Arial" w:eastAsia="Arial" w:hAnsi="Arial"/>
          <w:sz w:val="15"/>
          <w:szCs w:val="15"/>
          <w:color w:val="auto"/>
        </w:rPr>
        <w:t>In addition, third parties may challenge or infringe upon our existing or future patents. Proceedings involving our patents or patent applications or those of others could result in adverse decisions regarding:</w:t>
      </w:r>
    </w:p>
    <w:p>
      <w:pPr>
        <w:spacing w:after="0" w:line="146" w:lineRule="exact"/>
        <w:rPr>
          <w:sz w:val="20"/>
          <w:szCs w:val="20"/>
          <w:color w:val="auto"/>
        </w:rPr>
      </w:pPr>
    </w:p>
    <w:p>
      <w:pPr>
        <w:ind w:left="920" w:hanging="658"/>
        <w:spacing w:after="0"/>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patentability of our inventions relating to our product candidates; and/or</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enforceability, validity or scope of protection offered by our patents relating to our product candidates.</w:t>
      </w:r>
    </w:p>
    <w:p>
      <w:pPr>
        <w:spacing w:after="0" w:line="189" w:lineRule="exact"/>
        <w:rPr>
          <w:sz w:val="20"/>
          <w:szCs w:val="20"/>
          <w:color w:val="auto"/>
        </w:rPr>
      </w:pPr>
    </w:p>
    <w:p>
      <w:pPr>
        <w:jc w:val="both"/>
        <w:ind w:right="20"/>
        <w:spacing w:after="0" w:line="284" w:lineRule="auto"/>
        <w:rPr>
          <w:sz w:val="20"/>
          <w:szCs w:val="20"/>
          <w:color w:val="auto"/>
        </w:rPr>
      </w:pPr>
      <w:r>
        <w:rPr>
          <w:rFonts w:ascii="Arial" w:cs="Arial" w:eastAsia="Arial" w:hAnsi="Arial"/>
          <w:sz w:val="14"/>
          <w:szCs w:val="14"/>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43" w:lineRule="exact"/>
        <w:rPr>
          <w:sz w:val="20"/>
          <w:szCs w:val="20"/>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incur substantial monetary damages;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encounter significant delays in bringing our product candidates to market; and/or</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be precluded from participating in the manufacture, use or sale of our product candidates or methods of treatment requiring licenses.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incur substantial liabilities from any product liability claims if our insurance coverage for those claims is inadequate.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38" w:lineRule="exact"/>
        <w:rPr>
          <w:sz w:val="20"/>
          <w:szCs w:val="20"/>
          <w:color w:val="auto"/>
        </w:rPr>
      </w:pPr>
    </w:p>
    <w:p>
      <w:pPr>
        <w:ind w:left="920" w:hanging="65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decreased demand for our Immunotherapies;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damage to our reputation;</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costs of related litigation;</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substantial monetary awards to patients or other claimants;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loss of revenues;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inability to commercialize Immunotherapies; and</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increased difficulty in raising required additional funds in the private and public capital markets.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price of our common stock may be volatile.</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trading price of our common stock may fluctuate substantially. The price of our common stock that will prevail in the market may be higher or lower than the price at which our shares of common stock being registered by the registration statement of which this prospectus forms a part are resold,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6" w:name="page17"/>
    <w:bookmarkEnd w:id="16"/>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price and volume of fluctuations in the overall stock market from time to time;</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fluctuations in stock market prices and trading volumes of similar companies;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actual or anticipated changes in our net loss or fluctuations in our operating results or in the expectations of securities analysts;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issuance of new equity securities pursuant to a future offering, including issuances of preferred stock;</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general economic conditions and trends;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positive and negative events relating to healthcare and the overall pharmaceutical and biotech sector;</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major catastrophic events;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sales of large blocks of our stock;</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significant dilution caused by the anti-dilutive clauses in our financial agreements;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departures of key personnel;</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changes in the regulatory status of our Immunotherapies, including results of our clinical trials;</w:t>
      </w:r>
    </w:p>
    <w:p>
      <w:pPr>
        <w:spacing w:after="0" w:line="189"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events affecting Mayo Clinic, Mayo Foundation for Medical Education and Research or any future collaborators;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announcements of new products or technologies, commercial relationships or other events by us or our competitors;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regulatory developments in the United States and other countries;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failure of our common stock to be listed or quoted on the OTCQB, the NASDAQ Capital Market, NYSE Amex Equities or other national market system;</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changes in accounting principles; and</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discussion of us or our stock price by the financial and scientific press and in online investor communities.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DTC “Chill” on the electronic clearing of trades in our securities in the future may affect the liquidity of our stock and our ability to raise capital.</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You may have difficulty selling our shares because they may be deemed “penny stocks.”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46" w:lineRule="exact"/>
        <w:rPr>
          <w:sz w:val="20"/>
          <w:szCs w:val="20"/>
          <w:color w:val="auto"/>
        </w:rPr>
      </w:pPr>
    </w:p>
    <w:p>
      <w:pPr>
        <w:ind w:left="920" w:hanging="658"/>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with a price of less than $5.00 per share;</w:t>
      </w:r>
    </w:p>
    <w:p>
      <w:pPr>
        <w:spacing w:after="0" w:line="212" w:lineRule="exact"/>
        <w:rPr>
          <w:rFonts w:ascii="Arial" w:cs="Arial" w:eastAsia="Arial" w:hAnsi="Arial"/>
          <w:sz w:val="15"/>
          <w:szCs w:val="15"/>
          <w:color w:val="auto"/>
        </w:rPr>
      </w:pPr>
    </w:p>
    <w:p>
      <w:pPr>
        <w:ind w:left="660" w:right="20" w:hanging="398"/>
        <w:spacing w:after="0" w:line="276" w:lineRule="auto"/>
        <w:tabs>
          <w:tab w:leader="none" w:pos="9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that are neither traded on a “recognized” national exchange nor listed on an automated quotation system sponsored by a registered national securities association meeting certain minimum initial listing standards; and</w:t>
      </w:r>
    </w:p>
    <w:p>
      <w:pPr>
        <w:spacing w:after="0" w:line="168" w:lineRule="exact"/>
        <w:rPr>
          <w:rFonts w:ascii="Arial" w:cs="Arial" w:eastAsia="Arial" w:hAnsi="Arial"/>
          <w:sz w:val="15"/>
          <w:szCs w:val="15"/>
          <w:color w:val="auto"/>
        </w:rPr>
      </w:pPr>
    </w:p>
    <w:p>
      <w:pPr>
        <w:ind w:left="660" w:hanging="398"/>
        <w:spacing w:after="0" w:line="276" w:lineRule="auto"/>
        <w:tabs>
          <w:tab w:leader="none" w:pos="917" w:val="left"/>
        </w:tabs>
        <w:numPr>
          <w:ilvl w:val="0"/>
          <w:numId w:val="14"/>
        </w:numPr>
        <w:rPr>
          <w:rFonts w:ascii="Arial" w:cs="Arial" w:eastAsia="Arial" w:hAnsi="Arial"/>
          <w:sz w:val="15"/>
          <w:szCs w:val="15"/>
          <w:color w:val="auto"/>
        </w:rPr>
      </w:pPr>
      <w:r>
        <w:rPr>
          <w:rFonts w:ascii="Arial" w:cs="Arial" w:eastAsia="Arial" w:hAnsi="Arial"/>
          <w:sz w:val="15"/>
          <w:szCs w:val="15"/>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5"/>
          <w:szCs w:val="15"/>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146" w:lineRule="exact"/>
        <w:rPr>
          <w:sz w:val="20"/>
          <w:szCs w:val="20"/>
          <w:color w:val="auto"/>
        </w:rPr>
      </w:pPr>
    </w:p>
    <w:p>
      <w:pPr>
        <w:ind w:left="920" w:hanging="65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obtain from the investor information about his or her financial situation, investment experience and investment objectives;</w:t>
      </w:r>
    </w:p>
    <w:p>
      <w:pPr>
        <w:spacing w:after="0" w:line="212" w:lineRule="exact"/>
        <w:rPr>
          <w:rFonts w:ascii="Arial" w:cs="Arial" w:eastAsia="Arial" w:hAnsi="Arial"/>
          <w:sz w:val="15"/>
          <w:szCs w:val="15"/>
          <w:color w:val="auto"/>
        </w:rPr>
      </w:pPr>
    </w:p>
    <w:p>
      <w:pPr>
        <w:ind w:left="660" w:hanging="398"/>
        <w:spacing w:after="0" w:line="276" w:lineRule="auto"/>
        <w:tabs>
          <w:tab w:leader="none" w:pos="906"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68" w:lineRule="exact"/>
        <w:rPr>
          <w:rFonts w:ascii="Arial" w:cs="Arial" w:eastAsia="Arial" w:hAnsi="Arial"/>
          <w:sz w:val="15"/>
          <w:szCs w:val="15"/>
          <w:color w:val="auto"/>
        </w:rPr>
      </w:pPr>
    </w:p>
    <w:p>
      <w:pPr>
        <w:ind w:left="920" w:hanging="65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provide the investor with a written statement setting forth the basis on which the broker-dealer made his or her determination; and</w:t>
      </w:r>
    </w:p>
    <w:p>
      <w:pPr>
        <w:spacing w:after="0" w:line="212" w:lineRule="exact"/>
        <w:rPr>
          <w:rFonts w:ascii="Arial" w:cs="Arial" w:eastAsia="Arial" w:hAnsi="Arial"/>
          <w:sz w:val="15"/>
          <w:szCs w:val="15"/>
          <w:color w:val="auto"/>
        </w:rPr>
      </w:pPr>
    </w:p>
    <w:p>
      <w:pPr>
        <w:ind w:left="660" w:right="20" w:hanging="398"/>
        <w:spacing w:after="0" w:line="276" w:lineRule="auto"/>
        <w:tabs>
          <w:tab w:leader="none" w:pos="992"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receive a signed and dated copy of the statement from the investor, confirming that it accurately reflects the investor’s financial situation, investment experience and investment objectives.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55"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Our stock closed at $0.79 per share on July 15, 2015 and the per share price of our common stock might not obtain or maintain the necessary levels to prevent our stock being subject to these rules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limited public trading market may cause volatility in the price of our common stock.</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quotation of our common stock on the OTCQB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market prices for our common stock may be adversely impacted by future events.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common stock began trades on the over-the-counter-markets and is currently quoted on the OTCQB under the symbol “TPIV.OB” and on the Frankfurt and Berlin Stock Exchanges under the symbol “GX1A.” The listing on the Berlin Stock Exchange was done without the Company’s knowledge and consent. Market prices for our common stock and warrants will be influenced by a number of factors, including:</w:t>
      </w:r>
    </w:p>
    <w:p>
      <w:pPr>
        <w:spacing w:after="0" w:line="155" w:lineRule="exact"/>
        <w:rPr>
          <w:sz w:val="20"/>
          <w:szCs w:val="20"/>
          <w:color w:val="auto"/>
        </w:rPr>
      </w:pPr>
    </w:p>
    <w:p>
      <w:pPr>
        <w:ind w:left="920" w:hanging="658"/>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issuance of new equity securities pursuant to a future offering, including issuances of preferred stock;</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changes in interest rates;</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significant dilution caused by the anti-dilutive clauses in our financial agreements;</w:t>
      </w:r>
    </w:p>
    <w:p>
      <w:pPr>
        <w:spacing w:after="0" w:line="212" w:lineRule="exact"/>
        <w:rPr>
          <w:rFonts w:ascii="Arial" w:cs="Arial" w:eastAsia="Arial" w:hAnsi="Arial"/>
          <w:sz w:val="15"/>
          <w:szCs w:val="15"/>
          <w:color w:val="auto"/>
        </w:rPr>
      </w:pPr>
    </w:p>
    <w:p>
      <w:pPr>
        <w:ind w:left="660" w:hanging="398"/>
        <w:spacing w:after="0" w:line="276" w:lineRule="auto"/>
        <w:tabs>
          <w:tab w:leader="none" w:pos="904"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competitive developments, including announcements by competitors of new products or services or significant contracts, acquisitions, strategic partnerships, joint ventures or capital commitments;</w:t>
      </w:r>
    </w:p>
    <w:p>
      <w:pPr>
        <w:spacing w:after="0" w:line="146" w:lineRule="exact"/>
        <w:rPr>
          <w:rFonts w:ascii="Arial" w:cs="Arial" w:eastAsia="Arial" w:hAnsi="Arial"/>
          <w:sz w:val="15"/>
          <w:szCs w:val="15"/>
          <w:color w:val="auto"/>
        </w:rPr>
      </w:pPr>
    </w:p>
    <w:p>
      <w:pPr>
        <w:ind w:left="920" w:hanging="658"/>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variations in quarterly operating results;</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 in financial estimates by securities analysts;</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depth and liquidity of the market for our common stock and warrants;</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investor perceptions of our company and the pharmaceutical and biotech industries generally; and</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general economic and other national conditions.</w:t>
      </w:r>
    </w:p>
    <w:p>
      <w:pPr>
        <w:spacing w:after="0" w:line="20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b w:val="1"/>
          <w:bCs w:val="1"/>
          <w:color w:val="auto"/>
        </w:rPr>
        <w:t>If we fail to remain current with our listing requirements, we could be removed from the OTCQB which would limit the ability of broker-dealers to sell our securities and the ability of shareholders to sell their securities in the secondary market.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5"/>
          <w:szCs w:val="15"/>
          <w:color w:val="auto"/>
        </w:rPr>
        <w:t>Companies trading on the OTCQB must be reporting issuers under Section 12 of the Securities Exchange Act, as amended. If we fail to file such reports in a timely manner, the shares of our common stock would eventually cease to be quoted on the OTCQB, and the market liquidity for our securities could be severely adversely affected by limiting the ability of broker-dealers to sell our securities and the ability of shareholders to sell their securities in the secondary market.</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of additional equity securities may adversely affect the market price of our common stock and your rights may be reduced.</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authorized shares of common stock available for issuance may adversely affect the market price of our securities.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We are currently authorized to issue 500,000,000 shares of our common stock. As of July 15, 2015, we had 38,073,791 shares of our common stock issued and outstanding, excluding shares issuable upon exercise of our outstanding warrants, options and shares of common stock earned but not yet issued under Omnibus Stock Option Plan. Those outstanding shares represent 6.5% of our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39"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2015, the fair value of the derivative liability – warrants was $2,052,975.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color w:val="auto"/>
        </w:rPr>
        <w:t>We do not intend to pay cash dividends.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Nevada law has anti-takeover provisions that could discourage, delay or prevent a change in control, which may cause our stock price to decline.</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Nevada law contains provisions which could make it more difficult for a third party to acquire us, even if closing such a transaction would be beneficial to our shareholders. We are authorized to issue up to 5,000,000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57"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150" w:lineRule="exact"/>
        <w:rPr>
          <w:sz w:val="20"/>
          <w:szCs w:val="20"/>
          <w:color w:val="auto"/>
        </w:rPr>
      </w:pPr>
    </w:p>
    <w:p>
      <w:pPr>
        <w:jc w:val="both"/>
        <w:ind w:right="20"/>
        <w:spacing w:after="0" w:line="356" w:lineRule="auto"/>
        <w:rPr>
          <w:sz w:val="20"/>
          <w:szCs w:val="20"/>
          <w:color w:val="auto"/>
        </w:rPr>
      </w:pPr>
      <w:r>
        <w:rPr>
          <w:rFonts w:ascii="Arial" w:cs="Arial" w:eastAsia="Arial" w:hAnsi="Arial"/>
          <w:sz w:val="13"/>
          <w:szCs w:val="13"/>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Properties.</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Our corporate offices are currently located at 1551 Eastlake Avenue East, Suite 100, Seattle, Washington, 98102.We are on a month-to-month basis with our landlord for our current facility which is approximately 2,682 square feet in Seattle, Washington.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will not receive any proceeds from the sale of shares by the selling stockholders. The shares being resold by the selling stockholders will only be issued if the warrants are exercised, and we may receive proceeds of up to $6,124,000 if all of those warrants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DETERMINATION OF OFFERING PRICE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selling stockholders will offer common stock at the prevailing market prices or privately negotiated price.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SELLING STOCKHOLDERS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shares of common stock being offered by the selling stockholders are those issuable to the selling stockholders upon the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20" w:name="page21"/>
    <w:bookmarkEnd w:id="20"/>
    <w:p>
      <w:pPr>
        <w:jc w:val="both"/>
        <w:ind w:left="10"/>
        <w:spacing w:after="0" w:line="264" w:lineRule="auto"/>
        <w:rPr>
          <w:sz w:val="20"/>
          <w:szCs w:val="20"/>
          <w:color w:val="auto"/>
        </w:rPr>
      </w:pPr>
      <w:r>
        <w:rPr>
          <w:rFonts w:ascii="Arial" w:cs="Arial" w:eastAsia="Arial" w:hAnsi="Arial"/>
          <w:sz w:val="15"/>
          <w:szCs w:val="15"/>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July 15, 2015, assuming exercise of the warrants held by each such selling stockholder on that date and not taking account of any limitations on conversion and exercise set forth therein.</w:t>
      </w:r>
    </w:p>
    <w:p>
      <w:pPr>
        <w:spacing w:after="0" w:line="155"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The third column lists the shares of common stock being offered by this Prospectus by the selling stockholders and does not take in account any limitations on exercise of the warrants set forth therein.</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fourth column assumes the sale of all of the shares offered by the selling stockholders pursuant to this Prospectus.</w:t>
      </w:r>
    </w:p>
    <w:p>
      <w:pPr>
        <w:spacing w:after="0" w:line="189"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Under the terms of the warrants, a selling stockholder may not (i) exercise the Series B or the Series C Warrants to the extent (but only to the extent) such selling stockholder or any of its affiliates would beneficially own a number of shares of our common stock which would exceed 9.9% or (ii) exercise the Series B-1 Warrants to the extent (but only to the extent) such selling stockholder or any of its affiliates would beneficially own a number of shares of our common stock which would exceed 49.9%. The number of shares in the second column and the third column do not reflect these limitations. The selling stockholders may sell all, some or none of their shares in this offering. See “Plan of Distribution”.</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Percentage of</w:t>
            </w:r>
          </w:p>
        </w:tc>
      </w:tr>
      <w:tr>
        <w:trPr>
          <w:trHeight w:val="181"/>
        </w:trPr>
        <w:tc>
          <w:tcPr>
            <w:tcW w:w="572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Number of</w:t>
            </w: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Maximum Number of</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Number of</w:t>
            </w: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Shares of</w:t>
            </w:r>
          </w:p>
        </w:tc>
      </w:tr>
      <w:tr>
        <w:trPr>
          <w:trHeight w:val="181"/>
        </w:trPr>
        <w:tc>
          <w:tcPr>
            <w:tcW w:w="572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Shares of</w:t>
            </w: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Shares of Common</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Shares of</w:t>
            </w: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Common Stock</w:t>
            </w:r>
          </w:p>
        </w:tc>
      </w:tr>
      <w:tr>
        <w:trPr>
          <w:trHeight w:val="181"/>
        </w:trPr>
        <w:tc>
          <w:tcPr>
            <w:tcW w:w="572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Common Stock</w:t>
            </w: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Stock to be Sold</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Common Stock</w:t>
            </w: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w w:val="98"/>
              </w:rPr>
              <w:t>Owned After the</w:t>
            </w:r>
          </w:p>
        </w:tc>
      </w:tr>
      <w:tr>
        <w:trPr>
          <w:trHeight w:val="181"/>
        </w:trPr>
        <w:tc>
          <w:tcPr>
            <w:tcW w:w="572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Owned Prior to</w:t>
            </w: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Pursuant to this</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Owned After</w:t>
            </w: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Offering</w:t>
            </w:r>
          </w:p>
        </w:tc>
      </w:tr>
      <w:tr>
        <w:trPr>
          <w:trHeight w:val="198"/>
        </w:trPr>
        <w:tc>
          <w:tcPr>
            <w:tcW w:w="5720" w:type="dxa"/>
            <w:vAlign w:val="bottom"/>
          </w:tcPr>
          <w:p>
            <w:pPr>
              <w:spacing w:after="0"/>
              <w:rPr>
                <w:sz w:val="20"/>
                <w:szCs w:val="20"/>
                <w:color w:val="auto"/>
              </w:rPr>
            </w:pPr>
            <w:r>
              <w:rPr>
                <w:rFonts w:ascii="Arial" w:cs="Arial" w:eastAsia="Arial" w:hAnsi="Arial"/>
                <w:sz w:val="15"/>
                <w:szCs w:val="15"/>
                <w:b w:val="1"/>
                <w:bCs w:val="1"/>
                <w:color w:val="auto"/>
              </w:rPr>
              <w:t>Name of Selling Stockholder</w:t>
            </w: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Offering</w:t>
            </w: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Prospectus (1)</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Offering</w:t>
            </w:r>
          </w:p>
        </w:tc>
        <w:tc>
          <w:tcPr>
            <w:tcW w:w="1140" w:type="dxa"/>
            <w:vAlign w:val="bottom"/>
          </w:tcPr>
          <w:p>
            <w:pPr>
              <w:spacing w:after="0"/>
              <w:rPr>
                <w:sz w:val="20"/>
                <w:szCs w:val="20"/>
                <w:color w:val="auto"/>
              </w:rPr>
            </w:pPr>
            <w:r>
              <w:rPr>
                <w:rFonts w:ascii="Arial" w:cs="Arial" w:eastAsia="Arial" w:hAnsi="Arial"/>
                <w:sz w:val="15"/>
                <w:szCs w:val="15"/>
                <w:b w:val="1"/>
                <w:bCs w:val="1"/>
                <w:color w:val="auto"/>
              </w:rPr>
              <w:t>(1) (2)</w:t>
            </w:r>
          </w:p>
        </w:tc>
        <w:tc>
          <w:tcPr>
            <w:tcW w:w="20" w:type="dxa"/>
            <w:vAlign w:val="bottom"/>
          </w:tcPr>
          <w:p>
            <w:pPr>
              <w:spacing w:after="0"/>
              <w:rPr>
                <w:sz w:val="17"/>
                <w:szCs w:val="17"/>
                <w:color w:val="auto"/>
              </w:rPr>
            </w:pPr>
          </w:p>
        </w:tc>
      </w:tr>
      <w:tr>
        <w:trPr>
          <w:trHeight w:val="184"/>
        </w:trPr>
        <w:tc>
          <w:tcPr>
            <w:tcW w:w="5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Empery Asset Master, LTD (3)</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6,590,156</w:t>
            </w:r>
          </w:p>
        </w:tc>
        <w:tc>
          <w:tcPr>
            <w:tcW w:w="24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1,429,320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5,160,836</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Empery Tax Efficient, LP (4)</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1,495,465</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341,774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1,153,691</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Empery Tax Efficient II, LP (5)</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10,041,171</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2,868,906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7,172,265</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Iroquois Master Fund Ltd. (6)</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8,750,000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6,250,000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American Capital Management LLC (7)</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6,000,000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4,500,000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Merav Abbe Irrevocable Trust (8)</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2,000,000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1,500,000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Samantha Abbe Irrevocable Trust (9)</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666,680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166,670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500,010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Talia Abbe Irrevocable Trust (10)</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666,640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166,660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499,980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Bennett Abbe Irrevocable Trust (11)</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666,640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166,660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499,980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Brio Capital Master Fund, Ltd. (12)</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17,500,000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12,500,000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Eastern Capital Limited (13)</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40,000,000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30,000,000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w:t>
            </w:r>
          </w:p>
        </w:tc>
        <w:tc>
          <w:tcPr>
            <w:tcW w:w="20" w:type="dxa"/>
            <w:vAlign w:val="bottom"/>
          </w:tcPr>
          <w:p>
            <w:pPr>
              <w:spacing w:after="0"/>
              <w:rPr>
                <w:sz w:val="15"/>
                <w:szCs w:val="15"/>
                <w:color w:val="auto"/>
              </w:rPr>
            </w:pPr>
          </w:p>
        </w:tc>
      </w:tr>
    </w:tbl>
    <w:p>
      <w:pPr>
        <w:spacing w:after="0" w:line="170" w:lineRule="exact"/>
        <w:rPr>
          <w:sz w:val="20"/>
          <w:szCs w:val="20"/>
          <w:color w:val="auto"/>
        </w:rPr>
      </w:pPr>
    </w:p>
    <w:p>
      <w:pPr>
        <w:jc w:val="both"/>
        <w:ind w:left="650" w:hanging="650"/>
        <w:spacing w:after="0" w:line="255" w:lineRule="auto"/>
        <w:tabs>
          <w:tab w:leader="none" w:pos="65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shares of Common Stock underlying warrants held by the Selling Stockholder that are covered by this Prospectus, including any convertible securities that, due to contractual restrictions, may not be exercisable if such exercise would result in beneficial ownership greater than 4.9%, 9.9% and 49.9%,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jc w:val="both"/>
        <w:ind w:left="650" w:hanging="650"/>
        <w:spacing w:after="0" w:line="269" w:lineRule="auto"/>
        <w:tabs>
          <w:tab w:leader="none" w:pos="65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57,713,791 shares of common stock, which includes 38,073,791 shares of common stock issued and outstanding on July 15, 2015 and all 19,640,000 shares of common stock being offered in this Prospectus that may be issued upon exercise of the warrants. In determining this amount, we assumed that (i) all 19,640,000 shares of common stock being offered in this Prospectus that may be issued upon exercise of the warrants will be sold, (ii) no other warrants or options will be exercised (including 63,486,792 warrants whose underlying shares are registered under the Securities Act pursuant to Registration Statement 333-196115) and (iii) we issue no other shares of common stock. If these assumptions are incorrect, the number of shares and percentages included in this column will differ from what we have provided.</w:t>
      </w:r>
    </w:p>
    <w:p>
      <w:pPr>
        <w:spacing w:after="0" w:line="2" w:lineRule="exact"/>
        <w:rPr>
          <w:rFonts w:ascii="Arial" w:cs="Arial" w:eastAsia="Arial" w:hAnsi="Arial"/>
          <w:sz w:val="14"/>
          <w:szCs w:val="14"/>
          <w:color w:val="auto"/>
        </w:rPr>
      </w:pPr>
    </w:p>
    <w:p>
      <w:pPr>
        <w:jc w:val="both"/>
        <w:ind w:left="650" w:hanging="650"/>
        <w:spacing w:after="0" w:line="315" w:lineRule="auto"/>
        <w:tabs>
          <w:tab w:leader="none" w:pos="65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25" w:lineRule="exact"/>
        <w:rPr>
          <w:rFonts w:ascii="Arial" w:cs="Arial" w:eastAsia="Arial" w:hAnsi="Arial"/>
          <w:sz w:val="13"/>
          <w:szCs w:val="13"/>
          <w:color w:val="auto"/>
        </w:rPr>
      </w:pPr>
    </w:p>
    <w:p>
      <w:pPr>
        <w:jc w:val="both"/>
        <w:ind w:left="650" w:right="20"/>
        <w:spacing w:after="0" w:line="264" w:lineRule="auto"/>
        <w:rPr>
          <w:rFonts w:ascii="Arial" w:cs="Arial" w:eastAsia="Arial" w:hAnsi="Arial"/>
          <w:sz w:val="13"/>
          <w:szCs w:val="13"/>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5,160,836 shares issuable upon the exercise of other warrants held by the shareholder.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3"/>
          <w:szCs w:val="13"/>
          <w:color w:val="auto"/>
        </w:rPr>
      </w:pPr>
    </w:p>
    <w:p>
      <w:pPr>
        <w:ind w:left="650" w:right="20"/>
        <w:spacing w:after="0" w:line="276" w:lineRule="auto"/>
        <w:rPr>
          <w:rFonts w:ascii="Arial" w:cs="Arial" w:eastAsia="Arial" w:hAnsi="Arial"/>
          <w:sz w:val="13"/>
          <w:szCs w:val="13"/>
          <w:color w:val="auto"/>
        </w:rPr>
      </w:pPr>
      <w:r>
        <w:rPr>
          <w:rFonts w:ascii="Arial" w:cs="Arial" w:eastAsia="Arial" w:hAnsi="Arial"/>
          <w:sz w:val="15"/>
          <w:szCs w:val="15"/>
          <w:color w:val="auto"/>
        </w:rPr>
        <w:t>“Shares of Common Stock to be Sold Pursuant to this Prospectus” includes (i) 714,660 shares of common stock issuable upon exercise of the Series B Warrants and (iv) 714,660 shares of common stock issuable upon exercise of the Series C Warrants.</w:t>
      </w:r>
    </w:p>
    <w:p>
      <w:pPr>
        <w:spacing w:after="0" w:line="29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457" w:right="219" w:bottom="1440" w:gutter="0" w:footer="0" w:header="0"/>
        </w:sectPr>
      </w:pPr>
    </w:p>
    <w:bookmarkStart w:id="21" w:name="page22"/>
    <w:bookmarkEnd w:id="21"/>
    <w:p>
      <w:pPr>
        <w:jc w:val="both"/>
        <w:ind w:left="650" w:hanging="612"/>
        <w:spacing w:after="0" w:line="291" w:lineRule="auto"/>
        <w:tabs>
          <w:tab w:leader="none" w:pos="650" w:val="left"/>
        </w:tabs>
        <w:numPr>
          <w:ilvl w:val="1"/>
          <w:numId w:val="18"/>
        </w:numPr>
        <w:rPr>
          <w:rFonts w:ascii="Arial" w:cs="Arial" w:eastAsia="Arial" w:hAnsi="Arial"/>
          <w:sz w:val="14"/>
          <w:szCs w:val="14"/>
          <w:color w:val="auto"/>
        </w:rPr>
      </w:pPr>
      <w:r>
        <w:rPr>
          <w:rFonts w:ascii="Arial" w:cs="Arial" w:eastAsia="Arial" w:hAnsi="Arial"/>
          <w:sz w:val="14"/>
          <w:szCs w:val="14"/>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38" w:lineRule="exact"/>
        <w:rPr>
          <w:rFonts w:ascii="Arial" w:cs="Arial" w:eastAsia="Arial" w:hAnsi="Arial"/>
          <w:sz w:val="14"/>
          <w:szCs w:val="14"/>
          <w:color w:val="auto"/>
        </w:rPr>
      </w:pPr>
    </w:p>
    <w:p>
      <w:pPr>
        <w:jc w:val="both"/>
        <w:ind w:left="650"/>
        <w:spacing w:after="0" w:line="264" w:lineRule="auto"/>
        <w:rPr>
          <w:rFonts w:ascii="Arial" w:cs="Arial" w:eastAsia="Arial" w:hAnsi="Arial"/>
          <w:sz w:val="14"/>
          <w:szCs w:val="14"/>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1,153,691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4"/>
          <w:szCs w:val="14"/>
          <w:color w:val="auto"/>
        </w:rPr>
      </w:pPr>
    </w:p>
    <w:p>
      <w:pPr>
        <w:ind w:left="650"/>
        <w:spacing w:after="0" w:line="258" w:lineRule="auto"/>
        <w:rPr>
          <w:rFonts w:ascii="Arial" w:cs="Arial" w:eastAsia="Arial" w:hAnsi="Arial"/>
          <w:sz w:val="14"/>
          <w:szCs w:val="14"/>
          <w:color w:val="auto"/>
        </w:rPr>
      </w:pPr>
      <w:r>
        <w:rPr>
          <w:rFonts w:ascii="Arial" w:cs="Arial" w:eastAsia="Arial" w:hAnsi="Arial"/>
          <w:sz w:val="15"/>
          <w:szCs w:val="15"/>
          <w:color w:val="auto"/>
        </w:rPr>
        <w:t>“Shares of Common Stock to be Sold Pursuant to this Prospectus” includes (i) 170,887 shares of common stock issuable upon exercise of the Series B Warrants and (ii) 170,887 shares of common stock issuable upon exercise of the Series C Warrants.</w:t>
      </w:r>
    </w:p>
    <w:p>
      <w:pPr>
        <w:jc w:val="both"/>
        <w:ind w:left="650" w:right="20" w:hanging="650"/>
        <w:spacing w:after="0" w:line="315" w:lineRule="auto"/>
        <w:tabs>
          <w:tab w:leader="none" w:pos="65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25" w:lineRule="exact"/>
        <w:rPr>
          <w:rFonts w:ascii="Arial" w:cs="Arial" w:eastAsia="Arial" w:hAnsi="Arial"/>
          <w:sz w:val="13"/>
          <w:szCs w:val="13"/>
          <w:color w:val="auto"/>
        </w:rPr>
      </w:pPr>
    </w:p>
    <w:p>
      <w:pPr>
        <w:jc w:val="both"/>
        <w:ind w:left="650" w:right="20"/>
        <w:spacing w:after="0" w:line="264" w:lineRule="auto"/>
        <w:rPr>
          <w:rFonts w:ascii="Arial" w:cs="Arial" w:eastAsia="Arial" w:hAnsi="Arial"/>
          <w:sz w:val="13"/>
          <w:szCs w:val="13"/>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7,172,265 shares issuable upon the exercise of certain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3"/>
          <w:szCs w:val="13"/>
          <w:color w:val="auto"/>
        </w:rPr>
      </w:pPr>
    </w:p>
    <w:p>
      <w:pPr>
        <w:ind w:left="650"/>
        <w:spacing w:after="0" w:line="258" w:lineRule="auto"/>
        <w:rPr>
          <w:rFonts w:ascii="Arial" w:cs="Arial" w:eastAsia="Arial" w:hAnsi="Arial"/>
          <w:sz w:val="13"/>
          <w:szCs w:val="13"/>
          <w:color w:val="auto"/>
        </w:rPr>
      </w:pPr>
      <w:r>
        <w:rPr>
          <w:rFonts w:ascii="Arial" w:cs="Arial" w:eastAsia="Arial" w:hAnsi="Arial"/>
          <w:sz w:val="15"/>
          <w:szCs w:val="15"/>
          <w:color w:val="auto"/>
        </w:rPr>
        <w:t>“Shares of Common Stock to be Sold Pursuant to this Prospectus” includes (i) 1,434,453 shares of common stock issuable upon exercise of the Series B Warrants and 1,434,453 shares of common stock issuable upon exercise of the Series C Warrants.</w:t>
      </w:r>
    </w:p>
    <w:p>
      <w:pPr>
        <w:jc w:val="both"/>
        <w:ind w:left="650" w:hanging="650"/>
        <w:spacing w:after="0" w:line="279" w:lineRule="auto"/>
        <w:tabs>
          <w:tab w:leader="none" w:pos="65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146" w:lineRule="exact"/>
        <w:rPr>
          <w:rFonts w:ascii="Arial" w:cs="Arial" w:eastAsia="Arial" w:hAnsi="Arial"/>
          <w:sz w:val="14"/>
          <w:szCs w:val="14"/>
          <w:color w:val="auto"/>
        </w:rPr>
      </w:pPr>
    </w:p>
    <w:p>
      <w:pPr>
        <w:jc w:val="both"/>
        <w:ind w:left="650"/>
        <w:spacing w:after="0" w:line="264" w:lineRule="auto"/>
        <w:rPr>
          <w:rFonts w:ascii="Arial" w:cs="Arial" w:eastAsia="Arial" w:hAnsi="Arial"/>
          <w:sz w:val="14"/>
          <w:szCs w:val="14"/>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6,250,000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4"/>
          <w:szCs w:val="14"/>
          <w:color w:val="auto"/>
        </w:rPr>
      </w:pPr>
    </w:p>
    <w:p>
      <w:pPr>
        <w:ind w:left="650"/>
        <w:spacing w:after="0" w:line="258" w:lineRule="auto"/>
        <w:rPr>
          <w:rFonts w:ascii="Arial" w:cs="Arial" w:eastAsia="Arial" w:hAnsi="Arial"/>
          <w:sz w:val="14"/>
          <w:szCs w:val="14"/>
          <w:color w:val="auto"/>
        </w:rPr>
      </w:pPr>
      <w:r>
        <w:rPr>
          <w:rFonts w:ascii="Arial" w:cs="Arial" w:eastAsia="Arial" w:hAnsi="Arial"/>
          <w:sz w:val="15"/>
          <w:szCs w:val="15"/>
          <w:color w:val="auto"/>
        </w:rPr>
        <w:t>“Shares of Common Stock to be Sold Pursuant to this Prospectus” includes (i) 1,250,000 shares of common stock issuable upon exercise of the Series B Warrants and (ii) 1,250,000 shares of common stock issuable upon exercise of the Series C Warrants.</w:t>
      </w:r>
    </w:p>
    <w:p>
      <w:pPr>
        <w:ind w:left="650" w:right="20" w:hanging="650"/>
        <w:spacing w:after="0" w:line="263" w:lineRule="auto"/>
        <w:tabs>
          <w:tab w:leader="none" w:pos="6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Kimberly Page has the authority and responsibility for the investments made on behalf of American Capital Management LLC (“ACM”) and accordingly, has voting and dispositive power over the securities held by ACM.</w:t>
      </w:r>
    </w:p>
    <w:p>
      <w:pPr>
        <w:spacing w:after="0" w:line="155"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750,000 shares of common stock issued to the shareholder in January 2015 (we have not verified that this shareholder still holds these shares), (ii) this shareholder’s “Shares of Common Stock to be Sold Pursuant to this Prospectus” and (iii) 3,750,000 shares issuable upon the exercise of certain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ind w:left="650"/>
        <w:spacing w:after="0" w:line="258"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750,000 shares of common stock issuable upon exercise of the Series B Warrants and (ii) 750,000 shares of common stock issuable upon exercise of the Series C Warrants.</w:t>
      </w:r>
    </w:p>
    <w:p>
      <w:pPr>
        <w:ind w:left="650" w:hanging="650"/>
        <w:spacing w:after="0"/>
        <w:tabs>
          <w:tab w:leader="none" w:pos="6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By virtue of his position as trustee, Leo Abbe has voting and dispositive power over the securities held by The Merav Abbe Irrevocable Trust.</w:t>
      </w:r>
    </w:p>
    <w:p>
      <w:pPr>
        <w:spacing w:after="0" w:line="180"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250,000 shares of common stock issued to the shareholder in January 2015 (we have not verified that this shareholder still holds these shares), (ii) this shareholder’s “Shares of Common Stock to be Sold Pursuant to this Prospectus” and (iii) 1,2500,000 shares issuable upon the exercise of certain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ind w:left="650"/>
        <w:spacing w:after="0" w:line="276"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250,000 shares of common stock issuable upon exercise of the Series B Warrants and (ii) 250,000 shares of common stock issuable upon exercise of the Series C Warrants.</w:t>
      </w:r>
    </w:p>
    <w:p>
      <w:pPr>
        <w:spacing w:after="0" w:line="29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60" w:right="219" w:bottom="1440" w:gutter="0" w:footer="0" w:header="0"/>
        </w:sectPr>
      </w:pPr>
    </w:p>
    <w:bookmarkStart w:id="22" w:name="page23"/>
    <w:bookmarkEnd w:id="22"/>
    <w:p>
      <w:pPr>
        <w:ind w:left="650" w:hanging="650"/>
        <w:spacing w:after="0"/>
        <w:tabs>
          <w:tab w:leader="none" w:pos="6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By virtue of his position as trustee, Richard Abbe has voting and dispositive power over the securities held by The Samantha Abbe Irrevocable Trust.</w:t>
      </w:r>
    </w:p>
    <w:p>
      <w:pPr>
        <w:spacing w:after="0" w:line="189"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83,335 shares of common stock issued to the shareholder in January 2015 (we have not verified that this shareholder still holds these shares), (ii) this shareholder’s “Shares of Common Stock to be Sold Pursuant to this Prospectus” and (iii) 416,675 shares issuable upon the exercise of certain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ind w:left="650" w:right="20"/>
        <w:spacing w:after="0" w:line="258"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83,335 shares of common stock issuable upon exercise of the Series B Warrants and (ii) 83,335 shares of common stock issuable upon exercise of the Series C Warrants.</w:t>
      </w:r>
    </w:p>
    <w:p>
      <w:pPr>
        <w:ind w:left="650" w:hanging="650"/>
        <w:spacing w:after="0"/>
        <w:tabs>
          <w:tab w:leader="none" w:pos="6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By virtue of his position as trustee, Richard Abbe has voting and dispositive power over the securities held by The Talia Abbe Irrevocable Trust.</w:t>
      </w:r>
    </w:p>
    <w:p>
      <w:pPr>
        <w:spacing w:after="0" w:line="180"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83,330 shares of common stock issued to the shareholder in January 2015 (we have not verified that this shareholder still holds these shares), (ii) this shareholder’s “Shares of Common Stock to be Sold Pursuant to this Prospectus” and (iii) and 416,660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ind w:left="650" w:right="20"/>
        <w:spacing w:after="0" w:line="258"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83,330 shares of common stock issuable upon exercise of the Series B Warrants and (ii) 83,330 shares of common stock issuable upon exercise of the Series C Warrants.</w:t>
      </w:r>
    </w:p>
    <w:p>
      <w:pPr>
        <w:ind w:left="650" w:hanging="650"/>
        <w:spacing w:after="0"/>
        <w:tabs>
          <w:tab w:leader="none" w:pos="6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By virtue of his position as trustee, Richard Abbe has voting and dispositive power over the securities held by The Bennett Abbe Irrevocable Trust.</w:t>
      </w:r>
    </w:p>
    <w:p>
      <w:pPr>
        <w:spacing w:after="0" w:line="180"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83,330 shares of common stock issued to the shareholder in January 2015 (we have not verified that this shareholder still holds these shares), (ii) this shareholder’s “Shares of Common Stock to be Sold Pursuant to this Prospectus” and (iii) 416,660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ind w:left="650" w:right="20"/>
        <w:spacing w:after="0" w:line="258"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83,330 shares of common stock issuable upon exercise of the Series B Warrants and (ii) 83,330 shares of common stock issuable upon exercise of the Series C Warrants.</w:t>
      </w:r>
    </w:p>
    <w:p>
      <w:pPr>
        <w:ind w:left="650" w:hanging="650"/>
        <w:spacing w:after="0"/>
        <w:tabs>
          <w:tab w:leader="none" w:pos="6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Shaye Hirsch has voting and dispositive power over the securities owned by the selling stockholder.</w:t>
      </w:r>
    </w:p>
    <w:p>
      <w:pPr>
        <w:spacing w:after="0" w:line="180" w:lineRule="exact"/>
        <w:rPr>
          <w:rFonts w:ascii="Arial" w:cs="Arial" w:eastAsia="Arial" w:hAnsi="Arial"/>
          <w:sz w:val="15"/>
          <w:szCs w:val="15"/>
          <w:color w:val="auto"/>
        </w:rPr>
      </w:pPr>
    </w:p>
    <w:p>
      <w:pPr>
        <w:jc w:val="both"/>
        <w:ind w:left="650"/>
        <w:spacing w:after="0" w:line="264"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12,500,000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5"/>
          <w:szCs w:val="15"/>
          <w:color w:val="auto"/>
        </w:rPr>
      </w:pPr>
    </w:p>
    <w:p>
      <w:pPr>
        <w:ind w:left="650"/>
        <w:spacing w:after="0" w:line="258"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2,500,000 shares of common stock issuable upon exercise of the Series B Warrants and (ii) 2,500,000 shares of common stock issuable upon exercise of the Series C Warrants.</w:t>
      </w:r>
    </w:p>
    <w:p>
      <w:pPr>
        <w:jc w:val="both"/>
        <w:ind w:left="650" w:hanging="650"/>
        <w:spacing w:after="0" w:line="257" w:lineRule="auto"/>
        <w:tabs>
          <w:tab w:leader="none" w:pos="6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60" w:lineRule="exact"/>
        <w:rPr>
          <w:rFonts w:ascii="Arial" w:cs="Arial" w:eastAsia="Arial" w:hAnsi="Arial"/>
          <w:sz w:val="15"/>
          <w:szCs w:val="15"/>
          <w:color w:val="auto"/>
        </w:rPr>
      </w:pPr>
    </w:p>
    <w:p>
      <w:pPr>
        <w:jc w:val="both"/>
        <w:ind w:left="650"/>
        <w:spacing w:after="0" w:line="323" w:lineRule="auto"/>
        <w:rPr>
          <w:rFonts w:ascii="Arial" w:cs="Arial" w:eastAsia="Arial" w:hAnsi="Arial"/>
          <w:sz w:val="15"/>
          <w:szCs w:val="15"/>
          <w:color w:val="auto"/>
        </w:rPr>
      </w:pPr>
      <w:r>
        <w:rPr>
          <w:rFonts w:ascii="Arial" w:cs="Arial" w:eastAsia="Arial" w:hAnsi="Arial"/>
          <w:sz w:val="13"/>
          <w:szCs w:val="13"/>
          <w:color w:val="auto"/>
        </w:rPr>
        <w:t>“Number of Shares of Common Stock Owned Prior to Offering” includes (i) 5,000,000 shares of common stock issued in March 2015, (ii) this shareholder’s “Shares of Common Stock to be Sold Pursuant to this Prospectus” and (iii) 25,000,000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20" w:lineRule="exact"/>
        <w:rPr>
          <w:rFonts w:ascii="Arial" w:cs="Arial" w:eastAsia="Arial" w:hAnsi="Arial"/>
          <w:sz w:val="15"/>
          <w:szCs w:val="15"/>
          <w:color w:val="auto"/>
        </w:rPr>
      </w:pPr>
    </w:p>
    <w:p>
      <w:pPr>
        <w:ind w:left="650"/>
        <w:spacing w:after="0" w:line="276"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5,000,000 shares of common stock issuable upon exercise of the Series B-1 Warrants and (ii) 5,000,000 shares issued in June 2015.</w:t>
      </w:r>
    </w:p>
    <w:p>
      <w:pPr>
        <w:spacing w:after="0" w:line="200" w:lineRule="exact"/>
        <w:rPr>
          <w:sz w:val="20"/>
          <w:szCs w:val="20"/>
          <w:color w:val="auto"/>
        </w:rPr>
      </w:pPr>
    </w:p>
    <w:p>
      <w:pPr>
        <w:spacing w:after="0" w:line="27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60" w:right="219" w:bottom="1440" w:gutter="0" w:footer="0" w:header="0"/>
        </w:sectPr>
      </w:pPr>
    </w:p>
    <w:bookmarkStart w:id="23" w:name="page24"/>
    <w:bookmarkEnd w:id="23"/>
    <w:p>
      <w:pPr>
        <w:jc w:val="center"/>
        <w:spacing w:after="0"/>
        <w:rPr>
          <w:sz w:val="20"/>
          <w:szCs w:val="20"/>
          <w:color w:val="auto"/>
        </w:rPr>
      </w:pPr>
      <w:r>
        <w:rPr>
          <w:rFonts w:ascii="Arial" w:cs="Arial" w:eastAsia="Arial" w:hAnsi="Arial"/>
          <w:sz w:val="15"/>
          <w:szCs w:val="15"/>
          <w:b w:val="1"/>
          <w:bCs w:val="1"/>
          <w:color w:val="auto"/>
        </w:rPr>
        <w:t>PLAN OF DISTRIBUTION</w:t>
      </w:r>
    </w:p>
    <w:p>
      <w:pPr>
        <w:spacing w:after="0" w:line="193"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57" w:lineRule="exact"/>
        <w:rPr>
          <w:sz w:val="20"/>
          <w:szCs w:val="20"/>
          <w:color w:val="auto"/>
        </w:rPr>
      </w:pPr>
    </w:p>
    <w:p>
      <w:pPr>
        <w:ind w:left="1100" w:hanging="763"/>
        <w:spacing w:after="0"/>
        <w:tabs>
          <w:tab w:leader="none" w:pos="11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ordinary brokerage transactions and transactions in which the broker-dealer solicits purchasers;</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transactions involving cross or block trades;</w:t>
      </w:r>
    </w:p>
    <w:p>
      <w:pPr>
        <w:spacing w:after="0" w:line="189" w:lineRule="exact"/>
        <w:rPr>
          <w:rFonts w:ascii="Arial" w:cs="Arial" w:eastAsia="Arial" w:hAnsi="Arial"/>
          <w:sz w:val="15"/>
          <w:szCs w:val="15"/>
          <w:color w:val="auto"/>
        </w:rPr>
      </w:pPr>
    </w:p>
    <w:p>
      <w:pPr>
        <w:ind w:left="980" w:hanging="756"/>
        <w:spacing w:after="0"/>
        <w:tabs>
          <w:tab w:leader="none" w:pos="9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purchases by a broker-dealer as principal and resale by the broker-dealer for its account;</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an exchange distribution in accordance with the rules of the applicable exchange;</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in privately negotiated transactions;</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short sales after the registration statement, of which this prospectus forms a part, becomes effective;</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broker-dealers may agree with the selling stockholders to sell a specified number of such shares at a stipulated price per share;</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“at the market” into an existing market for the common stock;</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through the writing of options on the shares;</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 combination of any such methods of sale; and</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any other method permitted pursuant to applicable law.</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24" w:name="page25"/>
    <w:bookmarkEnd w:id="24"/>
    <w:p>
      <w:pPr>
        <w:jc w:val="both"/>
        <w:spacing w:after="0" w:line="313" w:lineRule="auto"/>
        <w:rPr>
          <w:sz w:val="20"/>
          <w:szCs w:val="20"/>
          <w:color w:val="auto"/>
        </w:rPr>
      </w:pPr>
      <w:r>
        <w:rPr>
          <w:rFonts w:ascii="Arial" w:cs="Arial" w:eastAsia="Arial" w:hAnsi="Arial"/>
          <w:sz w:val="14"/>
          <w:szCs w:val="14"/>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4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If any of the selling stockholders use this prospectus for any sale of the shares of common stock, such selling stockholder will be subject to the prospectus delivery requirements of the Securities Act.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Regulation M</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anti-manipulation rules of Regulation M under the Exchange Act of 1934, as amended (the “Exchange Act”) may apply to sales of our common stock and activities of the selling stockholder.</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19"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15"/>
          <w:szCs w:val="15"/>
          <w:b w:val="1"/>
          <w:bCs w:val="1"/>
          <w:color w:val="auto"/>
        </w:rPr>
        <w:t>DESCRIPTION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At the date hereof, we are authorized by our certificate of incorporation to issue an aggregate of 500,000,000 shares of common stock, par value $0.001 per share and 5,000,000 shares as blank check preferred shares, no par value.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This prospectus contains only a summary of the common stock the selling stockholders are offering</w:t>
      </w:r>
    </w:p>
    <w:p>
      <w:pPr>
        <w:spacing w:after="0" w:line="189"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Provisions</w:t>
      </w:r>
    </w:p>
    <w:p>
      <w:pPr>
        <w:spacing w:after="0" w:line="21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Nevada Law</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81"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control share acquisition act is applicable only to shares of “Issuing Corporations” as defined by the Nevada law. An Issuing Corporation is a Nevada corporation which (i) has 200 or more shareholders, with at least 100 of such shareholders being both shareholders of record and residents of Nevada, and (ii) does business in Nevada directly or through an affiliated corporation.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26" w:name="page27"/>
    <w:bookmarkEnd w:id="26"/>
    <w:p>
      <w:pPr>
        <w:jc w:val="both"/>
        <w:spacing w:after="0" w:line="260" w:lineRule="auto"/>
        <w:rPr>
          <w:sz w:val="20"/>
          <w:szCs w:val="20"/>
          <w:color w:val="auto"/>
        </w:rPr>
      </w:pPr>
      <w:r>
        <w:rPr>
          <w:rFonts w:ascii="Arial" w:cs="Arial" w:eastAsia="Arial" w:hAnsi="Arial"/>
          <w:sz w:val="15"/>
          <w:szCs w:val="15"/>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55"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Articles of Incorporation and Bylaws</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registrar for our common stock is Island Stock Transfer, 1550 Roosevelt Blvd Suite 301, Clearwater, FL 33760.</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Listing</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shares of our common stock are quoted on the OTCQB under the symbol TPIV.OB. On July 8, 2015, the last reported sale price per share for our common stock on the OTCQB as reported was $0.97.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7" w:name="page28"/>
    <w:bookmarkEnd w:id="27"/>
    <w:p>
      <w:pPr>
        <w:jc w:val="center"/>
        <w:spacing w:after="0"/>
        <w:rPr>
          <w:sz w:val="20"/>
          <w:szCs w:val="20"/>
          <w:color w:val="auto"/>
        </w:rPr>
      </w:pPr>
      <w:r>
        <w:rPr>
          <w:rFonts w:ascii="Arial" w:cs="Arial" w:eastAsia="Arial" w:hAnsi="Arial"/>
          <w:sz w:val="15"/>
          <w:szCs w:val="15"/>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Cancer Vaccines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Unlike other vaccine technologies that narrowly address the initiation of an immune response, TapImmune's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Transporter associated with Antigen Presentation.</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are currently focusing on the clinical development and testing of our product candidates. In this regard, we have two Phase I studies being concluded at the Mayo Clinic (Rochester, MN) which are designed to evaluate the safety and immune response(s) of a set of proprietary HER2/neu antigens for a HER2/neu breast cancer vaccine and Folate Receptor Alpha for triple negative breast and ovarian cancer respectively. TapImmune has the exclusive option to license each of these technologies upon the completion of each Phase I. In addition, we plan to initiate Phase II studies in 2015. The first of which will likely include the novel folate alpha antigens in a Phase II study, providing a vaccine for triple negative breast cancer that can stimulate a T-cell response. The unmet demand for a promising therapeutic in this indication, we believe, will allow us to proceed with an orphan drug and FDA fast track applications pending discussion and approval from the FDA. The second Phase II trial is expected to include our HER2/neu epitopes and will likely focus on Her2 positive breast cancer. Interim data from both phase I trials has provided the technical rational for progressing these programs to phase II trials.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plans to incorporate the pre-clinical development of Polystart™ as a boost strategy for HER2/neu breast cancer, colorectal cancer, ovarian cancer and triple negative breast cancer.</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157"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Management strongly believes that the comprehensive scientific underpinnings of our overall approach, to elicit the production of both helper T- cells and killer T- cells, will provide the Company with highly competitive product candidates for the treatment of HER2/neu positive breast cancer, colorectal cancer, ovarian cancer and triple negative breast cancer.</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Infectious Disease Program</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Regarding our programs for the development of vaccines aimed at viral pandemics/biodefense, our collaborations with the Mayo Clinic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the Company to focus the majority of its internal resources on HER2/neu breast, ovarian and triple negative cancers.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General</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The facilities at 1551 Eastlake Avenue, Seattle have exceeded our expectations and allowed us to continue to recruit top-class scientific staff while at the same time effectively leverage world-class resources made available to us and manage our cash flow. Our technical staff has proven experience and relevant expertise in the areas of molecular biology, cellular biology and immunology/oncology. Our small core team has allowed us to establish in-house technical expertise in molecular biology (expression vector development) and immunology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our core TAP IP and antigen specific IP from the Mayo Clinic for which we have either licensed outright or have exclusive options to license.</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Over the past two quarters, we have, in a challenging financing climate, raised working capital to fund and progress our operations and significantly restructured our balance sheet and capital structure. We believe that we continue to make good progress with the resources available to us. With the start of clinical programs and our focus on securing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History</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We currently trade on the OTC Bulletin Board (“OTCQB”) under the symbol “TPIV” and on the Frankfurt and Berlin Stock Exchanges under the symbol “GX1A.” The listing on the Berlin Stock Exchange was done without the Company’s knowledge and consent.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We were incorporated under the laws of the State of Nevada in 1991. We have one wholly owned subsidiary named GeneMax Pharmaceuticals Inc. (“GeneMax Pharmaceuticals”).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Immunotherapy Industry for Cancer</w:t>
      </w:r>
    </w:p>
    <w:p>
      <w:pPr>
        <w:spacing w:after="0" w:line="193" w:lineRule="exact"/>
        <w:rPr>
          <w:sz w:val="20"/>
          <w:szCs w:val="20"/>
          <w:color w:val="auto"/>
        </w:rPr>
      </w:pPr>
    </w:p>
    <w:p>
      <w:pPr>
        <w:jc w:val="both"/>
        <w:ind w:right="20"/>
        <w:spacing w:after="0" w:line="312" w:lineRule="auto"/>
        <w:rPr>
          <w:sz w:val="20"/>
          <w:szCs w:val="20"/>
          <w:color w:val="auto"/>
        </w:rPr>
      </w:pPr>
      <w:r>
        <w:rPr>
          <w:rFonts w:ascii="Arial" w:cs="Arial" w:eastAsia="Arial" w:hAnsi="Arial"/>
          <w:sz w:val="13"/>
          <w:szCs w:val="13"/>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addition, we continue to pursue the development of an approach which can allow the cellular immune system to make tumor cells more visible to the immune system. Many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55"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By restoring TAP expression to TAP-deficient cells, the MHC Class I protein peptide complexes could signal the immune system to attack the cancer. A strategic vision of TapImmune is to restore the TAP function within cancerous cells, thus making them immunogenic, or more “visible” to cancer fighting immune cells. Management believes that with further development and improvement of selectivity, this cancer vaccine strategy could provide a commercially viable therapeutic approach that addresses this problem of “non-immunogenicity” of cancer.</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TapImmune’s Target Market and Strategy</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will focus our product development in oncology, both, alone and with corporate partners and/or collaborators including the Mayo Clinic for HER2/neu positive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ultimately have the FDA approve our cancer vaccines so that we can secure a portion of this market.</w:t>
      </w:r>
    </w:p>
    <w:p>
      <w:pPr>
        <w:spacing w:after="0" w:line="157"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5"/>
          <w:szCs w:val="15"/>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Efforts</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 (2) 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Products and Technology in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Clinical</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3"/>
          <w:szCs w:val="13"/>
          <w:i w:val="1"/>
          <w:iCs w:val="1"/>
          <w:color w:val="auto"/>
        </w:rPr>
        <w:t>i.e</w:t>
      </w:r>
      <w:r>
        <w:rPr>
          <w:rFonts w:ascii="Arial" w:cs="Arial" w:eastAsia="Arial" w:hAnsi="Arial"/>
          <w:sz w:val="13"/>
          <w:szCs w:val="13"/>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34" w:right="21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i w:val="1"/>
          <w:iCs w:val="1"/>
          <w:color w:val="auto"/>
        </w:rPr>
        <w:t xml:space="preserve">Phase I Human Clinical Trials – </w:t>
      </w:r>
      <w:r>
        <w:rPr>
          <w:rFonts w:ascii="Arial" w:cs="Arial" w:eastAsia="Arial" w:hAnsi="Arial"/>
          <w:sz w:val="15"/>
          <w:szCs w:val="15"/>
          <w:b w:val="1"/>
          <w:bCs w:val="1"/>
          <w:color w:val="auto"/>
        </w:rPr>
        <w:t>HER2/neu+ Breast Cancer – Mayo Clinic</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 xml:space="preserve">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w:t>
      </w:r>
      <w:r>
        <w:rPr>
          <w:rFonts w:ascii="Arial" w:cs="Arial" w:eastAsia="Arial" w:hAnsi="Arial"/>
          <w:sz w:val="13"/>
          <w:szCs w:val="13"/>
          <w:u w:val="single" w:color="auto"/>
          <w:color w:val="auto"/>
        </w:rPr>
        <w:t>interim safety analysis</w:t>
      </w:r>
      <w:r>
        <w:rPr>
          <w:rFonts w:ascii="Arial" w:cs="Arial" w:eastAsia="Arial" w:hAnsi="Arial"/>
          <w:sz w:val="13"/>
          <w:szCs w:val="13"/>
          <w:color w:val="auto"/>
        </w:rPr>
        <w:t xml:space="preserve"> on the first six patients is complete and shown to be safe. In addition, each of the first six patients treated, developed specific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review and determination of progression into Phase II, in 2015. Patients enrolled in the Phase I study will be followed for up to two years after completion of trials.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Phase I Human Clinical Trials – </w:t>
      </w:r>
      <w:r>
        <w:rPr>
          <w:rFonts w:ascii="Arial" w:cs="Arial" w:eastAsia="Arial" w:hAnsi="Arial"/>
          <w:sz w:val="15"/>
          <w:szCs w:val="15"/>
          <w:b w:val="1"/>
          <w:bCs w:val="1"/>
          <w:color w:val="auto"/>
        </w:rPr>
        <w:t>Folate Alpha Breast and Ovarian Cancer – Mayo Clinic</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March 19, 2014, the Company announced the signing of an exclusive option agreement for a set of unique peptide epitopes targeting Folate Receptor Alpha in both breast cancer and ovarian cancer.</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Folate Receptor Alpha is expressed in over 80%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38"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 24 patient Phase I clinical trial is currently underway. The trial is fully enrolled and closed, and will be evaluated for Phase II advancement in 2015 when all Phase I data has been evaluated.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31" w:name="page32"/>
    <w:bookmarkEnd w:id="31"/>
    <w:p>
      <w:pPr>
        <w:spacing w:after="0"/>
        <w:rPr>
          <w:sz w:val="20"/>
          <w:szCs w:val="20"/>
          <w:color w:val="auto"/>
        </w:rPr>
      </w:pPr>
      <w:r>
        <w:rPr>
          <w:rFonts w:ascii="Arial" w:cs="Arial" w:eastAsia="Arial" w:hAnsi="Arial"/>
          <w:sz w:val="13"/>
          <w:szCs w:val="13"/>
          <w:color w:val="auto"/>
        </w:rPr>
        <w:t>No serious adverse events have occurred to date and 20 out of 21 evaluable patients showed positive immune responses providing a strong rationale rational for progressing to phase 2 trials.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More information can be seen at: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http://clinicaltrials.gov/ct2/show/NCT01606241?term=folate+receptor+alpha&amp;rank=1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Preclinical</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Polystart™</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150"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We plan to develop or out-license our technologies for the creation of enhanced anti-viral vaccines, such as for smallpox and other viral diseases. We anticipate that we will complete these studies with a strategic partner involved in the vaccine and Biodefense space. We intend to progress our infectious disease programs with non-dilutive grant funding as well and to expand the use of our TAP platform to emerging pathogens that could be either pandemic or bioterrorist threats.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Strategic Relationships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Mayo Foundation for Medical Education and Research</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Following approval of the IND by the FDA in July, 2011, TapImmune and the Mayo Foundation executed a Sponsored Research Agreement for the clinical trial.</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May 4, 2012, Mayo IRB approval was confirmed and patient dosing started in August 2012. Interim safety analysis on the first five patients was completed successfully allowing continuation of the trial.</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TapImmune decided not to proceed into primate studies to devote resources to its oncology clinical programs.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MA, June 26, 2012. A peer-reviewed manuscript from the Knutson lab, which describes the science in detail, has been accepted for publication in Journal of Immunology.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color w:val="auto"/>
        </w:rPr>
        <w:t>Intellectual Property, Patents and Trademarks</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157"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TapImmune currently owns a number of issued and pending patents covering composition of matter and use of TAP and PolyStart. In addition, a number of issued and pending patents cover the HER2/neu and Folate Receptor Alpha peptides in our Option to License or License Agreements from the Mayo Foundation for Education and Research.</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 Transgene S.A., and Bavarian Nordic. Other immunotherapy approaches including adoptive T-cell therapies, monoclonal antibodies and checkpoint inhibitors also provide competition in the oncology space. In these areas competitors include, Lion Biotechnology, Juno, Kite, Roche, Merck, Bristol Myers Squibb, Astra Zeneca, Medimmune. We believe that our in vivo T-cell therapy approaches will be synergistic with these approaches and might even improve them.</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United States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33" w:name="page34"/>
    <w:bookmarkEnd w:id="33"/>
    <w:p>
      <w:pPr>
        <w:jc w:val="both"/>
        <w:spacing w:after="0" w:line="291" w:lineRule="auto"/>
        <w:rPr>
          <w:sz w:val="20"/>
          <w:szCs w:val="20"/>
          <w:color w:val="auto"/>
        </w:rPr>
      </w:pPr>
      <w:r>
        <w:rPr>
          <w:rFonts w:ascii="Arial" w:cs="Arial" w:eastAsia="Arial" w:hAnsi="Arial"/>
          <w:sz w:val="14"/>
          <w:szCs w:val="14"/>
          <w:color w:val="auto"/>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The manufacturers of approved products and their manufacturing facilities are subject to continual review and periodic inspections.</w:t>
      </w:r>
    </w:p>
    <w:p>
      <w:pPr>
        <w:spacing w:after="0" w:line="189"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Canada</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38" w:lineRule="exact"/>
        <w:rPr>
          <w:sz w:val="20"/>
          <w:szCs w:val="20"/>
          <w:color w:val="auto"/>
        </w:rPr>
      </w:pPr>
    </w:p>
    <w:p>
      <w:pPr>
        <w:jc w:val="both"/>
        <w:spacing w:after="0" w:line="356" w:lineRule="auto"/>
        <w:rPr>
          <w:sz w:val="20"/>
          <w:szCs w:val="20"/>
          <w:color w:val="auto"/>
        </w:rPr>
      </w:pPr>
      <w:r>
        <w:rPr>
          <w:rFonts w:ascii="Arial" w:cs="Arial" w:eastAsia="Arial" w:hAnsi="Arial"/>
          <w:sz w:val="13"/>
          <w:szCs w:val="13"/>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3"/>
          <w:szCs w:val="13"/>
          <w:u w:val="single" w:color="auto"/>
          <w:color w:val="auto"/>
        </w:rPr>
        <w:t>www.hc-sc.gc.ca</w:t>
      </w:r>
      <w:r>
        <w:rPr>
          <w:rFonts w:ascii="Arial" w:cs="Arial" w:eastAsia="Arial" w:hAnsi="Arial"/>
          <w:sz w:val="13"/>
          <w:szCs w:val="13"/>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Jurisdictions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 Liability and Insurance</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3"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TapImmune currently has one full-time employee. The management team is comprised of Dr. Glynn Wilson (Chief Executive Officer, Principal Executive Officer and Acting Principal Accounting Officer), and Dr. Robert Florkiewicz (Consulting, Head of Research) together with a number of consultants, corporate advisors and scientific collaborators.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One of our suppliers, Fischer Scientific was awarded a judgment against us for $51,000 which is equal to the amount owed to them. We intend to settle that matter.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0" w:right="21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5"/>
          <w:szCs w:val="15"/>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177"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Our common stock is traded on the Over the Counter Bulletin Board (“OTCQB”) under the symbol “TPIV” and previously on the Frankfurt and subsequently on the Berlin and Munich Stock Exchanges under the symbol “GX1A.” The listing on the Frankfurt exchange is no longer valid however the Berlin and Munich Stock Exchange listing done without the Company’s knowledge and consent appear to still be active.</w:t>
      </w:r>
    </w:p>
    <w:p>
      <w:pPr>
        <w:spacing w:after="0" w:line="155"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The market for our common stock is limited, volatile and sporadic. The following table sets forth, for the periods indicated, the high and low bid prices of our common stock as reported on the OTCQB. The following quotations reflect inter-dealer prices, without retail mark-up, markdown, or commissions, and may not reflect actual transactions.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High Bid</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5"/>
                <w:szCs w:val="15"/>
                <w:b w:val="1"/>
                <w:bCs w:val="1"/>
                <w:color w:val="auto"/>
              </w:rPr>
              <w:t>Low Bid</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7"/>
        </w:trPr>
        <w:tc>
          <w:tcPr>
            <w:tcW w:w="8700" w:type="dxa"/>
            <w:vAlign w:val="bottom"/>
          </w:tcPr>
          <w:p>
            <w:pPr>
              <w:spacing w:after="0"/>
              <w:rPr>
                <w:sz w:val="20"/>
                <w:szCs w:val="20"/>
                <w:color w:val="auto"/>
              </w:rPr>
            </w:pPr>
            <w:r>
              <w:rPr>
                <w:rFonts w:ascii="Arial" w:cs="Arial" w:eastAsia="Arial" w:hAnsi="Arial"/>
                <w:sz w:val="15"/>
                <w:szCs w:val="15"/>
                <w:b w:val="1"/>
                <w:bCs w:val="1"/>
                <w:color w:val="auto"/>
              </w:rPr>
              <w:t>Fiscal Year 2015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June 30, 2015</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0.17</w:t>
            </w:r>
          </w:p>
        </w:tc>
      </w:tr>
      <w:tr>
        <w:trPr>
          <w:trHeight w:val="190"/>
        </w:trPr>
        <w:tc>
          <w:tcPr>
            <w:tcW w:w="8700" w:type="dxa"/>
            <w:vAlign w:val="bottom"/>
          </w:tcPr>
          <w:p>
            <w:pPr>
              <w:ind w:left="120"/>
              <w:spacing w:after="0"/>
              <w:rPr>
                <w:sz w:val="20"/>
                <w:szCs w:val="20"/>
                <w:color w:val="auto"/>
              </w:rPr>
            </w:pPr>
            <w:r>
              <w:rPr>
                <w:rFonts w:ascii="Arial" w:cs="Arial" w:eastAsia="Arial" w:hAnsi="Arial"/>
                <w:sz w:val="15"/>
                <w:szCs w:val="15"/>
                <w:color w:val="auto"/>
              </w:rPr>
              <w:t>March 31, 2015</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0.36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0.12</w:t>
            </w:r>
          </w:p>
        </w:tc>
      </w:tr>
      <w:tr>
        <w:trPr>
          <w:trHeight w:val="353"/>
        </w:trPr>
        <w:tc>
          <w:tcPr>
            <w:tcW w:w="8700" w:type="dxa"/>
            <w:vAlign w:val="bottom"/>
          </w:tcPr>
          <w:p>
            <w:pPr>
              <w:spacing w:after="0"/>
              <w:rPr>
                <w:sz w:val="20"/>
                <w:szCs w:val="20"/>
                <w:color w:val="auto"/>
              </w:rPr>
            </w:pPr>
            <w:r>
              <w:rPr>
                <w:rFonts w:ascii="Arial" w:cs="Arial" w:eastAsia="Arial" w:hAnsi="Arial"/>
                <w:sz w:val="15"/>
                <w:szCs w:val="15"/>
                <w:b w:val="1"/>
                <w:bCs w:val="1"/>
                <w:color w:val="auto"/>
              </w:rPr>
              <w:t>Fiscal Year 2014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December 31, 2014</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0.32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0.28</w:t>
            </w: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September 30, 2014</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0.66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0.62</w:t>
            </w: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June 28, 2014</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1.80</w:t>
            </w:r>
          </w:p>
        </w:tc>
      </w:tr>
      <w:tr>
        <w:trPr>
          <w:trHeight w:val="190"/>
        </w:trPr>
        <w:tc>
          <w:tcPr>
            <w:tcW w:w="8700" w:type="dxa"/>
            <w:vAlign w:val="bottom"/>
          </w:tcPr>
          <w:p>
            <w:pPr>
              <w:ind w:left="60"/>
              <w:spacing w:after="0"/>
              <w:rPr>
                <w:sz w:val="20"/>
                <w:szCs w:val="20"/>
                <w:color w:val="auto"/>
              </w:rPr>
            </w:pPr>
            <w:r>
              <w:rPr>
                <w:rFonts w:ascii="Arial" w:cs="Arial" w:eastAsia="Arial" w:hAnsi="Arial"/>
                <w:sz w:val="15"/>
                <w:szCs w:val="15"/>
                <w:color w:val="auto"/>
              </w:rPr>
              <w:t>March 31, 2014</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3.50</w:t>
            </w:r>
          </w:p>
        </w:tc>
      </w:tr>
      <w:tr>
        <w:trPr>
          <w:trHeight w:val="353"/>
        </w:trPr>
        <w:tc>
          <w:tcPr>
            <w:tcW w:w="8700" w:type="dxa"/>
            <w:vAlign w:val="bottom"/>
          </w:tcPr>
          <w:p>
            <w:pPr>
              <w:spacing w:after="0"/>
              <w:rPr>
                <w:sz w:val="20"/>
                <w:szCs w:val="20"/>
                <w:color w:val="auto"/>
              </w:rPr>
            </w:pPr>
            <w:r>
              <w:rPr>
                <w:rFonts w:ascii="Arial" w:cs="Arial" w:eastAsia="Arial" w:hAnsi="Arial"/>
                <w:sz w:val="15"/>
                <w:szCs w:val="15"/>
                <w:b w:val="1"/>
                <w:bCs w:val="1"/>
                <w:color w:val="auto"/>
              </w:rPr>
              <w:t>Fiscal Year 2013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December 31, 2013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1.91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1.60</w:t>
            </w: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September 30, 2013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1.00</w:t>
            </w: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June 28, 2013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2.35</w:t>
            </w:r>
          </w:p>
        </w:tc>
      </w:tr>
      <w:tr>
        <w:trPr>
          <w:trHeight w:val="191"/>
        </w:trPr>
        <w:tc>
          <w:tcPr>
            <w:tcW w:w="8700" w:type="dxa"/>
            <w:vAlign w:val="bottom"/>
          </w:tcPr>
          <w:p>
            <w:pPr>
              <w:ind w:left="60"/>
              <w:spacing w:after="0"/>
              <w:rPr>
                <w:sz w:val="20"/>
                <w:szCs w:val="20"/>
                <w:color w:val="auto"/>
              </w:rPr>
            </w:pPr>
            <w:r>
              <w:rPr>
                <w:rFonts w:ascii="Arial" w:cs="Arial" w:eastAsia="Arial" w:hAnsi="Arial"/>
                <w:sz w:val="15"/>
                <w:szCs w:val="15"/>
                <w:color w:val="auto"/>
              </w:rPr>
              <w:t>March 28, 2013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10.20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9.22</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last reported sales price for our shares on the OTCQB as of July 15, 2015, was $0.79 per share. As of July 15, 2015, we had 394 shareholders of record.</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No dividends have been declared or paid on our common stock. We have incurred recurring losses and do not currently intend to pay any cash dividends in the foreseeable future.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as of December 31, 2014:</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35" w:name="page36"/>
    <w:bookmarkEnd w:id="35"/>
    <w:p>
      <w:pPr>
        <w:jc w:val="center"/>
        <w:spacing w:after="0"/>
        <w:rPr>
          <w:sz w:val="20"/>
          <w:szCs w:val="20"/>
          <w:color w:val="auto"/>
        </w:rPr>
      </w:pPr>
      <w:r>
        <w:rPr>
          <w:rFonts w:ascii="Arial" w:cs="Arial" w:eastAsia="Arial" w:hAnsi="Arial"/>
          <w:sz w:val="13"/>
          <w:szCs w:val="13"/>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144145</wp:posOffset>
            </wp:positionV>
            <wp:extent cx="726884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83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720"/>
        <w:spacing w:after="0" w:line="356" w:lineRule="auto"/>
        <w:rPr>
          <w:sz w:val="20"/>
          <w:szCs w:val="20"/>
          <w:color w:val="auto"/>
        </w:rPr>
      </w:pPr>
      <w:r>
        <w:rPr>
          <w:rFonts w:ascii="Arial" w:cs="Arial" w:eastAsia="Arial" w:hAnsi="Arial"/>
          <w:sz w:val="13"/>
          <w:szCs w:val="13"/>
          <w:color w:val="auto"/>
        </w:rPr>
        <w:t>(a)Equity compensation plans approved by security holders (b)Equity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-302895</wp:posOffset>
            </wp:positionV>
            <wp:extent cx="45319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-281305</wp:posOffset>
            </wp:positionV>
            <wp:extent cx="453199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453199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-22860</wp:posOffset>
            </wp:positionV>
            <wp:extent cx="453199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453199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120015</wp:posOffset>
            </wp:positionV>
            <wp:extent cx="453199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319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4"/>
              </w:rPr>
              <w:t>Number of</w:t>
            </w:r>
          </w:p>
        </w:tc>
      </w:tr>
      <w:tr>
        <w:trPr>
          <w:trHeight w:val="181"/>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88"/>
              </w:rPr>
              <w:t>securities</w:t>
            </w:r>
          </w:p>
        </w:tc>
      </w:tr>
      <w:tr>
        <w:trPr>
          <w:trHeight w:val="181"/>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4"/>
              </w:rPr>
              <w:t>remaining</w:t>
            </w:r>
          </w:p>
        </w:tc>
      </w:tr>
      <w:tr>
        <w:trPr>
          <w:trHeight w:val="181"/>
        </w:trPr>
        <w:tc>
          <w:tcPr>
            <w:tcW w:w="1500" w:type="dxa"/>
            <w:vAlign w:val="bottom"/>
            <w:gridSpan w:val="3"/>
          </w:tcPr>
          <w:p>
            <w:pPr>
              <w:jc w:val="center"/>
              <w:ind w:right="400"/>
              <w:spacing w:after="0"/>
              <w:rPr>
                <w:sz w:val="20"/>
                <w:szCs w:val="20"/>
                <w:color w:val="auto"/>
              </w:rPr>
            </w:pPr>
            <w:r>
              <w:rPr>
                <w:rFonts w:ascii="Arial" w:cs="Arial" w:eastAsia="Arial" w:hAnsi="Arial"/>
                <w:sz w:val="15"/>
                <w:szCs w:val="15"/>
                <w:color w:val="auto"/>
                <w:w w:val="94"/>
              </w:rPr>
              <w:t>Number of</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93"/>
              </w:rPr>
              <w:t>available for</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91"/>
              </w:rPr>
              <w:t>securities to be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88"/>
              </w:rPr>
              <w:t>future issuance</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88"/>
              </w:rPr>
              <w:t>issued upon</w:t>
            </w:r>
          </w:p>
        </w:tc>
        <w:tc>
          <w:tcPr>
            <w:tcW w:w="1380" w:type="dxa"/>
            <w:vAlign w:val="bottom"/>
            <w:gridSpan w:val="3"/>
          </w:tcPr>
          <w:p>
            <w:pPr>
              <w:jc w:val="center"/>
              <w:ind w:right="260"/>
              <w:spacing w:after="0"/>
              <w:rPr>
                <w:sz w:val="20"/>
                <w:szCs w:val="20"/>
                <w:color w:val="auto"/>
              </w:rPr>
            </w:pPr>
            <w:r>
              <w:rPr>
                <w:rFonts w:ascii="Arial" w:cs="Arial" w:eastAsia="Arial" w:hAnsi="Arial"/>
                <w:sz w:val="15"/>
                <w:szCs w:val="15"/>
                <w:color w:val="auto"/>
                <w:w w:val="88"/>
              </w:rPr>
              <w:t>Weighted average</w:t>
            </w: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92"/>
              </w:rPr>
              <w:t>under equity</w:t>
            </w:r>
          </w:p>
        </w:tc>
      </w:tr>
      <w:tr>
        <w:trPr>
          <w:trHeight w:val="181"/>
        </w:trPr>
        <w:tc>
          <w:tcPr>
            <w:tcW w:w="1500" w:type="dxa"/>
            <w:vAlign w:val="bottom"/>
            <w:gridSpan w:val="3"/>
          </w:tcPr>
          <w:p>
            <w:pPr>
              <w:jc w:val="center"/>
              <w:ind w:right="400"/>
              <w:spacing w:after="0"/>
              <w:rPr>
                <w:sz w:val="20"/>
                <w:szCs w:val="20"/>
                <w:color w:val="auto"/>
              </w:rPr>
            </w:pPr>
            <w:r>
              <w:rPr>
                <w:rFonts w:ascii="Arial" w:cs="Arial" w:eastAsia="Arial" w:hAnsi="Arial"/>
                <w:sz w:val="15"/>
                <w:szCs w:val="15"/>
                <w:color w:val="auto"/>
                <w:w w:val="90"/>
              </w:rPr>
              <w:t>exercise of</w:t>
            </w:r>
          </w:p>
        </w:tc>
        <w:tc>
          <w:tcPr>
            <w:tcW w:w="1380" w:type="dxa"/>
            <w:vAlign w:val="bottom"/>
            <w:gridSpan w:val="3"/>
          </w:tcPr>
          <w:p>
            <w:pPr>
              <w:jc w:val="center"/>
              <w:ind w:right="240"/>
              <w:spacing w:after="0"/>
              <w:rPr>
                <w:sz w:val="20"/>
                <w:szCs w:val="20"/>
                <w:color w:val="auto"/>
              </w:rPr>
            </w:pPr>
            <w:r>
              <w:rPr>
                <w:rFonts w:ascii="Arial" w:cs="Arial" w:eastAsia="Arial" w:hAnsi="Arial"/>
                <w:sz w:val="15"/>
                <w:szCs w:val="15"/>
                <w:color w:val="auto"/>
                <w:w w:val="89"/>
              </w:rPr>
              <w:t>exercise price of</w:t>
            </w: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89"/>
              </w:rPr>
              <w:t>compensation</w:t>
            </w:r>
          </w:p>
        </w:tc>
      </w:tr>
      <w:tr>
        <w:trPr>
          <w:trHeight w:val="181"/>
        </w:trPr>
        <w:tc>
          <w:tcPr>
            <w:tcW w:w="1500" w:type="dxa"/>
            <w:vAlign w:val="bottom"/>
            <w:gridSpan w:val="3"/>
          </w:tcPr>
          <w:p>
            <w:pPr>
              <w:jc w:val="center"/>
              <w:ind w:right="400"/>
              <w:spacing w:after="0"/>
              <w:rPr>
                <w:sz w:val="20"/>
                <w:szCs w:val="20"/>
                <w:color w:val="auto"/>
              </w:rPr>
            </w:pPr>
            <w:r>
              <w:rPr>
                <w:rFonts w:ascii="Arial" w:cs="Arial" w:eastAsia="Arial" w:hAnsi="Arial"/>
                <w:sz w:val="15"/>
                <w:szCs w:val="15"/>
                <w:color w:val="auto"/>
                <w:w w:val="90"/>
              </w:rPr>
              <w:t>outstanding</w:t>
            </w: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5"/>
                <w:szCs w:val="15"/>
                <w:color w:val="auto"/>
                <w:w w:val="90"/>
              </w:rPr>
              <w:t>outstanding</w:t>
            </w: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92"/>
              </w:rPr>
              <w:t>plans (excluding</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91"/>
              </w:rPr>
              <w:t>options, warrants</w:t>
            </w:r>
          </w:p>
        </w:tc>
        <w:tc>
          <w:tcPr>
            <w:tcW w:w="1380" w:type="dxa"/>
            <w:vAlign w:val="bottom"/>
            <w:gridSpan w:val="3"/>
          </w:tcPr>
          <w:p>
            <w:pPr>
              <w:jc w:val="center"/>
              <w:ind w:right="260"/>
              <w:spacing w:after="0"/>
              <w:rPr>
                <w:sz w:val="20"/>
                <w:szCs w:val="20"/>
                <w:color w:val="auto"/>
              </w:rPr>
            </w:pPr>
            <w:r>
              <w:rPr>
                <w:rFonts w:ascii="Arial" w:cs="Arial" w:eastAsia="Arial" w:hAnsi="Arial"/>
                <w:sz w:val="15"/>
                <w:szCs w:val="15"/>
                <w:color w:val="auto"/>
                <w:w w:val="91"/>
              </w:rPr>
              <w:t>options, warrants</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1"/>
              </w:rPr>
              <w:t>securities reflected</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91"/>
              </w:rPr>
              <w:t>and rights</w:t>
            </w: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color w:val="auto"/>
                <w:w w:val="91"/>
              </w:rPr>
              <w:t>and rights</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4"/>
              </w:rPr>
              <w:t>in column (a)</w:t>
            </w:r>
          </w:p>
        </w:tc>
      </w:tr>
      <w:tr>
        <w:trPr>
          <w:trHeight w:val="19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(a)</w:t>
            </w:r>
          </w:p>
        </w:tc>
        <w:tc>
          <w:tcPr>
            <w:tcW w:w="38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97"/>
              </w:rPr>
              <w:t>(b)</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(c)</w:t>
            </w:r>
          </w:p>
        </w:tc>
        <w:tc>
          <w:tcPr>
            <w:tcW w:w="20" w:type="dxa"/>
            <w:vAlign w:val="bottom"/>
          </w:tcPr>
          <w:p>
            <w:pPr>
              <w:spacing w:after="0"/>
              <w:rPr>
                <w:sz w:val="16"/>
                <w:szCs w:val="16"/>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500" w:type="dxa"/>
            <w:vAlign w:val="bottom"/>
            <w:gridSpan w:val="3"/>
          </w:tcPr>
          <w:p>
            <w:pPr>
              <w:jc w:val="right"/>
              <w:ind w:right="200"/>
              <w:spacing w:after="0" w:line="156" w:lineRule="exact"/>
              <w:rPr>
                <w:sz w:val="20"/>
                <w:szCs w:val="20"/>
                <w:color w:val="auto"/>
              </w:rPr>
            </w:pPr>
            <w:r>
              <w:rPr>
                <w:rFonts w:ascii="Arial" w:cs="Arial" w:eastAsia="Arial" w:hAnsi="Arial"/>
                <w:sz w:val="15"/>
                <w:szCs w:val="15"/>
                <w:color w:val="auto"/>
              </w:rPr>
              <w:t>65,430(1)</w:t>
            </w: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18.00</w:t>
            </w:r>
          </w:p>
        </w:tc>
        <w:tc>
          <w:tcPr>
            <w:tcW w:w="24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5"/>
                <w:szCs w:val="15"/>
                <w:color w:val="auto"/>
              </w:rPr>
              <w:t>34,570</w:t>
            </w:r>
          </w:p>
        </w:tc>
        <w:tc>
          <w:tcPr>
            <w:tcW w:w="20" w:type="dxa"/>
            <w:vAlign w:val="bottom"/>
          </w:tcPr>
          <w:p>
            <w:pPr>
              <w:spacing w:after="0"/>
              <w:rPr>
                <w:sz w:val="13"/>
                <w:szCs w:val="13"/>
                <w:color w:val="auto"/>
              </w:rPr>
            </w:pPr>
          </w:p>
        </w:tc>
      </w:tr>
      <w:tr>
        <w:trPr>
          <w:trHeight w:val="191"/>
        </w:trPr>
        <w:tc>
          <w:tcPr>
            <w:tcW w:w="114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Nil</w:t>
            </w:r>
          </w:p>
        </w:tc>
        <w:tc>
          <w:tcPr>
            <w:tcW w:w="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Nil</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Nil</w:t>
            </w:r>
          </w:p>
        </w:tc>
        <w:tc>
          <w:tcPr>
            <w:tcW w:w="20" w:type="dxa"/>
            <w:vAlign w:val="bottom"/>
          </w:tcPr>
          <w:p>
            <w:pPr>
              <w:spacing w:after="0"/>
              <w:rPr>
                <w:sz w:val="16"/>
                <w:szCs w:val="16"/>
                <w:color w:val="auto"/>
              </w:rPr>
            </w:pPr>
          </w:p>
        </w:tc>
      </w:tr>
      <w:tr>
        <w:trPr>
          <w:trHeight w:val="20"/>
        </w:trPr>
        <w:tc>
          <w:tcPr>
            <w:tcW w:w="1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67"/>
        </w:trPr>
        <w:tc>
          <w:tcPr>
            <w:tcW w:w="112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65,430</w:t>
            </w:r>
          </w:p>
        </w:tc>
        <w:tc>
          <w:tcPr>
            <w:tcW w:w="380" w:type="dxa"/>
            <w:vAlign w:val="bottom"/>
            <w:gridSpan w:val="2"/>
          </w:tcPr>
          <w:p>
            <w:pPr>
              <w:jc w:val="right"/>
              <w:ind w:right="200"/>
              <w:spacing w:after="0" w:line="152" w:lineRule="exact"/>
              <w:rPr>
                <w:sz w:val="20"/>
                <w:szCs w:val="20"/>
                <w:color w:val="auto"/>
              </w:rPr>
            </w:pPr>
            <w:r>
              <w:rPr>
                <w:rFonts w:ascii="Arial" w:cs="Arial" w:eastAsia="Arial" w:hAnsi="Arial"/>
                <w:sz w:val="15"/>
                <w:szCs w:val="15"/>
                <w:color w:val="auto"/>
                <w:w w:val="87"/>
              </w:rPr>
              <w:t>(1)</w:t>
            </w:r>
          </w:p>
        </w:tc>
        <w:tc>
          <w:tcPr>
            <w:tcW w:w="1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18.00</w:t>
            </w:r>
          </w:p>
        </w:tc>
        <w:tc>
          <w:tcPr>
            <w:tcW w:w="240" w:type="dxa"/>
            <w:vAlign w:val="bottom"/>
          </w:tcPr>
          <w:p>
            <w:pPr>
              <w:spacing w:after="0"/>
              <w:rPr>
                <w:sz w:val="14"/>
                <w:szCs w:val="14"/>
                <w:color w:val="auto"/>
              </w:rPr>
            </w:pPr>
          </w:p>
        </w:tc>
        <w:tc>
          <w:tcPr>
            <w:tcW w:w="116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34,570</w:t>
            </w:r>
          </w:p>
        </w:tc>
        <w:tc>
          <w:tcPr>
            <w:tcW w:w="20" w:type="dxa"/>
            <w:vAlign w:val="bottom"/>
          </w:tcPr>
          <w:p>
            <w:pPr>
              <w:spacing w:after="0"/>
              <w:rPr>
                <w:sz w:val="14"/>
                <w:szCs w:val="14"/>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6540" w:space="720"/>
            <w:col w:w="4180"/>
          </w:cols>
          <w:pgMar w:left="240" w:top="837" w:right="219" w:bottom="1440" w:gutter="0" w:footer="0" w:header="0"/>
          <w:type w:val="continuous"/>
        </w:sectPr>
      </w:pPr>
    </w:p>
    <w:p>
      <w:pPr>
        <w:spacing w:after="0"/>
        <w:rPr>
          <w:sz w:val="20"/>
          <w:szCs w:val="20"/>
          <w:color w:val="auto"/>
        </w:rPr>
      </w:pPr>
      <w:r>
        <w:rPr>
          <w:rFonts w:ascii="Arial" w:cs="Arial" w:eastAsia="Arial" w:hAnsi="Arial"/>
          <w:sz w:val="14"/>
          <w:szCs w:val="14"/>
          <w:color w:val="auto"/>
        </w:rPr>
        <w:t>(1) The plan under which these shares were issued was approved by the Board of Directors and the shareholders in 2009 but did not come into effect until February 22, 2010.</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Incentive Plan</w:t>
      </w:r>
    </w:p>
    <w:p>
      <w:pPr>
        <w:spacing w:after="0" w:line="193"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foregoing summary of the 2009 Stock Incentive Plan is not complete and is qualified in its entirety by reference to the 2009 Stock Incentive Plan, a copy of which has been filed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To date, 65,430 options have been issued under the 2009 Plan. Of those options, 42,500 were issued to members of our scientific advisory board, and our Chief Executive Officer.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On March 19, 2014, we adopted the 2014 Omnibus Stock Option Plan (“2014 Plan”). The 2014 Plan allows for the issuance of 2,000,000 options to acquire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As of June 18, 2015, there are an aggregate of 84,382,892 common stock purchase warrants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Sales of Unregistered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previously reported all issuances of unregistered equity during the year ended December 31, 2014 through June 19,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MANAGEMENT’S DISCUSSION AND ANALYSIS OF FINANCIAL CONDITION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RESULTS OF OPERATIONS</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reviewing “Management’s Discussion and Analysis of Financial Condition and Results of Operations”, you should refer to our Consolidated Financial Statements and the notes related thereto.</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In this discussion of the Company’s results of operations and financial condition, amounts, other than per-share amounts, have been rounded to the nearest thousand dollars.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Three Months Ended March 31, 2015 Compared to Three Months Ended March 31, 2014</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recorded a net loss of $982,000 or ($0.04) per share during the three months ended March 31, 2015 compared to $29,707,000 or ($3.89) per share for the three months ended March 31, 2014. $27,663,430 of the net loss in the three months ended March 31, 2014 resulted from the conversion in that quarter of approximately $5,231,950 of debt and all outstanding Preferred B shares into 14,211,684 shares of common stock. As required by US GAAP we recorded the value of these shares at fair value at the time of issuance. As a result of the debt settlements and conversions, the Company recorded a loss on settlement of debt of $27,663,430, which is the difference between the carrying value of the debt settled and the value of the common stock issued at the time of issuance.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37" w:right="219" w:bottom="1440" w:gutter="0" w:footer="0" w:header="0"/>
          <w:type w:val="continuous"/>
        </w:sectPr>
      </w:pPr>
    </w:p>
    <w:bookmarkStart w:id="36" w:name="page37"/>
    <w:bookmarkEnd w:id="36"/>
    <w:p>
      <w:pPr>
        <w:ind w:left="10"/>
        <w:spacing w:after="0" w:line="276" w:lineRule="auto"/>
        <w:rPr>
          <w:sz w:val="20"/>
          <w:szCs w:val="20"/>
          <w:color w:val="auto"/>
        </w:rPr>
      </w:pPr>
      <w:r>
        <w:rPr>
          <w:rFonts w:ascii="Arial" w:cs="Arial" w:eastAsia="Arial" w:hAnsi="Arial"/>
          <w:sz w:val="15"/>
          <w:szCs w:val="15"/>
          <w:color w:val="auto"/>
        </w:rPr>
        <w:t>Operating costs decreased to $1,028,000 during the three months ended March 31, 2015 compared to $1,187,000 in the prior period. Significant changes in operating expenses are outlined as follows:</w:t>
      </w:r>
    </w:p>
    <w:p>
      <w:pPr>
        <w:spacing w:after="0" w:line="146" w:lineRule="exact"/>
        <w:rPr>
          <w:sz w:val="20"/>
          <w:szCs w:val="20"/>
          <w:color w:val="auto"/>
        </w:rPr>
      </w:pPr>
    </w:p>
    <w:p>
      <w:pPr>
        <w:jc w:val="both"/>
        <w:ind w:left="390" w:right="20" w:hanging="390"/>
        <w:spacing w:after="0" w:line="291" w:lineRule="auto"/>
        <w:tabs>
          <w:tab w:leader="none" w:pos="39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General and administrative expenses decreased to $419,000 during the three months ended March 31, 2015 from $1,164,000 during the prior period. The decrease was primarily due to absence of non-cash consulting fees paid as stock-based compensation during the three months ended March 31, 2015 from $686,000 during the prior period. The decrease in non-cash consulting fees from the prior year was due to the Company curtailing its business development activities in the current year.</w:t>
      </w:r>
    </w:p>
    <w:p>
      <w:pPr>
        <w:spacing w:after="0" w:line="138" w:lineRule="exact"/>
        <w:rPr>
          <w:rFonts w:ascii="Arial" w:cs="Arial" w:eastAsia="Arial" w:hAnsi="Arial"/>
          <w:sz w:val="14"/>
          <w:szCs w:val="14"/>
          <w:color w:val="auto"/>
        </w:rPr>
      </w:pPr>
    </w:p>
    <w:p>
      <w:pPr>
        <w:ind w:left="390" w:hanging="390"/>
        <w:spacing w:after="0" w:line="313" w:lineRule="auto"/>
        <w:tabs>
          <w:tab w:leader="none" w:pos="39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Research and development costs during the three months ended March 31, 2015 were $609,000 compared to $23,000 during the prior period. This was due to the Company exercising its option to acquire Mayo Clinic technology as part of an agreement entered into in March 2014 and increased in in-house research activity in the current period.</w:t>
      </w:r>
    </w:p>
    <w:p>
      <w:pPr>
        <w:spacing w:after="0" w:line="123"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weighted average number of shares outstanding was 27,611,255 for the three months ended March 31, 2015 compared to 7,631,669 for the prior year.</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Year Ended December 31, 2014 Compared to the Year Ended December 31, 2013</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recorded a net loss of $30,883,000 during the year ended December 31, 2014 compared to $5,533,000 for the year ended December 31, 2013.</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Operating Expenses</w:t>
      </w:r>
    </w:p>
    <w:p>
      <w:pPr>
        <w:spacing w:after="0" w:line="189"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Operating expenses incurred during the fiscal year ended December 31, 2014 were $3,425,000 compared to $2,664,000 in the prior year. Significant changes and expenditures are outlined as follows:</w:t>
      </w:r>
    </w:p>
    <w:p>
      <w:pPr>
        <w:spacing w:after="0" w:line="146" w:lineRule="exact"/>
        <w:rPr>
          <w:sz w:val="20"/>
          <w:szCs w:val="20"/>
          <w:color w:val="auto"/>
        </w:rPr>
      </w:pPr>
    </w:p>
    <w:p>
      <w:pPr>
        <w:jc w:val="both"/>
        <w:ind w:left="390" w:hanging="390"/>
        <w:spacing w:after="0" w:line="260" w:lineRule="auto"/>
        <w:tabs>
          <w:tab w:leader="none" w:pos="39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General and administrative expenses increased to $3,182,000 during the year ended December 31, 2014 from $1,967,000 during the prior period. The increase was primarily due to higher non-cash consulting fees paid as stock-based compensation of $1,391,000 during the year ended December 31, 2014 from $85,000 during the prior period offset by professional fees which were $474,000 in the year ended December 31, 2014 compared to $845,000 in the prior year. The decrease in professional fee from the prior year was due to lower legal fees incurred relating to debt issuance and settlements in the current year.</w:t>
      </w:r>
    </w:p>
    <w:p>
      <w:pPr>
        <w:spacing w:after="0" w:line="157" w:lineRule="exact"/>
        <w:rPr>
          <w:rFonts w:ascii="Arial" w:cs="Arial" w:eastAsia="Arial" w:hAnsi="Arial"/>
          <w:sz w:val="15"/>
          <w:szCs w:val="15"/>
          <w:color w:val="auto"/>
        </w:rPr>
      </w:pPr>
    </w:p>
    <w:p>
      <w:pPr>
        <w:ind w:left="390" w:right="20" w:hanging="390"/>
        <w:spacing w:after="0" w:line="276" w:lineRule="auto"/>
        <w:tabs>
          <w:tab w:leader="none" w:pos="39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Research and development costs during the fiscal year ended December 31, 2014 were $189,000 compared to $698,000 during the prior fiscal year. This was due to lower technology licensing fee accrued for payment due to Mayo clinic and decreased in house research activity in the current year.</w:t>
      </w:r>
    </w:p>
    <w:p>
      <w:pPr>
        <w:spacing w:after="0" w:line="146"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color w:val="auto"/>
        </w:rPr>
        <w:t>Our net loss for the year ended December 31, 2014 was $30,883,000 or ($2.00) per share, compared to a net loss of $5,533,000 or ($4.87) per share in the prior year. The weighted average number of shares outstanding was 15,465,213 for the year ended December 31, 2014 compared to 1,136,115 for the prior year.</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Liquidity and Capital Resources</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following table sets forth our cash and working capital as of March 31, 2015 and December 31, 2014:</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0"/>
              </w:rPr>
              <w:t>December 31,</w:t>
            </w:r>
          </w:p>
        </w:tc>
      </w:tr>
      <w:tr>
        <w:trPr>
          <w:trHeight w:val="195"/>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1"/>
              </w:rPr>
              <w:t>March 31, 2015</w:t>
            </w:r>
          </w:p>
        </w:tc>
        <w:tc>
          <w:tcPr>
            <w:tcW w:w="120" w:type="dxa"/>
            <w:vAlign w:val="bottom"/>
          </w:tcPr>
          <w:p>
            <w:pPr>
              <w:spacing w:after="0"/>
              <w:rPr>
                <w:sz w:val="16"/>
                <w:szCs w:val="16"/>
                <w:color w:val="auto"/>
              </w:rPr>
            </w:pPr>
          </w:p>
        </w:tc>
        <w:tc>
          <w:tcPr>
            <w:tcW w:w="1060" w:type="dxa"/>
            <w:vAlign w:val="bottom"/>
          </w:tcPr>
          <w:p>
            <w:pPr>
              <w:jc w:val="right"/>
              <w:ind w:right="369"/>
              <w:spacing w:after="0"/>
              <w:rPr>
                <w:sz w:val="20"/>
                <w:szCs w:val="20"/>
                <w:color w:val="auto"/>
              </w:rPr>
            </w:pPr>
            <w:r>
              <w:rPr>
                <w:rFonts w:ascii="Arial" w:cs="Arial" w:eastAsia="Arial" w:hAnsi="Arial"/>
                <w:sz w:val="15"/>
                <w:szCs w:val="15"/>
                <w:b w:val="1"/>
                <w:bCs w:val="1"/>
                <w:color w:val="auto"/>
              </w:rPr>
              <w:t>2014</w:t>
            </w:r>
          </w:p>
        </w:tc>
        <w:tc>
          <w:tcPr>
            <w:tcW w:w="140" w:type="dxa"/>
            <w:vAlign w:val="bottom"/>
          </w:tcPr>
          <w:p>
            <w:pPr>
              <w:spacing w:after="0"/>
              <w:rPr>
                <w:sz w:val="16"/>
                <w:szCs w:val="16"/>
                <w:color w:val="auto"/>
              </w:rPr>
            </w:pP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7"/>
        </w:trPr>
        <w:tc>
          <w:tcPr>
            <w:tcW w:w="8580" w:type="dxa"/>
            <w:vAlign w:val="bottom"/>
          </w:tcPr>
          <w:p>
            <w:pPr>
              <w:spacing w:after="0"/>
              <w:rPr>
                <w:sz w:val="20"/>
                <w:szCs w:val="20"/>
                <w:color w:val="auto"/>
              </w:rPr>
            </w:pPr>
            <w:r>
              <w:rPr>
                <w:rFonts w:ascii="Arial" w:cs="Arial" w:eastAsia="Arial" w:hAnsi="Arial"/>
                <w:sz w:val="15"/>
                <w:szCs w:val="15"/>
                <w:color w:val="auto"/>
              </w:rPr>
              <w:t>Cash reserves</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1,454,000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142,000</w:t>
            </w:r>
          </w:p>
        </w:tc>
      </w:tr>
      <w:tr>
        <w:trPr>
          <w:trHeight w:val="192"/>
        </w:trPr>
        <w:tc>
          <w:tcPr>
            <w:tcW w:w="8580" w:type="dxa"/>
            <w:vAlign w:val="bottom"/>
          </w:tcPr>
          <w:p>
            <w:pPr>
              <w:spacing w:after="0"/>
              <w:rPr>
                <w:sz w:val="20"/>
                <w:szCs w:val="20"/>
                <w:color w:val="auto"/>
              </w:rPr>
            </w:pPr>
            <w:r>
              <w:rPr>
                <w:rFonts w:ascii="Arial" w:cs="Arial" w:eastAsia="Arial" w:hAnsi="Arial"/>
                <w:sz w:val="15"/>
                <w:szCs w:val="15"/>
                <w:color w:val="auto"/>
              </w:rPr>
              <w:t>Working capital (deficit)</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00"/>
              <w:spacing w:after="0" w:line="172" w:lineRule="exact"/>
              <w:rPr>
                <w:sz w:val="20"/>
                <w:szCs w:val="20"/>
                <w:color w:val="auto"/>
              </w:rPr>
            </w:pPr>
            <w:r>
              <w:rPr>
                <w:rFonts w:ascii="Arial" w:cs="Arial" w:eastAsia="Arial" w:hAnsi="Arial"/>
                <w:sz w:val="11"/>
                <w:szCs w:val="11"/>
                <w:color w:val="auto"/>
              </w:rPr>
              <w:t>(1,766,000</w:t>
            </w:r>
            <w:r>
              <w:rPr>
                <w:rFonts w:ascii="Arial" w:cs="Arial" w:eastAsia="Arial" w:hAnsi="Arial"/>
                <w:sz w:val="19"/>
                <w:szCs w:val="19"/>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line="172" w:lineRule="exact"/>
              <w:rPr>
                <w:sz w:val="20"/>
                <w:szCs w:val="20"/>
                <w:color w:val="auto"/>
              </w:rPr>
            </w:pPr>
            <w:r>
              <w:rPr>
                <w:rFonts w:ascii="Arial" w:cs="Arial" w:eastAsia="Arial" w:hAnsi="Arial"/>
                <w:sz w:val="11"/>
                <w:szCs w:val="11"/>
                <w:color w:val="auto"/>
              </w:rPr>
              <w:t>(1,024,000</w:t>
            </w:r>
            <w:r>
              <w:rPr>
                <w:rFonts w:ascii="Arial" w:cs="Arial" w:eastAsia="Arial" w:hAnsi="Arial"/>
                <w:sz w:val="19"/>
                <w:szCs w:val="19"/>
                <w:color w:val="auto"/>
                <w:vertAlign w:val="subscript"/>
              </w:rPr>
              <w:t>)</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10"/>
        <w:spacing w:after="0" w:line="313" w:lineRule="auto"/>
        <w:rPr>
          <w:sz w:val="20"/>
          <w:szCs w:val="20"/>
          <w:color w:val="auto"/>
        </w:rPr>
      </w:pPr>
      <w:r>
        <w:rPr>
          <w:rFonts w:ascii="Arial" w:cs="Arial" w:eastAsia="Arial" w:hAnsi="Arial"/>
          <w:sz w:val="14"/>
          <w:szCs w:val="14"/>
          <w:color w:val="auto"/>
        </w:rPr>
        <w:t>Subject to the availability of additional financing, we intend to spend approximately $7,500,000 over the next twelve months in carrying out our plan of operations. At March 31, 2015, we had $1,454,000 of cash on hand and a working capital deficit of $1,766,000. In January and March 2015, we raised approximately $2.33 million in private and brokered placements.</w:t>
      </w:r>
    </w:p>
    <w:p>
      <w:pPr>
        <w:spacing w:after="0" w:line="123"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200" w:lineRule="exact"/>
        <w:rPr>
          <w:sz w:val="20"/>
          <w:szCs w:val="20"/>
          <w:color w:val="auto"/>
        </w:rPr>
      </w:pPr>
    </w:p>
    <w:p>
      <w:pPr>
        <w:spacing w:after="0" w:line="28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457" w:right="219" w:bottom="1440" w:gutter="0" w:footer="0" w:header="0"/>
        </w:sectPr>
      </w:pPr>
    </w:p>
    <w:bookmarkStart w:id="37" w:name="page38"/>
    <w:bookmarkEnd w:id="37"/>
    <w:p>
      <w:pPr>
        <w:spacing w:after="0"/>
        <w:rPr>
          <w:sz w:val="20"/>
          <w:szCs w:val="20"/>
          <w:color w:val="auto"/>
        </w:rPr>
      </w:pPr>
      <w:r>
        <w:rPr>
          <w:rFonts w:ascii="Arial" w:cs="Arial" w:eastAsia="Arial" w:hAnsi="Arial"/>
          <w:sz w:val="15"/>
          <w:szCs w:val="15"/>
          <w:i w:val="1"/>
          <w:iCs w:val="1"/>
          <w:color w:val="auto"/>
        </w:rPr>
        <w:t>Net Cash Used in Operating Activities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Net cash used in operating activities during the three months ended March 31, 2015 was $1,014,000 compared to $373,000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Cash Provided by Financing Activities</w:t>
      </w:r>
    </w:p>
    <w:p>
      <w:pPr>
        <w:spacing w:after="0" w:line="189"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Net cash provided by financing activities during the three months ended March 31, 2015 was $2,326,000 compared to $418,000 during the prior period. Current period financing consisted of proceeds from private placements while prior period financing relates to proceeds from convertible notes.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of March 31, 2015, we anticipate that we will need significant financing to enable us to meet our anticipated expenditures for the next twelve months, which are expected to be in the range of $7,500,000 assuming a single Phase 2 clinical trial.</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Going Concern</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March 31, 2015, we had accumulated losses of $87,291,000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0" w:type="dxa"/>
            <w:vAlign w:val="bottom"/>
          </w:tcPr>
          <w:p>
            <w:pPr>
              <w:ind w:left="100"/>
              <w:spacing w:after="0"/>
              <w:rPr>
                <w:sz w:val="20"/>
                <w:szCs w:val="20"/>
                <w:color w:val="auto"/>
              </w:rPr>
            </w:pPr>
            <w:r>
              <w:rPr>
                <w:rFonts w:ascii="Arial" w:cs="Arial" w:eastAsia="Arial" w:hAnsi="Arial"/>
                <w:sz w:val="15"/>
                <w:szCs w:val="15"/>
                <w:b w:val="1"/>
                <w:bCs w:val="1"/>
                <w:color w:val="auto"/>
              </w:rPr>
              <w:t>MANAGEMENT</w:t>
            </w:r>
          </w:p>
        </w:tc>
      </w:tr>
      <w:tr>
        <w:trPr>
          <w:trHeight w:val="385"/>
        </w:trPr>
        <w:tc>
          <w:tcPr>
            <w:tcW w:w="11440" w:type="dxa"/>
            <w:vAlign w:val="bottom"/>
            <w:gridSpan w:val="6"/>
          </w:tcPr>
          <w:p>
            <w:pPr>
              <w:spacing w:after="0"/>
              <w:rPr>
                <w:sz w:val="20"/>
                <w:szCs w:val="20"/>
                <w:color w:val="auto"/>
              </w:rPr>
            </w:pPr>
            <w:r>
              <w:rPr>
                <w:rFonts w:ascii="Arial" w:cs="Arial" w:eastAsia="Arial" w:hAnsi="Arial"/>
                <w:sz w:val="15"/>
                <w:szCs w:val="15"/>
                <w:color w:val="auto"/>
              </w:rPr>
              <w:t>Our directors and executive officers and their respective ages as of the date of this annual report are as follows:</w:t>
            </w:r>
          </w:p>
        </w:tc>
      </w:tr>
      <w:tr>
        <w:trPr>
          <w:trHeight w:val="185"/>
        </w:trPr>
        <w:tc>
          <w:tcPr>
            <w:tcW w:w="3900" w:type="dxa"/>
            <w:vAlign w:val="bottom"/>
            <w:tcBorders>
              <w:bottom w:val="single" w:sz="8" w:color="auto"/>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tcPr>
          <w:p>
            <w:pPr>
              <w:spacing w:after="0"/>
              <w:rPr>
                <w:sz w:val="16"/>
                <w:szCs w:val="16"/>
                <w:color w:val="auto"/>
              </w:rPr>
            </w:pPr>
          </w:p>
        </w:tc>
      </w:tr>
      <w:tr>
        <w:trPr>
          <w:trHeight w:val="181"/>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Name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Age</w:t>
            </w:r>
          </w:p>
        </w:tc>
        <w:tc>
          <w:tcPr>
            <w:tcW w:w="120" w:type="dxa"/>
            <w:vAlign w:val="bottom"/>
          </w:tcPr>
          <w:p>
            <w:pPr>
              <w:spacing w:after="0"/>
              <w:rPr>
                <w:sz w:val="15"/>
                <w:szCs w:val="15"/>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Position with the Company</w:t>
            </w:r>
          </w:p>
        </w:tc>
      </w:tr>
      <w:tr>
        <w:trPr>
          <w:trHeight w:val="20"/>
        </w:trPr>
        <w:tc>
          <w:tcPr>
            <w:tcW w:w="3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Glynn Wilson</w:t>
            </w: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ind w:right="245"/>
              <w:spacing w:after="0" w:line="156" w:lineRule="exact"/>
              <w:rPr>
                <w:sz w:val="20"/>
                <w:szCs w:val="20"/>
                <w:color w:val="auto"/>
              </w:rPr>
            </w:pPr>
            <w:r>
              <w:rPr>
                <w:rFonts w:ascii="Arial" w:cs="Arial" w:eastAsia="Arial" w:hAnsi="Arial"/>
                <w:sz w:val="15"/>
                <w:szCs w:val="15"/>
                <w:color w:val="auto"/>
              </w:rPr>
              <w:t>68</w:t>
            </w:r>
          </w:p>
        </w:tc>
        <w:tc>
          <w:tcPr>
            <w:tcW w:w="120" w:type="dxa"/>
            <w:vAlign w:val="bottom"/>
          </w:tcPr>
          <w:p>
            <w:pPr>
              <w:spacing w:after="0"/>
              <w:rPr>
                <w:sz w:val="13"/>
                <w:szCs w:val="13"/>
                <w:color w:val="auto"/>
              </w:rPr>
            </w:pPr>
          </w:p>
        </w:tc>
        <w:tc>
          <w:tcPr>
            <w:tcW w:w="64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Chairman, Chief Executive Officer, Principal Executive Officer and a Director</w:t>
            </w:r>
          </w:p>
        </w:tc>
      </w:tr>
      <w:tr>
        <w:trPr>
          <w:trHeight w:val="181"/>
        </w:trPr>
        <w:tc>
          <w:tcPr>
            <w:tcW w:w="3900" w:type="dxa"/>
            <w:vAlign w:val="bottom"/>
            <w:gridSpan w:val="2"/>
          </w:tcPr>
          <w:p>
            <w:pPr>
              <w:spacing w:after="0"/>
              <w:rPr>
                <w:sz w:val="20"/>
                <w:szCs w:val="20"/>
                <w:color w:val="auto"/>
              </w:rPr>
            </w:pPr>
            <w:r>
              <w:rPr>
                <w:rFonts w:ascii="Arial" w:cs="Arial" w:eastAsia="Arial" w:hAnsi="Arial"/>
                <w:sz w:val="15"/>
                <w:szCs w:val="15"/>
                <w:color w:val="auto"/>
              </w:rPr>
              <w:t>Mark Reddish</w:t>
            </w:r>
          </w:p>
        </w:tc>
        <w:tc>
          <w:tcPr>
            <w:tcW w:w="1020" w:type="dxa"/>
            <w:vAlign w:val="bottom"/>
            <w:gridSpan w:val="2"/>
          </w:tcPr>
          <w:p>
            <w:pPr>
              <w:jc w:val="right"/>
              <w:ind w:right="245"/>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Vice President Development</w:t>
            </w:r>
          </w:p>
        </w:tc>
      </w:tr>
      <w:tr>
        <w:trPr>
          <w:trHeight w:val="181"/>
        </w:trPr>
        <w:tc>
          <w:tcPr>
            <w:tcW w:w="3900" w:type="dxa"/>
            <w:vAlign w:val="bottom"/>
            <w:gridSpan w:val="2"/>
          </w:tcPr>
          <w:p>
            <w:pPr>
              <w:spacing w:after="0"/>
              <w:rPr>
                <w:sz w:val="20"/>
                <w:szCs w:val="20"/>
                <w:color w:val="auto"/>
              </w:rPr>
            </w:pPr>
            <w:r>
              <w:rPr>
                <w:rFonts w:ascii="Arial" w:cs="Arial" w:eastAsia="Arial" w:hAnsi="Arial"/>
                <w:sz w:val="15"/>
                <w:szCs w:val="15"/>
                <w:color w:val="auto"/>
              </w:rPr>
              <w:t>Sherry Grisewood</w:t>
            </w:r>
          </w:p>
        </w:tc>
        <w:tc>
          <w:tcPr>
            <w:tcW w:w="1020" w:type="dxa"/>
            <w:vAlign w:val="bottom"/>
            <w:gridSpan w:val="2"/>
          </w:tcPr>
          <w:p>
            <w:pPr>
              <w:jc w:val="right"/>
              <w:ind w:right="245"/>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Independent Board Member</w:t>
            </w:r>
          </w:p>
        </w:tc>
      </w:tr>
      <w:tr>
        <w:trPr>
          <w:trHeight w:val="190"/>
        </w:trPr>
        <w:tc>
          <w:tcPr>
            <w:tcW w:w="3900" w:type="dxa"/>
            <w:vAlign w:val="bottom"/>
            <w:gridSpan w:val="2"/>
          </w:tcPr>
          <w:p>
            <w:pPr>
              <w:spacing w:after="0"/>
              <w:rPr>
                <w:sz w:val="20"/>
                <w:szCs w:val="20"/>
                <w:color w:val="auto"/>
              </w:rPr>
            </w:pPr>
            <w:r>
              <w:rPr>
                <w:rFonts w:ascii="Arial" w:cs="Arial" w:eastAsia="Arial" w:hAnsi="Arial"/>
                <w:sz w:val="15"/>
                <w:szCs w:val="15"/>
                <w:color w:val="auto"/>
              </w:rPr>
              <w:t>David Laskow-Pooley</w:t>
            </w:r>
          </w:p>
        </w:tc>
        <w:tc>
          <w:tcPr>
            <w:tcW w:w="1020" w:type="dxa"/>
            <w:vAlign w:val="bottom"/>
            <w:gridSpan w:val="2"/>
          </w:tcPr>
          <w:p>
            <w:pPr>
              <w:jc w:val="right"/>
              <w:ind w:right="245"/>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Independent Board Member</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describes the business experience of each of our directors and executive officers, including other directorships held in reporting companies: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Glynn Wilson, Ph.D., Chief Executive Officer and Chairman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5 years.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 Reddish, Director</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Mark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 where he led the early research and clinical development of Stimuvax, which is currently in late Stage 3 clinical trials under a partnership with Merck KGa. Mark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auto"/>
        </w:rPr>
        <w:t>Sherry Grisewood, Director</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Sherry Grisewood, CFA, has over 25 years securities industry experience in a range of investment banking, advisory and research-related activities. She is currently associated with Dawson James Securities Inc in a senior banking analytical role. Prior to joining Dawson James, she most recently inaugurated a Lifesciences specialty practice as Managing Director, Lifesciences and Technology Banking for Tripoint Global Equities. Prior to Tripoint, Ms. Grisewood served as Senior Life Sciences Banker at Jesup &amp; Lamont Securities Corp. and as an independent strategic advisor and consultant for several investment banks over the prior 12 year period. She has participated in over 50 transaction-related projects involving initial public offerings, secondary offerings, PIPE’s, private equity, M&amp;A and licensing transactions. These deals and projects represented US, Canadian, Scandinavian, UK, Chinese and Australian clients with advanced technologies and the development of nucleic acid therapeutics and delivery systems in the life sciences such as those addressing nucleic acid therapeutics, regenerative medicine, CNS diseases, or leading edge technologies for lifescience special situations. Prior to consulting for investment banks, Ms. Grisewood served as Director of Research for several mid-tier brokerage companies and a leading independent investment research company. Ms. Grisewood holds a Bachelor of Science degree (Highest Honors, 4.0GPA) in Life Science from Ramapo College of New Jersey. She is a member of the American Society of Gene and Cell Therapy, the Tissue Engineering and Regenerative Medicine Society International, the Society of Biomaterials, the CFA Institute and the NY Society of Security Analysts.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David Laskow-Pooley</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Mr. Laskow-Pooley is currently CEO of LondonPharma Ltd, a clinical stage company re-purposing approved drugs through novel drug delivery technologies and is the Co-founder of Pharmafor Ltd. He was formerly Managing Director (UK) of Nasdaq- listed drug discovery platform company, OSI, and was part of the corporate team that developed and launched Tarceva for the treatment of lung cancer with marketing partners Roche and Genentech. He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 of Office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Significant Employees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On December 31, 2014, we had one full-time employee and a number of management and scientific consultants.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Committee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Board of Directors has established an Audit Committee which functions pursuant to a written charter adopted by our Board of Directors in March 2004. The members of our Audit Committee as of December 31, 2014 were Dr. Wilson, Mr. Reddish and Ms. Grisewood.</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Board of Directors has determined that our Audit Committee does not have a member that qualifies as an “audit committee financial expert” as defined in Item 407(d)(5)(ii) 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 In March 2013, the Company appointed Sherry Grisewood to the Board of Directors. Ms. Grisewood has over 25 years of securities industry experience in a range of investment banking, advisory and research-related activities. Ms. Grisewood is leading the audit committee.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Dr. Wilson and Ms. Grisewood serve on our compensation committee, which is now led by Ms. Grisewood.</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Scientific Advisory Board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On March 19, 2014, we established the scientific advisory board. Also, on that date, Dr. Keith Knutson was appointed as chairman of the Scientific Advisory Board.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color w:val="auto"/>
        </w:rPr>
        <w:t>Involvement in Certain Legal Proceedings</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Conduct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TRANSACTIONS WITH RELATED PERSONS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of December 31, 2014, we had outstanding promissory notes in the amount of $52,942, of which $23,000 of promissory notes were from one of our officers and directors. The promissory notes bear no interest charges and have no fixed repayment terms.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2014, a note holder converted outstanding principal of $210,000 and accrued interest of $12,000 into preferred stock which was immediately converted into common shares. During the year ended December 31, 2014, $15,000 of the promissory notes were repaid to one of our officers and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following table sets forth the compensation paid to our executive officers for their services as executive officers during our fiscal years ended December 31, 2014 and December 31, 2013: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9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88"/>
              </w:rPr>
              <w:t>Stock</w:t>
            </w:r>
          </w:p>
        </w:tc>
        <w:tc>
          <w:tcPr>
            <w:tcW w:w="11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0"/>
              </w:rPr>
              <w:t>Option</w:t>
            </w:r>
          </w:p>
        </w:tc>
        <w:tc>
          <w:tcPr>
            <w:tcW w:w="15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7"/>
              </w:rPr>
              <w:t>All Other</w:t>
            </w: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80" w:type="dxa"/>
            <w:vAlign w:val="bottom"/>
            <w:gridSpan w:val="2"/>
          </w:tcPr>
          <w:p>
            <w:pPr>
              <w:spacing w:after="0"/>
              <w:rPr>
                <w:sz w:val="20"/>
                <w:szCs w:val="20"/>
                <w:color w:val="auto"/>
              </w:rPr>
            </w:pPr>
            <w:r>
              <w:rPr>
                <w:rFonts w:ascii="Arial" w:cs="Arial" w:eastAsia="Arial" w:hAnsi="Arial"/>
                <w:sz w:val="15"/>
                <w:szCs w:val="15"/>
                <w:b w:val="1"/>
                <w:bCs w:val="1"/>
                <w:color w:val="auto"/>
              </w:rPr>
              <w:t>Name and Principal</w:t>
            </w:r>
          </w:p>
        </w:tc>
        <w:tc>
          <w:tcPr>
            <w:tcW w:w="84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Arial" w:cs="Arial" w:eastAsia="Arial" w:hAnsi="Arial"/>
                <w:sz w:val="15"/>
                <w:szCs w:val="15"/>
                <w:b w:val="1"/>
                <w:bCs w:val="1"/>
                <w:color w:val="auto"/>
              </w:rPr>
              <w:t>Salary</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85"/>
              </w:rPr>
              <w:t>Bonus</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8"/>
              </w:rPr>
              <w:t>Awards</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8"/>
              </w:rPr>
              <w:t>Awards</w:t>
            </w:r>
          </w:p>
        </w:tc>
        <w:tc>
          <w:tcPr>
            <w:tcW w:w="1520" w:type="dxa"/>
            <w:vAlign w:val="bottom"/>
          </w:tcPr>
          <w:p>
            <w:pPr>
              <w:jc w:val="center"/>
              <w:spacing w:after="0"/>
              <w:rPr>
                <w:sz w:val="20"/>
                <w:szCs w:val="20"/>
                <w:color w:val="auto"/>
              </w:rPr>
            </w:pPr>
            <w:r>
              <w:rPr>
                <w:rFonts w:ascii="Arial" w:cs="Arial" w:eastAsia="Arial" w:hAnsi="Arial"/>
                <w:sz w:val="15"/>
                <w:szCs w:val="15"/>
                <w:b w:val="1"/>
                <w:bCs w:val="1"/>
                <w:color w:val="auto"/>
                <w:w w:val="89"/>
              </w:rPr>
              <w:t>Compen-sation</w:t>
            </w:r>
          </w:p>
        </w:tc>
        <w:tc>
          <w:tcPr>
            <w:tcW w:w="1020" w:type="dxa"/>
            <w:vAlign w:val="bottom"/>
          </w:tcPr>
          <w:p>
            <w:pPr>
              <w:ind w:left="3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5"/>
        </w:trPr>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Position</w:t>
            </w: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Year</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0" w:type="dxa"/>
            <w:vAlign w:val="bottom"/>
          </w:tcPr>
          <w:p>
            <w:pPr>
              <w:spacing w:after="0"/>
              <w:rPr>
                <w:sz w:val="1"/>
                <w:szCs w:val="1"/>
                <w:color w:val="auto"/>
              </w:rPr>
            </w:pPr>
          </w:p>
        </w:tc>
      </w:tr>
      <w:tr>
        <w:trPr>
          <w:trHeight w:val="20"/>
        </w:trPr>
        <w:tc>
          <w:tcPr>
            <w:tcW w:w="39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Glynn Wilson</w:t>
            </w:r>
          </w:p>
        </w:tc>
        <w:tc>
          <w:tcPr>
            <w:tcW w:w="840" w:type="dxa"/>
            <w:vAlign w:val="bottom"/>
            <w:tcBorders>
              <w:top w:val="single" w:sz="8" w:color="auto"/>
            </w:tcBorders>
            <w:vMerge w:val="restart"/>
          </w:tcPr>
          <w:p>
            <w:pPr>
              <w:ind w:left="360"/>
              <w:spacing w:after="0"/>
              <w:rPr>
                <w:sz w:val="20"/>
                <w:szCs w:val="20"/>
                <w:color w:val="auto"/>
              </w:rPr>
            </w:pPr>
            <w:r>
              <w:rPr>
                <w:rFonts w:ascii="Arial" w:cs="Arial" w:eastAsia="Arial" w:hAnsi="Arial"/>
                <w:sz w:val="15"/>
                <w:szCs w:val="15"/>
                <w:color w:val="auto"/>
              </w:rPr>
              <w:t>2014</w:t>
            </w: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w w:val="88"/>
              </w:rPr>
              <w:t>180,000</w:t>
            </w: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180,000</w:t>
            </w:r>
          </w:p>
        </w:tc>
        <w:tc>
          <w:tcPr>
            <w:tcW w:w="0" w:type="dxa"/>
            <w:vAlign w:val="bottom"/>
          </w:tcPr>
          <w:p>
            <w:pPr>
              <w:spacing w:after="0"/>
              <w:rPr>
                <w:sz w:val="1"/>
                <w:szCs w:val="1"/>
                <w:color w:val="auto"/>
              </w:rPr>
            </w:pPr>
          </w:p>
        </w:tc>
      </w:tr>
      <w:tr>
        <w:trPr>
          <w:trHeight w:val="90"/>
        </w:trPr>
        <w:tc>
          <w:tcPr>
            <w:tcW w:w="398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Chairman, CEO and Principal Executive Officer and Acting</w:t>
            </w: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980" w:type="dxa"/>
            <w:vAlign w:val="bottom"/>
            <w:gridSpan w:val="2"/>
            <w:vMerge w:val="continue"/>
          </w:tcPr>
          <w:p>
            <w:pPr>
              <w:spacing w:after="0"/>
              <w:rPr>
                <w:sz w:val="7"/>
                <w:szCs w:val="7"/>
                <w:color w:val="auto"/>
              </w:rPr>
            </w:pPr>
          </w:p>
        </w:tc>
        <w:tc>
          <w:tcPr>
            <w:tcW w:w="840" w:type="dxa"/>
            <w:vAlign w:val="bottom"/>
            <w:vMerge w:val="restart"/>
          </w:tcPr>
          <w:p>
            <w:pPr>
              <w:ind w:left="360"/>
              <w:spacing w:after="0"/>
              <w:rPr>
                <w:sz w:val="20"/>
                <w:szCs w:val="20"/>
                <w:color w:val="auto"/>
              </w:rPr>
            </w:pPr>
            <w:r>
              <w:rPr>
                <w:rFonts w:ascii="Arial" w:cs="Arial" w:eastAsia="Arial" w:hAnsi="Arial"/>
                <w:sz w:val="15"/>
                <w:szCs w:val="15"/>
                <w:color w:val="auto"/>
              </w:rPr>
              <w:t>2013</w:t>
            </w:r>
          </w:p>
        </w:tc>
        <w:tc>
          <w:tcPr>
            <w:tcW w:w="940" w:type="dxa"/>
            <w:vAlign w:val="bottom"/>
            <w:vMerge w:val="restart"/>
          </w:tcPr>
          <w:p>
            <w:pPr>
              <w:jc w:val="center"/>
              <w:spacing w:after="0"/>
              <w:rPr>
                <w:sz w:val="20"/>
                <w:szCs w:val="20"/>
                <w:color w:val="auto"/>
              </w:rPr>
            </w:pPr>
            <w:r>
              <w:rPr>
                <w:rFonts w:ascii="Arial" w:cs="Arial" w:eastAsia="Arial" w:hAnsi="Arial"/>
                <w:sz w:val="15"/>
                <w:szCs w:val="15"/>
                <w:color w:val="auto"/>
                <w:w w:val="88"/>
              </w:rPr>
              <w:t>180,000</w:t>
            </w:r>
          </w:p>
        </w:tc>
        <w:tc>
          <w:tcPr>
            <w:tcW w:w="96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vMerge w:val="restart"/>
          </w:tcPr>
          <w:p>
            <w:pPr>
              <w:jc w:val="center"/>
              <w:spacing w:after="0"/>
              <w:rPr>
                <w:sz w:val="20"/>
                <w:szCs w:val="20"/>
                <w:color w:val="auto"/>
              </w:rPr>
            </w:pPr>
            <w:r>
              <w:rPr>
                <w:rFonts w:ascii="Arial" w:cs="Arial" w:eastAsia="Arial" w:hAnsi="Arial"/>
                <w:sz w:val="15"/>
                <w:szCs w:val="15"/>
                <w:color w:val="auto"/>
                <w:w w:val="92"/>
              </w:rPr>
              <w:t>180,000</w:t>
            </w:r>
          </w:p>
        </w:tc>
        <w:tc>
          <w:tcPr>
            <w:tcW w:w="0" w:type="dxa"/>
            <w:vAlign w:val="bottom"/>
          </w:tcPr>
          <w:p>
            <w:pPr>
              <w:spacing w:after="0"/>
              <w:rPr>
                <w:sz w:val="1"/>
                <w:szCs w:val="1"/>
                <w:color w:val="auto"/>
              </w:rPr>
            </w:pPr>
          </w:p>
        </w:tc>
      </w:tr>
      <w:tr>
        <w:trPr>
          <w:trHeight w:val="100"/>
        </w:trPr>
        <w:tc>
          <w:tcPr>
            <w:tcW w:w="398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Principal Accounting Officer</w:t>
            </w:r>
          </w:p>
        </w:tc>
        <w:tc>
          <w:tcPr>
            <w:tcW w:w="8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9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3"/>
        </w:trPr>
        <w:tc>
          <w:tcPr>
            <w:tcW w:w="3980" w:type="dxa"/>
            <w:vAlign w:val="bottom"/>
            <w:gridSpan w:val="2"/>
          </w:tcPr>
          <w:p>
            <w:pPr>
              <w:spacing w:after="0"/>
              <w:rPr>
                <w:sz w:val="20"/>
                <w:szCs w:val="20"/>
                <w:color w:val="auto"/>
              </w:rPr>
            </w:pPr>
            <w:r>
              <w:rPr>
                <w:rFonts w:ascii="Arial" w:cs="Arial" w:eastAsia="Arial" w:hAnsi="Arial"/>
                <w:sz w:val="15"/>
                <w:szCs w:val="15"/>
                <w:color w:val="auto"/>
              </w:rPr>
              <w:t>Mark Reddish</w:t>
            </w:r>
          </w:p>
        </w:tc>
        <w:tc>
          <w:tcPr>
            <w:tcW w:w="840" w:type="dxa"/>
            <w:vAlign w:val="bottom"/>
          </w:tcPr>
          <w:p>
            <w:pPr>
              <w:ind w:left="360"/>
              <w:spacing w:after="0"/>
              <w:rPr>
                <w:sz w:val="20"/>
                <w:szCs w:val="20"/>
                <w:color w:val="auto"/>
              </w:rPr>
            </w:pPr>
            <w:r>
              <w:rPr>
                <w:rFonts w:ascii="Arial" w:cs="Arial" w:eastAsia="Arial" w:hAnsi="Arial"/>
                <w:sz w:val="15"/>
                <w:szCs w:val="15"/>
                <w:color w:val="auto"/>
              </w:rPr>
              <w:t>2014</w:t>
            </w:r>
          </w:p>
        </w:tc>
        <w:tc>
          <w:tcPr>
            <w:tcW w:w="940" w:type="dxa"/>
            <w:vAlign w:val="bottom"/>
          </w:tcPr>
          <w:p>
            <w:pPr>
              <w:jc w:val="center"/>
              <w:spacing w:after="0"/>
              <w:rPr>
                <w:sz w:val="20"/>
                <w:szCs w:val="20"/>
                <w:color w:val="auto"/>
              </w:rPr>
            </w:pPr>
            <w:r>
              <w:rPr>
                <w:rFonts w:ascii="Arial" w:cs="Arial" w:eastAsia="Arial" w:hAnsi="Arial"/>
                <w:sz w:val="15"/>
                <w:szCs w:val="15"/>
                <w:color w:val="auto"/>
                <w:w w:val="87"/>
              </w:rPr>
              <w:t>15,000</w:t>
            </w:r>
          </w:p>
        </w:tc>
        <w:tc>
          <w:tcPr>
            <w:tcW w:w="960" w:type="dxa"/>
            <w:vAlign w:val="bottom"/>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tcPr>
          <w:p>
            <w:pPr>
              <w:jc w:val="center"/>
              <w:spacing w:after="0"/>
              <w:rPr>
                <w:sz w:val="20"/>
                <w:szCs w:val="20"/>
                <w:color w:val="auto"/>
              </w:rPr>
            </w:pPr>
            <w:r>
              <w:rPr>
                <w:rFonts w:ascii="Arial" w:cs="Arial" w:eastAsia="Arial" w:hAnsi="Arial"/>
                <w:sz w:val="15"/>
                <w:szCs w:val="15"/>
                <w:color w:val="auto"/>
                <w:w w:val="91"/>
              </w:rPr>
              <w:t>15,000</w:t>
            </w:r>
          </w:p>
        </w:tc>
        <w:tc>
          <w:tcPr>
            <w:tcW w:w="0" w:type="dxa"/>
            <w:vAlign w:val="bottom"/>
          </w:tcPr>
          <w:p>
            <w:pPr>
              <w:spacing w:after="0"/>
              <w:rPr>
                <w:sz w:val="1"/>
                <w:szCs w:val="1"/>
                <w:color w:val="auto"/>
              </w:rPr>
            </w:pPr>
          </w:p>
        </w:tc>
      </w:tr>
      <w:tr>
        <w:trPr>
          <w:trHeight w:val="190"/>
        </w:trPr>
        <w:tc>
          <w:tcPr>
            <w:tcW w:w="3980" w:type="dxa"/>
            <w:vAlign w:val="bottom"/>
            <w:gridSpan w:val="2"/>
          </w:tcPr>
          <w:p>
            <w:pPr>
              <w:spacing w:after="0"/>
              <w:rPr>
                <w:sz w:val="20"/>
                <w:szCs w:val="20"/>
                <w:color w:val="auto"/>
              </w:rPr>
            </w:pPr>
            <w:r>
              <w:rPr>
                <w:rFonts w:ascii="Arial" w:cs="Arial" w:eastAsia="Arial" w:hAnsi="Arial"/>
                <w:sz w:val="15"/>
                <w:szCs w:val="15"/>
                <w:i w:val="1"/>
                <w:iCs w:val="1"/>
                <w:color w:val="auto"/>
              </w:rPr>
              <w:t>VP Development</w:t>
            </w:r>
          </w:p>
        </w:tc>
        <w:tc>
          <w:tcPr>
            <w:tcW w:w="840" w:type="dxa"/>
            <w:vAlign w:val="bottom"/>
          </w:tcPr>
          <w:p>
            <w:pPr>
              <w:ind w:left="360"/>
              <w:spacing w:after="0"/>
              <w:rPr>
                <w:sz w:val="20"/>
                <w:szCs w:val="20"/>
                <w:color w:val="auto"/>
              </w:rPr>
            </w:pPr>
            <w:r>
              <w:rPr>
                <w:rFonts w:ascii="Arial" w:cs="Arial" w:eastAsia="Arial" w:hAnsi="Arial"/>
                <w:sz w:val="15"/>
                <w:szCs w:val="15"/>
                <w:color w:val="auto"/>
              </w:rPr>
              <w:t>2013</w:t>
            </w:r>
          </w:p>
        </w:tc>
        <w:tc>
          <w:tcPr>
            <w:tcW w:w="940" w:type="dxa"/>
            <w:vAlign w:val="bottom"/>
          </w:tcPr>
          <w:p>
            <w:pPr>
              <w:jc w:val="center"/>
              <w:spacing w:after="0"/>
              <w:rPr>
                <w:sz w:val="20"/>
                <w:szCs w:val="20"/>
                <w:color w:val="auto"/>
              </w:rPr>
            </w:pPr>
            <w:r>
              <w:rPr>
                <w:rFonts w:ascii="Arial" w:cs="Arial" w:eastAsia="Arial" w:hAnsi="Arial"/>
                <w:sz w:val="15"/>
                <w:szCs w:val="15"/>
                <w:color w:val="auto"/>
                <w:w w:val="87"/>
              </w:rPr>
              <w:t>60,000</w:t>
            </w:r>
          </w:p>
        </w:tc>
        <w:tc>
          <w:tcPr>
            <w:tcW w:w="960" w:type="dxa"/>
            <w:vAlign w:val="bottom"/>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tcPr>
          <w:p>
            <w:pPr>
              <w:jc w:val="center"/>
              <w:spacing w:after="0"/>
              <w:rPr>
                <w:sz w:val="20"/>
                <w:szCs w:val="20"/>
                <w:color w:val="auto"/>
              </w:rPr>
            </w:pPr>
            <w:r>
              <w:rPr>
                <w:rFonts w:ascii="Arial" w:cs="Arial" w:eastAsia="Arial" w:hAnsi="Arial"/>
                <w:sz w:val="15"/>
                <w:szCs w:val="15"/>
                <w:color w:val="auto"/>
                <w:w w:val="91"/>
              </w:rPr>
              <w:t>60,000</w:t>
            </w: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as at December 31, 2014 relating to outstanding equity awards for each Named Executive Officer: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40" w:name="page41"/>
    <w:bookmarkEnd w:id="40"/>
    <w:p>
      <w:pPr>
        <w:jc w:val="center"/>
        <w:ind w:right="-9"/>
        <w:spacing w:after="0"/>
        <w:rPr>
          <w:sz w:val="20"/>
          <w:szCs w:val="20"/>
          <w:color w:val="auto"/>
        </w:rPr>
      </w:pPr>
      <w:r>
        <w:rPr>
          <w:rFonts w:ascii="Arial" w:cs="Arial" w:eastAsia="Arial" w:hAnsi="Arial"/>
          <w:sz w:val="15"/>
          <w:szCs w:val="15"/>
          <w:b w:val="1"/>
          <w:bCs w:val="1"/>
          <w:color w:val="auto"/>
        </w:rPr>
        <w:t>Outstanding Equity Awards at Year End Table</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left="85"/>
              <w:spacing w:after="0" w:line="170" w:lineRule="exact"/>
              <w:rPr>
                <w:sz w:val="20"/>
                <w:szCs w:val="20"/>
                <w:color w:val="auto"/>
              </w:rPr>
            </w:pPr>
            <w:r>
              <w:rPr>
                <w:rFonts w:ascii="Arial" w:cs="Arial" w:eastAsia="Arial" w:hAnsi="Arial"/>
                <w:sz w:val="15"/>
                <w:szCs w:val="15"/>
                <w:b w:val="1"/>
                <w:bCs w:val="1"/>
                <w:color w:val="auto"/>
                <w:w w:val="93"/>
              </w:rPr>
              <w:t>Number of</w:t>
            </w:r>
          </w:p>
        </w:tc>
        <w:tc>
          <w:tcPr>
            <w:tcW w:w="18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3"/>
              </w:rPr>
              <w:t>Number of</w:t>
            </w:r>
          </w:p>
        </w:tc>
        <w:tc>
          <w:tcPr>
            <w:tcW w:w="16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3"/>
              </w:rPr>
              <w:t>Number of</w:t>
            </w:r>
          </w:p>
        </w:tc>
        <w:tc>
          <w:tcPr>
            <w:tcW w:w="13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89"/>
              </w:rPr>
              <w:t>Securities</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6"/>
              </w:rPr>
              <w:t>Securities</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89"/>
              </w:rPr>
              <w:t>Securities</w:t>
            </w: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91"/>
              </w:rPr>
              <w:t>Underlying</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94"/>
              </w:rPr>
              <w:t>Underlying</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91"/>
              </w:rPr>
              <w:t>Underlying</w:t>
            </w: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89"/>
              </w:rPr>
              <w:t>Unexercised</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7"/>
              </w:rPr>
              <w:t>Unexercised</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87"/>
              </w:rPr>
              <w:t>Unexercised</w:t>
            </w:r>
          </w:p>
        </w:tc>
        <w:tc>
          <w:tcPr>
            <w:tcW w:w="1380" w:type="dxa"/>
            <w:vAlign w:val="bottom"/>
          </w:tcPr>
          <w:p>
            <w:pPr>
              <w:jc w:val="right"/>
              <w:ind w:right="365"/>
              <w:spacing w:after="0"/>
              <w:rPr>
                <w:sz w:val="20"/>
                <w:szCs w:val="20"/>
                <w:color w:val="auto"/>
              </w:rPr>
            </w:pPr>
            <w:r>
              <w:rPr>
                <w:rFonts w:ascii="Arial" w:cs="Arial" w:eastAsia="Arial" w:hAnsi="Arial"/>
                <w:sz w:val="15"/>
                <w:szCs w:val="15"/>
                <w:b w:val="1"/>
                <w:bCs w:val="1"/>
                <w:color w:val="auto"/>
              </w:rPr>
              <w:t>Option</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5"/>
              </w:rPr>
              <w:t>Option</w:t>
            </w: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91"/>
              </w:rPr>
              <w:t>Options</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8"/>
              </w:rPr>
              <w:t>Options</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92"/>
              </w:rPr>
              <w:t>Unearned</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7"/>
              </w:rPr>
              <w:t>Exercise</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5"/>
              </w:rPr>
              <w:t>Expiration</w:t>
            </w:r>
          </w:p>
        </w:tc>
      </w:tr>
      <w:tr>
        <w:trPr>
          <w:trHeight w:val="195"/>
        </w:trPr>
        <w:tc>
          <w:tcPr>
            <w:tcW w:w="3480" w:type="dxa"/>
            <w:vAlign w:val="bottom"/>
            <w:tcBorders>
              <w:bottom w:val="single" w:sz="8" w:color="auto"/>
            </w:tcBorders>
          </w:tcPr>
          <w:p>
            <w:pPr>
              <w:ind w:left="1600"/>
              <w:spacing w:after="0"/>
              <w:rPr>
                <w:sz w:val="20"/>
                <w:szCs w:val="20"/>
                <w:color w:val="auto"/>
              </w:rPr>
            </w:pPr>
            <w:r>
              <w:rPr>
                <w:rFonts w:ascii="Arial" w:cs="Arial" w:eastAsia="Arial" w:hAnsi="Arial"/>
                <w:sz w:val="15"/>
                <w:szCs w:val="15"/>
                <w:b w:val="1"/>
                <w:bCs w:val="1"/>
                <w:color w:val="auto"/>
              </w:rPr>
              <w:t>Name</w:t>
            </w:r>
          </w:p>
        </w:tc>
        <w:tc>
          <w:tcPr>
            <w:tcW w:w="1780" w:type="dxa"/>
            <w:vAlign w:val="bottom"/>
            <w:tcBorders>
              <w:bottom w:val="single" w:sz="8" w:color="auto"/>
            </w:tcBorders>
          </w:tcPr>
          <w:p>
            <w:pPr>
              <w:jc w:val="center"/>
              <w:ind w:left="65"/>
              <w:spacing w:after="0"/>
              <w:rPr>
                <w:sz w:val="20"/>
                <w:szCs w:val="20"/>
                <w:color w:val="auto"/>
              </w:rPr>
            </w:pPr>
            <w:r>
              <w:rPr>
                <w:rFonts w:ascii="Arial" w:cs="Arial" w:eastAsia="Arial" w:hAnsi="Arial"/>
                <w:sz w:val="15"/>
                <w:szCs w:val="15"/>
                <w:b w:val="1"/>
                <w:bCs w:val="1"/>
                <w:color w:val="auto"/>
                <w:w w:val="87"/>
              </w:rPr>
              <w:t>(exercisable)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(unexercisable)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Options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6"/>
        </w:trPr>
        <w:tc>
          <w:tcPr>
            <w:tcW w:w="3480" w:type="dxa"/>
            <w:vAlign w:val="bottom"/>
          </w:tcPr>
          <w:p>
            <w:pPr>
              <w:spacing w:after="0"/>
              <w:rPr>
                <w:sz w:val="13"/>
                <w:szCs w:val="13"/>
                <w:color w:val="auto"/>
              </w:rPr>
            </w:pPr>
          </w:p>
        </w:tc>
        <w:tc>
          <w:tcPr>
            <w:tcW w:w="1780" w:type="dxa"/>
            <w:vAlign w:val="bottom"/>
          </w:tcPr>
          <w:p>
            <w:pPr>
              <w:jc w:val="right"/>
              <w:ind w:right="605"/>
              <w:spacing w:after="0" w:line="156" w:lineRule="exact"/>
              <w:rPr>
                <w:sz w:val="20"/>
                <w:szCs w:val="20"/>
                <w:color w:val="auto"/>
              </w:rPr>
            </w:pPr>
            <w:r>
              <w:rPr>
                <w:rFonts w:ascii="Arial" w:cs="Arial" w:eastAsia="Arial" w:hAnsi="Arial"/>
                <w:sz w:val="15"/>
                <w:szCs w:val="15"/>
                <w:color w:val="auto"/>
              </w:rPr>
              <w:t>400</w:t>
            </w:r>
          </w:p>
        </w:tc>
        <w:tc>
          <w:tcPr>
            <w:tcW w:w="1820" w:type="dxa"/>
            <w:vAlign w:val="bottom"/>
          </w:tcPr>
          <w:p>
            <w:pPr>
              <w:jc w:val="center"/>
              <w:spacing w:after="0" w:line="156" w:lineRule="exact"/>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line="156" w:lineRule="exact"/>
              <w:rPr>
                <w:sz w:val="20"/>
                <w:szCs w:val="20"/>
                <w:color w:val="auto"/>
              </w:rPr>
            </w:pPr>
            <w:r>
              <w:rPr>
                <w:rFonts w:ascii="Arial" w:cs="Arial" w:eastAsia="Arial" w:hAnsi="Arial"/>
                <w:sz w:val="15"/>
                <w:szCs w:val="15"/>
                <w:color w:val="auto"/>
              </w:rPr>
              <w:t>Nil</w:t>
            </w:r>
          </w:p>
        </w:tc>
        <w:tc>
          <w:tcPr>
            <w:tcW w:w="1380" w:type="dxa"/>
            <w:vAlign w:val="bottom"/>
          </w:tcPr>
          <w:p>
            <w:pPr>
              <w:jc w:val="right"/>
              <w:ind w:right="265"/>
              <w:spacing w:after="0" w:line="156" w:lineRule="exact"/>
              <w:rPr>
                <w:sz w:val="20"/>
                <w:szCs w:val="20"/>
                <w:color w:val="auto"/>
              </w:rPr>
            </w:pPr>
            <w:r>
              <w:rPr>
                <w:rFonts w:ascii="Arial" w:cs="Arial" w:eastAsia="Arial" w:hAnsi="Arial"/>
                <w:sz w:val="15"/>
                <w:szCs w:val="15"/>
                <w:color w:val="auto"/>
              </w:rPr>
              <w:t>$17.00(2)</w:t>
            </w:r>
          </w:p>
        </w:tc>
        <w:tc>
          <w:tcPr>
            <w:tcW w:w="1340" w:type="dxa"/>
            <w:vAlign w:val="bottom"/>
          </w:tcPr>
          <w:p>
            <w:pPr>
              <w:jc w:val="center"/>
              <w:spacing w:after="0" w:line="156" w:lineRule="exact"/>
              <w:rPr>
                <w:sz w:val="20"/>
                <w:szCs w:val="20"/>
                <w:color w:val="auto"/>
              </w:rPr>
            </w:pPr>
            <w:r>
              <w:rPr>
                <w:rFonts w:ascii="Arial" w:cs="Arial" w:eastAsia="Arial" w:hAnsi="Arial"/>
                <w:sz w:val="15"/>
                <w:szCs w:val="15"/>
                <w:color w:val="auto"/>
                <w:w w:val="92"/>
              </w:rPr>
              <w:t>07/06/17</w:t>
            </w: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color w:val="auto"/>
                <w:w w:val="93"/>
              </w:rPr>
              <w:t>16,000(1)</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right"/>
              <w:ind w:right="265"/>
              <w:spacing w:after="0"/>
              <w:rPr>
                <w:sz w:val="20"/>
                <w:szCs w:val="20"/>
                <w:color w:val="auto"/>
              </w:rPr>
            </w:pPr>
            <w:r>
              <w:rPr>
                <w:rFonts w:ascii="Arial" w:cs="Arial" w:eastAsia="Arial" w:hAnsi="Arial"/>
                <w:sz w:val="15"/>
                <w:szCs w:val="15"/>
                <w:color w:val="auto"/>
              </w:rPr>
              <w:t>$17.00(2)</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10/14/19</w:t>
            </w:r>
          </w:p>
        </w:tc>
      </w:tr>
      <w:tr>
        <w:trPr>
          <w:trHeight w:val="181"/>
        </w:trPr>
        <w:tc>
          <w:tcPr>
            <w:tcW w:w="3480" w:type="dxa"/>
            <w:vAlign w:val="bottom"/>
          </w:tcPr>
          <w:p>
            <w:pPr>
              <w:spacing w:after="0"/>
              <w:rPr>
                <w:sz w:val="20"/>
                <w:szCs w:val="20"/>
                <w:color w:val="auto"/>
              </w:rPr>
            </w:pPr>
            <w:r>
              <w:rPr>
                <w:rFonts w:ascii="Arial" w:cs="Arial" w:eastAsia="Arial" w:hAnsi="Arial"/>
                <w:sz w:val="15"/>
                <w:szCs w:val="15"/>
                <w:color w:val="auto"/>
              </w:rPr>
              <w:t>Glynn Wilson</w:t>
            </w:r>
          </w:p>
        </w:tc>
        <w:tc>
          <w:tcPr>
            <w:tcW w:w="1780" w:type="dxa"/>
            <w:vAlign w:val="bottom"/>
          </w:tcPr>
          <w:p>
            <w:pPr>
              <w:jc w:val="right"/>
              <w:ind w:right="425"/>
              <w:spacing w:after="0"/>
              <w:rPr>
                <w:sz w:val="20"/>
                <w:szCs w:val="20"/>
                <w:color w:val="auto"/>
              </w:rPr>
            </w:pPr>
            <w:r>
              <w:rPr>
                <w:rFonts w:ascii="Arial" w:cs="Arial" w:eastAsia="Arial" w:hAnsi="Arial"/>
                <w:sz w:val="15"/>
                <w:szCs w:val="15"/>
                <w:color w:val="auto"/>
              </w:rPr>
              <w:t>1,600(1)</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center"/>
              <w:spacing w:after="0"/>
              <w:rPr>
                <w:sz w:val="20"/>
                <w:szCs w:val="20"/>
                <w:color w:val="auto"/>
              </w:rPr>
            </w:pPr>
            <w:r>
              <w:rPr>
                <w:rFonts w:ascii="Arial" w:cs="Arial" w:eastAsia="Arial" w:hAnsi="Arial"/>
                <w:sz w:val="15"/>
                <w:szCs w:val="15"/>
                <w:color w:val="auto"/>
                <w:w w:val="91"/>
              </w:rPr>
              <w:t>$17.00</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02/16/21</w:t>
            </w:r>
          </w:p>
        </w:tc>
      </w:tr>
      <w:tr>
        <w:trPr>
          <w:trHeight w:val="190"/>
        </w:trPr>
        <w:tc>
          <w:tcPr>
            <w:tcW w:w="3480" w:type="dxa"/>
            <w:vAlign w:val="bottom"/>
          </w:tcPr>
          <w:p>
            <w:pPr>
              <w:spacing w:after="0"/>
              <w:rPr>
                <w:sz w:val="20"/>
                <w:szCs w:val="20"/>
                <w:color w:val="auto"/>
              </w:rPr>
            </w:pPr>
            <w:r>
              <w:rPr>
                <w:rFonts w:ascii="Arial" w:cs="Arial" w:eastAsia="Arial" w:hAnsi="Arial"/>
                <w:sz w:val="15"/>
                <w:szCs w:val="15"/>
                <w:i w:val="1"/>
                <w:iCs w:val="1"/>
                <w:color w:val="auto"/>
              </w:rPr>
              <w:t>Chairman, CEO and Principal Executive Officer</w:t>
            </w:r>
          </w:p>
        </w:tc>
        <w:tc>
          <w:tcPr>
            <w:tcW w:w="1780" w:type="dxa"/>
            <w:vAlign w:val="bottom"/>
          </w:tcPr>
          <w:p>
            <w:pPr>
              <w:jc w:val="right"/>
              <w:ind w:right="425"/>
              <w:spacing w:after="0"/>
              <w:rPr>
                <w:sz w:val="20"/>
                <w:szCs w:val="20"/>
                <w:color w:val="auto"/>
              </w:rPr>
            </w:pPr>
            <w:r>
              <w:rPr>
                <w:rFonts w:ascii="Arial" w:cs="Arial" w:eastAsia="Arial" w:hAnsi="Arial"/>
                <w:sz w:val="15"/>
                <w:szCs w:val="15"/>
                <w:color w:val="auto"/>
              </w:rPr>
              <w:t>20,000(1)</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center"/>
              <w:spacing w:after="0"/>
              <w:rPr>
                <w:sz w:val="20"/>
                <w:szCs w:val="20"/>
                <w:color w:val="auto"/>
              </w:rPr>
            </w:pPr>
            <w:r>
              <w:rPr>
                <w:rFonts w:ascii="Arial" w:cs="Arial" w:eastAsia="Arial" w:hAnsi="Arial"/>
                <w:sz w:val="15"/>
                <w:szCs w:val="15"/>
                <w:color w:val="auto"/>
                <w:w w:val="91"/>
              </w:rPr>
              <w:t>$19.00</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03/16/16</w:t>
            </w:r>
          </w:p>
        </w:tc>
      </w:tr>
      <w:tr>
        <w:trPr>
          <w:trHeight w:val="353"/>
        </w:trPr>
        <w:tc>
          <w:tcPr>
            <w:tcW w:w="3480" w:type="dxa"/>
            <w:vAlign w:val="bottom"/>
          </w:tcPr>
          <w:p>
            <w:pPr>
              <w:spacing w:after="0"/>
              <w:rPr>
                <w:sz w:val="20"/>
                <w:szCs w:val="20"/>
                <w:color w:val="auto"/>
              </w:rPr>
            </w:pPr>
            <w:r>
              <w:rPr>
                <w:rFonts w:ascii="Arial" w:cs="Arial" w:eastAsia="Arial" w:hAnsi="Arial"/>
                <w:sz w:val="15"/>
                <w:szCs w:val="15"/>
                <w:color w:val="auto"/>
              </w:rPr>
              <w:t>Mark Reddish</w:t>
            </w:r>
          </w:p>
        </w:tc>
        <w:tc>
          <w:tcPr>
            <w:tcW w:w="1780" w:type="dxa"/>
            <w:vAlign w:val="bottom"/>
          </w:tcPr>
          <w:p>
            <w:pPr>
              <w:jc w:val="center"/>
              <w:ind w:left="85"/>
              <w:spacing w:after="0"/>
              <w:rPr>
                <w:sz w:val="20"/>
                <w:szCs w:val="20"/>
                <w:color w:val="auto"/>
              </w:rPr>
            </w:pPr>
            <w:r>
              <w:rPr>
                <w:rFonts w:ascii="Arial" w:cs="Arial" w:eastAsia="Arial" w:hAnsi="Arial"/>
                <w:sz w:val="15"/>
                <w:szCs w:val="15"/>
                <w:color w:val="auto"/>
                <w:w w:val="90"/>
              </w:rPr>
              <w:t>2,000</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center"/>
              <w:spacing w:after="0"/>
              <w:rPr>
                <w:sz w:val="20"/>
                <w:szCs w:val="20"/>
                <w:color w:val="auto"/>
              </w:rPr>
            </w:pPr>
            <w:r>
              <w:rPr>
                <w:rFonts w:ascii="Arial" w:cs="Arial" w:eastAsia="Arial" w:hAnsi="Arial"/>
                <w:sz w:val="15"/>
                <w:szCs w:val="15"/>
                <w:color w:val="auto"/>
                <w:w w:val="91"/>
              </w:rPr>
              <w:t>$17.00</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02/16/21</w:t>
            </w:r>
          </w:p>
        </w:tc>
      </w:tr>
      <w:tr>
        <w:trPr>
          <w:trHeight w:val="191"/>
        </w:trPr>
        <w:tc>
          <w:tcPr>
            <w:tcW w:w="34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VP Development</w:t>
            </w:r>
          </w:p>
        </w:tc>
        <w:tc>
          <w:tcPr>
            <w:tcW w:w="178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color w:val="auto"/>
                <w:w w:val="90"/>
              </w:rPr>
              <w:t>2,500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$18.00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04/30/22</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1330" w:right="260" w:hanging="1330"/>
        <w:spacing w:after="0" w:line="261" w:lineRule="auto"/>
        <w:tabs>
          <w:tab w:leader="none" w:pos="133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plan under which these shares were issued was approved by the Board of Directors and the shareholders in 2009 but did not come into effect until February 22, 2010.</w:t>
      </w:r>
    </w:p>
    <w:p>
      <w:pPr>
        <w:spacing w:after="0" w:line="179" w:lineRule="exact"/>
        <w:rPr>
          <w:rFonts w:ascii="Arial" w:cs="Arial" w:eastAsia="Arial" w:hAnsi="Arial"/>
          <w:sz w:val="15"/>
          <w:szCs w:val="15"/>
          <w:color w:val="auto"/>
        </w:rPr>
      </w:pPr>
    </w:p>
    <w:p>
      <w:pPr>
        <w:ind w:left="1310" w:hanging="1310"/>
        <w:spacing w:after="0"/>
        <w:tabs>
          <w:tab w:leader="none" w:pos="131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Effective February 16, 2011, the option exercise price was reduced to $17.00.</w:t>
      </w:r>
    </w:p>
    <w:p>
      <w:pPr>
        <w:spacing w:after="0" w:line="212" w:lineRule="exact"/>
        <w:rPr>
          <w:sz w:val="20"/>
          <w:szCs w:val="20"/>
          <w:color w:val="auto"/>
        </w:rPr>
      </w:pPr>
    </w:p>
    <w:p>
      <w:pPr>
        <w:jc w:val="both"/>
        <w:ind w:left="10" w:right="20" w:firstLine="63"/>
        <w:spacing w:after="0" w:line="276" w:lineRule="auto"/>
        <w:rPr>
          <w:sz w:val="20"/>
          <w:szCs w:val="20"/>
          <w:color w:val="auto"/>
        </w:rPr>
      </w:pPr>
      <w:r>
        <w:rPr>
          <w:rFonts w:ascii="Arial" w:cs="Arial" w:eastAsia="Arial" w:hAnsi="Arial"/>
          <w:sz w:val="15"/>
          <w:szCs w:val="15"/>
          <w:color w:val="auto"/>
        </w:rPr>
        <w:t>The following table sets forth information relating to compensation paid to our directors for their services as directors in the fiscal year ended December 31, 2014, and excludes compensation paid to our directors for their services as executive officers:</w:t>
      </w:r>
    </w:p>
    <w:p>
      <w:pPr>
        <w:spacing w:after="0" w:line="142"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Director Compensation Table</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62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tcPr>
          <w:p>
            <w:pPr>
              <w:jc w:val="center"/>
              <w:ind w:left="685"/>
              <w:spacing w:after="0" w:line="170" w:lineRule="exact"/>
              <w:rPr>
                <w:sz w:val="20"/>
                <w:szCs w:val="20"/>
                <w:color w:val="auto"/>
              </w:rPr>
            </w:pPr>
            <w:r>
              <w:rPr>
                <w:rFonts w:ascii="Arial" w:cs="Arial" w:eastAsia="Arial" w:hAnsi="Arial"/>
                <w:sz w:val="15"/>
                <w:szCs w:val="15"/>
                <w:b w:val="1"/>
                <w:bCs w:val="1"/>
                <w:color w:val="auto"/>
                <w:w w:val="81"/>
              </w:rPr>
              <w:t>Fees</w:t>
            </w:r>
          </w:p>
        </w:tc>
        <w:tc>
          <w:tcPr>
            <w:tcW w:w="15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40" w:type="dxa"/>
            <w:vAlign w:val="bottom"/>
          </w:tcPr>
          <w:p>
            <w:pPr>
              <w:jc w:val="center"/>
              <w:ind w:left="665"/>
              <w:spacing w:after="0"/>
              <w:rPr>
                <w:sz w:val="20"/>
                <w:szCs w:val="20"/>
                <w:color w:val="auto"/>
              </w:rPr>
            </w:pPr>
            <w:r>
              <w:rPr>
                <w:rFonts w:ascii="Arial" w:cs="Arial" w:eastAsia="Arial" w:hAnsi="Arial"/>
                <w:sz w:val="15"/>
                <w:szCs w:val="15"/>
                <w:b w:val="1"/>
                <w:bCs w:val="1"/>
                <w:color w:val="auto"/>
                <w:w w:val="94"/>
              </w:rPr>
              <w:t>Earned or</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88"/>
              </w:rPr>
              <w:t>Stock</w:t>
            </w:r>
          </w:p>
        </w:tc>
        <w:tc>
          <w:tcPr>
            <w:tcW w:w="1480" w:type="dxa"/>
            <w:vAlign w:val="bottom"/>
          </w:tcPr>
          <w:p>
            <w:pPr>
              <w:jc w:val="center"/>
              <w:ind w:left="25"/>
              <w:spacing w:after="0"/>
              <w:rPr>
                <w:sz w:val="20"/>
                <w:szCs w:val="20"/>
                <w:color w:val="auto"/>
              </w:rPr>
            </w:pPr>
            <w:r>
              <w:rPr>
                <w:rFonts w:ascii="Arial" w:cs="Arial" w:eastAsia="Arial" w:hAnsi="Arial"/>
                <w:sz w:val="15"/>
                <w:szCs w:val="15"/>
                <w:b w:val="1"/>
                <w:bCs w:val="1"/>
                <w:color w:val="auto"/>
                <w:w w:val="95"/>
              </w:rPr>
              <w:t>Option</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7"/>
              </w:rPr>
              <w:t>All Other</w:t>
            </w:r>
          </w:p>
        </w:tc>
        <w:tc>
          <w:tcPr>
            <w:tcW w:w="14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40" w:type="dxa"/>
            <w:vAlign w:val="bottom"/>
          </w:tcPr>
          <w:p>
            <w:pPr>
              <w:jc w:val="center"/>
              <w:ind w:left="665"/>
              <w:spacing w:after="0"/>
              <w:rPr>
                <w:sz w:val="20"/>
                <w:szCs w:val="20"/>
                <w:color w:val="auto"/>
              </w:rPr>
            </w:pPr>
            <w:r>
              <w:rPr>
                <w:rFonts w:ascii="Arial" w:cs="Arial" w:eastAsia="Arial" w:hAnsi="Arial"/>
                <w:sz w:val="15"/>
                <w:szCs w:val="15"/>
                <w:b w:val="1"/>
                <w:bCs w:val="1"/>
                <w:color w:val="auto"/>
                <w:w w:val="93"/>
              </w:rPr>
              <w:t>Paid in</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2"/>
              </w:rPr>
              <w:t>Awards</w:t>
            </w:r>
          </w:p>
        </w:tc>
        <w:tc>
          <w:tcPr>
            <w:tcW w:w="1480" w:type="dxa"/>
            <w:vAlign w:val="bottom"/>
          </w:tcPr>
          <w:p>
            <w:pPr>
              <w:jc w:val="center"/>
              <w:ind w:left="25"/>
              <w:spacing w:after="0"/>
              <w:rPr>
                <w:sz w:val="20"/>
                <w:szCs w:val="20"/>
                <w:color w:val="auto"/>
              </w:rPr>
            </w:pPr>
            <w:r>
              <w:rPr>
                <w:rFonts w:ascii="Arial" w:cs="Arial" w:eastAsia="Arial" w:hAnsi="Arial"/>
                <w:sz w:val="15"/>
                <w:szCs w:val="15"/>
                <w:b w:val="1"/>
                <w:bCs w:val="1"/>
                <w:color w:val="auto"/>
                <w:w w:val="92"/>
              </w:rPr>
              <w:t>Awards</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0"/>
              </w:rPr>
              <w:t>Compensation</w:t>
            </w:r>
          </w:p>
        </w:tc>
        <w:tc>
          <w:tcPr>
            <w:tcW w:w="1460" w:type="dxa"/>
            <w:vAlign w:val="bottom"/>
          </w:tcPr>
          <w:p>
            <w:pPr>
              <w:jc w:val="center"/>
              <w:ind w:right="85"/>
              <w:spacing w:after="0"/>
              <w:rPr>
                <w:sz w:val="20"/>
                <w:szCs w:val="20"/>
                <w:color w:val="auto"/>
              </w:rPr>
            </w:pPr>
            <w:r>
              <w:rPr>
                <w:rFonts w:ascii="Arial" w:cs="Arial" w:eastAsia="Arial" w:hAnsi="Arial"/>
                <w:sz w:val="15"/>
                <w:szCs w:val="15"/>
                <w:b w:val="1"/>
                <w:bCs w:val="1"/>
                <w:color w:val="auto"/>
                <w:w w:val="94"/>
              </w:rPr>
              <w:t>Total</w:t>
            </w:r>
          </w:p>
        </w:tc>
      </w:tr>
      <w:tr>
        <w:trPr>
          <w:trHeight w:val="195"/>
        </w:trPr>
        <w:tc>
          <w:tcPr>
            <w:tcW w:w="20" w:type="dxa"/>
            <w:vAlign w:val="bottom"/>
          </w:tcPr>
          <w:p>
            <w:pPr>
              <w:spacing w:after="0"/>
              <w:rPr>
                <w:sz w:val="16"/>
                <w:szCs w:val="16"/>
                <w:color w:val="auto"/>
              </w:rPr>
            </w:pPr>
          </w:p>
        </w:tc>
        <w:tc>
          <w:tcPr>
            <w:tcW w:w="262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Name</w:t>
            </w:r>
          </w:p>
        </w:tc>
        <w:tc>
          <w:tcPr>
            <w:tcW w:w="2440" w:type="dxa"/>
            <w:vAlign w:val="bottom"/>
            <w:tcBorders>
              <w:bottom w:val="single" w:sz="8" w:color="auto"/>
            </w:tcBorders>
          </w:tcPr>
          <w:p>
            <w:pPr>
              <w:jc w:val="center"/>
              <w:ind w:left="685"/>
              <w:spacing w:after="0"/>
              <w:rPr>
                <w:sz w:val="20"/>
                <w:szCs w:val="20"/>
                <w:color w:val="auto"/>
              </w:rPr>
            </w:pPr>
            <w:r>
              <w:rPr>
                <w:rFonts w:ascii="Arial" w:cs="Arial" w:eastAsia="Arial" w:hAnsi="Arial"/>
                <w:sz w:val="15"/>
                <w:szCs w:val="15"/>
                <w:b w:val="1"/>
                <w:bCs w:val="1"/>
                <w:color w:val="auto"/>
                <w:w w:val="87"/>
              </w:rPr>
              <w:t>Cash</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48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b w:val="1"/>
                <w:bCs w:val="1"/>
                <w:color w:val="auto"/>
                <w:w w:val="97"/>
              </w:rPr>
              <w: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46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b w:val="1"/>
                <w:bCs w:val="1"/>
                <w:color w:val="auto"/>
                <w:w w:val="97"/>
              </w:rPr>
              <w:t>($)</w:t>
            </w:r>
          </w:p>
        </w:tc>
      </w:tr>
      <w:tr>
        <w:trPr>
          <w:trHeight w:val="20"/>
        </w:trPr>
        <w:tc>
          <w:tcPr>
            <w:tcW w:w="26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Glynn Wilson</w:t>
            </w:r>
          </w:p>
        </w:tc>
        <w:tc>
          <w:tcPr>
            <w:tcW w:w="2440" w:type="dxa"/>
            <w:vAlign w:val="bottom"/>
            <w:tcBorders>
              <w:top w:val="single" w:sz="8" w:color="auto"/>
            </w:tcBorders>
          </w:tcPr>
          <w:p>
            <w:pPr>
              <w:jc w:val="center"/>
              <w:ind w:left="685"/>
              <w:spacing w:after="0"/>
              <w:rPr>
                <w:sz w:val="20"/>
                <w:szCs w:val="20"/>
                <w:color w:val="auto"/>
              </w:rPr>
            </w:pPr>
            <w:r>
              <w:rPr>
                <w:rFonts w:ascii="Arial" w:cs="Arial" w:eastAsia="Arial" w:hAnsi="Arial"/>
                <w:sz w:val="15"/>
                <w:szCs w:val="15"/>
                <w:color w:val="auto"/>
              </w:rPr>
              <w:t>Nil</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480" w:type="dxa"/>
            <w:vAlign w:val="bottom"/>
            <w:tcBorders>
              <w:top w:val="single" w:sz="8" w:color="auto"/>
            </w:tcBorders>
          </w:tcPr>
          <w:p>
            <w:pPr>
              <w:jc w:val="center"/>
              <w:ind w:left="25"/>
              <w:spacing w:after="0"/>
              <w:rPr>
                <w:sz w:val="20"/>
                <w:szCs w:val="20"/>
                <w:color w:val="auto"/>
              </w:rPr>
            </w:pPr>
            <w:r>
              <w:rPr>
                <w:rFonts w:ascii="Arial" w:cs="Arial" w:eastAsia="Arial" w:hAnsi="Arial"/>
                <w:sz w:val="15"/>
                <w:szCs w:val="15"/>
                <w:color w:val="auto"/>
              </w:rPr>
              <w:t>Nil</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460" w:type="dxa"/>
            <w:vAlign w:val="bottom"/>
            <w:tcBorders>
              <w:top w:val="single" w:sz="8" w:color="auto"/>
            </w:tcBorders>
          </w:tcPr>
          <w:p>
            <w:pPr>
              <w:jc w:val="center"/>
              <w:ind w:right="65"/>
              <w:spacing w:after="0"/>
              <w:rPr>
                <w:sz w:val="20"/>
                <w:szCs w:val="20"/>
                <w:color w:val="auto"/>
              </w:rPr>
            </w:pPr>
            <w:r>
              <w:rPr>
                <w:rFonts w:ascii="Arial" w:cs="Arial" w:eastAsia="Arial" w:hAnsi="Arial"/>
                <w:sz w:val="15"/>
                <w:szCs w:val="15"/>
                <w:color w:val="auto"/>
              </w:rPr>
              <w:t>Nil</w:t>
            </w:r>
          </w:p>
        </w:tc>
      </w:tr>
      <w:tr>
        <w:trPr>
          <w:trHeight w:val="351"/>
        </w:trPr>
        <w:tc>
          <w:tcPr>
            <w:tcW w:w="2640" w:type="dxa"/>
            <w:vAlign w:val="bottom"/>
            <w:gridSpan w:val="2"/>
          </w:tcPr>
          <w:p>
            <w:pPr>
              <w:spacing w:after="0"/>
              <w:rPr>
                <w:sz w:val="20"/>
                <w:szCs w:val="20"/>
                <w:color w:val="auto"/>
              </w:rPr>
            </w:pPr>
            <w:r>
              <w:rPr>
                <w:rFonts w:ascii="Arial" w:cs="Arial" w:eastAsia="Arial" w:hAnsi="Arial"/>
                <w:sz w:val="15"/>
                <w:szCs w:val="15"/>
                <w:color w:val="auto"/>
              </w:rPr>
              <w:t>Sherry Grisewood</w:t>
            </w:r>
          </w:p>
        </w:tc>
        <w:tc>
          <w:tcPr>
            <w:tcW w:w="2440" w:type="dxa"/>
            <w:vAlign w:val="bottom"/>
          </w:tcPr>
          <w:p>
            <w:pPr>
              <w:jc w:val="center"/>
              <w:ind w:left="685"/>
              <w:spacing w:after="0"/>
              <w:rPr>
                <w:sz w:val="20"/>
                <w:szCs w:val="20"/>
                <w:color w:val="auto"/>
              </w:rPr>
            </w:pPr>
            <w:r>
              <w:rPr>
                <w:rFonts w:ascii="Arial" w:cs="Arial" w:eastAsia="Arial" w:hAnsi="Arial"/>
                <w:sz w:val="15"/>
                <w:szCs w:val="15"/>
                <w:color w:val="auto"/>
              </w:rPr>
              <w:t>Nil</w:t>
            </w:r>
          </w:p>
        </w:tc>
        <w:tc>
          <w:tcPr>
            <w:tcW w:w="1560" w:type="dxa"/>
            <w:vAlign w:val="bottom"/>
          </w:tcPr>
          <w:p>
            <w:pPr>
              <w:jc w:val="center"/>
              <w:spacing w:after="0"/>
              <w:rPr>
                <w:sz w:val="20"/>
                <w:szCs w:val="20"/>
                <w:color w:val="auto"/>
              </w:rPr>
            </w:pPr>
            <w:r>
              <w:rPr>
                <w:rFonts w:ascii="Arial" w:cs="Arial" w:eastAsia="Arial" w:hAnsi="Arial"/>
                <w:sz w:val="15"/>
                <w:szCs w:val="15"/>
                <w:color w:val="auto"/>
              </w:rPr>
              <w:t>Nil</w:t>
            </w:r>
          </w:p>
        </w:tc>
        <w:tc>
          <w:tcPr>
            <w:tcW w:w="1480" w:type="dxa"/>
            <w:vAlign w:val="bottom"/>
          </w:tcPr>
          <w:p>
            <w:pPr>
              <w:jc w:val="center"/>
              <w:ind w:left="25"/>
              <w:spacing w:after="0"/>
              <w:rPr>
                <w:sz w:val="20"/>
                <w:szCs w:val="20"/>
                <w:color w:val="auto"/>
              </w:rPr>
            </w:pPr>
            <w:r>
              <w:rPr>
                <w:rFonts w:ascii="Arial" w:cs="Arial" w:eastAsia="Arial" w:hAnsi="Arial"/>
                <w:sz w:val="15"/>
                <w:szCs w:val="15"/>
                <w:color w:val="auto"/>
              </w:rPr>
              <w:t>Nil</w:t>
            </w:r>
          </w:p>
        </w:tc>
        <w:tc>
          <w:tcPr>
            <w:tcW w:w="1860" w:type="dxa"/>
            <w:vAlign w:val="bottom"/>
          </w:tcPr>
          <w:p>
            <w:pPr>
              <w:jc w:val="center"/>
              <w:spacing w:after="0"/>
              <w:rPr>
                <w:sz w:val="20"/>
                <w:szCs w:val="20"/>
                <w:color w:val="auto"/>
              </w:rPr>
            </w:pPr>
            <w:r>
              <w:rPr>
                <w:rFonts w:ascii="Arial" w:cs="Arial" w:eastAsia="Arial" w:hAnsi="Arial"/>
                <w:sz w:val="15"/>
                <w:szCs w:val="15"/>
                <w:color w:val="auto"/>
              </w:rPr>
              <w:t>Nil</w:t>
            </w:r>
          </w:p>
        </w:tc>
        <w:tc>
          <w:tcPr>
            <w:tcW w:w="1460" w:type="dxa"/>
            <w:vAlign w:val="bottom"/>
          </w:tcPr>
          <w:p>
            <w:pPr>
              <w:jc w:val="center"/>
              <w:ind w:right="65"/>
              <w:spacing w:after="0"/>
              <w:rPr>
                <w:sz w:val="20"/>
                <w:szCs w:val="20"/>
                <w:color w:val="auto"/>
              </w:rPr>
            </w:pPr>
            <w:r>
              <w:rPr>
                <w:rFonts w:ascii="Arial" w:cs="Arial" w:eastAsia="Arial" w:hAnsi="Arial"/>
                <w:sz w:val="15"/>
                <w:szCs w:val="15"/>
                <w:color w:val="auto"/>
              </w:rPr>
              <w:t>Nil</w:t>
            </w:r>
          </w:p>
        </w:tc>
      </w:tr>
      <w:tr>
        <w:trPr>
          <w:trHeight w:val="362"/>
        </w:trPr>
        <w:tc>
          <w:tcPr>
            <w:tcW w:w="2640" w:type="dxa"/>
            <w:vAlign w:val="bottom"/>
            <w:gridSpan w:val="2"/>
          </w:tcPr>
          <w:p>
            <w:pPr>
              <w:spacing w:after="0"/>
              <w:rPr>
                <w:sz w:val="20"/>
                <w:szCs w:val="20"/>
                <w:color w:val="auto"/>
              </w:rPr>
            </w:pPr>
            <w:r>
              <w:rPr>
                <w:rFonts w:ascii="Arial" w:cs="Arial" w:eastAsia="Arial" w:hAnsi="Arial"/>
                <w:sz w:val="15"/>
                <w:szCs w:val="15"/>
                <w:color w:val="auto"/>
              </w:rPr>
              <w:t>Mark Reddish</w:t>
            </w:r>
          </w:p>
        </w:tc>
        <w:tc>
          <w:tcPr>
            <w:tcW w:w="2440" w:type="dxa"/>
            <w:vAlign w:val="bottom"/>
          </w:tcPr>
          <w:p>
            <w:pPr>
              <w:jc w:val="center"/>
              <w:ind w:left="685"/>
              <w:spacing w:after="0"/>
              <w:rPr>
                <w:sz w:val="20"/>
                <w:szCs w:val="20"/>
                <w:color w:val="auto"/>
              </w:rPr>
            </w:pPr>
            <w:r>
              <w:rPr>
                <w:rFonts w:ascii="Arial" w:cs="Arial" w:eastAsia="Arial" w:hAnsi="Arial"/>
                <w:sz w:val="15"/>
                <w:szCs w:val="15"/>
                <w:color w:val="auto"/>
              </w:rPr>
              <w:t>Nil</w:t>
            </w:r>
          </w:p>
        </w:tc>
        <w:tc>
          <w:tcPr>
            <w:tcW w:w="1560" w:type="dxa"/>
            <w:vAlign w:val="bottom"/>
          </w:tcPr>
          <w:p>
            <w:pPr>
              <w:jc w:val="center"/>
              <w:spacing w:after="0"/>
              <w:rPr>
                <w:sz w:val="20"/>
                <w:szCs w:val="20"/>
                <w:color w:val="auto"/>
              </w:rPr>
            </w:pPr>
            <w:r>
              <w:rPr>
                <w:rFonts w:ascii="Arial" w:cs="Arial" w:eastAsia="Arial" w:hAnsi="Arial"/>
                <w:sz w:val="15"/>
                <w:szCs w:val="15"/>
                <w:color w:val="auto"/>
              </w:rPr>
              <w:t>Nil</w:t>
            </w:r>
          </w:p>
        </w:tc>
        <w:tc>
          <w:tcPr>
            <w:tcW w:w="1480" w:type="dxa"/>
            <w:vAlign w:val="bottom"/>
          </w:tcPr>
          <w:p>
            <w:pPr>
              <w:jc w:val="center"/>
              <w:ind w:left="25"/>
              <w:spacing w:after="0"/>
              <w:rPr>
                <w:sz w:val="20"/>
                <w:szCs w:val="20"/>
                <w:color w:val="auto"/>
              </w:rPr>
            </w:pPr>
            <w:r>
              <w:rPr>
                <w:rFonts w:ascii="Arial" w:cs="Arial" w:eastAsia="Arial" w:hAnsi="Arial"/>
                <w:sz w:val="15"/>
                <w:szCs w:val="15"/>
                <w:color w:val="auto"/>
              </w:rPr>
              <w:t>Nil</w:t>
            </w:r>
          </w:p>
        </w:tc>
        <w:tc>
          <w:tcPr>
            <w:tcW w:w="1860" w:type="dxa"/>
            <w:vAlign w:val="bottom"/>
          </w:tcPr>
          <w:p>
            <w:pPr>
              <w:jc w:val="center"/>
              <w:spacing w:after="0"/>
              <w:rPr>
                <w:sz w:val="20"/>
                <w:szCs w:val="20"/>
                <w:color w:val="auto"/>
              </w:rPr>
            </w:pPr>
            <w:r>
              <w:rPr>
                <w:rFonts w:ascii="Arial" w:cs="Arial" w:eastAsia="Arial" w:hAnsi="Arial"/>
                <w:sz w:val="15"/>
                <w:szCs w:val="15"/>
                <w:color w:val="auto"/>
              </w:rPr>
              <w:t>Nil</w:t>
            </w:r>
          </w:p>
        </w:tc>
        <w:tc>
          <w:tcPr>
            <w:tcW w:w="1460" w:type="dxa"/>
            <w:vAlign w:val="bottom"/>
          </w:tcPr>
          <w:p>
            <w:pPr>
              <w:jc w:val="center"/>
              <w:ind w:right="65"/>
              <w:spacing w:after="0"/>
              <w:rPr>
                <w:sz w:val="20"/>
                <w:szCs w:val="20"/>
                <w:color w:val="auto"/>
              </w:rPr>
            </w:pPr>
            <w:r>
              <w:rPr>
                <w:rFonts w:ascii="Arial" w:cs="Arial" w:eastAsia="Arial" w:hAnsi="Arial"/>
                <w:sz w:val="15"/>
                <w:szCs w:val="15"/>
                <w:color w:val="auto"/>
              </w:rPr>
              <w:t>Nil</w:t>
            </w:r>
          </w:p>
        </w:tc>
      </w:tr>
      <w:tr>
        <w:trPr>
          <w:trHeight w:val="182"/>
        </w:trPr>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Employment, Consulting and Services Agreements</w:t>
      </w:r>
    </w:p>
    <w:p>
      <w:pPr>
        <w:spacing w:after="0" w:line="193" w:lineRule="exact"/>
        <w:rPr>
          <w:sz w:val="20"/>
          <w:szCs w:val="20"/>
          <w:color w:val="auto"/>
        </w:rPr>
      </w:pPr>
    </w:p>
    <w:p>
      <w:pPr>
        <w:jc w:val="both"/>
        <w:ind w:left="10" w:right="20"/>
        <w:spacing w:after="0" w:line="260" w:lineRule="auto"/>
        <w:rPr>
          <w:sz w:val="20"/>
          <w:szCs w:val="20"/>
          <w:color w:val="auto"/>
        </w:rPr>
      </w:pPr>
      <w:r>
        <w:rPr>
          <w:rFonts w:ascii="Arial" w:cs="Arial" w:eastAsia="Arial" w:hAnsi="Arial"/>
          <w:sz w:val="15"/>
          <w:szCs w:val="15"/>
          <w:color w:val="auto"/>
        </w:rPr>
        <w:t>In November 2013, the Company entered into an advisory agreement with a consultant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extended for additional six months. The advisory agreement has been renewed for another 12 months expiring December 31, 2015. The Company also granted 250,000 shares to the consultant (via his company).</w:t>
      </w:r>
    </w:p>
    <w:p>
      <w:pPr>
        <w:spacing w:after="0" w:line="157"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We have a compensation committee that is comprised of Dr. Wilson and Ms. Grisewood. All compensation is recommended and resolved by the compensation committee and board of directors.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34" w:right="219" w:bottom="1440" w:gutter="0" w:footer="0" w:header="0"/>
        </w:sectPr>
      </w:pPr>
    </w:p>
    <w:bookmarkStart w:id="41" w:name="page42"/>
    <w:bookmarkEnd w:id="41"/>
    <w:p>
      <w:pPr>
        <w:jc w:val="center"/>
        <w:ind w:right="-9"/>
        <w:spacing w:after="0"/>
        <w:rPr>
          <w:sz w:val="20"/>
          <w:szCs w:val="20"/>
          <w:color w:val="auto"/>
        </w:rPr>
      </w:pPr>
      <w:r>
        <w:rPr>
          <w:rFonts w:ascii="Arial" w:cs="Arial" w:eastAsia="Arial" w:hAnsi="Arial"/>
          <w:sz w:val="15"/>
          <w:szCs w:val="15"/>
          <w:b w:val="1"/>
          <w:bCs w:val="1"/>
          <w:color w:val="auto"/>
        </w:rPr>
        <w:t>BENEFICIAL OWNERSHIP OF PRINCIPAL STOCKHOLDERS, OFFICERS AND DIRECTORS</w:t>
      </w:r>
    </w:p>
    <w:p>
      <w:pPr>
        <w:spacing w:after="0" w:line="193"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1551 Eastlake Avenue East, Suite 100, Seattle, Washington, 98102. Beneficial ownership, for purposes of this table, includes options to purchase common stock that are either currently exercisable or will be exercisable within 60 days of the date of this annual report.</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3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5"/>
                <w:szCs w:val="15"/>
                <w:b w:val="1"/>
                <w:bCs w:val="1"/>
                <w:color w:val="auto"/>
                <w:w w:val="91"/>
              </w:rPr>
              <w:t>Amount and</w:t>
            </w:r>
          </w:p>
        </w:tc>
        <w:tc>
          <w:tcPr>
            <w:tcW w:w="7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Nature of</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0"/>
              </w:rPr>
              <w:t>Beneficial</w:t>
            </w:r>
          </w:p>
        </w:tc>
        <w:tc>
          <w:tcPr>
            <w:tcW w:w="132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w w:val="95"/>
              </w:rPr>
              <w:t>Percent of</w:t>
            </w:r>
          </w:p>
        </w:tc>
        <w:tc>
          <w:tcPr>
            <w:tcW w:w="0" w:type="dxa"/>
            <w:vAlign w:val="bottom"/>
          </w:tcPr>
          <w:p>
            <w:pPr>
              <w:spacing w:after="0"/>
              <w:rPr>
                <w:sz w:val="1"/>
                <w:szCs w:val="1"/>
                <w:color w:val="auto"/>
              </w:rPr>
            </w:pPr>
          </w:p>
        </w:tc>
      </w:tr>
      <w:tr>
        <w:trPr>
          <w:trHeight w:val="195"/>
        </w:trPr>
        <w:tc>
          <w:tcPr>
            <w:tcW w:w="8320" w:type="dxa"/>
            <w:vAlign w:val="bottom"/>
            <w:gridSpan w:val="2"/>
          </w:tcPr>
          <w:p>
            <w:pPr>
              <w:spacing w:after="0"/>
              <w:rPr>
                <w:sz w:val="20"/>
                <w:szCs w:val="20"/>
                <w:color w:val="auto"/>
              </w:rPr>
            </w:pPr>
            <w:r>
              <w:rPr>
                <w:rFonts w:ascii="Arial" w:cs="Arial" w:eastAsia="Arial" w:hAnsi="Arial"/>
                <w:sz w:val="15"/>
                <w:szCs w:val="15"/>
                <w:b w:val="1"/>
                <w:bCs w:val="1"/>
                <w:color w:val="auto"/>
              </w:rPr>
              <w:t>Name and Address of Beneficial Owner</w:t>
            </w:r>
          </w:p>
        </w:tc>
        <w:tc>
          <w:tcPr>
            <w:tcW w:w="26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Owner</w:t>
            </w:r>
            <w:r>
              <w:rPr>
                <w:rFonts w:ascii="Arial" w:cs="Arial" w:eastAsia="Arial" w:hAnsi="Arial"/>
                <w:sz w:val="15"/>
                <w:szCs w:val="15"/>
                <w:color w:val="auto"/>
                <w:w w:val="95"/>
              </w:rPr>
              <w:t>(1)</w:t>
            </w:r>
          </w:p>
        </w:tc>
        <w:tc>
          <w:tcPr>
            <w:tcW w:w="1320" w:type="dxa"/>
            <w:vAlign w:val="bottom"/>
            <w:gridSpan w:val="2"/>
          </w:tcPr>
          <w:p>
            <w:pPr>
              <w:jc w:val="right"/>
              <w:ind w:right="760"/>
              <w:spacing w:after="0"/>
              <w:rPr>
                <w:sz w:val="20"/>
                <w:szCs w:val="20"/>
                <w:color w:val="auto"/>
              </w:rPr>
            </w:pPr>
            <w:r>
              <w:rPr>
                <w:rFonts w:ascii="Arial" w:cs="Arial" w:eastAsia="Arial" w:hAnsi="Arial"/>
                <w:sz w:val="15"/>
                <w:szCs w:val="15"/>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8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300" w:type="dxa"/>
            <w:vAlign w:val="bottom"/>
          </w:tcPr>
          <w:p>
            <w:pPr>
              <w:spacing w:after="0" w:line="156" w:lineRule="exact"/>
              <w:rPr>
                <w:sz w:val="20"/>
                <w:szCs w:val="20"/>
                <w:color w:val="auto"/>
              </w:rPr>
            </w:pPr>
            <w:r>
              <w:rPr>
                <w:rFonts w:ascii="Arial" w:cs="Arial" w:eastAsia="Arial" w:hAnsi="Arial"/>
                <w:sz w:val="15"/>
                <w:szCs w:val="15"/>
                <w:b w:val="1"/>
                <w:bCs w:val="1"/>
                <w:color w:val="auto"/>
              </w:rPr>
              <w:t>Directors and Officers:</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Glynn Wilson</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844,970(2)</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Mark Reddish, VP Development</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229,500(3)</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&lt;1.00%</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Sherry Grisewood</w:t>
            </w:r>
          </w:p>
        </w:tc>
        <w:tc>
          <w:tcPr>
            <w:tcW w:w="1800" w:type="dxa"/>
            <w:vAlign w:val="bottom"/>
            <w:gridSpan w:val="3"/>
          </w:tcPr>
          <w:p>
            <w:pPr>
              <w:jc w:val="right"/>
              <w:ind w:right="380"/>
              <w:spacing w:after="0"/>
              <w:rPr>
                <w:sz w:val="20"/>
                <w:szCs w:val="20"/>
                <w:color w:val="auto"/>
              </w:rPr>
            </w:pPr>
            <w:r>
              <w:rPr>
                <w:rFonts w:ascii="Arial" w:cs="Arial" w:eastAsia="Arial" w:hAnsi="Arial"/>
                <w:sz w:val="15"/>
                <w:szCs w:val="15"/>
                <w:color w:val="auto"/>
              </w:rPr>
              <w:t>28,329</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&lt;1.0%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00" w:type="dxa"/>
            <w:vAlign w:val="bottom"/>
          </w:tcPr>
          <w:p>
            <w:pPr>
              <w:spacing w:after="0"/>
              <w:rPr>
                <w:sz w:val="20"/>
                <w:szCs w:val="20"/>
                <w:color w:val="auto"/>
              </w:rPr>
            </w:pPr>
            <w:r>
              <w:rPr>
                <w:rFonts w:ascii="Arial" w:cs="Arial" w:eastAsia="Arial" w:hAnsi="Arial"/>
                <w:sz w:val="15"/>
                <w:szCs w:val="15"/>
                <w:color w:val="auto"/>
              </w:rPr>
              <w:t>David Laskow-Pooley</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20" w:type="dxa"/>
            <w:vAlign w:val="bottom"/>
            <w:gridSpan w:val="2"/>
          </w:tcPr>
          <w:p>
            <w:pPr>
              <w:spacing w:after="0"/>
              <w:rPr>
                <w:sz w:val="20"/>
                <w:szCs w:val="20"/>
                <w:color w:val="auto"/>
              </w:rPr>
            </w:pPr>
            <w:r>
              <w:rPr>
                <w:rFonts w:ascii="Arial" w:cs="Arial" w:eastAsia="Arial" w:hAnsi="Arial"/>
                <w:sz w:val="15"/>
                <w:szCs w:val="15"/>
                <w:color w:val="auto"/>
              </w:rPr>
              <w:t>All executive officers and directors as a group (3 persons)</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1,102,799</w:t>
            </w:r>
          </w:p>
        </w:tc>
        <w:tc>
          <w:tcPr>
            <w:tcW w:w="38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353"/>
        </w:trPr>
        <w:tc>
          <w:tcPr>
            <w:tcW w:w="8320" w:type="dxa"/>
            <w:vAlign w:val="bottom"/>
            <w:gridSpan w:val="2"/>
          </w:tcPr>
          <w:p>
            <w:pPr>
              <w:spacing w:after="0"/>
              <w:rPr>
                <w:sz w:val="20"/>
                <w:szCs w:val="20"/>
                <w:color w:val="auto"/>
              </w:rPr>
            </w:pPr>
            <w:r>
              <w:rPr>
                <w:rFonts w:ascii="Arial" w:cs="Arial" w:eastAsia="Arial" w:hAnsi="Arial"/>
                <w:sz w:val="15"/>
                <w:szCs w:val="15"/>
                <w:b w:val="1"/>
                <w:bCs w:val="1"/>
                <w:color w:val="auto"/>
              </w:rPr>
              <w:t>Major Stockholders: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Eastern Capital Limited</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27,528,476(4)</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Empery Asset Master, Ltd</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4,057,149(5)</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Empery Tax Efficient II, LP</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3,978,059(5)</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Brio Capital Master Fund</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3,860,979(5)</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Iroquois Capital Management</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4,135,674(5)</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92"/>
        </w:trPr>
        <w:tc>
          <w:tcPr>
            <w:tcW w:w="8320" w:type="dxa"/>
            <w:vAlign w:val="bottom"/>
            <w:gridSpan w:val="2"/>
          </w:tcPr>
          <w:p>
            <w:pPr>
              <w:spacing w:after="0"/>
              <w:rPr>
                <w:sz w:val="20"/>
                <w:szCs w:val="20"/>
                <w:color w:val="auto"/>
              </w:rPr>
            </w:pPr>
            <w:r>
              <w:rPr>
                <w:rFonts w:ascii="Arial" w:cs="Arial" w:eastAsia="Arial" w:hAnsi="Arial"/>
                <w:sz w:val="15"/>
                <w:szCs w:val="15"/>
                <w:color w:val="auto"/>
              </w:rPr>
              <w:t>American Capital Management LLC</w:t>
            </w:r>
          </w:p>
        </w:tc>
        <w:tc>
          <w:tcPr>
            <w:tcW w:w="1800" w:type="dxa"/>
            <w:vAlign w:val="bottom"/>
            <w:gridSpan w:val="3"/>
          </w:tcPr>
          <w:p>
            <w:pPr>
              <w:jc w:val="right"/>
              <w:ind w:right="200"/>
              <w:spacing w:after="0" w:line="172" w:lineRule="exact"/>
              <w:rPr>
                <w:sz w:val="20"/>
                <w:szCs w:val="20"/>
                <w:color w:val="auto"/>
              </w:rPr>
            </w:pPr>
            <w:r>
              <w:rPr>
                <w:rFonts w:ascii="Arial" w:cs="Arial" w:eastAsia="Arial" w:hAnsi="Arial"/>
                <w:sz w:val="11"/>
                <w:szCs w:val="11"/>
                <w:color w:val="auto"/>
              </w:rPr>
              <w:t>4,053,266</w:t>
            </w:r>
            <w:r>
              <w:rPr>
                <w:rFonts w:ascii="Arial" w:cs="Arial" w:eastAsia="Arial" w:hAnsi="Arial"/>
                <w:sz w:val="19"/>
                <w:szCs w:val="19"/>
                <w:color w:val="auto"/>
                <w:vertAlign w:val="subscript"/>
              </w:rPr>
              <w:t>(6)</w:t>
            </w:r>
          </w:p>
        </w:tc>
        <w:tc>
          <w:tcPr>
            <w:tcW w:w="1320" w:type="dxa"/>
            <w:vAlign w:val="bottom"/>
            <w:gridSpan w:val="2"/>
          </w:tcPr>
          <w:p>
            <w:pPr>
              <w:jc w:val="right"/>
              <w:ind w:right="400"/>
              <w:spacing w:after="0" w:line="172" w:lineRule="exact"/>
              <w:rPr>
                <w:sz w:val="20"/>
                <w:szCs w:val="20"/>
                <w:color w:val="auto"/>
              </w:rPr>
            </w:pPr>
            <w:r>
              <w:rPr>
                <w:rFonts w:ascii="Arial" w:cs="Arial" w:eastAsia="Arial" w:hAnsi="Arial"/>
                <w:sz w:val="11"/>
                <w:szCs w:val="11"/>
                <w:color w:val="auto"/>
              </w:rPr>
              <w:t>9.9</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270" w:hanging="270"/>
        <w:spacing w:after="0" w:line="271" w:lineRule="auto"/>
        <w:tabs>
          <w:tab w:leader="none" w:pos="270"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July 15, 2015, there were 38,073,791 shares of common stock issued and outstanding.</w:t>
      </w:r>
    </w:p>
    <w:p>
      <w:pPr>
        <w:spacing w:after="0" w:line="2" w:lineRule="exact"/>
        <w:rPr>
          <w:rFonts w:ascii="Arial" w:cs="Arial" w:eastAsia="Arial" w:hAnsi="Arial"/>
          <w:sz w:val="14"/>
          <w:szCs w:val="14"/>
          <w:color w:val="auto"/>
        </w:rPr>
      </w:pPr>
    </w:p>
    <w:p>
      <w:pPr>
        <w:ind w:left="270" w:right="20" w:hanging="270"/>
        <w:spacing w:after="0" w:line="251" w:lineRule="auto"/>
        <w:tabs>
          <w:tab w:leader="none" w:pos="27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This figure includes (i) 806,970 shares of common stock; and (ii) 18,000 options to acquire an equivalent number of common shares at $17 for 5 years and 20,000 options to acquire an equivalent number of common shares at $19 for 5 years.</w:t>
      </w:r>
    </w:p>
    <w:p>
      <w:pPr>
        <w:spacing w:after="0" w:line="1" w:lineRule="exact"/>
        <w:rPr>
          <w:rFonts w:ascii="Arial" w:cs="Arial" w:eastAsia="Arial" w:hAnsi="Arial"/>
          <w:sz w:val="15"/>
          <w:szCs w:val="15"/>
          <w:color w:val="auto"/>
        </w:rPr>
      </w:pPr>
    </w:p>
    <w:p>
      <w:pPr>
        <w:ind w:left="270" w:hanging="270"/>
        <w:spacing w:after="0" w:line="188" w:lineRule="auto"/>
        <w:tabs>
          <w:tab w:leader="none" w:pos="270" w:val="left"/>
        </w:tabs>
        <w:numPr>
          <w:ilvl w:val="0"/>
          <w:numId w:val="25"/>
        </w:numPr>
        <w:rPr>
          <w:rFonts w:ascii="Arial" w:cs="Arial" w:eastAsia="Arial" w:hAnsi="Arial"/>
          <w:sz w:val="30"/>
          <w:szCs w:val="30"/>
          <w:color w:val="auto"/>
          <w:vertAlign w:val="superscript"/>
        </w:rPr>
      </w:pPr>
      <w:r>
        <w:rPr>
          <w:rFonts w:ascii="Arial" w:cs="Arial" w:eastAsia="Arial" w:hAnsi="Arial"/>
          <w:sz w:val="15"/>
          <w:szCs w:val="15"/>
          <w:color w:val="auto"/>
        </w:rPr>
        <w:t>This figure includes (i) 225,000 shares of common stock; and (ii) 2,000 vested options exercisable at $17 and 2,500 vested options exercisable at $18.</w:t>
      </w:r>
    </w:p>
    <w:p>
      <w:pPr>
        <w:spacing w:after="0" w:line="94" w:lineRule="exact"/>
        <w:rPr>
          <w:rFonts w:ascii="Arial" w:cs="Arial" w:eastAsia="Arial" w:hAnsi="Arial"/>
          <w:sz w:val="30"/>
          <w:szCs w:val="30"/>
          <w:color w:val="auto"/>
          <w:vertAlign w:val="superscript"/>
        </w:rPr>
      </w:pPr>
    </w:p>
    <w:p>
      <w:pPr>
        <w:jc w:val="both"/>
        <w:ind w:left="270" w:hanging="270"/>
        <w:spacing w:after="0" w:line="268" w:lineRule="auto"/>
        <w:tabs>
          <w:tab w:leader="none" w:pos="27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figure includes 5,000,000 shares of common stock issued to Eastern Capital Limited in March 2015, 5,000,000 shares of common stock issued to Eastern Capital Limited in June 2015 upon the exercise of 5,000,000 Series C-1 Warrants and 17,528,476 shares of common stock underlying the warrants. The remaining warrants held by the shareholders are subject to a “blocker provision” contained in each warrant under which the holder thereof does not have the right to exercise each such warrant to the extent (but only to the extent) that such exercise would result in beneficial ownership by the holder thereof, or any of its affiliates, of more than 49.9% of the common stock.</w:t>
      </w:r>
    </w:p>
    <w:p>
      <w:pPr>
        <w:spacing w:after="0" w:line="2" w:lineRule="exact"/>
        <w:rPr>
          <w:rFonts w:ascii="Arial" w:cs="Arial" w:eastAsia="Arial" w:hAnsi="Arial"/>
          <w:sz w:val="14"/>
          <w:szCs w:val="14"/>
          <w:color w:val="auto"/>
        </w:rPr>
      </w:pPr>
    </w:p>
    <w:p>
      <w:pPr>
        <w:jc w:val="both"/>
        <w:ind w:left="270" w:hanging="270"/>
        <w:spacing w:after="0" w:line="251" w:lineRule="auto"/>
        <w:tabs>
          <w:tab w:leader="none" w:pos="27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warrants, and this table does not take into account any shares underlying warrants that we deem would make the shareholder’s beneficial ownership of our common stock exceed any blockers in warrants held by this shareholder.</w:t>
      </w:r>
    </w:p>
    <w:p>
      <w:pPr>
        <w:spacing w:after="0" w:line="2" w:lineRule="exact"/>
        <w:rPr>
          <w:rFonts w:ascii="Arial" w:cs="Arial" w:eastAsia="Arial" w:hAnsi="Arial"/>
          <w:sz w:val="15"/>
          <w:szCs w:val="15"/>
          <w:color w:val="auto"/>
        </w:rPr>
      </w:pPr>
    </w:p>
    <w:p>
      <w:pPr>
        <w:jc w:val="both"/>
        <w:ind w:left="270" w:hanging="270"/>
        <w:spacing w:after="0" w:line="254" w:lineRule="auto"/>
        <w:tabs>
          <w:tab w:leader="none" w:pos="27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This figure includes 750,000 shares of common stock issued to this shareholder in January 2015 (we have not verified that this shareholder still holds these shares) and 3,303,266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warrants, and this table does not take into account any shares underlying warrants that we deem would make the shareholder’s beneficial ownership of our common stock exceed any blockers in warrants held by this shareholder.</w:t>
      </w:r>
    </w:p>
    <w:p>
      <w:pPr>
        <w:spacing w:after="0" w:line="164"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There are no arrangements or understanding among the parties set out above or their respective associates or affiliates concerning election of directors or any other matters which may require shareholder approval.</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color w:val="auto"/>
        </w:rPr>
        <w:t>A description of the Company’s equity compensation plan is provided in Part II, Item 5 of this Form 10-K and is hereby incorporated by reference into this Item 12.</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Changes in Control</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are unaware of any contract, or other arrangement or provision, the operation of which may at a subsequent date result in a change of control of our Company.</w:t>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57"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legality and validity of the securities offered from time to time under this prospectus will be passed upon by Sanders Ortoli Vaughn-Flam Rosenstadt LLP.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DISCLOSURE OF COMMISSION POSITION ON INDEMNIFICATION FOR SECURITIES ACT LIABILITIES</w:t>
      </w:r>
    </w:p>
    <w:p>
      <w:pPr>
        <w:spacing w:after="0" w:line="193"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59"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consolidated financial statements as of December 31, 2014 have been included in the Prospectus in reliance upon the report of Marcum LLP, independent registered public accounting firm, and upon the authority of said firm as experts in accounting and auditing. Our consolidated financial statements as of December 31, 2013 have been included in the Prospectus in reliance upon the report of Dale Matheson Carr-Hilton LaBonte LLP, independent registered public accounting firm, and upon the authority of said firm as experts in accounting and auditing.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We are a reporting company and file annual, quarterly and current reports, proxy statements and other information with the SEC. We have filed with the SEC a registration statement on Form S-1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5"/>
          <w:szCs w:val="15"/>
          <w:u w:val="single" w:color="auto"/>
          <w:color w:val="auto"/>
        </w:rPr>
        <w:t>http://www.sec.gov</w:t>
      </w:r>
      <w:r>
        <w:rPr>
          <w:rFonts w:ascii="Arial" w:cs="Arial" w:eastAsia="Arial" w:hAnsi="Arial"/>
          <w:sz w:val="15"/>
          <w:szCs w:val="15"/>
          <w:color w:val="auto"/>
        </w:rPr>
        <w: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0640" w:type="dxa"/>
            <w:vAlign w:val="bottom"/>
          </w:tcPr>
          <w:p>
            <w:pPr>
              <w:ind w:left="4300"/>
              <w:spacing w:after="0"/>
              <w:rPr>
                <w:sz w:val="20"/>
                <w:szCs w:val="20"/>
                <w:color w:val="auto"/>
              </w:rPr>
            </w:pPr>
            <w:r>
              <w:rPr>
                <w:rFonts w:ascii="Arial" w:cs="Arial" w:eastAsia="Arial" w:hAnsi="Arial"/>
                <w:sz w:val="15"/>
                <w:szCs w:val="15"/>
                <w:b w:val="1"/>
                <w:bCs w:val="1"/>
                <w:color w:val="auto"/>
              </w:rPr>
              <w:t>Index to Consolidated Financial Statements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7"/>
        </w:trPr>
        <w:tc>
          <w:tcPr>
            <w:tcW w:w="20" w:type="dxa"/>
            <w:vAlign w:val="bottom"/>
          </w:tcPr>
          <w:p>
            <w:pPr>
              <w:spacing w:after="0"/>
              <w:rPr>
                <w:sz w:val="24"/>
                <w:szCs w:val="24"/>
                <w:color w:val="auto"/>
              </w:rPr>
            </w:pPr>
          </w:p>
        </w:tc>
        <w:tc>
          <w:tcPr>
            <w:tcW w:w="10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restart"/>
          </w:tcPr>
          <w:p>
            <w:pPr>
              <w:spacing w:after="0"/>
              <w:rPr>
                <w:sz w:val="14"/>
                <w:szCs w:val="14"/>
                <w:color w:val="auto"/>
              </w:rPr>
            </w:pPr>
          </w:p>
        </w:tc>
        <w:tc>
          <w:tcPr>
            <w:tcW w:w="10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Report of Independent Registered Public Accounting Firm, dated April 15, 2015</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Report of Independent Registered Public Accounting Firm, dated April 14, 2014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Consolidated Balance Sheets as of December 31, 2014 and 2013</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F-3</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Operations for the Years Ended December 31, 2014 and 2013</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F-4</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Stockholders’ Deficit from July 27, 1999 (Inception) to December 31, 2014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F-5</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Cash Flows for the Years Ended December 31, 2014 and 2013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F-6</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Notes to Consolidated Financial Statements for the Years Ended December 31, 2014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F-8</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Condensed Consolidated Balance Sheets as of March 31, 2015 (Unaudited) and December 31, 2014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Condensed Consolidated Statements of Operations and Comprehensive Loss (Unaudited) for the Three Months Ended March 31, 2015 and 2014,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Stockholders’ Equity (Deficit)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F-22</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6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1"/>
              </w:rPr>
              <w:t>Condensed Consolidated Statements of Cash Flows for the Three Months Ended March 31, 2015 and 2014, and for the Period from July 27, 1999 (Date of Inception) to March</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31, 2010</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F-23</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Notes to the Condensed Consolidated Financial Statements (Unaudited) for the three-month period ended March 31, 2015</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34" w:right="219" w:bottom="1440" w:gutter="0" w:footer="0" w:header="0"/>
        </w:sectPr>
      </w:pPr>
    </w:p>
    <w:bookmarkStart w:id="44" w:name="page45"/>
    <w:bookmarkEnd w:id="44"/>
    <w:p>
      <w:pPr>
        <w:jc w:val="center"/>
        <w:spacing w:after="0"/>
        <w:rPr>
          <w:sz w:val="20"/>
          <w:szCs w:val="20"/>
          <w:color w:val="auto"/>
        </w:rPr>
      </w:pPr>
      <w:r>
        <w:rPr>
          <w:rFonts w:ascii="Arial" w:cs="Arial" w:eastAsia="Arial" w:hAnsi="Arial"/>
          <w:sz w:val="15"/>
          <w:szCs w:val="15"/>
          <w:u w:val="single" w:color="auto"/>
          <w:color w:val="auto"/>
        </w:rPr>
        <w:t>REPORT OF INDEPENDENT REGISTERED PUBLIC ACCOUNTING FIRM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To the Audit Committee of the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and Stockholders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of TapImmune, Inc.</w:t>
      </w:r>
    </w:p>
    <w:p>
      <w:pPr>
        <w:spacing w:after="0" w:line="38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audited the accompanying consolidated balance sheet of TapImmune, Inc. (the “Company”) as of December 31, 2014, and the related consolidated statements of operations and comprehensive loss, changes in stockholders’ equity (deficit) and cash flows for the year then ended. These consolidated financial statements are the responsibility of the Company’s management. Our responsibility is to express an opinion on these consolidated financial statements based on our audit.</w:t>
      </w:r>
    </w:p>
    <w:p>
      <w:pPr>
        <w:spacing w:after="0" w:line="155"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consolidated financial position of TapImmune, Inc., as of December 31, 2014, and the results of its operations and its cash flows for the year then ended in conformity with accounting principles generally accepted in the United States of America.</w:t>
      </w:r>
    </w:p>
    <w:p>
      <w:pPr>
        <w:spacing w:after="0" w:line="30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2 to the consolidated financial statements, the Company has suffered historical losses from operations and has negative working capital. These matters raise substantial doubt about the Company’s ability to continue as a going concern. Management’s plans concerning these matters are also discussed in Note 2 to the consolidated financial statements. The accompanying consolidated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/s/ Marcum llp</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New York, NY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April 15, 2015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068" w:right="21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426720</wp:posOffset>
            </wp:positionV>
            <wp:extent cx="7321550" cy="172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32155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Board of Directors of TapImmune Inc:</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audited the accompanying consolidated balance sheet of TapImmune Inc. (the “Company”) as of December 31, 2013 and the related consolidated statement of operations and comprehensive loss, stockholders’ deficit and cash flows for the year then ended. These financial statements are the responsibility of the Company’s management. Our responsibility is to express an opinion on these financial statements based on our audit.</w:t>
      </w:r>
    </w:p>
    <w:p>
      <w:pPr>
        <w:spacing w:after="0" w:line="177"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57"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In our opinion, these consolidated financial statements present fairly, in all material respects, the financial position of the Company as at December 31, 2013 and the results of its operations and its cash flows for the years then ended, in conformity with accounting principles generally accepted in the United States of America.</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financial statements, the Company has an accumulated deficit of $55,426,635and reported a loss of $5,532,552 for the year ended December 31, 2013 raising substantial doubt about the Company’s ability to continue as a going concern.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“DMCL”</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DALE MATHESON CARR-HILTON LABONTE LLP</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CHARTERED ACCOUNTANTS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Vancouver, Canada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April 14, 2014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362"/>
              <w:spacing w:after="0"/>
              <w:rPr>
                <w:sz w:val="20"/>
                <w:szCs w:val="20"/>
                <w:color w:val="auto"/>
              </w:rPr>
            </w:pPr>
            <w:r>
              <w:rPr>
                <w:rFonts w:ascii="Arial" w:cs="Arial" w:eastAsia="Arial" w:hAnsi="Arial"/>
                <w:sz w:val="15"/>
                <w:szCs w:val="15"/>
                <w:color w:val="auto"/>
                <w:w w:val="93"/>
              </w:rPr>
              <w:t>December 31,</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225"/>
              <w:spacing w:after="0"/>
              <w:rPr>
                <w:sz w:val="20"/>
                <w:szCs w:val="20"/>
                <w:color w:val="auto"/>
              </w:rPr>
            </w:pPr>
            <w:r>
              <w:rPr>
                <w:rFonts w:ascii="Arial" w:cs="Arial" w:eastAsia="Arial" w:hAnsi="Arial"/>
                <w:sz w:val="15"/>
                <w:szCs w:val="15"/>
                <w:color w:val="auto"/>
                <w:w w:val="93"/>
              </w:rPr>
              <w:t>December 31,</w:t>
            </w:r>
          </w:p>
        </w:tc>
        <w:tc>
          <w:tcPr>
            <w:tcW w:w="0" w:type="dxa"/>
            <w:vAlign w:val="bottom"/>
          </w:tcPr>
          <w:p>
            <w:pPr>
              <w:spacing w:after="0"/>
              <w:rPr>
                <w:sz w:val="1"/>
                <w:szCs w:val="1"/>
                <w:color w:val="auto"/>
              </w:rPr>
            </w:pPr>
          </w:p>
        </w:tc>
      </w:tr>
      <w:tr>
        <w:trPr>
          <w:trHeight w:val="194"/>
        </w:trPr>
        <w:tc>
          <w:tcPr>
            <w:tcW w:w="46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2013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620" w:type="dxa"/>
            <w:vAlign w:val="bottom"/>
            <w:vMerge w:val="restart"/>
          </w:tcPr>
          <w:p>
            <w:pPr>
              <w:spacing w:after="0"/>
              <w:rPr>
                <w:sz w:val="20"/>
                <w:szCs w:val="20"/>
                <w:color w:val="auto"/>
              </w:rPr>
            </w:pPr>
            <w:r>
              <w:rPr>
                <w:rFonts w:ascii="Arial" w:cs="Arial" w:eastAsia="Arial" w:hAnsi="Arial"/>
                <w:sz w:val="15"/>
                <w:szCs w:val="15"/>
                <w:b w:val="1"/>
                <w:bCs w:val="1"/>
                <w:color w:val="auto"/>
              </w:rPr>
              <w:t>Current Assets</w:t>
            </w:r>
          </w:p>
        </w:tc>
        <w:tc>
          <w:tcPr>
            <w:tcW w:w="4200" w:type="dxa"/>
            <w:vAlign w:val="bottom"/>
            <w:gridSpan w:val="3"/>
          </w:tcPr>
          <w:p>
            <w:pPr>
              <w:jc w:val="right"/>
              <w:ind w:right="2900"/>
              <w:spacing w:after="0"/>
              <w:rPr>
                <w:sz w:val="20"/>
                <w:szCs w:val="20"/>
                <w:color w:val="auto"/>
              </w:rPr>
            </w:pPr>
            <w:r>
              <w:rPr>
                <w:rFonts w:ascii="Arial" w:cs="Arial" w:eastAsia="Arial" w:hAnsi="Arial"/>
                <w:sz w:val="15"/>
                <w:szCs w:val="15"/>
                <w:b w:val="1"/>
                <w:bCs w:val="1"/>
                <w:color w:val="auto"/>
              </w:rPr>
              <w:t>ASSETS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20" w:type="dxa"/>
            <w:vAlign w:val="bottom"/>
            <w:vMerge w:val="continue"/>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Cash</w:t>
            </w:r>
          </w:p>
        </w:tc>
        <w:tc>
          <w:tcPr>
            <w:tcW w:w="4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141,944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48,589</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Prepaid expenses and deposits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82,504</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15,004</w:t>
            </w:r>
          </w:p>
        </w:tc>
        <w:tc>
          <w:tcPr>
            <w:tcW w:w="0" w:type="dxa"/>
            <w:vAlign w:val="bottom"/>
          </w:tcPr>
          <w:p>
            <w:pPr>
              <w:spacing w:after="0"/>
              <w:rPr>
                <w:sz w:val="1"/>
                <w:szCs w:val="1"/>
                <w:color w:val="auto"/>
              </w:rPr>
            </w:pPr>
          </w:p>
        </w:tc>
      </w:tr>
      <w:tr>
        <w:trPr>
          <w:trHeight w:val="191"/>
        </w:trPr>
        <w:tc>
          <w:tcPr>
            <w:tcW w:w="4620" w:type="dxa"/>
            <w:vAlign w:val="bottom"/>
          </w:tcPr>
          <w:p>
            <w:pPr>
              <w:ind w:left="60"/>
              <w:spacing w:after="0"/>
              <w:rPr>
                <w:sz w:val="20"/>
                <w:szCs w:val="20"/>
                <w:color w:val="auto"/>
              </w:rPr>
            </w:pPr>
            <w:r>
              <w:rPr>
                <w:rFonts w:ascii="Arial" w:cs="Arial" w:eastAsia="Arial" w:hAnsi="Arial"/>
                <w:sz w:val="15"/>
                <w:szCs w:val="15"/>
                <w:color w:val="auto"/>
              </w:rPr>
              <w:t>Deferred financing costs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13,439</w:t>
            </w:r>
          </w:p>
        </w:tc>
        <w:tc>
          <w:tcPr>
            <w:tcW w:w="0" w:type="dxa"/>
            <w:vAlign w:val="bottom"/>
          </w:tcPr>
          <w:p>
            <w:pPr>
              <w:spacing w:after="0"/>
              <w:rPr>
                <w:sz w:val="1"/>
                <w:szCs w:val="1"/>
                <w:color w:val="auto"/>
              </w:rPr>
            </w:pPr>
          </w:p>
        </w:tc>
      </w:tr>
      <w:tr>
        <w:trPr>
          <w:trHeight w:val="23"/>
        </w:trPr>
        <w:tc>
          <w:tcPr>
            <w:tcW w:w="4620" w:type="dxa"/>
            <w:vAlign w:val="bottom"/>
            <w:shd w:val="clear" w:color="auto" w:fill="000000"/>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1"/>
        </w:trPr>
        <w:tc>
          <w:tcPr>
            <w:tcW w:w="4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224,448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77,032</w:t>
            </w:r>
          </w:p>
        </w:tc>
        <w:tc>
          <w:tcPr>
            <w:tcW w:w="0" w:type="dxa"/>
            <w:vAlign w:val="bottom"/>
          </w:tcPr>
          <w:p>
            <w:pPr>
              <w:spacing w:after="0"/>
              <w:rPr>
                <w:sz w:val="1"/>
                <w:szCs w:val="1"/>
                <w:color w:val="auto"/>
              </w:rPr>
            </w:pPr>
          </w:p>
        </w:tc>
      </w:tr>
      <w:tr>
        <w:trPr>
          <w:trHeight w:val="20"/>
        </w:trPr>
        <w:tc>
          <w:tcPr>
            <w:tcW w:w="8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820" w:type="dxa"/>
            <w:vAlign w:val="bottom"/>
            <w:gridSpan w:val="4"/>
          </w:tcPr>
          <w:p>
            <w:pPr>
              <w:ind w:left="3620"/>
              <w:spacing w:after="0"/>
              <w:rPr>
                <w:sz w:val="20"/>
                <w:szCs w:val="20"/>
                <w:color w:val="auto"/>
              </w:rPr>
            </w:pPr>
            <w:r>
              <w:rPr>
                <w:rFonts w:ascii="Arial" w:cs="Arial" w:eastAsia="Arial" w:hAnsi="Arial"/>
                <w:sz w:val="15"/>
                <w:szCs w:val="15"/>
                <w:b w:val="1"/>
                <w:bCs w:val="1"/>
                <w:color w:val="auto"/>
              </w:rPr>
              <w:t>LIABILITIES AND STOCKHOLDERS’ EQUITY (DEFICIT)</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Accounts payable and accrued liabilities</w:t>
            </w:r>
          </w:p>
        </w:tc>
        <w:tc>
          <w:tcPr>
            <w:tcW w:w="4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693,362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3,778,401</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Research agreement obligations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492,365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492,365</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Derivative liability – conversion option</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582,300</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Derivative liability – warrants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9,415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140,504</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Convertible notes payable</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3,161,977</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Loans payable, related party (2013 - $5,200)</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42,200</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Promissory notes, related party</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52,942</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277,942</w:t>
            </w:r>
          </w:p>
        </w:tc>
        <w:tc>
          <w:tcPr>
            <w:tcW w:w="0" w:type="dxa"/>
            <w:vAlign w:val="bottom"/>
          </w:tcPr>
          <w:p>
            <w:pPr>
              <w:spacing w:after="0"/>
              <w:rPr>
                <w:sz w:val="1"/>
                <w:szCs w:val="1"/>
                <w:color w:val="auto"/>
              </w:rPr>
            </w:pPr>
          </w:p>
        </w:tc>
      </w:tr>
      <w:tr>
        <w:trPr>
          <w:trHeight w:val="194"/>
        </w:trPr>
        <w:tc>
          <w:tcPr>
            <w:tcW w:w="4620" w:type="dxa"/>
            <w:vAlign w:val="bottom"/>
          </w:tcPr>
          <w:p>
            <w:pPr>
              <w:ind w:left="60"/>
              <w:spacing w:after="0"/>
              <w:rPr>
                <w:sz w:val="20"/>
                <w:szCs w:val="20"/>
                <w:color w:val="auto"/>
              </w:rPr>
            </w:pPr>
            <w:r>
              <w:rPr>
                <w:rFonts w:ascii="Arial" w:cs="Arial" w:eastAsia="Arial" w:hAnsi="Arial"/>
                <w:sz w:val="15"/>
                <w:szCs w:val="15"/>
                <w:color w:val="auto"/>
              </w:rPr>
              <w:t>Due to related parties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369,346</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1,248,084</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8,845,035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0"/>
                <w:szCs w:val="20"/>
                <w:color w:val="auto"/>
              </w:rPr>
            </w:pPr>
            <w:r>
              <w:rPr>
                <w:rFonts w:ascii="Arial" w:cs="Arial" w:eastAsia="Arial" w:hAnsi="Arial"/>
                <w:sz w:val="15"/>
                <w:szCs w:val="15"/>
                <w:b w:val="1"/>
                <w:bCs w:val="1"/>
                <w:color w:val="auto"/>
              </w:rPr>
              <w:t>COMMITMENTS AND CONTINGENCIES</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20" w:type="dxa"/>
            <w:vAlign w:val="bottom"/>
          </w:tcPr>
          <w:p>
            <w:pPr>
              <w:spacing w:after="0"/>
              <w:rPr>
                <w:sz w:val="20"/>
                <w:szCs w:val="20"/>
                <w:color w:val="auto"/>
              </w:rPr>
            </w:pPr>
            <w:r>
              <w:rPr>
                <w:rFonts w:ascii="Arial" w:cs="Arial" w:eastAsia="Arial" w:hAnsi="Arial"/>
                <w:sz w:val="15"/>
                <w:szCs w:val="15"/>
                <w:b w:val="1"/>
                <w:bCs w:val="1"/>
                <w:color w:val="auto"/>
              </w:rPr>
              <w:t>Stockholders’ Equity (Deficit)</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820" w:type="dxa"/>
            <w:vAlign w:val="bottom"/>
            <w:gridSpan w:val="4"/>
          </w:tcPr>
          <w:p>
            <w:pPr>
              <w:spacing w:after="0"/>
              <w:rPr>
                <w:sz w:val="20"/>
                <w:szCs w:val="20"/>
                <w:color w:val="auto"/>
              </w:rPr>
            </w:pPr>
            <w:r>
              <w:rPr>
                <w:rFonts w:ascii="Arial" w:cs="Arial" w:eastAsia="Arial" w:hAnsi="Arial"/>
                <w:sz w:val="15"/>
                <w:szCs w:val="15"/>
                <w:color w:val="auto"/>
              </w:rPr>
              <w:t>Convertible preferred stock, $0.001 par value — 5,000,000 shares authorized:</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820" w:type="dxa"/>
            <w:vAlign w:val="bottom"/>
            <w:gridSpan w:val="4"/>
          </w:tcPr>
          <w:p>
            <w:pPr>
              <w:ind w:left="120"/>
              <w:spacing w:after="0"/>
              <w:rPr>
                <w:sz w:val="20"/>
                <w:szCs w:val="20"/>
                <w:color w:val="auto"/>
              </w:rPr>
            </w:pPr>
            <w:r>
              <w:rPr>
                <w:rFonts w:ascii="Arial" w:cs="Arial" w:eastAsia="Arial" w:hAnsi="Arial"/>
                <w:sz w:val="15"/>
                <w:szCs w:val="15"/>
                <w:color w:val="auto"/>
                <w:w w:val="95"/>
              </w:rPr>
              <w:t>Series A, $0.001 par value, 1,250,000 shares designated, -0- shares issued and outstanding as of December 31, 2014 and December 31,</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rPr>
              <w:t>2013</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w w:val="89"/>
              </w:rPr>
              <w:t>Series B, $0.001 par value, 1,500,000 shares designated, -0- shares issued</w:t>
            </w:r>
          </w:p>
        </w:tc>
        <w:tc>
          <w:tcPr>
            <w:tcW w:w="4200" w:type="dxa"/>
            <w:vAlign w:val="bottom"/>
            <w:gridSpan w:val="3"/>
          </w:tcPr>
          <w:p>
            <w:pPr>
              <w:jc w:val="right"/>
              <w:ind w:right="520"/>
              <w:spacing w:after="0"/>
              <w:rPr>
                <w:sz w:val="20"/>
                <w:szCs w:val="20"/>
                <w:color w:val="auto"/>
              </w:rPr>
            </w:pPr>
            <w:r>
              <w:rPr>
                <w:rFonts w:ascii="Arial" w:cs="Arial" w:eastAsia="Arial" w:hAnsi="Arial"/>
                <w:sz w:val="15"/>
                <w:szCs w:val="15"/>
                <w:color w:val="auto"/>
                <w:w w:val="89"/>
              </w:rPr>
              <w:t>and outstanding as of December 31, 2014 and December 31,</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rPr>
              <w:t>2013</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Common stock, $0.001 par value, 500,000,000 shares authorized</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20,318,815 shares issued and outstanding (2013 – 1,465,712)</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20,319</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85,265,776</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46,715,500</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Accumulated deficit</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(86,309,731)</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(55,426,635)</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(58,334)</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(1,023,636</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(8,768,003</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4"/>
                <w:szCs w:val="24"/>
                <w:color w:val="auto"/>
              </w:rPr>
            </w:pPr>
          </w:p>
        </w:tc>
        <w:tc>
          <w:tcPr>
            <w:tcW w:w="4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224,448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77,032</w:t>
            </w:r>
          </w:p>
        </w:tc>
        <w:tc>
          <w:tcPr>
            <w:tcW w:w="0" w:type="dxa"/>
            <w:vAlign w:val="bottom"/>
          </w:tcPr>
          <w:p>
            <w:pPr>
              <w:spacing w:after="0"/>
              <w:rPr>
                <w:sz w:val="1"/>
                <w:szCs w:val="1"/>
                <w:color w:val="auto"/>
              </w:rPr>
            </w:pPr>
          </w:p>
        </w:tc>
      </w:tr>
      <w:tr>
        <w:trPr>
          <w:trHeight w:val="20"/>
        </w:trPr>
        <w:tc>
          <w:tcPr>
            <w:tcW w:w="462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5"/>
                <w:szCs w:val="15"/>
                <w:color w:val="auto"/>
                <w:w w:val="88"/>
              </w:rPr>
              <w:t>Year Ended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5"/>
                <w:szCs w:val="15"/>
                <w:color w:val="auto"/>
                <w:w w:val="88"/>
              </w:rPr>
              <w:t>Year Ended</w:t>
            </w:r>
          </w:p>
        </w:tc>
      </w:tr>
      <w:tr>
        <w:trPr>
          <w:trHeight w:val="181"/>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5"/>
                <w:szCs w:val="15"/>
                <w:color w:val="auto"/>
                <w:w w:val="91"/>
              </w:rPr>
              <w:t>December 31,</w:t>
            </w:r>
          </w:p>
        </w:tc>
      </w:tr>
      <w:tr>
        <w:trPr>
          <w:trHeight w:val="194"/>
        </w:trPr>
        <w:tc>
          <w:tcPr>
            <w:tcW w:w="8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color w:val="auto"/>
                <w:w w:val="89"/>
              </w:rPr>
              <w:t>2013</w:t>
            </w:r>
          </w:p>
        </w:tc>
        <w:tc>
          <w:tcPr>
            <w:tcW w:w="160" w:type="dxa"/>
            <w:vAlign w:val="bottom"/>
          </w:tcPr>
          <w:p>
            <w:pPr>
              <w:spacing w:after="0"/>
              <w:rPr>
                <w:sz w:val="16"/>
                <w:szCs w:val="16"/>
                <w:color w:val="auto"/>
              </w:rPr>
            </w:pPr>
          </w:p>
        </w:tc>
      </w:tr>
      <w:tr>
        <w:trPr>
          <w:trHeight w:val="351"/>
        </w:trPr>
        <w:tc>
          <w:tcPr>
            <w:tcW w:w="858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1"/>
        </w:trPr>
        <w:tc>
          <w:tcPr>
            <w:tcW w:w="8580" w:type="dxa"/>
            <w:vAlign w:val="bottom"/>
          </w:tcPr>
          <w:p>
            <w:pPr>
              <w:ind w:left="120"/>
              <w:spacing w:after="0"/>
              <w:rPr>
                <w:sz w:val="20"/>
                <w:szCs w:val="20"/>
                <w:color w:val="auto"/>
              </w:rPr>
            </w:pPr>
            <w:r>
              <w:rPr>
                <w:rFonts w:ascii="Arial" w:cs="Arial" w:eastAsia="Arial" w:hAnsi="Arial"/>
                <w:sz w:val="15"/>
                <w:szCs w:val="15"/>
                <w:color w:val="auto"/>
              </w:rPr>
              <w:t>General and administrative</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3,181,927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1,966,683</w:t>
            </w:r>
          </w:p>
        </w:tc>
      </w:tr>
      <w:tr>
        <w:trPr>
          <w:trHeight w:val="194"/>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Research and development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189,000</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697,634</w:t>
            </w:r>
          </w:p>
        </w:tc>
        <w:tc>
          <w:tcPr>
            <w:tcW w:w="160" w:type="dxa"/>
            <w:vAlign w:val="bottom"/>
          </w:tcPr>
          <w:p>
            <w:pPr>
              <w:spacing w:after="0"/>
              <w:rPr>
                <w:sz w:val="16"/>
                <w:szCs w:val="16"/>
                <w:color w:val="auto"/>
              </w:rPr>
            </w:pPr>
          </w:p>
        </w:tc>
      </w:tr>
      <w:tr>
        <w:trPr>
          <w:trHeight w:val="361"/>
        </w:trPr>
        <w:tc>
          <w:tcPr>
            <w:tcW w:w="8580" w:type="dxa"/>
            <w:vAlign w:val="bottom"/>
          </w:tcPr>
          <w:p>
            <w:pPr>
              <w:spacing w:after="0"/>
              <w:rPr>
                <w:sz w:val="20"/>
                <w:szCs w:val="20"/>
                <w:color w:val="auto"/>
              </w:rPr>
            </w:pPr>
            <w:r>
              <w:rPr>
                <w:rFonts w:ascii="Arial" w:cs="Arial" w:eastAsia="Arial" w:hAnsi="Arial"/>
                <w:sz w:val="15"/>
                <w:szCs w:val="15"/>
                <w:b w:val="1"/>
                <w:bCs w:val="1"/>
                <w:color w:val="auto"/>
              </w:rPr>
              <w:t>Loss from Operations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(3,370,927)</w:t>
            </w:r>
          </w:p>
        </w:tc>
        <w:tc>
          <w:tcPr>
            <w:tcW w:w="1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(2,664,317)</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Other Income (Expense)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1"/>
        </w:trPr>
        <w:tc>
          <w:tcPr>
            <w:tcW w:w="8580" w:type="dxa"/>
            <w:vAlign w:val="bottom"/>
          </w:tcPr>
          <w:p>
            <w:pPr>
              <w:ind w:left="120"/>
              <w:spacing w:after="0"/>
              <w:rPr>
                <w:sz w:val="20"/>
                <w:szCs w:val="20"/>
                <w:color w:val="auto"/>
              </w:rPr>
            </w:pPr>
            <w:r>
              <w:rPr>
                <w:rFonts w:ascii="Arial" w:cs="Arial" w:eastAsia="Arial" w:hAnsi="Arial"/>
                <w:sz w:val="15"/>
                <w:szCs w:val="15"/>
                <w:color w:val="auto"/>
              </w:rPr>
              <w:t>Foreign exchange (loss) gain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(52,976)</w:t>
            </w: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5,896</w:t>
            </w: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Changes in fair value of derivative liabilities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581</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1,546,257</w:t>
            </w:r>
          </w:p>
        </w:tc>
        <w:tc>
          <w:tcPr>
            <w:tcW w:w="160" w:type="dxa"/>
            <w:vAlign w:val="bottom"/>
          </w:tcPr>
          <w:p>
            <w:pPr>
              <w:spacing w:after="0"/>
              <w:rPr>
                <w:sz w:val="15"/>
                <w:szCs w:val="15"/>
                <w:color w:val="auto"/>
              </w:rPr>
            </w:pP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Accretion of discount on convertible notes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(492,296)</w:t>
            </w: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(1,110,831)</w:t>
            </w: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Interest and financing charges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(83,247)</w:t>
            </w: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(645,562)</w:t>
            </w: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Loss on extinguishment of debt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(26,884,231)</w:t>
            </w: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(2,560,045)</w:t>
            </w:r>
          </w:p>
        </w:tc>
      </w:tr>
      <w:tr>
        <w:trPr>
          <w:trHeight w:val="192"/>
        </w:trPr>
        <w:tc>
          <w:tcPr>
            <w:tcW w:w="8580" w:type="dxa"/>
            <w:vAlign w:val="bottom"/>
          </w:tcPr>
          <w:p>
            <w:pPr>
              <w:ind w:left="140"/>
              <w:spacing w:after="0"/>
              <w:rPr>
                <w:sz w:val="20"/>
                <w:szCs w:val="20"/>
                <w:color w:val="auto"/>
              </w:rPr>
            </w:pPr>
            <w:r>
              <w:rPr>
                <w:rFonts w:ascii="Arial" w:cs="Arial" w:eastAsia="Arial" w:hAnsi="Arial"/>
                <w:sz w:val="15"/>
                <w:szCs w:val="15"/>
                <w:color w:val="auto"/>
              </w:rPr>
              <w:t>Loss on lawsuit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(103,950)</w:t>
            </w:r>
          </w:p>
        </w:tc>
      </w:tr>
      <w:tr>
        <w:trPr>
          <w:trHeight w:val="23"/>
        </w:trPr>
        <w:tc>
          <w:tcPr>
            <w:tcW w:w="8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5"/>
        </w:trPr>
        <w:tc>
          <w:tcPr>
            <w:tcW w:w="8580" w:type="dxa"/>
            <w:vAlign w:val="bottom"/>
          </w:tcPr>
          <w:p>
            <w:pPr>
              <w:spacing w:after="0"/>
              <w:rPr>
                <w:sz w:val="20"/>
                <w:szCs w:val="20"/>
                <w:color w:val="auto"/>
              </w:rPr>
            </w:pPr>
            <w:r>
              <w:rPr>
                <w:rFonts w:ascii="Arial" w:cs="Arial" w:eastAsia="Arial" w:hAnsi="Arial"/>
                <w:sz w:val="15"/>
                <w:szCs w:val="15"/>
                <w:b w:val="1"/>
                <w:bCs w:val="1"/>
                <w:color w:val="auto"/>
              </w:rPr>
              <w:t>Net Loss for the Period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(30,883,096)</w:t>
            </w:r>
          </w:p>
        </w:tc>
        <w:tc>
          <w:tcPr>
            <w:tcW w:w="1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(5,532,552)</w:t>
            </w:r>
          </w:p>
        </w:tc>
      </w:tr>
      <w:tr>
        <w:trPr>
          <w:trHeight w:val="351"/>
        </w:trPr>
        <w:tc>
          <w:tcPr>
            <w:tcW w:w="85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Other comprehensive income</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Foreign exchange translation adjustment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58,334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3,314</w:t>
            </w:r>
          </w:p>
        </w:tc>
        <w:tc>
          <w:tcPr>
            <w:tcW w:w="160" w:type="dxa"/>
            <w:vAlign w:val="bottom"/>
          </w:tcPr>
          <w:p>
            <w:pPr>
              <w:spacing w:after="0"/>
              <w:rPr>
                <w:sz w:val="16"/>
                <w:szCs w:val="16"/>
                <w:color w:val="auto"/>
              </w:rPr>
            </w:pPr>
          </w:p>
        </w:tc>
      </w:tr>
      <w:tr>
        <w:trPr>
          <w:trHeight w:val="362"/>
        </w:trPr>
        <w:tc>
          <w:tcPr>
            <w:tcW w:w="8580" w:type="dxa"/>
            <w:vAlign w:val="bottom"/>
          </w:tcPr>
          <w:p>
            <w:pPr>
              <w:spacing w:after="0"/>
              <w:rPr>
                <w:sz w:val="20"/>
                <w:szCs w:val="20"/>
                <w:color w:val="auto"/>
              </w:rPr>
            </w:pPr>
            <w:r>
              <w:rPr>
                <w:rFonts w:ascii="Arial" w:cs="Arial" w:eastAsia="Arial" w:hAnsi="Arial"/>
                <w:sz w:val="15"/>
                <w:szCs w:val="15"/>
                <w:b w:val="1"/>
                <w:bCs w:val="1"/>
                <w:color w:val="auto"/>
              </w:rPr>
              <w:t>TOTAL COMPREHENSIVE LOSS</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00"/>
              <w:spacing w:after="0" w:line="341" w:lineRule="exact"/>
              <w:rPr>
                <w:sz w:val="20"/>
                <w:szCs w:val="20"/>
                <w:color w:val="auto"/>
              </w:rPr>
            </w:pPr>
            <w:r>
              <w:rPr>
                <w:rFonts w:ascii="Arial" w:cs="Arial" w:eastAsia="Arial" w:hAnsi="Arial"/>
                <w:sz w:val="15"/>
                <w:szCs w:val="15"/>
                <w:color w:val="auto"/>
              </w:rPr>
              <w:t>(30,824,762</w:t>
            </w:r>
            <w:r>
              <w:rPr>
                <w:rFonts w:ascii="Arial" w:cs="Arial" w:eastAsia="Arial" w:hAnsi="Arial"/>
                <w:sz w:val="30"/>
                <w:szCs w:val="3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line="341" w:lineRule="exact"/>
              <w:rPr>
                <w:sz w:val="20"/>
                <w:szCs w:val="20"/>
                <w:color w:val="auto"/>
              </w:rPr>
            </w:pPr>
            <w:r>
              <w:rPr>
                <w:rFonts w:ascii="Arial" w:cs="Arial" w:eastAsia="Arial" w:hAnsi="Arial"/>
                <w:sz w:val="15"/>
                <w:szCs w:val="15"/>
                <w:color w:val="auto"/>
              </w:rPr>
              <w:t>(5,529,238</w:t>
            </w:r>
            <w:r>
              <w:rPr>
                <w:rFonts w:ascii="Arial" w:cs="Arial" w:eastAsia="Arial" w:hAnsi="Arial"/>
                <w:sz w:val="30"/>
                <w:szCs w:val="30"/>
                <w:color w:val="auto"/>
                <w:vertAlign w:val="subscript"/>
              </w:rPr>
              <w:t>)</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3"/>
        </w:trPr>
        <w:tc>
          <w:tcPr>
            <w:tcW w:w="8580" w:type="dxa"/>
            <w:vAlign w:val="bottom"/>
          </w:tcPr>
          <w:p>
            <w:pPr>
              <w:spacing w:after="0"/>
              <w:rPr>
                <w:sz w:val="20"/>
                <w:szCs w:val="20"/>
                <w:color w:val="auto"/>
              </w:rPr>
            </w:pPr>
            <w:r>
              <w:rPr>
                <w:rFonts w:ascii="Arial" w:cs="Arial" w:eastAsia="Arial" w:hAnsi="Arial"/>
                <w:sz w:val="15"/>
                <w:szCs w:val="15"/>
                <w:b w:val="1"/>
                <w:bCs w:val="1"/>
                <w:color w:val="auto"/>
              </w:rPr>
              <w:t>Basic and Diluted Net Loss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8580" w:type="dxa"/>
            <w:vAlign w:val="bottom"/>
          </w:tcPr>
          <w:p>
            <w:pPr>
              <w:spacing w:after="0"/>
              <w:rPr>
                <w:sz w:val="20"/>
                <w:szCs w:val="20"/>
                <w:color w:val="auto"/>
              </w:rPr>
            </w:pPr>
            <w:r>
              <w:rPr>
                <w:rFonts w:ascii="Arial" w:cs="Arial" w:eastAsia="Arial" w:hAnsi="Arial"/>
                <w:sz w:val="15"/>
                <w:szCs w:val="15"/>
                <w:b w:val="1"/>
                <w:bCs w:val="1"/>
                <w:color w:val="auto"/>
              </w:rPr>
              <w:t>per Share</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00"/>
              <w:spacing w:after="0" w:line="176" w:lineRule="exact"/>
              <w:rPr>
                <w:sz w:val="20"/>
                <w:szCs w:val="20"/>
                <w:color w:val="auto"/>
              </w:rPr>
            </w:pPr>
            <w:r>
              <w:rPr>
                <w:rFonts w:ascii="Arial" w:cs="Arial" w:eastAsia="Arial" w:hAnsi="Arial"/>
                <w:sz w:val="12"/>
                <w:szCs w:val="12"/>
                <w:color w:val="auto"/>
              </w:rPr>
              <w:t>(2.00</w:t>
            </w:r>
            <w:r>
              <w:rPr>
                <w:rFonts w:ascii="Arial" w:cs="Arial" w:eastAsia="Arial" w:hAnsi="Arial"/>
                <w:sz w:val="20"/>
                <w:szCs w:val="2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line="176" w:lineRule="exact"/>
              <w:rPr>
                <w:sz w:val="20"/>
                <w:szCs w:val="20"/>
                <w:color w:val="auto"/>
              </w:rPr>
            </w:pPr>
            <w:r>
              <w:rPr>
                <w:rFonts w:ascii="Arial" w:cs="Arial" w:eastAsia="Arial" w:hAnsi="Arial"/>
                <w:sz w:val="12"/>
                <w:szCs w:val="12"/>
                <w:color w:val="auto"/>
              </w:rPr>
              <w:t>(4.87</w:t>
            </w:r>
            <w:r>
              <w:rPr>
                <w:rFonts w:ascii="Arial" w:cs="Arial" w:eastAsia="Arial" w:hAnsi="Arial"/>
                <w:sz w:val="20"/>
                <w:szCs w:val="20"/>
                <w:color w:val="auto"/>
                <w:vertAlign w:val="subscript"/>
              </w:rPr>
              <w:t>)</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3"/>
        </w:trPr>
        <w:tc>
          <w:tcPr>
            <w:tcW w:w="8580" w:type="dxa"/>
            <w:vAlign w:val="bottom"/>
          </w:tcPr>
          <w:p>
            <w:pPr>
              <w:spacing w:after="0"/>
              <w:rPr>
                <w:sz w:val="20"/>
                <w:szCs w:val="20"/>
                <w:color w:val="auto"/>
              </w:rPr>
            </w:pPr>
            <w:r>
              <w:rPr>
                <w:rFonts w:ascii="Arial" w:cs="Arial" w:eastAsia="Arial" w:hAnsi="Arial"/>
                <w:sz w:val="15"/>
                <w:szCs w:val="15"/>
                <w:b w:val="1"/>
                <w:bCs w:val="1"/>
                <w:color w:val="auto"/>
              </w:rPr>
              <w:t>Weighted Average 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5"/>
        </w:trPr>
        <w:tc>
          <w:tcPr>
            <w:tcW w:w="8580" w:type="dxa"/>
            <w:vAlign w:val="bottom"/>
          </w:tcPr>
          <w:p>
            <w:pPr>
              <w:spacing w:after="0"/>
              <w:rPr>
                <w:sz w:val="20"/>
                <w:szCs w:val="20"/>
                <w:color w:val="auto"/>
              </w:rPr>
            </w:pPr>
            <w:r>
              <w:rPr>
                <w:rFonts w:ascii="Arial" w:cs="Arial" w:eastAsia="Arial" w:hAnsi="Arial"/>
                <w:sz w:val="15"/>
                <w:szCs w:val="15"/>
                <w:b w:val="1"/>
                <w:bCs w:val="1"/>
                <w:color w:val="auto"/>
              </w:rPr>
              <w:t>Common Shares 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15,465,213</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1,136,115</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 OF STOCKHOLDERS’ EQUITY (DEFICIT)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gridSpan w:val="6"/>
          </w:tcPr>
          <w:p>
            <w:pPr>
              <w:ind w:left="720"/>
              <w:spacing w:after="0"/>
              <w:rPr>
                <w:sz w:val="20"/>
                <w:szCs w:val="20"/>
                <w:color w:val="auto"/>
              </w:rPr>
            </w:pPr>
            <w:r>
              <w:rPr>
                <w:rFonts w:ascii="Arial" w:cs="Arial" w:eastAsia="Arial" w:hAnsi="Arial"/>
                <w:sz w:val="15"/>
                <w:szCs w:val="15"/>
                <w:color w:val="auto"/>
              </w:rPr>
              <w:t>Common Stock</w:t>
            </w:r>
          </w:p>
        </w:tc>
        <w:tc>
          <w:tcPr>
            <w:tcW w:w="1380" w:type="dxa"/>
            <w:vAlign w:val="bottom"/>
            <w:tcBorders>
              <w:top w:val="single" w:sz="8" w:color="auto"/>
            </w:tcBorders>
            <w:gridSpan w:val="3"/>
            <w:vMerge w:val="restart"/>
          </w:tcPr>
          <w:p>
            <w:pPr>
              <w:ind w:left="280"/>
              <w:spacing w:after="0"/>
              <w:rPr>
                <w:sz w:val="20"/>
                <w:szCs w:val="20"/>
                <w:color w:val="auto"/>
              </w:rPr>
            </w:pPr>
            <w:r>
              <w:rPr>
                <w:rFonts w:ascii="Arial" w:cs="Arial" w:eastAsia="Arial" w:hAnsi="Arial"/>
                <w:sz w:val="15"/>
                <w:szCs w:val="15"/>
                <w:color w:val="auto"/>
              </w:rPr>
              <w:t>Paid In</w:t>
            </w:r>
          </w:p>
        </w:tc>
        <w:tc>
          <w:tcPr>
            <w:tcW w:w="138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5"/>
                <w:szCs w:val="15"/>
                <w:color w:val="auto"/>
                <w:w w:val="92"/>
              </w:rPr>
              <w:t>Accumulated</w:t>
            </w:r>
          </w:p>
        </w:tc>
        <w:tc>
          <w:tcPr>
            <w:tcW w:w="144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5"/>
                <w:szCs w:val="15"/>
                <w:color w:val="auto"/>
                <w:w w:val="89"/>
              </w:rPr>
              <w:t>Comprehensive</w:t>
            </w: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5"/>
                <w:szCs w:val="15"/>
                <w:color w:val="auto"/>
                <w:w w:val="94"/>
              </w:rPr>
              <w:t>Number of</w:t>
            </w:r>
          </w:p>
        </w:tc>
        <w:tc>
          <w:tcPr>
            <w:tcW w:w="1380" w:type="dxa"/>
            <w:vAlign w:val="bottom"/>
            <w:gridSpan w:val="3"/>
          </w:tcPr>
          <w:p>
            <w:pPr>
              <w:ind w:left="240"/>
              <w:spacing w:after="0"/>
              <w:rPr>
                <w:sz w:val="20"/>
                <w:szCs w:val="20"/>
                <w:color w:val="auto"/>
              </w:rPr>
            </w:pPr>
            <w:r>
              <w:rPr>
                <w:rFonts w:ascii="Arial" w:cs="Arial" w:eastAsia="Arial" w:hAnsi="Arial"/>
                <w:sz w:val="15"/>
                <w:szCs w:val="15"/>
                <w:color w:val="auto"/>
              </w:rPr>
              <w:t>Amount</w:t>
            </w:r>
          </w:p>
        </w:tc>
        <w:tc>
          <w:tcPr>
            <w:tcW w:w="1380" w:type="dxa"/>
            <w:vAlign w:val="bottom"/>
            <w:gridSpan w:val="3"/>
          </w:tcPr>
          <w:p>
            <w:pPr>
              <w:ind w:left="280"/>
              <w:spacing w:after="0"/>
              <w:rPr>
                <w:sz w:val="20"/>
                <w:szCs w:val="20"/>
                <w:color w:val="auto"/>
              </w:rPr>
            </w:pPr>
            <w:r>
              <w:rPr>
                <w:rFonts w:ascii="Arial" w:cs="Arial" w:eastAsia="Arial" w:hAnsi="Arial"/>
                <w:sz w:val="15"/>
                <w:szCs w:val="15"/>
                <w:color w:val="auto"/>
              </w:rPr>
              <w:t>Capital</w:t>
            </w:r>
          </w:p>
        </w:tc>
        <w:tc>
          <w:tcPr>
            <w:tcW w:w="1380" w:type="dxa"/>
            <w:vAlign w:val="bottom"/>
            <w:gridSpan w:val="3"/>
          </w:tcPr>
          <w:p>
            <w:pPr>
              <w:jc w:val="center"/>
              <w:ind w:right="360"/>
              <w:spacing w:after="0"/>
              <w:rPr>
                <w:sz w:val="20"/>
                <w:szCs w:val="20"/>
                <w:color w:val="auto"/>
              </w:rPr>
            </w:pPr>
            <w:r>
              <w:rPr>
                <w:rFonts w:ascii="Arial" w:cs="Arial" w:eastAsia="Arial" w:hAnsi="Arial"/>
                <w:sz w:val="15"/>
                <w:szCs w:val="15"/>
                <w:color w:val="auto"/>
              </w:rPr>
              <w:t>Deficit</w:t>
            </w:r>
          </w:p>
        </w:tc>
        <w:tc>
          <w:tcPr>
            <w:tcW w:w="1440" w:type="dxa"/>
            <w:vAlign w:val="bottom"/>
            <w:gridSpan w:val="3"/>
          </w:tcPr>
          <w:p>
            <w:pPr>
              <w:jc w:val="center"/>
              <w:ind w:right="360"/>
              <w:spacing w:after="0"/>
              <w:rPr>
                <w:sz w:val="20"/>
                <w:szCs w:val="20"/>
                <w:color w:val="auto"/>
              </w:rPr>
            </w:pPr>
            <w:r>
              <w:rPr>
                <w:rFonts w:ascii="Arial" w:cs="Arial" w:eastAsia="Arial" w:hAnsi="Arial"/>
                <w:sz w:val="15"/>
                <w:szCs w:val="15"/>
                <w:color w:val="auto"/>
                <w:w w:val="88"/>
              </w:rPr>
              <w:t>Loss</w:t>
            </w:r>
          </w:p>
        </w:tc>
        <w:tc>
          <w:tcPr>
            <w:tcW w:w="1180" w:type="dxa"/>
            <w:vAlign w:val="bottom"/>
            <w:gridSpan w:val="2"/>
          </w:tcPr>
          <w:p>
            <w:pPr>
              <w:jc w:val="right"/>
              <w:ind w:right="425"/>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5"/>
                <w:szCs w:val="15"/>
                <w:color w:val="auto"/>
                <w:w w:val="84"/>
              </w:rPr>
              <w:t>shares</w:t>
            </w:r>
          </w:p>
        </w:tc>
        <w:tc>
          <w:tcPr>
            <w:tcW w:w="100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gridSpan w:val="4"/>
          </w:tcPr>
          <w:p>
            <w:pPr>
              <w:spacing w:after="0"/>
              <w:rPr>
                <w:sz w:val="20"/>
                <w:szCs w:val="20"/>
                <w:color w:val="auto"/>
              </w:rPr>
            </w:pPr>
            <w:r>
              <w:rPr>
                <w:rFonts w:ascii="Arial" w:cs="Arial" w:eastAsia="Arial" w:hAnsi="Arial"/>
                <w:sz w:val="15"/>
                <w:szCs w:val="15"/>
                <w:color w:val="auto"/>
              </w:rPr>
              <w:t>Balance, December 31, 2012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764,029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43,912,427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(49,894,083)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(61,648)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(6,042,522)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Notes converted into shares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412,047</w:t>
            </w:r>
          </w:p>
        </w:tc>
        <w:tc>
          <w:tcPr>
            <w:tcW w:w="14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412</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1,477,175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1,477,587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Stock based compensation in 2013</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46,840</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46,840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Obligation to issue shares at fair value</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80"/>
              <w:spacing w:after="0"/>
              <w:rPr>
                <w:sz w:val="20"/>
                <w:szCs w:val="20"/>
                <w:color w:val="auto"/>
              </w:rPr>
            </w:pPr>
            <w:r>
              <w:rPr>
                <w:rFonts w:ascii="Arial" w:cs="Arial" w:eastAsia="Arial" w:hAnsi="Arial"/>
                <w:sz w:val="15"/>
                <w:szCs w:val="15"/>
                <w:color w:val="auto"/>
              </w:rPr>
              <w:t>pursuant to service agreements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31,891</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31,891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Issued at fair value pursuant to</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80"/>
              <w:spacing w:after="0"/>
              <w:rPr>
                <w:sz w:val="20"/>
                <w:szCs w:val="20"/>
                <w:color w:val="auto"/>
              </w:rPr>
            </w:pPr>
            <w:r>
              <w:rPr>
                <w:rFonts w:ascii="Arial" w:cs="Arial" w:eastAsia="Arial" w:hAnsi="Arial"/>
                <w:sz w:val="15"/>
                <w:szCs w:val="15"/>
                <w:color w:val="auto"/>
              </w:rPr>
              <w:t>debt settlement agreements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264,649</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265</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1,211,362</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1,211,627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Finders’ fee</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(11,300)</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(11,300)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Issued at fair value pursuant to service</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agreements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3,500</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38,932</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38,936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Shares issued for director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2,500</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8,173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8,176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Non-cash exercise of warrants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18,986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Foreign exchange translation adjustment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5"/>
                <w:szCs w:val="15"/>
                <w:color w:val="auto"/>
              </w:rPr>
              <w:t>3,314</w:t>
            </w: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3,314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2"/>
              <w:spacing w:after="0"/>
              <w:rPr>
                <w:sz w:val="20"/>
                <w:szCs w:val="20"/>
                <w:color w:val="auto"/>
              </w:rPr>
            </w:pPr>
            <w:r>
              <w:rPr>
                <w:rFonts w:ascii="Arial" w:cs="Arial" w:eastAsia="Arial" w:hAnsi="Arial"/>
                <w:sz w:val="15"/>
                <w:szCs w:val="15"/>
                <w:color w:val="auto"/>
              </w:rPr>
              <w:t>(5,532,552)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(5,532,552)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Balance, December 31, 2013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1,465,712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46,715,500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(55,426,635)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(58,334)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(8,768,003)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Convertible notes, promissory notes, loan</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w w:val="98"/>
              </w:rPr>
              <w:t>payable-related party, due to related parties and</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accrued interest converted into Series A and B</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preferred stock and immediately converted into</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commons stock</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14,048,701</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14,049</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30,937,029</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30,951,078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Conversion of accounts payable to common</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stock</w:t>
            </w:r>
          </w:p>
        </w:tc>
        <w:tc>
          <w:tcPr>
            <w:tcW w:w="1000" w:type="dxa"/>
            <w:vAlign w:val="bottom"/>
          </w:tcPr>
          <w:p>
            <w:pPr>
              <w:jc w:val="right"/>
              <w:spacing w:after="0"/>
              <w:rPr>
                <w:sz w:val="20"/>
                <w:szCs w:val="20"/>
                <w:color w:val="auto"/>
              </w:rPr>
            </w:pPr>
            <w:r>
              <w:rPr>
                <w:rFonts w:ascii="Arial" w:cs="Arial" w:eastAsia="Arial" w:hAnsi="Arial"/>
                <w:sz w:val="15"/>
                <w:szCs w:val="15"/>
                <w:color w:val="auto"/>
              </w:rPr>
              <w:t>1,836,361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1,836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4,347,592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4,349,428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Private placement (net of finders’ fee)</w:t>
            </w:r>
          </w:p>
        </w:tc>
        <w:tc>
          <w:tcPr>
            <w:tcW w:w="1000" w:type="dxa"/>
            <w:vAlign w:val="bottom"/>
          </w:tcPr>
          <w:p>
            <w:pPr>
              <w:jc w:val="right"/>
              <w:spacing w:after="0"/>
              <w:rPr>
                <w:sz w:val="20"/>
                <w:szCs w:val="20"/>
                <w:color w:val="auto"/>
              </w:rPr>
            </w:pPr>
            <w:r>
              <w:rPr>
                <w:rFonts w:ascii="Arial" w:cs="Arial" w:eastAsia="Arial" w:hAnsi="Arial"/>
                <w:sz w:val="15"/>
                <w:szCs w:val="15"/>
                <w:color w:val="auto"/>
              </w:rPr>
              <w:t>2,157,042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2,157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1,875,343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1,877,500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Foreign exchange translation adjustment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5"/>
                <w:szCs w:val="15"/>
                <w:color w:val="auto"/>
              </w:rPr>
              <w:t>58,334</w:t>
            </w: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58,334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Stock- 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811,000</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811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1,390,312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1,391,123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2"/>
              <w:spacing w:after="0"/>
              <w:rPr>
                <w:sz w:val="20"/>
                <w:szCs w:val="20"/>
                <w:color w:val="auto"/>
              </w:rPr>
            </w:pPr>
            <w:r>
              <w:rPr>
                <w:rFonts w:ascii="Arial" w:cs="Arial" w:eastAsia="Arial" w:hAnsi="Arial"/>
                <w:sz w:val="15"/>
                <w:szCs w:val="15"/>
                <w:color w:val="auto"/>
              </w:rPr>
              <w:t>(30,883,096)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(30,883,096)</w:t>
            </w:r>
          </w:p>
        </w:tc>
        <w:tc>
          <w:tcPr>
            <w:tcW w:w="0" w:type="dxa"/>
            <w:vAlign w:val="bottom"/>
          </w:tcPr>
          <w:p>
            <w:pPr>
              <w:spacing w:after="0"/>
              <w:rPr>
                <w:sz w:val="1"/>
                <w:szCs w:val="1"/>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3020" w:type="dxa"/>
            <w:vAlign w:val="bottom"/>
            <w:tcBorders>
              <w:top w:val="single" w:sz="8" w:color="auto"/>
              <w:bottom w:val="single" w:sz="8" w:color="auto"/>
            </w:tcBorders>
          </w:tcPr>
          <w:p>
            <w:pPr>
              <w:spacing w:after="0" w:line="161" w:lineRule="exact"/>
              <w:rPr>
                <w:sz w:val="20"/>
                <w:szCs w:val="20"/>
                <w:color w:val="auto"/>
              </w:rPr>
            </w:pPr>
            <w:r>
              <w:rPr>
                <w:rFonts w:ascii="Arial" w:cs="Arial" w:eastAsia="Arial" w:hAnsi="Arial"/>
                <w:sz w:val="15"/>
                <w:szCs w:val="15"/>
                <w:color w:val="auto"/>
              </w:rPr>
              <w:t>Balance, December 31, 2014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20,318,816</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20,319</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85,265,776</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(86,309,731</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(1,023,636</w:t>
            </w:r>
          </w:p>
        </w:tc>
        <w:tc>
          <w:tcPr>
            <w:tcW w:w="140" w:type="dxa"/>
            <w:vAlign w:val="bottom"/>
          </w:tcPr>
          <w:p>
            <w:pPr>
              <w:jc w:val="right"/>
              <w:ind w:right="5"/>
              <w:spacing w:after="0" w:line="161"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2"/>
              <w:spacing w:after="0"/>
              <w:rPr>
                <w:sz w:val="20"/>
                <w:szCs w:val="20"/>
                <w:color w:val="auto"/>
              </w:rPr>
            </w:pPr>
            <w:r>
              <w:rPr>
                <w:rFonts w:ascii="Arial" w:cs="Arial" w:eastAsia="Arial" w:hAnsi="Arial"/>
                <w:sz w:val="15"/>
                <w:szCs w:val="15"/>
                <w:color w:val="auto"/>
                <w:w w:val="88"/>
              </w:rPr>
              <w:t>Year Ended</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185"/>
              <w:spacing w:after="0"/>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02"/>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200" w:type="dxa"/>
            <w:vAlign w:val="bottom"/>
            <w:gridSpan w:val="2"/>
          </w:tcPr>
          <w:p>
            <w:pPr>
              <w:jc w:val="center"/>
              <w:ind w:right="165"/>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8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140" w:type="dxa"/>
            <w:vAlign w:val="bottom"/>
          </w:tcPr>
          <w:p>
            <w:pPr>
              <w:spacing w:after="0"/>
              <w:rPr>
                <w:sz w:val="16"/>
                <w:szCs w:val="16"/>
                <w:color w:val="auto"/>
              </w:rPr>
            </w:pP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(30,883,096)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(5,532,552)</w:t>
            </w: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Adjustments to reconcile net loss to</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cash from operating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Changes in fair value of derivative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(581)</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(1,546,257)</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26,884,231</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2,560,045</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Accretion of discount on convertible notes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492,296</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1,110,831</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Non-cash interest and finance charges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83,247</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645,562</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Stock based compensation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1,391,123</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132,093</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Foreign exchange 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58,334</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Changes in operating assets and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Prepaid expenses and deposits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(67,500)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Deferred financing costs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24,013</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Accounts payable and accrued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(145,199)</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1,835,315</w:t>
            </w:r>
          </w:p>
        </w:tc>
      </w:tr>
      <w:tr>
        <w:trPr>
          <w:trHeight w:val="194"/>
        </w:trPr>
        <w:tc>
          <w:tcPr>
            <w:tcW w:w="20" w:type="dxa"/>
            <w:vAlign w:val="bottom"/>
          </w:tcPr>
          <w:p>
            <w:pPr>
              <w:spacing w:after="0"/>
              <w:rPr>
                <w:sz w:val="16"/>
                <w:szCs w:val="16"/>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Research agreement obligations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76,367</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(2,187,145</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(694,583</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Issuance of shares, net of issuance costs of $387,500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1,877,500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Convertible notes issuance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418,000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728,000</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Proceeds from loans payable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32,200</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Repayment to related parties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(30,867)</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Repayment of convertible notes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(20,000)</w:t>
            </w:r>
          </w:p>
        </w:tc>
      </w:tr>
      <w:tr>
        <w:trPr>
          <w:trHeight w:val="194"/>
        </w:trPr>
        <w:tc>
          <w:tcPr>
            <w:tcW w:w="20" w:type="dxa"/>
            <w:vAlign w:val="bottom"/>
          </w:tcPr>
          <w:p>
            <w:pPr>
              <w:spacing w:after="0"/>
              <w:rPr>
                <w:sz w:val="16"/>
                <w:szCs w:val="16"/>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Repayment of promissory notes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(15,000)</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2,280,500</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709,333</w:t>
            </w:r>
          </w:p>
        </w:tc>
        <w:tc>
          <w:tcPr>
            <w:tcW w:w="140" w:type="dxa"/>
            <w:vAlign w:val="bottom"/>
          </w:tcPr>
          <w:p>
            <w:pPr>
              <w:spacing w:after="0"/>
              <w:rPr>
                <w:sz w:val="15"/>
                <w:szCs w:val="15"/>
                <w:color w:val="auto"/>
              </w:rPr>
            </w:pPr>
          </w:p>
        </w:tc>
      </w:tr>
      <w:tr>
        <w:trPr>
          <w:trHeight w:val="36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INCREASE IN CASH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93,355</w:t>
            </w:r>
          </w:p>
        </w:tc>
        <w:tc>
          <w:tcPr>
            <w:tcW w:w="120" w:type="dxa"/>
            <w:vAlign w:val="bottom"/>
          </w:tcPr>
          <w:p>
            <w:pPr>
              <w:spacing w:after="0"/>
              <w:rPr>
                <w:sz w:val="24"/>
                <w:szCs w:val="24"/>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14,750</w:t>
            </w:r>
          </w:p>
        </w:tc>
      </w:tr>
      <w:tr>
        <w:trPr>
          <w:trHeight w:val="363"/>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BEGINNING OF YEAR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48,589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33,839</w:t>
            </w:r>
          </w:p>
        </w:tc>
      </w:tr>
      <w:tr>
        <w:trPr>
          <w:trHeight w:val="23"/>
        </w:trPr>
        <w:tc>
          <w:tcPr>
            <w:tcW w:w="858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6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END OF YEAR</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141,944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48,589</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5"/>
                <w:szCs w:val="15"/>
                <w:color w:val="auto"/>
                <w:w w:val="88"/>
              </w:rPr>
              <w:t>Year Ended</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5"/>
                <w:szCs w:val="15"/>
                <w:color w:val="auto"/>
                <w:w w:val="88"/>
              </w:rPr>
              <w:t>Year Ended</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color w:val="auto"/>
                <w:w w:val="89"/>
              </w:rPr>
              <w:t>December 31,</w:t>
            </w:r>
          </w:p>
        </w:tc>
      </w:tr>
      <w:tr>
        <w:trPr>
          <w:trHeight w:val="194"/>
        </w:trPr>
        <w:tc>
          <w:tcPr>
            <w:tcW w:w="8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140" w:type="dxa"/>
            <w:vAlign w:val="bottom"/>
          </w:tcPr>
          <w:p>
            <w:pPr>
              <w:spacing w:after="0"/>
              <w:rPr>
                <w:sz w:val="16"/>
                <w:szCs w:val="16"/>
                <w:color w:val="auto"/>
              </w:rPr>
            </w:pPr>
          </w:p>
        </w:tc>
      </w:tr>
      <w:tr>
        <w:trPr>
          <w:trHeight w:val="361"/>
        </w:trPr>
        <w:tc>
          <w:tcPr>
            <w:tcW w:w="8580" w:type="dxa"/>
            <w:vAlign w:val="bottom"/>
          </w:tcPr>
          <w:p>
            <w:pPr>
              <w:spacing w:after="0"/>
              <w:rPr>
                <w:sz w:val="20"/>
                <w:szCs w:val="20"/>
                <w:color w:val="auto"/>
              </w:rPr>
            </w:pPr>
            <w:r>
              <w:rPr>
                <w:rFonts w:ascii="Arial" w:cs="Arial" w:eastAsia="Arial" w:hAnsi="Arial"/>
                <w:sz w:val="15"/>
                <w:szCs w:val="15"/>
                <w:b w:val="1"/>
                <w:bCs w:val="1"/>
                <w:color w:val="auto"/>
              </w:rPr>
              <w:t>SUPPLEMENTAL SCHEDULE OF NON-CASH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2"/>
        </w:trPr>
        <w:tc>
          <w:tcPr>
            <w:tcW w:w="8580" w:type="dxa"/>
            <w:vAlign w:val="bottom"/>
          </w:tcPr>
          <w:p>
            <w:pPr>
              <w:spacing w:after="0"/>
              <w:rPr>
                <w:sz w:val="20"/>
                <w:szCs w:val="20"/>
                <w:color w:val="auto"/>
              </w:rPr>
            </w:pPr>
            <w:r>
              <w:rPr>
                <w:rFonts w:ascii="Arial" w:cs="Arial" w:eastAsia="Arial" w:hAnsi="Arial"/>
                <w:sz w:val="15"/>
                <w:szCs w:val="15"/>
                <w:color w:val="auto"/>
              </w:rPr>
              <w:t>Accounts payable settled in common stock</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2,415,000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558,000</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Conversion of debt obligations into common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Accrued interest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525,000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Convertible notes payable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4,116,000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738,000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Loans payable, related party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42,000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Promissory notes, related party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210,000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Due to related parties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369,000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Fair value derivative liability – conversion option at conversion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708,000</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5"/>
        </w:trPr>
        <w:tc>
          <w:tcPr>
            <w:tcW w:w="8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51" w:name="page52"/>
    <w:bookmarkEnd w:id="51"/>
    <w:p>
      <w:pPr>
        <w:jc w:val="center"/>
        <w:spacing w:after="0"/>
        <w:rPr>
          <w:sz w:val="20"/>
          <w:szCs w:val="20"/>
          <w:color w:val="auto"/>
        </w:rPr>
      </w:pPr>
      <w:r>
        <w:rPr>
          <w:rFonts w:ascii="Arial" w:cs="Arial" w:eastAsia="Arial" w:hAnsi="Arial"/>
          <w:sz w:val="15"/>
          <w:szCs w:val="15"/>
          <w:b w:val="1"/>
          <w:bCs w:val="1"/>
          <w:i w:val="1"/>
          <w:iCs w:val="1"/>
          <w:color w:val="auto"/>
        </w:rPr>
        <w:t>TAPIMMUNE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2014</w:t>
      </w:r>
    </w:p>
    <w:p>
      <w:pPr>
        <w:spacing w:after="0" w:line="200" w:lineRule="exact"/>
        <w:rPr>
          <w:sz w:val="20"/>
          <w:szCs w:val="20"/>
          <w:color w:val="auto"/>
        </w:rPr>
      </w:pPr>
    </w:p>
    <w:p>
      <w:pPr>
        <w:spacing w:after="0" w:line="202"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1: NATURE OF OPERATIONS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 Phase I study at the Mayo Clinic is currently evaluating the safety and immune responses of a set of proprietary HER2/neu antigens that will be part of the "Prime" for a HER2/neu breast cancer vaccine.</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second Phase I trial is underway at Mayo Clinic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Phase II advancement will be assessed in the second quarter of 2015. TapImmune has an exclusive option to license this set of peptides after successful phase 1 trials.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38" w:lineRule="exact"/>
        <w:rPr>
          <w:sz w:val="20"/>
          <w:szCs w:val="20"/>
          <w:color w:val="auto"/>
        </w:rPr>
      </w:pPr>
    </w:p>
    <w:p>
      <w:pPr>
        <w:jc w:val="both"/>
        <w:ind w:firstLine="39"/>
        <w:spacing w:after="0" w:line="276" w:lineRule="auto"/>
        <w:rPr>
          <w:sz w:val="20"/>
          <w:szCs w:val="20"/>
          <w:color w:val="auto"/>
        </w:rPr>
      </w:pPr>
      <w:r>
        <w:rPr>
          <w:rFonts w:ascii="Arial" w:cs="Arial" w:eastAsia="Arial" w:hAnsi="Arial"/>
          <w:sz w:val="15"/>
          <w:szCs w:val="15"/>
          <w:color w:val="auto"/>
        </w:rPr>
        <w:t>The Company is also exploiting the emerging field of vaccinomics for the development of vaccines applicable to a broad patient population. TapImmune's immunotherapy technologies are also aimed at the prevention of emerging viral pathogens for pandemics and biodefense.</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These consolidated financial statements have been prepared on the basis of a going concern which contemplates the realization of assets and the satisfaction of liabilities in the normal course of business. As at December 31, 2014, the Company had a working capital deficiency and has incurred significant losses since inception in the development of its business. Further losses are anticipated raising substantial doubt as to the Company’s ability to continue as a going concern.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52" w:name="page53"/>
    <w:bookmarkEnd w:id="52"/>
    <w:p>
      <w:pPr>
        <w:jc w:val="both"/>
        <w:spacing w:after="0" w:line="260" w:lineRule="auto"/>
        <w:rPr>
          <w:sz w:val="20"/>
          <w:szCs w:val="20"/>
          <w:color w:val="auto"/>
        </w:rPr>
      </w:pPr>
      <w:r>
        <w:rPr>
          <w:rFonts w:ascii="Arial" w:cs="Arial" w:eastAsia="Arial" w:hAnsi="Arial"/>
          <w:sz w:val="15"/>
          <w:szCs w:val="15"/>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There is no certainty that the Company will be able to arrange sufficient funding to satisfy current debt obligations or to continue development of products to marketability.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These financial statements are presented in United States dollars and have been prepared in accordance with accounting principles generally accepted in the United States of America (“GAAP”).</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Principles of Consolidation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These financial statements include the accounts of the Company and its wholly-owned subsidiaries GeneMax Pharmaceuticals Inc. (“GPI”) and GeneMax Pharmaceuticals Canada Inc. (“GPC”). All significant intercompany balances and transactions are eliminated upon consolidation. In the fourth quarter of fiscal 2014, the Company dissolved GPC and no longer has any Canadian subsidiary.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and accrued liabilities. Matters impacting the Company’s ability to continue as a going concern and contingencies also involve the use of estimates and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38" w:lineRule="exact"/>
        <w:rPr>
          <w:sz w:val="20"/>
          <w:szCs w:val="20"/>
          <w:color w:val="auto"/>
        </w:rPr>
      </w:pPr>
    </w:p>
    <w:p>
      <w:pPr>
        <w:ind w:left="980" w:hanging="175"/>
        <w:spacing w:after="0"/>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Level 1-Quoted prices (unadjusted) in active markets for identical assets and liabilities.</w:t>
      </w:r>
    </w:p>
    <w:p>
      <w:pPr>
        <w:spacing w:after="0" w:line="189" w:lineRule="exact"/>
        <w:rPr>
          <w:rFonts w:ascii="Arial" w:cs="Arial" w:eastAsia="Arial" w:hAnsi="Arial"/>
          <w:sz w:val="15"/>
          <w:szCs w:val="15"/>
          <w:color w:val="auto"/>
        </w:rPr>
      </w:pPr>
    </w:p>
    <w:p>
      <w:pPr>
        <w:ind w:left="800" w:right="40" w:firstLine="5"/>
        <w:spacing w:after="0" w:line="356" w:lineRule="auto"/>
        <w:tabs>
          <w:tab w:leader="none" w:pos="966" w:val="left"/>
        </w:tabs>
        <w:numPr>
          <w:ilvl w:val="0"/>
          <w:numId w:val="26"/>
        </w:numPr>
        <w:rPr>
          <w:rFonts w:ascii="Arial" w:cs="Arial" w:eastAsia="Arial" w:hAnsi="Arial"/>
          <w:sz w:val="13"/>
          <w:szCs w:val="13"/>
          <w:color w:val="auto"/>
        </w:rPr>
      </w:pPr>
      <w:r>
        <w:rPr>
          <w:rFonts w:ascii="Arial" w:cs="Arial" w:eastAsia="Arial" w:hAnsi="Arial"/>
          <w:sz w:val="13"/>
          <w:szCs w:val="13"/>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99" w:lineRule="exact"/>
        <w:rPr>
          <w:rFonts w:ascii="Arial" w:cs="Arial" w:eastAsia="Arial" w:hAnsi="Arial"/>
          <w:sz w:val="13"/>
          <w:szCs w:val="13"/>
          <w:color w:val="auto"/>
        </w:rPr>
      </w:pPr>
    </w:p>
    <w:p>
      <w:pPr>
        <w:ind w:left="800" w:right="220" w:firstLine="5"/>
        <w:spacing w:after="0" w:line="276" w:lineRule="auto"/>
        <w:tabs>
          <w:tab w:leader="none" w:pos="966" w:val="left"/>
        </w:tabs>
        <w:numPr>
          <w:ilvl w:val="0"/>
          <w:numId w:val="26"/>
        </w:numPr>
        <w:rPr>
          <w:rFonts w:ascii="Arial" w:cs="Arial" w:eastAsia="Arial" w:hAnsi="Arial"/>
          <w:sz w:val="15"/>
          <w:szCs w:val="15"/>
          <w:color w:val="auto"/>
        </w:rPr>
      </w:pPr>
      <w:r>
        <w:rPr>
          <w:rFonts w:ascii="Arial" w:cs="Arial" w:eastAsia="Arial" w:hAnsi="Arial"/>
          <w:sz w:val="15"/>
          <w:szCs w:val="15"/>
          <w:color w:val="auto"/>
        </w:rPr>
        <w:t>Level 3-Unobservable inputs that are supported by little or no market activity and that are significant to the fair value of the assets or liabilities. Financial Instruments and Concentration of Credit Risk.</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Prior Period Reclassifications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Certain prior period amounts that were combined in the December 31, 2013 consolidated financial statements have been reclassified for comparability with the December 31, 2014 presentation. These reclassifications had no effect on previously reported net loss.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color w:val="auto"/>
        </w:rPr>
        <w:t>Stock-Based Compensation</w:t>
      </w:r>
    </w:p>
    <w:p>
      <w:pPr>
        <w:spacing w:after="0" w:line="193"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The expected term of options represents the period that the Company’s stock-based awards are expected to be outstanding based on the simplified method, which is the</w:t>
      </w:r>
      <w:r>
        <w:rPr>
          <w:rFonts w:ascii="Arial" w:cs="Arial" w:eastAsia="Arial" w:hAnsi="Arial"/>
          <w:sz w:val="15"/>
          <w:szCs w:val="15"/>
          <w:i w:val="1"/>
          <w:iCs w:val="1"/>
          <w:color w:val="auto"/>
        </w:rPr>
        <w:t xml:space="preserve"> </w:t>
      </w:r>
      <w:r>
        <w:rPr>
          <w:rFonts w:ascii="Arial" w:cs="Arial" w:eastAsia="Arial" w:hAnsi="Arial"/>
          <w:sz w:val="15"/>
          <w:szCs w:val="15"/>
          <w:color w:val="auto"/>
        </w:rPr>
        <w:t>half-life from vesting to the end of its contractual term.</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 The Company computes stock price volatility over expected terms based on its historical common stock trading prices.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 The Company bases the risk-free interest rate on the implied yield available on U.S. Treasury zero-coupon issues with an equivalent remaining term.</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i w:val="1"/>
          <w:iCs w:val="1"/>
          <w:color w:val="auto"/>
        </w:rPr>
        <w:t xml:space="preserve">Expected Dividend </w:t>
      </w:r>
      <w:r>
        <w:rPr>
          <w:rFonts w:ascii="Arial" w:cs="Arial" w:eastAsia="Arial" w:hAnsi="Arial"/>
          <w:sz w:val="15"/>
          <w:szCs w:val="15"/>
          <w:color w:val="auto"/>
        </w:rPr>
        <w:t>— The Company has never declared or paid any cash dividends on its common shares and does not plan to pay cash dividends in the foreseeable future, and, therefore,</w:t>
      </w:r>
      <w:r>
        <w:rPr>
          <w:rFonts w:ascii="Arial" w:cs="Arial" w:eastAsia="Arial" w:hAnsi="Arial"/>
          <w:sz w:val="15"/>
          <w:szCs w:val="15"/>
          <w:i w:val="1"/>
          <w:iCs w:val="1"/>
          <w:color w:val="auto"/>
        </w:rPr>
        <w:t xml:space="preserve"> </w:t>
      </w:r>
      <w:r>
        <w:rPr>
          <w:rFonts w:ascii="Arial" w:cs="Arial" w:eastAsia="Arial" w:hAnsi="Arial"/>
          <w:sz w:val="15"/>
          <w:szCs w:val="15"/>
          <w:color w:val="auto"/>
        </w:rPr>
        <w:t>uses an expected dividend yield of zero in its valuation models. The Company recognizes fair value of stock options granted to nonemployees as stock-based compensation expense over the period in which the related services are received.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Financing Costs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Liability</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37" w:right="219" w:bottom="1440" w:gutter="0" w:footer="0" w:header="0"/>
        </w:sectPr>
      </w:pPr>
    </w:p>
    <w:bookmarkStart w:id="54" w:name="page55"/>
    <w:bookmarkEnd w:id="54"/>
    <w:p>
      <w:pPr>
        <w:jc w:val="both"/>
        <w:spacing w:after="0" w:line="312" w:lineRule="auto"/>
        <w:rPr>
          <w:sz w:val="20"/>
          <w:szCs w:val="20"/>
          <w:color w:val="auto"/>
        </w:rPr>
      </w:pPr>
      <w:r>
        <w:rPr>
          <w:rFonts w:ascii="Arial" w:cs="Arial" w:eastAsia="Arial" w:hAnsi="Arial"/>
          <w:sz w:val="13"/>
          <w:szCs w:val="13"/>
          <w:color w:val="auto"/>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 xml:space="preserve">The Company has evaluated the application ASC 480-10 </w:t>
      </w:r>
      <w:r>
        <w:rPr>
          <w:rFonts w:ascii="Arial" w:cs="Arial" w:eastAsia="Arial" w:hAnsi="Arial"/>
          <w:sz w:val="13"/>
          <w:szCs w:val="13"/>
          <w:i w:val="1"/>
          <w:iCs w:val="1"/>
          <w:color w:val="auto"/>
        </w:rPr>
        <w:t>Distinguishing liabilities from equity</w:t>
      </w:r>
      <w:r>
        <w:rPr>
          <w:rFonts w:ascii="Arial" w:cs="Arial" w:eastAsia="Arial" w:hAnsi="Arial"/>
          <w:sz w:val="13"/>
          <w:szCs w:val="13"/>
          <w:color w:val="auto"/>
        </w:rPr>
        <w:t xml:space="preserve">, ASC 815-40 </w:t>
      </w:r>
      <w:r>
        <w:rPr>
          <w:rFonts w:ascii="Arial" w:cs="Arial" w:eastAsia="Arial" w:hAnsi="Arial"/>
          <w:sz w:val="13"/>
          <w:szCs w:val="13"/>
          <w:i w:val="1"/>
          <w:iCs w:val="1"/>
          <w:color w:val="auto"/>
        </w:rPr>
        <w:t>Contracts in an Entity’s Own Equity</w:t>
      </w:r>
      <w:r>
        <w:rPr>
          <w:rFonts w:ascii="Arial" w:cs="Arial" w:eastAsia="Arial" w:hAnsi="Arial"/>
          <w:sz w:val="13"/>
          <w:szCs w:val="13"/>
          <w:color w:val="auto"/>
        </w:rPr>
        <w:t xml:space="preserve"> and ASC 718-10 </w:t>
      </w:r>
      <w:r>
        <w:rPr>
          <w:rFonts w:ascii="Arial" w:cs="Arial" w:eastAsia="Arial" w:hAnsi="Arial"/>
          <w:sz w:val="13"/>
          <w:szCs w:val="13"/>
          <w:i w:val="1"/>
          <w:iCs w:val="1"/>
          <w:color w:val="auto"/>
        </w:rPr>
        <w:t>Compensation – 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to the issued and outstanding warrants to purchase common stock that were issued with the convertible notes, private placements, consulting agreements, and various debt</w:t>
      </w:r>
      <w:r>
        <w:rPr>
          <w:rFonts w:ascii="Arial" w:cs="Arial" w:eastAsia="Arial" w:hAnsi="Arial"/>
          <w:sz w:val="13"/>
          <w:szCs w:val="13"/>
          <w:i w:val="1"/>
          <w:iCs w:val="1"/>
          <w:color w:val="auto"/>
        </w:rPr>
        <w:t xml:space="preserve"> </w:t>
      </w:r>
      <w:r>
        <w:rPr>
          <w:rFonts w:ascii="Arial" w:cs="Arial" w:eastAsia="Arial" w:hAnsi="Arial"/>
          <w:sz w:val="13"/>
          <w:szCs w:val="13"/>
          <w:color w:val="auto"/>
        </w:rPr>
        <w:t>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per Common Share</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per Share Applicable to Common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Options, warrants, and convertible debt outstanding were all considered anti-dilutive for the years ended December 31, 2014 and 2013, due to net losses.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securities were not included in the diluted net loss per share calculation because their effect was anti-dilutive as of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720" w:type="dxa"/>
            <w:vAlign w:val="bottom"/>
          </w:tcPr>
          <w:p>
            <w:pPr>
              <w:spacing w:after="0"/>
              <w:rPr>
                <w:sz w:val="17"/>
                <w:szCs w:val="17"/>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5"/>
                <w:szCs w:val="15"/>
                <w:b w:val="1"/>
                <w:bCs w:val="1"/>
                <w:color w:val="auto"/>
                <w:w w:val="96"/>
              </w:rPr>
              <w:t>December 31,</w:t>
            </w:r>
          </w:p>
        </w:tc>
        <w:tc>
          <w:tcPr>
            <w:tcW w:w="820" w:type="dxa"/>
            <w:vAlign w:val="bottom"/>
            <w:tcBorders>
              <w:bottom w:val="single" w:sz="8" w:color="auto"/>
            </w:tcBorders>
          </w:tcPr>
          <w:p>
            <w:pPr>
              <w:spacing w:after="0"/>
              <w:rPr>
                <w:sz w:val="17"/>
                <w:szCs w:val="17"/>
                <w:color w:val="auto"/>
              </w:rPr>
            </w:pPr>
          </w:p>
        </w:tc>
      </w:tr>
      <w:tr>
        <w:trPr>
          <w:trHeight w:val="184"/>
        </w:trPr>
        <w:tc>
          <w:tcPr>
            <w:tcW w:w="8720" w:type="dxa"/>
            <w:vAlign w:val="bottom"/>
          </w:tcPr>
          <w:p>
            <w:pPr>
              <w:spacing w:after="0"/>
              <w:rPr>
                <w:sz w:val="15"/>
                <w:szCs w:val="15"/>
                <w:color w:val="auto"/>
              </w:rPr>
            </w:pPr>
          </w:p>
        </w:tc>
        <w:tc>
          <w:tcPr>
            <w:tcW w:w="11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2014</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2013</w:t>
            </w:r>
          </w:p>
        </w:tc>
      </w:tr>
      <w:tr>
        <w:trPr>
          <w:trHeight w:val="170"/>
        </w:trPr>
        <w:tc>
          <w:tcPr>
            <w:tcW w:w="8720" w:type="dxa"/>
            <w:vAlign w:val="bottom"/>
          </w:tcPr>
          <w:p>
            <w:pPr>
              <w:spacing w:after="0" w:line="171" w:lineRule="exact"/>
              <w:rPr>
                <w:sz w:val="20"/>
                <w:szCs w:val="20"/>
                <w:color w:val="auto"/>
              </w:rPr>
            </w:pPr>
            <w:r>
              <w:rPr>
                <w:rFonts w:ascii="Arial" w:cs="Arial" w:eastAsia="Arial" w:hAnsi="Arial"/>
                <w:sz w:val="15"/>
                <w:szCs w:val="15"/>
                <w:color w:val="auto"/>
              </w:rPr>
              <w:t>Common stock options</w:t>
            </w:r>
          </w:p>
        </w:tc>
        <w:tc>
          <w:tcPr>
            <w:tcW w:w="1160" w:type="dxa"/>
            <w:vAlign w:val="bottom"/>
          </w:tcPr>
          <w:p>
            <w:pPr>
              <w:jc w:val="right"/>
              <w:spacing w:after="0" w:line="171" w:lineRule="exact"/>
              <w:rPr>
                <w:sz w:val="20"/>
                <w:szCs w:val="20"/>
                <w:color w:val="auto"/>
              </w:rPr>
            </w:pPr>
            <w:r>
              <w:rPr>
                <w:rFonts w:ascii="Arial" w:cs="Arial" w:eastAsia="Arial" w:hAnsi="Arial"/>
                <w:sz w:val="15"/>
                <w:szCs w:val="15"/>
                <w:color w:val="auto"/>
              </w:rPr>
              <w:t>65,430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71" w:lineRule="exact"/>
              <w:rPr>
                <w:sz w:val="20"/>
                <w:szCs w:val="20"/>
                <w:color w:val="auto"/>
              </w:rPr>
            </w:pPr>
            <w:r>
              <w:rPr>
                <w:rFonts w:ascii="Arial" w:cs="Arial" w:eastAsia="Arial" w:hAnsi="Arial"/>
                <w:sz w:val="15"/>
                <w:szCs w:val="15"/>
                <w:color w:val="auto"/>
              </w:rPr>
              <w:t>65,430</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equity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2,556,133</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25,168</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liability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103,284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124,284</w:t>
            </w:r>
          </w:p>
        </w:tc>
      </w:tr>
      <w:tr>
        <w:trPr>
          <w:trHeight w:val="194"/>
        </w:trPr>
        <w:tc>
          <w:tcPr>
            <w:tcW w:w="8720" w:type="dxa"/>
            <w:vAlign w:val="bottom"/>
          </w:tcPr>
          <w:p>
            <w:pPr>
              <w:spacing w:after="0"/>
              <w:rPr>
                <w:sz w:val="20"/>
                <w:szCs w:val="20"/>
                <w:color w:val="auto"/>
              </w:rPr>
            </w:pPr>
            <w:r>
              <w:rPr>
                <w:rFonts w:ascii="Arial" w:cs="Arial" w:eastAsia="Arial" w:hAnsi="Arial"/>
                <w:sz w:val="15"/>
                <w:szCs w:val="15"/>
                <w:color w:val="auto"/>
              </w:rPr>
              <w:t>Convertible notes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738,760</w:t>
            </w:r>
          </w:p>
        </w:tc>
      </w:tr>
      <w:tr>
        <w:trPr>
          <w:trHeight w:val="181"/>
        </w:trPr>
        <w:tc>
          <w:tcPr>
            <w:tcW w:w="8720" w:type="dxa"/>
            <w:vAlign w:val="bottom"/>
          </w:tcPr>
          <w:p>
            <w:pPr>
              <w:spacing w:after="0" w:line="161" w:lineRule="exact"/>
              <w:rPr>
                <w:sz w:val="20"/>
                <w:szCs w:val="20"/>
                <w:color w:val="auto"/>
              </w:rPr>
            </w:pPr>
            <w:r>
              <w:rPr>
                <w:rFonts w:ascii="Arial" w:cs="Arial" w:eastAsia="Arial" w:hAnsi="Arial"/>
                <w:sz w:val="15"/>
                <w:szCs w:val="15"/>
                <w:color w:val="auto"/>
              </w:rPr>
              <w:t>Excluded potentially dilutive securities</w:t>
            </w:r>
          </w:p>
        </w:tc>
        <w:tc>
          <w:tcPr>
            <w:tcW w:w="1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2,724,847</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953,642</w:t>
            </w:r>
          </w:p>
        </w:tc>
      </w:tr>
      <w:tr>
        <w:trPr>
          <w:trHeight w:val="20"/>
        </w:trPr>
        <w:tc>
          <w:tcPr>
            <w:tcW w:w="8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 xml:space="preserve">Accounting Standards Update No. 2014-10, </w:t>
      </w:r>
      <w:r>
        <w:rPr>
          <w:rFonts w:ascii="Arial" w:cs="Arial" w:eastAsia="Arial" w:hAnsi="Arial"/>
          <w:sz w:val="14"/>
          <w:szCs w:val="14"/>
          <w:i w:val="1"/>
          <w:iCs w:val="1"/>
          <w:color w:val="auto"/>
        </w:rPr>
        <w:t>Development Stage Entities (Topic 915): Elimination of Certain Financial Reporting Requirements, Including an Amendment to Variable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Interest Entities Guidance in Topic 810, Consolidation </w:t>
      </w:r>
      <w:r>
        <w:rPr>
          <w:rFonts w:ascii="Arial" w:cs="Arial" w:eastAsia="Arial" w:hAnsi="Arial"/>
          <w:sz w:val="14"/>
          <w:szCs w:val="14"/>
          <w:color w:val="auto"/>
        </w:rPr>
        <w:t>removes all incremental financial reporting requirements for development stage entities, including the removal of reporting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cumulative results of operations and cash flows for the period from inception to the end of the current period. The update is effective for the first annual period beginning after December 15, 2014. Early adoption is permitted, and the Company has adopted this change effective with its form 10-Q filing for the period ending September 30, 2014.</w:t>
      </w:r>
    </w:p>
    <w:p>
      <w:pPr>
        <w:spacing w:after="0" w:line="143" w:lineRule="exact"/>
        <w:rPr>
          <w:sz w:val="20"/>
          <w:szCs w:val="20"/>
          <w:color w:val="auto"/>
        </w:rPr>
      </w:pPr>
    </w:p>
    <w:p>
      <w:pPr>
        <w:jc w:val="both"/>
        <w:ind w:firstLine="30"/>
        <w:spacing w:after="0" w:line="264" w:lineRule="auto"/>
        <w:rPr>
          <w:sz w:val="20"/>
          <w:szCs w:val="20"/>
          <w:color w:val="auto"/>
        </w:rPr>
      </w:pPr>
      <w:r>
        <w:rPr>
          <w:rFonts w:ascii="Arial" w:cs="Arial" w:eastAsia="Arial" w:hAnsi="Arial"/>
          <w:sz w:val="15"/>
          <w:szCs w:val="15"/>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5" w:name="page56"/>
    <w:bookmarkEnd w:id="55"/>
    <w:p>
      <w:pPr>
        <w:ind w:left="260"/>
        <w:spacing w:after="0"/>
        <w:rPr>
          <w:sz w:val="20"/>
          <w:szCs w:val="20"/>
          <w:color w:val="auto"/>
        </w:rPr>
      </w:pPr>
      <w:r>
        <w:rPr>
          <w:rFonts w:ascii="Arial" w:cs="Arial" w:eastAsia="Arial" w:hAnsi="Arial"/>
          <w:sz w:val="15"/>
          <w:szCs w:val="15"/>
          <w:b w:val="1"/>
          <w:bCs w:val="1"/>
          <w:color w:val="auto"/>
        </w:rPr>
        <w:t>NOTE 3: ACCOUNTS PAYABLE AND ACCRUED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Accounts Payable and Accrued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color w:val="auto"/>
              </w:rPr>
              <w:t>December 31,</w:t>
            </w:r>
          </w:p>
        </w:tc>
        <w:tc>
          <w:tcPr>
            <w:tcW w:w="13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December 31,</w:t>
            </w:r>
          </w:p>
        </w:tc>
      </w:tr>
      <w:tr>
        <w:trPr>
          <w:trHeight w:val="194"/>
        </w:trPr>
        <w:tc>
          <w:tcPr>
            <w:tcW w:w="5360" w:type="dxa"/>
            <w:vAlign w:val="bottom"/>
          </w:tcPr>
          <w:p>
            <w:pPr>
              <w:spacing w:after="0"/>
              <w:rPr>
                <w:sz w:val="16"/>
                <w:szCs w:val="16"/>
                <w:color w:val="auto"/>
              </w:rPr>
            </w:pPr>
          </w:p>
        </w:tc>
        <w:tc>
          <w:tcPr>
            <w:tcW w:w="4520" w:type="dxa"/>
            <w:vAlign w:val="bottom"/>
            <w:gridSpan w:val="2"/>
          </w:tcPr>
          <w:p>
            <w:pPr>
              <w:jc w:val="right"/>
              <w:ind w:right="374"/>
              <w:spacing w:after="0"/>
              <w:rPr>
                <w:sz w:val="20"/>
                <w:szCs w:val="20"/>
                <w:color w:val="auto"/>
              </w:rPr>
            </w:pPr>
            <w:r>
              <w:rPr>
                <w:rFonts w:ascii="Arial" w:cs="Arial" w:eastAsia="Arial" w:hAnsi="Arial"/>
                <w:sz w:val="15"/>
                <w:szCs w:val="15"/>
                <w:color w:val="auto"/>
              </w:rPr>
              <w:t>2014</w:t>
            </w:r>
          </w:p>
        </w:tc>
        <w:tc>
          <w:tcPr>
            <w:tcW w:w="240" w:type="dxa"/>
            <w:vAlign w:val="bottom"/>
          </w:tcPr>
          <w:p>
            <w:pPr>
              <w:spacing w:after="0"/>
              <w:rPr>
                <w:sz w:val="16"/>
                <w:szCs w:val="16"/>
                <w:color w:val="auto"/>
              </w:rPr>
            </w:pPr>
          </w:p>
        </w:tc>
        <w:tc>
          <w:tcPr>
            <w:tcW w:w="1180" w:type="dxa"/>
            <w:vAlign w:val="bottom"/>
          </w:tcPr>
          <w:p>
            <w:pPr>
              <w:jc w:val="right"/>
              <w:ind w:right="365"/>
              <w:spacing w:after="0"/>
              <w:rPr>
                <w:sz w:val="20"/>
                <w:szCs w:val="20"/>
                <w:color w:val="auto"/>
              </w:rPr>
            </w:pPr>
            <w:r>
              <w:rPr>
                <w:rFonts w:ascii="Arial" w:cs="Arial" w:eastAsia="Arial" w:hAnsi="Arial"/>
                <w:sz w:val="15"/>
                <w:szCs w:val="15"/>
                <w:color w:val="auto"/>
              </w:rPr>
              <w:t>2013</w:t>
            </w:r>
          </w:p>
        </w:tc>
        <w:tc>
          <w:tcPr>
            <w:tcW w:w="140" w:type="dxa"/>
            <w:vAlign w:val="bottom"/>
          </w:tcPr>
          <w:p>
            <w:pPr>
              <w:spacing w:after="0"/>
              <w:rPr>
                <w:sz w:val="16"/>
                <w:szCs w:val="16"/>
                <w:color w:val="auto"/>
              </w:rPr>
            </w:pPr>
          </w:p>
        </w:tc>
      </w:tr>
      <w:tr>
        <w:trPr>
          <w:trHeight w:val="190"/>
        </w:trPr>
        <w:tc>
          <w:tcPr>
            <w:tcW w:w="5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160" w:type="dxa"/>
            <w:vAlign w:val="bottom"/>
            <w:tcBorders>
              <w:top w:val="single" w:sz="8" w:color="auto"/>
            </w:tcBorders>
          </w:tcPr>
          <w:p>
            <w:pPr>
              <w:jc w:val="right"/>
              <w:ind w:right="1034"/>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6"/>
                <w:szCs w:val="16"/>
                <w:color w:val="auto"/>
              </w:rPr>
            </w:pPr>
          </w:p>
        </w:tc>
        <w:tc>
          <w:tcPr>
            <w:tcW w:w="1180" w:type="dxa"/>
            <w:vAlign w:val="bottom"/>
            <w:tcBorders>
              <w:top w:val="single" w:sz="8" w:color="auto"/>
            </w:tcBorders>
          </w:tcPr>
          <w:p>
            <w:pPr>
              <w:jc w:val="right"/>
              <w:ind w:right="102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6"/>
                <w:szCs w:val="16"/>
                <w:color w:val="auto"/>
              </w:rPr>
            </w:pPr>
          </w:p>
        </w:tc>
      </w:tr>
      <w:tr>
        <w:trPr>
          <w:trHeight w:val="342"/>
        </w:trPr>
        <w:tc>
          <w:tcPr>
            <w:tcW w:w="5360" w:type="dxa"/>
            <w:vAlign w:val="bottom"/>
          </w:tcPr>
          <w:p>
            <w:pPr>
              <w:ind w:left="20"/>
              <w:spacing w:after="0"/>
              <w:rPr>
                <w:sz w:val="20"/>
                <w:szCs w:val="20"/>
                <w:color w:val="auto"/>
              </w:rPr>
            </w:pPr>
            <w:r>
              <w:rPr>
                <w:rFonts w:ascii="Arial" w:cs="Arial" w:eastAsia="Arial" w:hAnsi="Arial"/>
                <w:sz w:val="15"/>
                <w:szCs w:val="15"/>
                <w:color w:val="auto"/>
              </w:rPr>
              <w:t>Trade accounts payable</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620,826</w:t>
            </w:r>
          </w:p>
        </w:tc>
        <w:tc>
          <w:tcPr>
            <w:tcW w:w="2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1,450,083</w:t>
            </w:r>
          </w:p>
        </w:tc>
      </w:tr>
      <w:tr>
        <w:trPr>
          <w:trHeight w:val="181"/>
        </w:trPr>
        <w:tc>
          <w:tcPr>
            <w:tcW w:w="5360" w:type="dxa"/>
            <w:vAlign w:val="bottom"/>
          </w:tcPr>
          <w:p>
            <w:pPr>
              <w:ind w:left="20"/>
              <w:spacing w:after="0"/>
              <w:rPr>
                <w:sz w:val="20"/>
                <w:szCs w:val="20"/>
                <w:color w:val="auto"/>
              </w:rPr>
            </w:pPr>
            <w:r>
              <w:rPr>
                <w:rFonts w:ascii="Arial" w:cs="Arial" w:eastAsia="Arial" w:hAnsi="Arial"/>
                <w:sz w:val="15"/>
                <w:szCs w:val="15"/>
                <w:color w:val="auto"/>
              </w:rPr>
              <w:t>Share-settled debt</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1,348,663</w:t>
            </w:r>
          </w:p>
        </w:tc>
      </w:tr>
      <w:tr>
        <w:trPr>
          <w:trHeight w:val="181"/>
        </w:trPr>
        <w:tc>
          <w:tcPr>
            <w:tcW w:w="5360" w:type="dxa"/>
            <w:vAlign w:val="bottom"/>
          </w:tcPr>
          <w:p>
            <w:pPr>
              <w:ind w:left="20"/>
              <w:spacing w:after="0"/>
              <w:rPr>
                <w:sz w:val="20"/>
                <w:szCs w:val="20"/>
                <w:color w:val="auto"/>
              </w:rPr>
            </w:pPr>
            <w:r>
              <w:rPr>
                <w:rFonts w:ascii="Arial" w:cs="Arial" w:eastAsia="Arial" w:hAnsi="Arial"/>
                <w:sz w:val="15"/>
                <w:szCs w:val="15"/>
                <w:color w:val="auto"/>
              </w:rPr>
              <w:t>Accrued liabilities</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68,448</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201,334</w:t>
            </w:r>
          </w:p>
        </w:tc>
      </w:tr>
      <w:tr>
        <w:trPr>
          <w:trHeight w:val="181"/>
        </w:trPr>
        <w:tc>
          <w:tcPr>
            <w:tcW w:w="5360" w:type="dxa"/>
            <w:vAlign w:val="bottom"/>
          </w:tcPr>
          <w:p>
            <w:pPr>
              <w:ind w:left="20"/>
              <w:spacing w:after="0"/>
              <w:rPr>
                <w:sz w:val="20"/>
                <w:szCs w:val="20"/>
                <w:color w:val="auto"/>
              </w:rPr>
            </w:pPr>
            <w:r>
              <w:rPr>
                <w:rFonts w:ascii="Arial" w:cs="Arial" w:eastAsia="Arial" w:hAnsi="Arial"/>
                <w:sz w:val="15"/>
                <w:szCs w:val="15"/>
                <w:color w:val="auto"/>
              </w:rPr>
              <w:t>Employee payroll and severance</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220,290</w:t>
            </w:r>
          </w:p>
        </w:tc>
      </w:tr>
      <w:tr>
        <w:trPr>
          <w:trHeight w:val="194"/>
        </w:trPr>
        <w:tc>
          <w:tcPr>
            <w:tcW w:w="5360" w:type="dxa"/>
            <w:vAlign w:val="bottom"/>
          </w:tcPr>
          <w:p>
            <w:pPr>
              <w:ind w:left="20"/>
              <w:spacing w:after="0"/>
              <w:rPr>
                <w:sz w:val="20"/>
                <w:szCs w:val="20"/>
                <w:color w:val="auto"/>
              </w:rPr>
            </w:pPr>
            <w:r>
              <w:rPr>
                <w:rFonts w:ascii="Arial" w:cs="Arial" w:eastAsia="Arial" w:hAnsi="Arial"/>
                <w:sz w:val="15"/>
                <w:szCs w:val="15"/>
                <w:color w:val="auto"/>
              </w:rPr>
              <w:t>Accrued interest</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4,088</w:t>
            </w: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558,032</w:t>
            </w:r>
          </w:p>
        </w:tc>
      </w:tr>
      <w:tr>
        <w:trPr>
          <w:trHeight w:val="181"/>
        </w:trPr>
        <w:tc>
          <w:tcPr>
            <w:tcW w:w="5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693,362</w:t>
            </w:r>
          </w:p>
        </w:tc>
        <w:tc>
          <w:tcPr>
            <w:tcW w:w="2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3,778,401</w:t>
            </w:r>
          </w:p>
        </w:tc>
        <w:tc>
          <w:tcPr>
            <w:tcW w:w="140" w:type="dxa"/>
            <w:vAlign w:val="bottom"/>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fiscal 2014 the Company converted $2,415,000 accounts payable and accrued liabilities into 1,836,000 shares of common stock. The fair value of the shares, based on the trading price of the stock on the date of conversion, was $4,349,000 and the Company recorded a loss on extinguishment of $1,934,000.</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4: RESEARCH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Crucell Holland B.V. (“Crucell”) – Research License and Option Agreement</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The Company was required to make annual license payments on the anniversary of the effective date for the three year term equal to $91,000 per annum for three years through December 2011. As of December 31, 2013 and 2014, the Company accrued $492,365 under the amended agreement, inclusive of 15% interest on outstanding amounts.</w:t>
      </w:r>
    </w:p>
    <w:p>
      <w:pPr>
        <w:spacing w:after="0" w:line="157"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Company has not made use of the Crucell technology in its current work and has not asked for nor received any work product. Management hopes to settle the outstanding amounts with Crucell in 2015 and formally terminate the research license.</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5: DERIVATIVE LIABILITY</w:t>
      </w:r>
    </w:p>
    <w:p>
      <w:pPr>
        <w:spacing w:after="0" w:line="193"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20" w:type="dxa"/>
            <w:vAlign w:val="bottom"/>
            <w:gridSpan w:val="6"/>
          </w:tcPr>
          <w:p>
            <w:pPr>
              <w:jc w:val="right"/>
              <w:ind w:right="400"/>
              <w:spacing w:after="0"/>
              <w:rPr>
                <w:sz w:val="20"/>
                <w:szCs w:val="20"/>
                <w:color w:val="auto"/>
              </w:rPr>
            </w:pPr>
            <w:r>
              <w:rPr>
                <w:rFonts w:ascii="Arial" w:cs="Arial" w:eastAsia="Arial" w:hAnsi="Arial"/>
                <w:sz w:val="15"/>
                <w:szCs w:val="15"/>
                <w:b w:val="1"/>
                <w:bCs w:val="1"/>
                <w:color w:val="auto"/>
                <w:w w:val="95"/>
              </w:rPr>
              <w:t>Weighted Average Inputs for the Period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For the 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4"/>
              </w:rPr>
              <w:t>Ending March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7"/>
              </w:rPr>
              <w:t>For the Quarter</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68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of valuation</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9"/>
              </w:rPr>
              <w:t>2014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88"/>
              </w:rPr>
              <w:t>ending June 30, 2014</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5"/>
              <w:spacing w:after="0"/>
              <w:rPr>
                <w:sz w:val="20"/>
                <w:szCs w:val="20"/>
                <w:color w:val="auto"/>
              </w:rPr>
            </w:pPr>
            <w:r>
              <w:rPr>
                <w:rFonts w:ascii="Arial" w:cs="Arial" w:eastAsia="Arial" w:hAnsi="Arial"/>
                <w:sz w:val="15"/>
                <w:szCs w:val="15"/>
                <w:b w:val="1"/>
                <w:bCs w:val="1"/>
                <w:color w:val="auto"/>
                <w:w w:val="89"/>
              </w:rPr>
              <w:t>Total</w:t>
            </w:r>
          </w:p>
        </w:tc>
      </w:tr>
      <w:tr>
        <w:trPr>
          <w:trHeight w:val="170"/>
        </w:trPr>
        <w:tc>
          <w:tcPr>
            <w:tcW w:w="6840" w:type="dxa"/>
            <w:vAlign w:val="bottom"/>
          </w:tcPr>
          <w:p>
            <w:pPr>
              <w:spacing w:after="0" w:line="171" w:lineRule="exact"/>
              <w:rPr>
                <w:sz w:val="20"/>
                <w:szCs w:val="20"/>
                <w:color w:val="auto"/>
              </w:rPr>
            </w:pPr>
            <w:r>
              <w:rPr>
                <w:rFonts w:ascii="Arial" w:cs="Arial" w:eastAsia="Arial" w:hAnsi="Arial"/>
                <w:sz w:val="15"/>
                <w:szCs w:val="15"/>
                <w:color w:val="auto"/>
              </w:rPr>
              <w:t>Dividend yield (per share)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1"/>
        </w:trPr>
        <w:tc>
          <w:tcPr>
            <w:tcW w:w="6840" w:type="dxa"/>
            <w:vAlign w:val="bottom"/>
          </w:tcPr>
          <w:p>
            <w:pPr>
              <w:spacing w:after="0"/>
              <w:rPr>
                <w:sz w:val="20"/>
                <w:szCs w:val="20"/>
                <w:color w:val="auto"/>
              </w:rPr>
            </w:pPr>
            <w:r>
              <w:rPr>
                <w:rFonts w:ascii="Arial" w:cs="Arial" w:eastAsia="Arial" w:hAnsi="Arial"/>
                <w:sz w:val="15"/>
                <w:szCs w:val="15"/>
                <w:color w:val="auto"/>
              </w:rPr>
              <w:t>Strike price</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1.027</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0.88</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20"/>
                <w:szCs w:val="20"/>
                <w:color w:val="auto"/>
              </w:rPr>
            </w:pPr>
            <w:r>
              <w:rPr>
                <w:rFonts w:ascii="Arial" w:cs="Arial" w:eastAsia="Arial" w:hAnsi="Arial"/>
                <w:sz w:val="15"/>
                <w:szCs w:val="15"/>
                <w:color w:val="auto"/>
              </w:rPr>
              <w:t>Volatility (annual)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5"/>
                <w:szCs w:val="15"/>
                <w:color w:val="auto"/>
              </w:rPr>
              <w:t>199.00%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199.00%</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20"/>
                <w:szCs w:val="20"/>
                <w:color w:val="auto"/>
              </w:rPr>
            </w:pPr>
            <w:r>
              <w:rPr>
                <w:rFonts w:ascii="Arial" w:cs="Arial" w:eastAsia="Arial" w:hAnsi="Arial"/>
                <w:sz w:val="15"/>
                <w:szCs w:val="15"/>
                <w:color w:val="auto"/>
              </w:rPr>
              <w:t>Risk-free rate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5"/>
                <w:szCs w:val="15"/>
                <w:color w:val="auto"/>
              </w:rPr>
              <w:t>0.05%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0.05%</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0"/>
        </w:trPr>
        <w:tc>
          <w:tcPr>
            <w:tcW w:w="6840" w:type="dxa"/>
            <w:vAlign w:val="bottom"/>
          </w:tcPr>
          <w:p>
            <w:pPr>
              <w:spacing w:after="0"/>
              <w:rPr>
                <w:sz w:val="20"/>
                <w:szCs w:val="20"/>
                <w:color w:val="auto"/>
              </w:rPr>
            </w:pPr>
            <w:r>
              <w:rPr>
                <w:rFonts w:ascii="Arial" w:cs="Arial" w:eastAsia="Arial" w:hAnsi="Arial"/>
                <w:sz w:val="15"/>
                <w:szCs w:val="15"/>
                <w:color w:val="auto"/>
              </w:rPr>
              <w:t>Contractual term (years)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0.06</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3"/>
        </w:trPr>
        <w:tc>
          <w:tcPr>
            <w:tcW w:w="6840" w:type="dxa"/>
            <w:vAlign w:val="bottom"/>
          </w:tcPr>
          <w:p>
            <w:pPr>
              <w:spacing w:after="0"/>
              <w:rPr>
                <w:sz w:val="20"/>
                <w:szCs w:val="20"/>
                <w:color w:val="auto"/>
              </w:rPr>
            </w:pPr>
            <w:r>
              <w:rPr>
                <w:rFonts w:ascii="Arial" w:cs="Arial" w:eastAsia="Arial" w:hAnsi="Arial"/>
                <w:sz w:val="15"/>
                <w:szCs w:val="15"/>
                <w:color w:val="auto"/>
              </w:rPr>
              <w:t>Fair value of Conversion Option at extinguishment</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708,000</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4,000</w:t>
            </w:r>
          </w:p>
        </w:tc>
        <w:tc>
          <w:tcPr>
            <w:tcW w:w="240" w:type="dxa"/>
            <w:vAlign w:val="bottom"/>
          </w:tcPr>
          <w:p>
            <w:pPr>
              <w:jc w:val="right"/>
              <w:ind w:right="45"/>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325"/>
              <w:spacing w:after="0"/>
              <w:rPr>
                <w:sz w:val="20"/>
                <w:szCs w:val="20"/>
                <w:color w:val="auto"/>
              </w:rPr>
            </w:pPr>
            <w:r>
              <w:rPr>
                <w:rFonts w:ascii="Arial" w:cs="Arial" w:eastAsia="Arial" w:hAnsi="Arial"/>
                <w:sz w:val="15"/>
                <w:szCs w:val="15"/>
                <w:b w:val="1"/>
                <w:bCs w:val="1"/>
                <w:color w:val="auto"/>
              </w:rPr>
              <w:t>712,000</w:t>
            </w:r>
          </w:p>
        </w:tc>
      </w:tr>
      <w:tr>
        <w:trPr>
          <w:trHeight w:val="23"/>
        </w:trPr>
        <w:tc>
          <w:tcPr>
            <w:tcW w:w="6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56" w:name="page57"/>
    <w:bookmarkEnd w:id="56"/>
    <w:p>
      <w:pPr>
        <w:spacing w:after="0" w:line="258" w:lineRule="auto"/>
        <w:rPr>
          <w:sz w:val="20"/>
          <w:szCs w:val="20"/>
          <w:color w:val="auto"/>
        </w:rPr>
      </w:pPr>
      <w:r>
        <w:rPr>
          <w:rFonts w:ascii="Arial" w:cs="Arial" w:eastAsia="Arial" w:hAnsi="Arial"/>
          <w:sz w:val="15"/>
          <w:szCs w:val="15"/>
          <w:color w:val="auto"/>
        </w:rPr>
        <w:t>A summary of quantitative information with respect to valuation methodology and significant unobservable inputs used for the Company’s common stock purchase warrants that are categorized within Level 3 of the fair value hierarchy for the years ended 2014 and 2013 is as follows:</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ind w:left="540"/>
              <w:spacing w:after="0"/>
              <w:rPr>
                <w:sz w:val="20"/>
                <w:szCs w:val="20"/>
                <w:color w:val="auto"/>
              </w:rPr>
            </w:pPr>
            <w:r>
              <w:rPr>
                <w:rFonts w:ascii="Arial" w:cs="Arial" w:eastAsia="Arial" w:hAnsi="Arial"/>
                <w:sz w:val="15"/>
                <w:szCs w:val="15"/>
                <w:color w:val="auto"/>
              </w:rPr>
              <w:t>December 31, 2013</w:t>
            </w: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2"/>
          </w:tcPr>
          <w:p>
            <w:pPr>
              <w:ind w:left="660"/>
              <w:spacing w:after="0"/>
              <w:rPr>
                <w:sz w:val="20"/>
                <w:szCs w:val="20"/>
                <w:color w:val="auto"/>
              </w:rPr>
            </w:pPr>
            <w:r>
              <w:rPr>
                <w:rFonts w:ascii="Arial" w:cs="Arial" w:eastAsia="Arial" w:hAnsi="Arial"/>
                <w:sz w:val="15"/>
                <w:szCs w:val="15"/>
                <w:color w:val="auto"/>
              </w:rPr>
              <w:t>December 31, 2014</w:t>
            </w:r>
          </w:p>
        </w:tc>
        <w:tc>
          <w:tcPr>
            <w:tcW w:w="1120" w:type="dxa"/>
            <w:vAlign w:val="bottom"/>
            <w:tcBorders>
              <w:bottom w:val="single" w:sz="8" w:color="auto"/>
            </w:tcBorders>
          </w:tcPr>
          <w:p>
            <w:pPr>
              <w:spacing w:after="0"/>
              <w:rPr>
                <w:sz w:val="16"/>
                <w:szCs w:val="16"/>
                <w:color w:val="auto"/>
              </w:rPr>
            </w:pPr>
          </w:p>
        </w:tc>
      </w:tr>
      <w:tr>
        <w:trPr>
          <w:trHeight w:val="170"/>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ind w:left="480"/>
              <w:spacing w:after="0" w:line="171" w:lineRule="exact"/>
              <w:rPr>
                <w:sz w:val="20"/>
                <w:szCs w:val="20"/>
                <w:color w:val="auto"/>
              </w:rPr>
            </w:pPr>
            <w:r>
              <w:rPr>
                <w:rFonts w:ascii="Arial" w:cs="Arial" w:eastAsia="Arial" w:hAnsi="Arial"/>
                <w:sz w:val="15"/>
                <w:szCs w:val="15"/>
                <w:color w:val="auto"/>
              </w:rPr>
              <w:t>Contractual</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ind w:left="200"/>
              <w:spacing w:after="0" w:line="171" w:lineRule="exact"/>
              <w:rPr>
                <w:sz w:val="20"/>
                <w:szCs w:val="20"/>
                <w:color w:val="auto"/>
              </w:rPr>
            </w:pPr>
            <w:r>
              <w:rPr>
                <w:rFonts w:ascii="Arial" w:cs="Arial" w:eastAsia="Arial" w:hAnsi="Arial"/>
                <w:sz w:val="15"/>
                <w:szCs w:val="15"/>
                <w:color w:val="auto"/>
              </w:rPr>
              <w:t>Contractual</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Life (Years)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Risk free Rate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Dividend yield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Volatility</w:t>
            </w: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Life (Years)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Risk free Rate</w:t>
            </w:r>
          </w:p>
        </w:tc>
        <w:tc>
          <w:tcPr>
            <w:tcW w:w="122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color w:val="auto"/>
                <w:w w:val="96"/>
              </w:rPr>
              <w:t>Dividend yield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Volatility</w:t>
            </w:r>
          </w:p>
        </w:tc>
      </w:tr>
      <w:tr>
        <w:trPr>
          <w:trHeight w:val="20"/>
        </w:trPr>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Share purchase warrants</w:t>
            </w:r>
          </w:p>
        </w:tc>
        <w:tc>
          <w:tcPr>
            <w:tcW w:w="1400" w:type="dxa"/>
            <w:vAlign w:val="bottom"/>
            <w:tcBorders>
              <w:top w:val="single" w:sz="8" w:color="auto"/>
            </w:tcBorders>
          </w:tcPr>
          <w:p>
            <w:pPr>
              <w:ind w:left="480"/>
              <w:spacing w:after="0" w:line="156" w:lineRule="exact"/>
              <w:rPr>
                <w:sz w:val="20"/>
                <w:szCs w:val="20"/>
                <w:color w:val="auto"/>
              </w:rPr>
            </w:pPr>
            <w:r>
              <w:rPr>
                <w:rFonts w:ascii="Arial" w:cs="Arial" w:eastAsia="Arial" w:hAnsi="Arial"/>
                <w:sz w:val="15"/>
                <w:szCs w:val="15"/>
                <w:color w:val="auto"/>
              </w:rPr>
              <w:t>0.85 to 2.78</w:t>
            </w:r>
          </w:p>
        </w:tc>
        <w:tc>
          <w:tcPr>
            <w:tcW w:w="13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5"/>
                <w:szCs w:val="15"/>
                <w:color w:val="auto"/>
                <w:w w:val="92"/>
              </w:rPr>
              <w:t>0.13% to 0.78%</w:t>
            </w:r>
          </w:p>
        </w:tc>
        <w:tc>
          <w:tcPr>
            <w:tcW w:w="1200" w:type="dxa"/>
            <w:vAlign w:val="bottom"/>
            <w:tcBorders>
              <w:top w:val="single" w:sz="8" w:color="auto"/>
            </w:tcBorders>
          </w:tcPr>
          <w:p>
            <w:pPr>
              <w:jc w:val="right"/>
              <w:ind w:right="325"/>
              <w:spacing w:after="0" w:line="156" w:lineRule="exact"/>
              <w:rPr>
                <w:sz w:val="20"/>
                <w:szCs w:val="20"/>
                <w:color w:val="auto"/>
              </w:rPr>
            </w:pPr>
            <w:r>
              <w:rPr>
                <w:rFonts w:ascii="Arial" w:cs="Arial" w:eastAsia="Arial" w:hAnsi="Arial"/>
                <w:sz w:val="15"/>
                <w:szCs w:val="15"/>
                <w:color w:val="auto"/>
              </w:rPr>
              <w:t>0.00%</w:t>
            </w:r>
          </w:p>
        </w:tc>
        <w:tc>
          <w:tcPr>
            <w:tcW w:w="920" w:type="dxa"/>
            <w:vAlign w:val="bottom"/>
            <w:tcBorders>
              <w:top w:val="single" w:sz="8" w:color="auto"/>
            </w:tcBorders>
          </w:tcPr>
          <w:p>
            <w:pPr>
              <w:jc w:val="right"/>
              <w:ind w:right="225"/>
              <w:spacing w:after="0" w:line="156" w:lineRule="exact"/>
              <w:rPr>
                <w:sz w:val="20"/>
                <w:szCs w:val="20"/>
                <w:color w:val="auto"/>
              </w:rPr>
            </w:pPr>
            <w:r>
              <w:rPr>
                <w:rFonts w:ascii="Arial" w:cs="Arial" w:eastAsia="Arial" w:hAnsi="Arial"/>
                <w:sz w:val="15"/>
                <w:szCs w:val="15"/>
                <w:color w:val="auto"/>
              </w:rPr>
              <w:t>199%</w:t>
            </w:r>
          </w:p>
        </w:tc>
        <w:tc>
          <w:tcPr>
            <w:tcW w:w="1080" w:type="dxa"/>
            <w:vAlign w:val="bottom"/>
            <w:tcBorders>
              <w:top w:val="single" w:sz="8" w:color="auto"/>
            </w:tcBorders>
          </w:tcPr>
          <w:p>
            <w:pPr>
              <w:ind w:left="200"/>
              <w:spacing w:after="0" w:line="156" w:lineRule="exact"/>
              <w:rPr>
                <w:sz w:val="20"/>
                <w:szCs w:val="20"/>
                <w:color w:val="auto"/>
              </w:rPr>
            </w:pPr>
            <w:r>
              <w:rPr>
                <w:rFonts w:ascii="Arial" w:cs="Arial" w:eastAsia="Arial" w:hAnsi="Arial"/>
                <w:sz w:val="15"/>
                <w:szCs w:val="15"/>
                <w:color w:val="auto"/>
              </w:rPr>
              <w:t>1.22 to 3.53</w:t>
            </w:r>
          </w:p>
        </w:tc>
        <w:tc>
          <w:tcPr>
            <w:tcW w:w="12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5"/>
                <w:szCs w:val="15"/>
                <w:color w:val="auto"/>
                <w:w w:val="90"/>
              </w:rPr>
              <w:t>0.25% to 1.10%</w:t>
            </w:r>
          </w:p>
        </w:tc>
        <w:tc>
          <w:tcPr>
            <w:tcW w:w="1220" w:type="dxa"/>
            <w:vAlign w:val="bottom"/>
            <w:tcBorders>
              <w:top w:val="single" w:sz="8" w:color="auto"/>
            </w:tcBorders>
          </w:tcPr>
          <w:p>
            <w:pPr>
              <w:jc w:val="right"/>
              <w:ind w:right="385"/>
              <w:spacing w:after="0" w:line="156" w:lineRule="exact"/>
              <w:rPr>
                <w:sz w:val="20"/>
                <w:szCs w:val="20"/>
                <w:color w:val="auto"/>
              </w:rPr>
            </w:pPr>
            <w:r>
              <w:rPr>
                <w:rFonts w:ascii="Arial" w:cs="Arial" w:eastAsia="Arial" w:hAnsi="Arial"/>
                <w:sz w:val="15"/>
                <w:szCs w:val="15"/>
                <w:color w:val="auto"/>
              </w:rPr>
              <w:t>0.00%</w:t>
            </w:r>
          </w:p>
        </w:tc>
        <w:tc>
          <w:tcPr>
            <w:tcW w:w="11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5"/>
                <w:szCs w:val="15"/>
                <w:color w:val="auto"/>
                <w:w w:val="92"/>
              </w:rPr>
              <w:t>155.90% to</w:t>
            </w:r>
          </w:p>
        </w:tc>
      </w:tr>
      <w:tr>
        <w:trPr>
          <w:trHeight w:val="191"/>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190.68%</w:t>
            </w: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Assets and Liabilities Measured at Fair Value on a Recurring Basis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Financial assets and liabilities measured at fair value on a recurring basis are summarized below and disclosed on the balance sheet under Derivative liability – warrants and Derivative liability – conversion option: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As of December 31, 2014</w:t>
            </w: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gridSpan w:val="6"/>
          </w:tcPr>
          <w:p>
            <w:pPr>
              <w:jc w:val="center"/>
              <w:ind w:left="845"/>
              <w:spacing w:after="0"/>
              <w:rPr>
                <w:sz w:val="20"/>
                <w:szCs w:val="20"/>
                <w:color w:val="auto"/>
              </w:rPr>
            </w:pPr>
            <w:r>
              <w:rPr>
                <w:rFonts w:ascii="Arial" w:cs="Arial" w:eastAsia="Arial" w:hAnsi="Arial"/>
                <w:sz w:val="15"/>
                <w:szCs w:val="15"/>
                <w:b w:val="1"/>
                <w:bCs w:val="1"/>
                <w:color w:val="auto"/>
                <w:w w:val="91"/>
              </w:rPr>
              <w:t>Fair Value Measurements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line="171" w:lineRule="exact"/>
              <w:rPr>
                <w:sz w:val="20"/>
                <w:szCs w:val="20"/>
                <w:color w:val="auto"/>
              </w:rPr>
            </w:pPr>
            <w:r>
              <w:rPr>
                <w:rFonts w:ascii="Arial" w:cs="Arial" w:eastAsia="Arial" w:hAnsi="Arial"/>
                <w:sz w:val="15"/>
                <w:szCs w:val="15"/>
                <w:b w:val="1"/>
                <w:bCs w:val="1"/>
                <w:color w:val="auto"/>
              </w:rPr>
              <w:t>Fair Value</w:t>
            </w:r>
          </w:p>
        </w:tc>
        <w:tc>
          <w:tcPr>
            <w:tcW w:w="1160" w:type="dxa"/>
            <w:vAlign w:val="bottom"/>
            <w:gridSpan w:val="2"/>
          </w:tcPr>
          <w:p>
            <w:pPr>
              <w:jc w:val="right"/>
              <w:ind w:right="36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line="171" w:lineRule="exact"/>
              <w:rPr>
                <w:sz w:val="20"/>
                <w:szCs w:val="20"/>
                <w:color w:val="auto"/>
              </w:rPr>
            </w:pPr>
            <w:r>
              <w:rPr>
                <w:rFonts w:ascii="Arial" w:cs="Arial" w:eastAsia="Arial" w:hAnsi="Arial"/>
                <w:sz w:val="15"/>
                <w:szCs w:val="15"/>
                <w:b w:val="1"/>
                <w:bCs w:val="1"/>
                <w:color w:val="auto"/>
                <w:w w:val="90"/>
              </w:rPr>
              <w:t>Level 2</w:t>
            </w:r>
          </w:p>
        </w:tc>
        <w:tc>
          <w:tcPr>
            <w:tcW w:w="220" w:type="dxa"/>
            <w:vAlign w:val="bottom"/>
          </w:tcPr>
          <w:p>
            <w:pPr>
              <w:spacing w:after="0"/>
              <w:rPr>
                <w:sz w:val="14"/>
                <w:szCs w:val="14"/>
                <w:color w:val="auto"/>
              </w:rPr>
            </w:pPr>
          </w:p>
        </w:tc>
        <w:tc>
          <w:tcPr>
            <w:tcW w:w="1180" w:type="dxa"/>
            <w:vAlign w:val="bottom"/>
            <w:gridSpan w:val="2"/>
          </w:tcPr>
          <w:p>
            <w:pPr>
              <w:jc w:val="right"/>
              <w:ind w:right="600"/>
              <w:spacing w:after="0" w:line="171" w:lineRule="exact"/>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4"/>
                <w:szCs w:val="14"/>
                <w:color w:val="auto"/>
              </w:rPr>
            </w:pPr>
          </w:p>
        </w:tc>
        <w:tc>
          <w:tcPr>
            <w:tcW w:w="1060" w:type="dxa"/>
            <w:vAlign w:val="bottom"/>
            <w:gridSpan w:val="2"/>
          </w:tcPr>
          <w:p>
            <w:pPr>
              <w:jc w:val="right"/>
              <w:ind w:right="560"/>
              <w:spacing w:after="0" w:line="171" w:lineRule="exact"/>
              <w:rPr>
                <w:sz w:val="20"/>
                <w:szCs w:val="20"/>
                <w:color w:val="auto"/>
              </w:rPr>
            </w:pPr>
            <w:r>
              <w:rPr>
                <w:rFonts w:ascii="Arial" w:cs="Arial" w:eastAsia="Arial" w:hAnsi="Arial"/>
                <w:sz w:val="15"/>
                <w:szCs w:val="15"/>
                <w:b w:val="1"/>
                <w:bCs w:val="1"/>
                <w:color w:val="auto"/>
              </w:rPr>
              <w:t>Total</w:t>
            </w:r>
          </w:p>
        </w:tc>
      </w:tr>
      <w:tr>
        <w:trPr>
          <w:trHeight w:val="181"/>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9,415</w:t>
            </w:r>
          </w:p>
        </w:tc>
      </w:tr>
      <w:tr>
        <w:trPr>
          <w:trHeight w:val="191"/>
        </w:trPr>
        <w:tc>
          <w:tcPr>
            <w:tcW w:w="4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9,415</w:t>
            </w: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3"/>
        </w:trPr>
        <w:tc>
          <w:tcPr>
            <w:tcW w:w="4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84"/>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As of December 31, 2013</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gridSpan w:val="6"/>
          </w:tcPr>
          <w:p>
            <w:pPr>
              <w:jc w:val="center"/>
              <w:ind w:left="845"/>
              <w:spacing w:after="0"/>
              <w:rPr>
                <w:sz w:val="20"/>
                <w:szCs w:val="20"/>
                <w:color w:val="auto"/>
              </w:rPr>
            </w:pPr>
            <w:r>
              <w:rPr>
                <w:rFonts w:ascii="Arial" w:cs="Arial" w:eastAsia="Arial" w:hAnsi="Arial"/>
                <w:sz w:val="15"/>
                <w:szCs w:val="15"/>
                <w:b w:val="1"/>
                <w:bCs w:val="1"/>
                <w:color w:val="auto"/>
                <w:w w:val="91"/>
              </w:rPr>
              <w:t>Fair Value Measurements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320"/>
              <w:spacing w:after="0" w:line="171" w:lineRule="exact"/>
              <w:rPr>
                <w:sz w:val="20"/>
                <w:szCs w:val="20"/>
                <w:color w:val="auto"/>
              </w:rPr>
            </w:pPr>
            <w:r>
              <w:rPr>
                <w:rFonts w:ascii="Arial" w:cs="Arial" w:eastAsia="Arial" w:hAnsi="Arial"/>
                <w:sz w:val="15"/>
                <w:szCs w:val="15"/>
                <w:b w:val="1"/>
                <w:bCs w:val="1"/>
                <w:color w:val="auto"/>
                <w:w w:val="98"/>
              </w:rPr>
              <w:t>Carrying Value</w:t>
            </w:r>
          </w:p>
        </w:tc>
        <w:tc>
          <w:tcPr>
            <w:tcW w:w="1160" w:type="dxa"/>
            <w:vAlign w:val="bottom"/>
            <w:gridSpan w:val="2"/>
          </w:tcPr>
          <w:p>
            <w:pPr>
              <w:jc w:val="right"/>
              <w:ind w:right="36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line="171" w:lineRule="exact"/>
              <w:rPr>
                <w:sz w:val="20"/>
                <w:szCs w:val="20"/>
                <w:color w:val="auto"/>
              </w:rPr>
            </w:pPr>
            <w:r>
              <w:rPr>
                <w:rFonts w:ascii="Arial" w:cs="Arial" w:eastAsia="Arial" w:hAnsi="Arial"/>
                <w:sz w:val="15"/>
                <w:szCs w:val="15"/>
                <w:b w:val="1"/>
                <w:bCs w:val="1"/>
                <w:color w:val="auto"/>
                <w:w w:val="90"/>
              </w:rPr>
              <w:t>Level 2</w:t>
            </w:r>
          </w:p>
        </w:tc>
        <w:tc>
          <w:tcPr>
            <w:tcW w:w="220" w:type="dxa"/>
            <w:vAlign w:val="bottom"/>
          </w:tcPr>
          <w:p>
            <w:pPr>
              <w:spacing w:after="0"/>
              <w:rPr>
                <w:sz w:val="14"/>
                <w:szCs w:val="14"/>
                <w:color w:val="auto"/>
              </w:rPr>
            </w:pPr>
          </w:p>
        </w:tc>
        <w:tc>
          <w:tcPr>
            <w:tcW w:w="1180" w:type="dxa"/>
            <w:vAlign w:val="bottom"/>
            <w:gridSpan w:val="2"/>
          </w:tcPr>
          <w:p>
            <w:pPr>
              <w:jc w:val="right"/>
              <w:ind w:right="600"/>
              <w:spacing w:after="0" w:line="171" w:lineRule="exact"/>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4"/>
                <w:szCs w:val="14"/>
                <w:color w:val="auto"/>
              </w:rPr>
            </w:pPr>
          </w:p>
        </w:tc>
        <w:tc>
          <w:tcPr>
            <w:tcW w:w="1060" w:type="dxa"/>
            <w:vAlign w:val="bottom"/>
            <w:gridSpan w:val="2"/>
          </w:tcPr>
          <w:p>
            <w:pPr>
              <w:jc w:val="right"/>
              <w:ind w:right="560"/>
              <w:spacing w:after="0" w:line="171" w:lineRule="exact"/>
              <w:rPr>
                <w:sz w:val="20"/>
                <w:szCs w:val="20"/>
                <w:color w:val="auto"/>
              </w:rPr>
            </w:pPr>
            <w:r>
              <w:rPr>
                <w:rFonts w:ascii="Arial" w:cs="Arial" w:eastAsia="Arial" w:hAnsi="Arial"/>
                <w:sz w:val="15"/>
                <w:szCs w:val="15"/>
                <w:b w:val="1"/>
                <w:bCs w:val="1"/>
                <w:color w:val="auto"/>
              </w:rPr>
              <w:t>Total</w:t>
            </w:r>
          </w:p>
        </w:tc>
      </w:tr>
      <w:tr>
        <w:trPr>
          <w:trHeight w:val="181"/>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140,504</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140,504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140,504</w:t>
            </w:r>
          </w:p>
        </w:tc>
      </w:tr>
      <w:tr>
        <w:trPr>
          <w:trHeight w:val="194"/>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conversion option</w:t>
            </w: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582,300</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582,300</w:t>
            </w: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582,300</w:t>
            </w:r>
          </w:p>
        </w:tc>
      </w:tr>
      <w:tr>
        <w:trPr>
          <w:trHeight w:val="181"/>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722,804</w:t>
            </w:r>
          </w:p>
        </w:tc>
        <w:tc>
          <w:tcPr>
            <w:tcW w:w="2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722,804</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722,804</w:t>
            </w:r>
          </w:p>
        </w:tc>
        <w:tc>
          <w:tcPr>
            <w:tcW w:w="140" w:type="dxa"/>
            <w:vAlign w:val="bottom"/>
          </w:tcPr>
          <w:p>
            <w:pPr>
              <w:spacing w:after="0"/>
              <w:rPr>
                <w:sz w:val="15"/>
                <w:szCs w:val="15"/>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between Level 1, 2 or 3 during the year ended December 31, 2014.</w:t>
      </w:r>
    </w:p>
    <w:p>
      <w:pPr>
        <w:sectPr>
          <w:pgSz w:w="11900" w:h="16838" w:orient="portrait"/>
          <w:cols w:equalWidth="0" w:num="1">
            <w:col w:w="11440"/>
          </w:cols>
          <w:pgMar w:left="240" w:top="841" w:right="21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changes in Level 3 liabilities measured at fair value for the year ended December 31, 2014:</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Balance – January 1, 2013</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Additions during the year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Total unrealized (gains) or losses included in net loss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warrant liability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Balance – December 31, 2013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Gain on settlement of debt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conversion option liability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warrant liability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Balance – December 31, 2014</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5"/>
                <w:szCs w:val="15"/>
                <w:color w:val="auto"/>
              </w:rPr>
              <w:t>Derivative liability</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5"/>
                <w:szCs w:val="15"/>
                <w:color w:val="auto"/>
                <w:w w:val="96"/>
              </w:rPr>
              <w:t>– conversion</w:t>
            </w:r>
          </w:p>
        </w:tc>
        <w:tc>
          <w:tcPr>
            <w:tcW w:w="1240" w:type="dxa"/>
            <w:vAlign w:val="bottom"/>
            <w:gridSpan w:val="3"/>
          </w:tcPr>
          <w:p>
            <w:pPr>
              <w:ind w:left="20"/>
              <w:spacing w:after="0"/>
              <w:rPr>
                <w:sz w:val="20"/>
                <w:szCs w:val="20"/>
                <w:color w:val="auto"/>
              </w:rPr>
            </w:pPr>
            <w:r>
              <w:rPr>
                <w:rFonts w:ascii="Arial" w:cs="Arial" w:eastAsia="Arial" w:hAnsi="Arial"/>
                <w:sz w:val="15"/>
                <w:szCs w:val="15"/>
                <w:color w:val="auto"/>
              </w:rPr>
              <w:t>Derivative liability</w:t>
            </w: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5"/>
                <w:szCs w:val="15"/>
                <w:color w:val="auto"/>
              </w:rPr>
              <w:t>option</w:t>
            </w:r>
          </w:p>
        </w:tc>
        <w:tc>
          <w:tcPr>
            <w:tcW w:w="18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w w:val="99"/>
              </w:rPr>
              <w:t>– warrants</w:t>
            </w:r>
          </w:p>
        </w:tc>
      </w:tr>
      <w:tr>
        <w:trPr>
          <w:trHeight w:val="170"/>
        </w:trPr>
        <w:tc>
          <w:tcPr>
            <w:tcW w:w="20" w:type="dxa"/>
            <w:vAlign w:val="bottom"/>
          </w:tcPr>
          <w:p>
            <w:pPr>
              <w:spacing w:after="0"/>
              <w:rPr>
                <w:sz w:val="14"/>
                <w:szCs w:val="14"/>
                <w:color w:val="auto"/>
              </w:rPr>
            </w:pPr>
          </w:p>
        </w:tc>
        <w:tc>
          <w:tcPr>
            <w:tcW w:w="1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868,000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977,000</w:t>
            </w:r>
          </w:p>
        </w:tc>
        <w:tc>
          <w:tcPr>
            <w:tcW w:w="6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811,000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206,000</w:t>
            </w: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5"/>
                <w:szCs w:val="15"/>
                <w:color w:val="auto"/>
              </w:rPr>
              <w:t>(1,096,000)</w:t>
            </w: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(1,043,000)</w:t>
            </w:r>
          </w:p>
        </w:tc>
      </w:tr>
      <w:tr>
        <w:trPr>
          <w:trHeight w:val="170"/>
        </w:trPr>
        <w:tc>
          <w:tcPr>
            <w:tcW w:w="20" w:type="dxa"/>
            <w:vAlign w:val="bottom"/>
          </w:tcPr>
          <w:p>
            <w:pPr>
              <w:spacing w:after="0"/>
              <w:rPr>
                <w:sz w:val="14"/>
                <w:szCs w:val="14"/>
                <w:color w:val="auto"/>
              </w:rPr>
            </w:pPr>
          </w:p>
        </w:tc>
        <w:tc>
          <w:tcPr>
            <w:tcW w:w="1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gridSpan w:val="2"/>
          </w:tcPr>
          <w:p>
            <w:pPr>
              <w:jc w:val="right"/>
              <w:ind w:right="20"/>
              <w:spacing w:after="0" w:line="171" w:lineRule="exact"/>
              <w:rPr>
                <w:sz w:val="20"/>
                <w:szCs w:val="20"/>
                <w:color w:val="auto"/>
              </w:rPr>
            </w:pPr>
            <w:r>
              <w:rPr>
                <w:rFonts w:ascii="Arial" w:cs="Arial" w:eastAsia="Arial" w:hAnsi="Arial"/>
                <w:sz w:val="15"/>
                <w:szCs w:val="15"/>
                <w:color w:val="auto"/>
              </w:rPr>
              <w:t>583,000</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140,000</w:t>
            </w:r>
          </w:p>
        </w:tc>
        <w:tc>
          <w:tcPr>
            <w:tcW w:w="6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5"/>
                <w:szCs w:val="15"/>
                <w:color w:val="auto"/>
              </w:rPr>
              <w:t>(714,000)</w:t>
            </w: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131,000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(131,000)</w:t>
            </w:r>
          </w:p>
        </w:tc>
      </w:tr>
      <w:tr>
        <w:trPr>
          <w:trHeight w:val="181"/>
        </w:trPr>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8000" w:space="720"/>
            <w:col w:w="2720"/>
          </w:cols>
          <w:pgMar w:left="240" w:top="841" w:right="219" w:bottom="1440" w:gutter="0" w:footer="0" w:header="0"/>
          <w:type w:val="continuous"/>
        </w:sectPr>
      </w:pPr>
    </w:p>
    <w:p>
      <w:pPr>
        <w:jc w:val="both"/>
        <w:spacing w:after="0" w:line="306" w:lineRule="auto"/>
        <w:rPr>
          <w:sz w:val="20"/>
          <w:szCs w:val="20"/>
          <w:color w:val="auto"/>
        </w:rPr>
      </w:pPr>
      <w:r>
        <w:rPr>
          <w:rFonts w:ascii="Arial" w:cs="Arial" w:eastAsia="Arial" w:hAnsi="Arial"/>
          <w:sz w:val="13"/>
          <w:szCs w:val="13"/>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41" w:right="219" w:bottom="1440" w:gutter="0" w:footer="0" w:header="0"/>
          <w:type w:val="continuous"/>
        </w:sectPr>
      </w:pPr>
    </w:p>
    <w:bookmarkStart w:id="57" w:name="page58"/>
    <w:bookmarkEnd w:id="57"/>
    <w:p>
      <w:pPr>
        <w:jc w:val="both"/>
        <w:spacing w:after="0" w:line="284" w:lineRule="auto"/>
        <w:rPr>
          <w:sz w:val="20"/>
          <w:szCs w:val="20"/>
          <w:color w:val="auto"/>
        </w:rPr>
      </w:pPr>
      <w:r>
        <w:rPr>
          <w:rFonts w:ascii="Arial" w:cs="Arial" w:eastAsia="Arial" w:hAnsi="Arial"/>
          <w:sz w:val="14"/>
          <w:szCs w:val="14"/>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6: CONVERTIBLE NOTES PAYABLE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outstanding convertible note obligations:</w:t>
      </w:r>
    </w:p>
    <w:p>
      <w:pPr>
        <w:sectPr>
          <w:pgSz w:w="11900" w:h="16838" w:orient="portrait"/>
          <w:cols w:equalWidth="0" w:num="1">
            <w:col w:w="11440"/>
          </w:cols>
          <w:pgMar w:left="240" w:top="457" w:right="219" w:bottom="1440" w:gutter="0" w:footer="0" w:header="0"/>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Stated</w:t>
            </w:r>
          </w:p>
        </w:tc>
      </w:tr>
      <w:tr>
        <w:trPr>
          <w:trHeight w:val="181"/>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Interest</w:t>
            </w:r>
          </w:p>
        </w:tc>
      </w:tr>
      <w:tr>
        <w:trPr>
          <w:trHeight w:val="198"/>
        </w:trPr>
        <w:tc>
          <w:tcPr>
            <w:tcW w:w="13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Issue Date</w:t>
            </w:r>
          </w:p>
        </w:tc>
        <w:tc>
          <w:tcPr>
            <w:tcW w:w="1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Maturity Date</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Rate</w:t>
            </w:r>
          </w:p>
        </w:tc>
        <w:tc>
          <w:tcPr>
            <w:tcW w:w="120" w:type="dxa"/>
            <w:vAlign w:val="bottom"/>
          </w:tcPr>
          <w:p>
            <w:pPr>
              <w:spacing w:after="0"/>
              <w:rPr>
                <w:sz w:val="17"/>
                <w:szCs w:val="17"/>
                <w:color w:val="auto"/>
              </w:rPr>
            </w:pPr>
          </w:p>
        </w:tc>
      </w:tr>
      <w:tr>
        <w:trPr>
          <w:trHeight w:val="170"/>
        </w:trPr>
        <w:tc>
          <w:tcPr>
            <w:tcW w:w="1300" w:type="dxa"/>
            <w:vAlign w:val="bottom"/>
          </w:tcPr>
          <w:p>
            <w:pPr>
              <w:spacing w:after="0" w:line="171" w:lineRule="exact"/>
              <w:rPr>
                <w:sz w:val="20"/>
                <w:szCs w:val="20"/>
                <w:color w:val="auto"/>
              </w:rPr>
            </w:pPr>
            <w:r>
              <w:rPr>
                <w:rFonts w:ascii="Arial" w:cs="Arial" w:eastAsia="Arial" w:hAnsi="Arial"/>
                <w:sz w:val="15"/>
                <w:szCs w:val="15"/>
                <w:color w:val="auto"/>
              </w:rPr>
              <w:t>2/24/2011</w:t>
            </w:r>
          </w:p>
        </w:tc>
        <w:tc>
          <w:tcPr>
            <w:tcW w:w="120" w:type="dxa"/>
            <w:vAlign w:val="bottom"/>
          </w:tcPr>
          <w:p>
            <w:pPr>
              <w:spacing w:after="0"/>
              <w:rPr>
                <w:sz w:val="14"/>
                <w:szCs w:val="14"/>
                <w:color w:val="auto"/>
              </w:rPr>
            </w:pPr>
          </w:p>
        </w:tc>
        <w:tc>
          <w:tcPr>
            <w:tcW w:w="1320" w:type="dxa"/>
            <w:vAlign w:val="bottom"/>
          </w:tcPr>
          <w:p>
            <w:pPr>
              <w:spacing w:after="0" w:line="171" w:lineRule="exact"/>
              <w:rPr>
                <w:sz w:val="20"/>
                <w:szCs w:val="20"/>
                <w:color w:val="auto"/>
              </w:rPr>
            </w:pPr>
            <w:r>
              <w:rPr>
                <w:rFonts w:ascii="Arial" w:cs="Arial" w:eastAsia="Arial" w:hAnsi="Arial"/>
                <w:sz w:val="15"/>
                <w:szCs w:val="15"/>
                <w:color w:val="auto"/>
              </w:rPr>
              <w:t>2/24/2014</w:t>
            </w:r>
          </w:p>
        </w:tc>
        <w:tc>
          <w:tcPr>
            <w:tcW w:w="120" w:type="dxa"/>
            <w:vAlign w:val="bottom"/>
          </w:tcPr>
          <w:p>
            <w:pPr>
              <w:spacing w:after="0"/>
              <w:rPr>
                <w:sz w:val="14"/>
                <w:szCs w:val="14"/>
                <w:color w:val="auto"/>
              </w:rPr>
            </w:pPr>
          </w:p>
        </w:tc>
        <w:tc>
          <w:tcPr>
            <w:tcW w:w="17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4/4/2011</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4/4/2014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6/6/2011</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6/6/2014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8/12/2012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11/12/2012</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8/20/2012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8/20/2013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10/15/2012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10/15/2013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11/20/2012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11/20/2013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12/18/2012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12/14/2013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9.0%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1/5/2013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5/31/2014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1/31/2013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5/31/2014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2/27/2013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2/27/2014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4/2/2013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6/2/2013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4/18/2013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12/18/2013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5/2/2013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5/31/2014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5/5/2013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7/5/2013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5/14/2013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5/14/2014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6/27/2013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6/27/2014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6/19/2013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6/19/2014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7/12/2013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7/12/2014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10/18/2013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4/18/2014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11/1/2013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5/1/2014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90"/>
        </w:trPr>
        <w:tc>
          <w:tcPr>
            <w:tcW w:w="1300" w:type="dxa"/>
            <w:vAlign w:val="bottom"/>
          </w:tcPr>
          <w:p>
            <w:pPr>
              <w:spacing w:after="0"/>
              <w:rPr>
                <w:sz w:val="20"/>
                <w:szCs w:val="20"/>
                <w:color w:val="auto"/>
              </w:rPr>
            </w:pPr>
            <w:r>
              <w:rPr>
                <w:rFonts w:ascii="Arial" w:cs="Arial" w:eastAsia="Arial" w:hAnsi="Arial"/>
                <w:sz w:val="15"/>
                <w:szCs w:val="15"/>
                <w:color w:val="auto"/>
              </w:rPr>
              <w:t>12/19/2013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6/19/2014</w:t>
            </w:r>
          </w:p>
        </w:tc>
        <w:tc>
          <w:tcPr>
            <w:tcW w:w="12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204"/>
        </w:trPr>
        <w:tc>
          <w:tcPr>
            <w:tcW w:w="1300" w:type="dxa"/>
            <w:vAlign w:val="bottom"/>
          </w:tcPr>
          <w:p>
            <w:pPr>
              <w:spacing w:after="0"/>
              <w:rPr>
                <w:sz w:val="20"/>
                <w:szCs w:val="20"/>
                <w:color w:val="auto"/>
              </w:rPr>
            </w:pPr>
            <w:r>
              <w:rPr>
                <w:rFonts w:ascii="Arial" w:cs="Arial" w:eastAsia="Arial" w:hAnsi="Arial"/>
                <w:sz w:val="15"/>
                <w:szCs w:val="15"/>
                <w:color w:val="auto"/>
              </w:rPr>
              <w:t>12/23/2013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6/23/2014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bl>
    <w:p>
      <w:pPr>
        <w:spacing w:after="0" w:line="172"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Total convertible notes</w:t>
      </w:r>
    </w:p>
    <w:p>
      <w:pPr>
        <w:spacing w:after="0" w:line="31"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Unamortized note discount</w:t>
      </w:r>
    </w:p>
    <w:p>
      <w:pPr>
        <w:spacing w:after="0" w:line="50"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Total on Balance sheet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940"/>
        <w:spacing w:after="0"/>
        <w:rPr>
          <w:sz w:val="20"/>
          <w:szCs w:val="20"/>
          <w:color w:val="auto"/>
        </w:rPr>
      </w:pPr>
      <w:r>
        <w:rPr>
          <w:rFonts w:ascii="Arial" w:cs="Arial" w:eastAsia="Arial" w:hAnsi="Arial"/>
          <w:sz w:val="15"/>
          <w:szCs w:val="15"/>
          <w:b w:val="1"/>
          <w:bCs w:val="1"/>
          <w:color w:val="auto"/>
        </w:rPr>
        <w:t>Principal Balance Outstanding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0"/>
              </w:rPr>
              <w:t>December 31,</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25"/>
              <w:spacing w:after="0" w:line="170" w:lineRule="exact"/>
              <w:rPr>
                <w:sz w:val="20"/>
                <w:szCs w:val="20"/>
                <w:color w:val="auto"/>
              </w:rPr>
            </w:pPr>
            <w:r>
              <w:rPr>
                <w:rFonts w:ascii="Arial" w:cs="Arial" w:eastAsia="Arial" w:hAnsi="Arial"/>
                <w:sz w:val="15"/>
                <w:szCs w:val="15"/>
                <w:b w:val="1"/>
                <w:bCs w:val="1"/>
                <w:color w:val="auto"/>
                <w:w w:val="98"/>
              </w:rPr>
              <w:t>December 31,</w:t>
            </w:r>
          </w:p>
        </w:tc>
      </w:tr>
      <w:tr>
        <w:trPr>
          <w:trHeight w:val="198"/>
        </w:trPr>
        <w:tc>
          <w:tcPr>
            <w:tcW w:w="1700" w:type="dxa"/>
            <w:vAlign w:val="bottom"/>
            <w:gridSpan w:val="4"/>
          </w:tcPr>
          <w:p>
            <w:pPr>
              <w:spacing w:after="0"/>
              <w:rPr>
                <w:sz w:val="20"/>
                <w:szCs w:val="20"/>
                <w:color w:val="auto"/>
              </w:rPr>
            </w:pPr>
            <w:r>
              <w:rPr>
                <w:rFonts w:ascii="Arial" w:cs="Arial" w:eastAsia="Arial" w:hAnsi="Arial"/>
                <w:sz w:val="15"/>
                <w:szCs w:val="15"/>
                <w:b w:val="1"/>
                <w:bCs w:val="1"/>
                <w:color w:val="auto"/>
              </w:rPr>
              <w:t>Conversion Terms</w:t>
            </w:r>
          </w:p>
        </w:tc>
        <w:tc>
          <w:tcPr>
            <w:tcW w:w="960" w:type="dxa"/>
            <w:vAlign w:val="bottom"/>
          </w:tcPr>
          <w:p>
            <w:pPr>
              <w:jc w:val="right"/>
              <w:ind w:right="265"/>
              <w:spacing w:after="0"/>
              <w:rPr>
                <w:sz w:val="20"/>
                <w:szCs w:val="20"/>
                <w:color w:val="auto"/>
              </w:rPr>
            </w:pPr>
            <w:r>
              <w:rPr>
                <w:rFonts w:ascii="Arial" w:cs="Arial" w:eastAsia="Arial" w:hAnsi="Arial"/>
                <w:sz w:val="15"/>
                <w:szCs w:val="15"/>
                <w:b w:val="1"/>
                <w:bCs w:val="1"/>
                <w:color w:val="auto"/>
              </w:rPr>
              <w:t>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5"/>
              <w:spacing w:after="0"/>
              <w:rPr>
                <w:sz w:val="20"/>
                <w:szCs w:val="20"/>
                <w:color w:val="auto"/>
              </w:rPr>
            </w:pPr>
            <w:r>
              <w:rPr>
                <w:rFonts w:ascii="Arial" w:cs="Arial" w:eastAsia="Arial" w:hAnsi="Arial"/>
                <w:sz w:val="15"/>
                <w:szCs w:val="15"/>
                <w:b w:val="1"/>
                <w:bCs w:val="1"/>
                <w:color w:val="auto"/>
              </w:rPr>
              <w:t>2013</w:t>
            </w:r>
          </w:p>
        </w:tc>
      </w:tr>
      <w:tr>
        <w:trPr>
          <w:trHeight w:val="170"/>
        </w:trPr>
        <w:tc>
          <w:tcPr>
            <w:tcW w:w="132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Variable at $25.00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$ 980,858</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$25.00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215,000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$25.00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27,500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$12.00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10,748</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$10.00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$8.00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452,729</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$4.00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24,135</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58,500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$7.00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80,967</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$7.00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31,688</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$3.44</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$7.00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$6.00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126,000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37,620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$3.00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96,800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94,444</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277,222</w:t>
            </w:r>
          </w:p>
        </w:tc>
      </w:tr>
      <w:tr>
        <w:trPr>
          <w:trHeight w:val="194"/>
        </w:trPr>
        <w:tc>
          <w:tcPr>
            <w:tcW w:w="1600" w:type="dxa"/>
            <w:vAlign w:val="bottom"/>
            <w:gridSpan w:val="3"/>
          </w:tcPr>
          <w:p>
            <w:pPr>
              <w:spacing w:after="0"/>
              <w:rPr>
                <w:sz w:val="20"/>
                <w:szCs w:val="20"/>
                <w:color w:val="auto"/>
              </w:rPr>
            </w:pPr>
            <w:r>
              <w:rPr>
                <w:rFonts w:ascii="Arial" w:cs="Arial" w:eastAsia="Arial" w:hAnsi="Arial"/>
                <w:sz w:val="15"/>
                <w:szCs w:val="15"/>
                <w:color w:val="auto"/>
              </w:rPr>
              <w:t>Fixed at $7.00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536,400</w:t>
            </w:r>
          </w:p>
        </w:tc>
      </w:tr>
      <w:tr>
        <w:trPr>
          <w:trHeight w:val="351"/>
        </w:trPr>
        <w:tc>
          <w:tcPr>
            <w:tcW w:w="1700" w:type="dxa"/>
            <w:vAlign w:val="bottom"/>
            <w:gridSpan w:val="4"/>
          </w:tcPr>
          <w:p>
            <w:pPr>
              <w:ind w:left="15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3,697,611</w:t>
            </w:r>
          </w:p>
        </w:tc>
      </w:tr>
      <w:tr>
        <w:trPr>
          <w:trHeight w:val="194"/>
        </w:trPr>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(535,634)</w:t>
            </w:r>
          </w:p>
        </w:tc>
      </w:tr>
      <w:tr>
        <w:trPr>
          <w:trHeight w:val="181"/>
        </w:trPr>
        <w:tc>
          <w:tcPr>
            <w:tcW w:w="15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3,161,977</w:t>
            </w:r>
          </w:p>
        </w:tc>
      </w:tr>
      <w:tr>
        <w:trPr>
          <w:trHeight w:val="20"/>
        </w:trPr>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60" w:space="380"/>
            <w:col w:w="6500"/>
          </w:cols>
          <w:pgMar w:left="240" w:top="457" w:right="21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274560"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5"/>
          <w:szCs w:val="15"/>
          <w:i w:val="1"/>
          <w:iCs w:val="1"/>
          <w:color w:val="auto"/>
        </w:rPr>
        <w:t>Issuance of Convertible Preferred Stock</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the Company issued $418,000 of convertible notes. The notes carried no interest rate and were converted shortly thereafter (see Extinguishment loss) into preferred stock and immediately into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Debt converted to Preferred Stock and immediately converted into common stock</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During the year, note holders that included Convertible notes, Loans payable, Promissory notes-related party &amp; Due to related party exchanged approximately $4.7 million of debt and $0.5 million of accrued interest for shares of preferred stock, which was immediately converted into 14.0 million shares of common stock with a fair value of approximately $31 million. The total loss on extinguishment associated with the note conversions was $24.9 million, which includes the extinguishment of the derivative liability – conversion option of $0.7 million.</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7: LOANS PAYABLE</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As at December 31, 2014, there were unsecured loan payable in the amount of $nil (December 31, 2013 - $42,200). During the year ended December 31, 2014, investors converted $37,000 and a related party converted $5,200 of the loan into preferred stock which was immediately converted into common stock (see note 6).</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8: PROMISSORY NOTES, RELATED PARTY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has outstanding promissory notes in the amount of $52,942 (December 31, 2013 - $277,942), of which $23,000 of promissory notes are from an officer and a director of the Company. The promissory notes bear no interest charges and have no fixed repayment terms.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2014, a note holder converted outstanding principal of $210,000 and accrued interest of $12,000 into preferred stock which was immediately converted into common shares (see note 6).</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December 31, 2014, $15,000 (2013 - $nil) of the promissory notes were repaid to an officer and director of the Company.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9: DUE TO RELATED PARTIES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During the year ended December 31, 2014 the Company has outstanding promissory notes in the amount of $nil (December 31, 2013 - $369,000). During the fiscal year 2014, the related parties converted the notes of $369,000 into preferred stock which was immediately converted into common stock (See note 6).</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CAPITAL STOCK</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Split and increase in authorized shares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Capital</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 January 6, 2014, the Company designated 1,250,000 Series A preferred shares par value $0.001 (“Series A Convertible Preferred Stock”). Each share of Series A Convertible Preferred Stock automatically converted into five (5) shares of the Company’s common stock upon the occurrence of the 1:100 reverse stock split.</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February 18, 2014, the Company created a class of up to 1,500,000 preferred shares, par value $0.001, called Series B convertible preferred stock (“Series B Convertible Preferred Stock”). The terms of the Series B Convertible Preferred Stock are:</w:t>
      </w:r>
    </w:p>
    <w:p>
      <w:pPr>
        <w:spacing w:after="0" w:line="146" w:lineRule="exact"/>
        <w:rPr>
          <w:sz w:val="20"/>
          <w:szCs w:val="20"/>
          <w:color w:val="auto"/>
        </w:rPr>
      </w:pPr>
    </w:p>
    <w:p>
      <w:pPr>
        <w:ind w:left="540" w:hanging="278"/>
        <w:spacing w:after="0"/>
        <w:tabs>
          <w:tab w:leader="none" w:pos="5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rank pari passu to the common stock with respect to rights on liquidation, winding up and dissolution;</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have no dividend rights except as may be declared by the Board in its sole and absolute discretion;</w:t>
      </w:r>
    </w:p>
    <w:p>
      <w:pPr>
        <w:spacing w:after="0" w:line="189" w:lineRule="exact"/>
        <w:rPr>
          <w:rFonts w:ascii="Arial" w:cs="Arial" w:eastAsia="Arial" w:hAnsi="Arial"/>
          <w:sz w:val="15"/>
          <w:szCs w:val="15"/>
          <w:color w:val="auto"/>
        </w:rPr>
      </w:pPr>
    </w:p>
    <w:p>
      <w:pPr>
        <w:ind w:left="520" w:hanging="269"/>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shall have the right to cast one thousand (1,000) votes for each share held of record on all matters submitted to a vote of holders of the Corporation’s common stock; and</w:t>
      </w:r>
    </w:p>
    <w:p>
      <w:pPr>
        <w:spacing w:after="0" w:line="200" w:lineRule="exact"/>
        <w:rPr>
          <w:rFonts w:ascii="Arial" w:cs="Arial" w:eastAsia="Arial" w:hAnsi="Arial"/>
          <w:sz w:val="14"/>
          <w:szCs w:val="14"/>
          <w:color w:val="auto"/>
        </w:rPr>
      </w:pPr>
    </w:p>
    <w:p>
      <w:pPr>
        <w:ind w:left="540" w:hanging="278"/>
        <w:spacing w:after="0"/>
        <w:tabs>
          <w:tab w:leader="none" w:pos="5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shall automatically convert into seven (7) shares of common upon the occurrence of a 1:100 reverse stock split.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9" w:name="page60"/>
    <w:bookmarkEnd w:id="59"/>
    <w:p>
      <w:pPr>
        <w:jc w:val="both"/>
        <w:ind w:right="20"/>
        <w:spacing w:after="0" w:line="276" w:lineRule="auto"/>
        <w:rPr>
          <w:sz w:val="20"/>
          <w:szCs w:val="20"/>
          <w:color w:val="auto"/>
        </w:rPr>
      </w:pPr>
      <w:r>
        <w:rPr>
          <w:rFonts w:ascii="Arial" w:cs="Arial" w:eastAsia="Arial" w:hAnsi="Arial"/>
          <w:sz w:val="15"/>
          <w:szCs w:val="15"/>
          <w:color w:val="auto"/>
        </w:rPr>
        <w:t>All prior period share transactions included in the Company’s stock transactions and balances have been retroactively restated for the reverse stock splits described above. There are no shares outstanding under preferred shares as of December 31, 2014.</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2014 Share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Consulting services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2014, the Company issued in aggregate 811,000 shares of common stock in exchange for consulting services for which performance was complete. The fair value of the common stock recognized was approximately $954,000.</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Private placements</w:t>
      </w:r>
    </w:p>
    <w:p>
      <w:pPr>
        <w:spacing w:after="0" w:line="189"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During the year ended December 31, 2014, the Company entered into a Securities Purchase Agreement with a single institutional investor for the sale of 1,886,792 units at a purchase price of $1.06 per unit, for a total purchase price of $1,836,000, net of finders’ fee of $164,000. Each unit consists of one common share and one share purchase warrant exercisable at $1.17 for a period of 5 years. The Company also issued 94,340 placement agent share purchase warrants to acquire an equivalent number of common shares of the Company, at an exercise price of $1.325 per share for an exercise period of up to five years from the issuance date. The warrants were included within equity. The fair value of these warrants was determined to be $111,000, using the Black-Scholes Option Pricing Model with a contractual term of 5 years, a risk free interest rate of 1.66%, a dividend yield of 0%, and an expected volatility of 150.3%.</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During the year ended December 31, 2014, the Company received subscription proceeds of $265,000 for 265,000 units. Each unit consists of one share of common stock and one share purchase warrant exercisable at $2.50 for a period of 3 years. The Company also issued 5,250 shares of common stock as finders’ fee relating to the subscription proceeds. The fair value of the common stock was determined to be $5,250.</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Compensation Plan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October 14, 2009, the Company adopted the 2009 Stock Incentive Plan (the “2009 Plan”) which supersedes and replaces the 2007 Stock Plan. The 2009 Plan allows for the issuance of up to 100,000 common shares. Options granted under the Plan shall be at prices and for terms as determined by the Board of Directors.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expensed portion of the value of the granted and vested options during the year ended December 31, 2014 was $15,000 (2013 - $132,093) which was recorded as stock based consulting and management fees.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purchase options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stock options as of December 31, 2014 and 2013 and changes during the years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40"/>
              <w:spacing w:after="0"/>
              <w:rPr>
                <w:sz w:val="20"/>
                <w:szCs w:val="20"/>
                <w:color w:val="auto"/>
              </w:rPr>
            </w:pPr>
            <w:r>
              <w:rPr>
                <w:rFonts w:ascii="Arial" w:cs="Arial" w:eastAsia="Arial" w:hAnsi="Arial"/>
                <w:sz w:val="15"/>
                <w:szCs w:val="15"/>
                <w:color w:val="auto"/>
              </w:rPr>
              <w:t>Number of</w:t>
            </w:r>
          </w:p>
        </w:tc>
        <w:tc>
          <w:tcPr>
            <w:tcW w:w="140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color w:val="auto"/>
              </w:rPr>
              <w:t>Weighted Average</w:t>
            </w:r>
          </w:p>
        </w:tc>
        <w:tc>
          <w:tcPr>
            <w:tcW w:w="132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5"/>
                <w:szCs w:val="15"/>
                <w:color w:val="auto"/>
                <w:w w:val="89"/>
              </w:rPr>
              <w:t>Weighted Average</w:t>
            </w:r>
          </w:p>
        </w:tc>
      </w:tr>
      <w:tr>
        <w:trPr>
          <w:trHeight w:val="194"/>
        </w:trPr>
        <w:tc>
          <w:tcPr>
            <w:tcW w:w="7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Options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1"/>
              </w:rPr>
              <w:t>Exercise Price</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Remaining Life</w:t>
            </w:r>
          </w:p>
        </w:tc>
        <w:tc>
          <w:tcPr>
            <w:tcW w:w="140" w:type="dxa"/>
            <w:vAlign w:val="bottom"/>
          </w:tcPr>
          <w:p>
            <w:pPr>
              <w:spacing w:after="0"/>
              <w:rPr>
                <w:sz w:val="16"/>
                <w:szCs w:val="16"/>
                <w:color w:val="auto"/>
              </w:rPr>
            </w:pPr>
          </w:p>
        </w:tc>
      </w:tr>
      <w:tr>
        <w:trPr>
          <w:trHeight w:val="351"/>
        </w:trPr>
        <w:tc>
          <w:tcPr>
            <w:tcW w:w="7200" w:type="dxa"/>
            <w:vAlign w:val="bottom"/>
          </w:tcPr>
          <w:p>
            <w:pPr>
              <w:spacing w:after="0"/>
              <w:rPr>
                <w:sz w:val="20"/>
                <w:szCs w:val="20"/>
                <w:color w:val="auto"/>
              </w:rPr>
            </w:pPr>
            <w:r>
              <w:rPr>
                <w:rFonts w:ascii="Arial" w:cs="Arial" w:eastAsia="Arial" w:hAnsi="Arial"/>
                <w:sz w:val="15"/>
                <w:szCs w:val="15"/>
                <w:b w:val="1"/>
                <w:bCs w:val="1"/>
                <w:color w:val="auto"/>
              </w:rPr>
              <w:t>Balance, December 31, 2012</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65,430</w:t>
            </w:r>
          </w:p>
        </w:tc>
        <w:tc>
          <w:tcPr>
            <w:tcW w:w="1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18.00</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6.05</w:t>
            </w:r>
          </w:p>
        </w:tc>
      </w:tr>
      <w:tr>
        <w:trPr>
          <w:trHeight w:val="181"/>
        </w:trPr>
        <w:tc>
          <w:tcPr>
            <w:tcW w:w="7200" w:type="dxa"/>
            <w:vAlign w:val="bottom"/>
          </w:tcPr>
          <w:p>
            <w:pPr>
              <w:ind w:left="60"/>
              <w:spacing w:after="0"/>
              <w:rPr>
                <w:sz w:val="20"/>
                <w:szCs w:val="20"/>
                <w:color w:val="auto"/>
              </w:rPr>
            </w:pPr>
            <w:r>
              <w:rPr>
                <w:rFonts w:ascii="Arial" w:cs="Arial" w:eastAsia="Arial" w:hAnsi="Arial"/>
                <w:sz w:val="15"/>
                <w:szCs w:val="15"/>
                <w:color w:val="auto"/>
              </w:rPr>
              <w:t>Issued</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1"/>
        </w:trPr>
        <w:tc>
          <w:tcPr>
            <w:tcW w:w="7200" w:type="dxa"/>
            <w:vAlign w:val="bottom"/>
          </w:tcPr>
          <w:p>
            <w:pPr>
              <w:ind w:left="60"/>
              <w:spacing w:after="0"/>
              <w:rPr>
                <w:sz w:val="20"/>
                <w:szCs w:val="20"/>
                <w:color w:val="auto"/>
              </w:rPr>
            </w:pPr>
            <w:r>
              <w:rPr>
                <w:rFonts w:ascii="Arial" w:cs="Arial" w:eastAsia="Arial" w:hAnsi="Arial"/>
                <w:sz w:val="15"/>
                <w:szCs w:val="15"/>
                <w:color w:val="auto"/>
              </w:rPr>
              <w:t>Cancelled/Forfeited</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3"/>
        </w:trPr>
        <w:tc>
          <w:tcPr>
            <w:tcW w:w="7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51"/>
        </w:trPr>
        <w:tc>
          <w:tcPr>
            <w:tcW w:w="7200" w:type="dxa"/>
            <w:vAlign w:val="bottom"/>
          </w:tcPr>
          <w:p>
            <w:pPr>
              <w:spacing w:after="0"/>
              <w:rPr>
                <w:sz w:val="20"/>
                <w:szCs w:val="20"/>
                <w:color w:val="auto"/>
              </w:rPr>
            </w:pPr>
            <w:r>
              <w:rPr>
                <w:rFonts w:ascii="Arial" w:cs="Arial" w:eastAsia="Arial" w:hAnsi="Arial"/>
                <w:sz w:val="15"/>
                <w:szCs w:val="15"/>
                <w:b w:val="1"/>
                <w:bCs w:val="1"/>
                <w:color w:val="auto"/>
              </w:rPr>
              <w:t>Balance, December 31, 2013</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65,430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18.00</w:t>
            </w:r>
          </w:p>
        </w:tc>
        <w:tc>
          <w:tcPr>
            <w:tcW w:w="2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5.04</w:t>
            </w:r>
          </w:p>
        </w:tc>
      </w:tr>
      <w:tr>
        <w:trPr>
          <w:trHeight w:val="181"/>
        </w:trPr>
        <w:tc>
          <w:tcPr>
            <w:tcW w:w="7200" w:type="dxa"/>
            <w:vAlign w:val="bottom"/>
          </w:tcPr>
          <w:p>
            <w:pPr>
              <w:ind w:left="60"/>
              <w:spacing w:after="0"/>
              <w:rPr>
                <w:sz w:val="20"/>
                <w:szCs w:val="20"/>
                <w:color w:val="auto"/>
              </w:rPr>
            </w:pPr>
            <w:r>
              <w:rPr>
                <w:rFonts w:ascii="Arial" w:cs="Arial" w:eastAsia="Arial" w:hAnsi="Arial"/>
                <w:sz w:val="15"/>
                <w:szCs w:val="15"/>
                <w:color w:val="auto"/>
              </w:rPr>
              <w:t>Issued</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7200" w:type="dxa"/>
            <w:vAlign w:val="bottom"/>
          </w:tcPr>
          <w:p>
            <w:pPr>
              <w:ind w:left="60"/>
              <w:spacing w:after="0"/>
              <w:rPr>
                <w:sz w:val="20"/>
                <w:szCs w:val="20"/>
                <w:color w:val="auto"/>
              </w:rPr>
            </w:pPr>
            <w:r>
              <w:rPr>
                <w:rFonts w:ascii="Arial" w:cs="Arial" w:eastAsia="Arial" w:hAnsi="Arial"/>
                <w:sz w:val="15"/>
                <w:szCs w:val="15"/>
                <w:color w:val="auto"/>
              </w:rPr>
              <w:t>Cancelled/Forfeited</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5"/>
        </w:trPr>
        <w:tc>
          <w:tcPr>
            <w:tcW w:w="7200" w:type="dxa"/>
            <w:vAlign w:val="bottom"/>
          </w:tcPr>
          <w:p>
            <w:pPr>
              <w:spacing w:after="0"/>
              <w:rPr>
                <w:sz w:val="20"/>
                <w:szCs w:val="20"/>
                <w:color w:val="auto"/>
              </w:rPr>
            </w:pPr>
            <w:r>
              <w:rPr>
                <w:rFonts w:ascii="Arial" w:cs="Arial" w:eastAsia="Arial" w:hAnsi="Arial"/>
                <w:sz w:val="15"/>
                <w:szCs w:val="15"/>
                <w:b w:val="1"/>
                <w:bCs w:val="1"/>
                <w:color w:val="auto"/>
              </w:rPr>
              <w:t>Balance, December 31, 2014</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65,430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18.00</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4.04</w:t>
            </w: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2014, the intrinsic value of the vested options was equal to $nil (2013 - $nil).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60" w:name="page61"/>
    <w:bookmarkEnd w:id="60"/>
    <w:p>
      <w:pPr>
        <w:spacing w:after="0"/>
        <w:rPr>
          <w:sz w:val="20"/>
          <w:szCs w:val="20"/>
          <w:color w:val="auto"/>
        </w:rPr>
      </w:pPr>
      <w:r>
        <w:rPr>
          <w:rFonts w:ascii="Arial" w:cs="Arial" w:eastAsia="Arial" w:hAnsi="Arial"/>
          <w:sz w:val="15"/>
          <w:szCs w:val="15"/>
          <w:color w:val="auto"/>
        </w:rPr>
        <w:t>A summary of the status of the Company’s unvested options as of December 31, 2014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5"/>
                <w:szCs w:val="15"/>
                <w:color w:val="auto"/>
                <w:w w:val="89"/>
              </w:rPr>
              <w:t>Weighted Average</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5"/>
                <w:szCs w:val="15"/>
                <w:color w:val="auto"/>
              </w:rPr>
              <w:t>Number of</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color w:val="auto"/>
                <w:w w:val="91"/>
              </w:rPr>
              <w:t>Grant-Date</w:t>
            </w:r>
          </w:p>
        </w:tc>
      </w:tr>
      <w:tr>
        <w:trPr>
          <w:trHeight w:val="194"/>
        </w:trPr>
        <w:tc>
          <w:tcPr>
            <w:tcW w:w="8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rPr>
              <w:t>Shares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color w:val="auto"/>
                <w:w w:val="90"/>
              </w:rPr>
              <w:t>Fair Value</w:t>
            </w:r>
          </w:p>
        </w:tc>
        <w:tc>
          <w:tcPr>
            <w:tcW w:w="140" w:type="dxa"/>
            <w:vAlign w:val="bottom"/>
          </w:tcPr>
          <w:p>
            <w:pPr>
              <w:spacing w:after="0"/>
              <w:rPr>
                <w:sz w:val="16"/>
                <w:szCs w:val="16"/>
                <w:color w:val="auto"/>
              </w:rPr>
            </w:pPr>
          </w:p>
        </w:tc>
      </w:tr>
      <w:tr>
        <w:trPr>
          <w:trHeight w:val="351"/>
        </w:trPr>
        <w:tc>
          <w:tcPr>
            <w:tcW w:w="8580" w:type="dxa"/>
            <w:vAlign w:val="bottom"/>
          </w:tcPr>
          <w:p>
            <w:pPr>
              <w:spacing w:after="0"/>
              <w:rPr>
                <w:sz w:val="20"/>
                <w:szCs w:val="20"/>
                <w:color w:val="auto"/>
              </w:rPr>
            </w:pPr>
            <w:r>
              <w:rPr>
                <w:rFonts w:ascii="Arial" w:cs="Arial" w:eastAsia="Arial" w:hAnsi="Arial"/>
                <w:sz w:val="15"/>
                <w:szCs w:val="15"/>
                <w:b w:val="1"/>
                <w:bCs w:val="1"/>
                <w:color w:val="auto"/>
              </w:rPr>
              <w:t>Unvested, December 31, 2013</w:t>
            </w:r>
          </w:p>
        </w:tc>
        <w:tc>
          <w:tcPr>
            <w:tcW w:w="1540" w:type="dxa"/>
            <w:vAlign w:val="bottom"/>
            <w:gridSpan w:val="3"/>
          </w:tcPr>
          <w:p>
            <w:pPr>
              <w:jc w:val="right"/>
              <w:ind w:right="240"/>
              <w:spacing w:after="0"/>
              <w:rPr>
                <w:sz w:val="20"/>
                <w:szCs w:val="20"/>
                <w:color w:val="auto"/>
              </w:rPr>
            </w:pPr>
            <w:r>
              <w:rPr>
                <w:rFonts w:ascii="Arial" w:cs="Arial" w:eastAsia="Arial" w:hAnsi="Arial"/>
                <w:sz w:val="15"/>
                <w:szCs w:val="15"/>
                <w:color w:val="auto"/>
              </w:rPr>
              <w:t>1,111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18.00</w:t>
            </w: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Granted</w:t>
            </w:r>
          </w:p>
        </w:tc>
        <w:tc>
          <w:tcPr>
            <w:tcW w:w="1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Vested</w:t>
            </w:r>
          </w:p>
        </w:tc>
        <w:tc>
          <w:tcPr>
            <w:tcW w:w="1540" w:type="dxa"/>
            <w:vAlign w:val="bottom"/>
            <w:gridSpan w:val="3"/>
          </w:tcPr>
          <w:p>
            <w:pPr>
              <w:jc w:val="right"/>
              <w:ind w:right="200"/>
              <w:spacing w:after="0"/>
              <w:rPr>
                <w:sz w:val="20"/>
                <w:szCs w:val="20"/>
                <w:color w:val="auto"/>
              </w:rPr>
            </w:pPr>
            <w:r>
              <w:rPr>
                <w:rFonts w:ascii="Arial" w:cs="Arial" w:eastAsia="Arial" w:hAnsi="Arial"/>
                <w:sz w:val="15"/>
                <w:szCs w:val="15"/>
                <w:color w:val="auto"/>
              </w:rPr>
              <w:t>(833)</w:t>
            </w:r>
          </w:p>
        </w:tc>
        <w:tc>
          <w:tcPr>
            <w:tcW w:w="1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18.00</w:t>
            </w:r>
          </w:p>
        </w:tc>
      </w:tr>
      <w:tr>
        <w:trPr>
          <w:trHeight w:val="191"/>
        </w:trPr>
        <w:tc>
          <w:tcPr>
            <w:tcW w:w="8580" w:type="dxa"/>
            <w:vAlign w:val="bottom"/>
          </w:tcPr>
          <w:p>
            <w:pPr>
              <w:ind w:left="60"/>
              <w:spacing w:after="0"/>
              <w:rPr>
                <w:sz w:val="20"/>
                <w:szCs w:val="20"/>
                <w:color w:val="auto"/>
              </w:rPr>
            </w:pPr>
            <w:r>
              <w:rPr>
                <w:rFonts w:ascii="Arial" w:cs="Arial" w:eastAsia="Arial" w:hAnsi="Arial"/>
                <w:sz w:val="15"/>
                <w:szCs w:val="15"/>
                <w:color w:val="auto"/>
              </w:rPr>
              <w:t>Cancelled</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3"/>
        </w:trPr>
        <w:tc>
          <w:tcPr>
            <w:tcW w:w="8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61"/>
        </w:trPr>
        <w:tc>
          <w:tcPr>
            <w:tcW w:w="8580" w:type="dxa"/>
            <w:vAlign w:val="bottom"/>
          </w:tcPr>
          <w:p>
            <w:pPr>
              <w:spacing w:after="0"/>
              <w:rPr>
                <w:sz w:val="20"/>
                <w:szCs w:val="20"/>
                <w:color w:val="auto"/>
              </w:rPr>
            </w:pPr>
            <w:r>
              <w:rPr>
                <w:rFonts w:ascii="Arial" w:cs="Arial" w:eastAsia="Arial" w:hAnsi="Arial"/>
                <w:sz w:val="15"/>
                <w:szCs w:val="15"/>
                <w:b w:val="1"/>
                <w:bCs w:val="1"/>
                <w:color w:val="auto"/>
              </w:rPr>
              <w:t>Unvested, December 31, 2014</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278</w:t>
            </w:r>
          </w:p>
        </w:tc>
        <w:tc>
          <w:tcPr>
            <w:tcW w:w="2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18.00</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7"/>
        </w:trPr>
        <w:tc>
          <w:tcPr>
            <w:tcW w:w="8580" w:type="dxa"/>
            <w:vAlign w:val="bottom"/>
          </w:tcPr>
          <w:p>
            <w:pPr>
              <w:spacing w:after="0"/>
              <w:rPr>
                <w:sz w:val="20"/>
                <w:szCs w:val="20"/>
                <w:color w:val="auto"/>
              </w:rPr>
            </w:pPr>
            <w:r>
              <w:rPr>
                <w:rFonts w:ascii="Arial" w:cs="Arial" w:eastAsia="Arial" w:hAnsi="Arial"/>
                <w:sz w:val="15"/>
                <w:szCs w:val="15"/>
                <w:b w:val="1"/>
                <w:bCs w:val="1"/>
                <w:color w:val="auto"/>
              </w:rPr>
              <w:t>Share Purchase Warrants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September, 2014, the Company issued 100,000 share purchase warrants to acquire an equivalent number of common shares of the Company, at an exercise price of $1.15 per share for an exercise period of up to five years from the issuance date. The warrants were issued pursuant to a service agreement. The fair value of these warrants was determined to be $105,000, using the Black-Scholes Option Pricing Model with a contractual term of 5 years, a risk free interest rate of 1.63%, a dividend yield of 0%, and an annual volatility of 150.18%.</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March, 2014, the Company issued 100,000 share purchase warrants to acquire an equivalent number of common shares of the Company, at an exercise price of $4.00 per share for an exercise period of up to four years from the issuance date. The warrants were issued pursuant to a technology option agreement. The fair value of these warrants was determined to be $303,000 and was recorded in general and administrative expenses. The weighted average assumptions used for the Black-Scholes option-pricing model to value these warrants were: volatility of 156.6%, risk free rate of 1.4%, term of 4 years and dividend rate of 0%. The Company used the Black-Scholes option-pricing model as the resultant fair value is not significantly different than the Monte Carlo option pricing model. In August 2014, the Company repriced the 100,000 warrants by reducing the exercise price from $4.00 to $1.06. As a result, the Company recorded incremental fair value of $14,000 during the year ended December 31, 2014.</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share purchase warrants as of December 31, 2014 and changes during the year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5"/>
                <w:szCs w:val="15"/>
                <w:color w:val="auto"/>
              </w:rPr>
              <w:t>Number of</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5"/>
                <w:szCs w:val="15"/>
                <w:color w:val="auto"/>
                <w:w w:val="90"/>
              </w:rPr>
              <w:t>Weighted Average</w:t>
            </w:r>
          </w:p>
        </w:tc>
        <w:tc>
          <w:tcPr>
            <w:tcW w:w="13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5"/>
                <w:szCs w:val="15"/>
                <w:color w:val="auto"/>
                <w:w w:val="89"/>
              </w:rPr>
              <w:t>Weighted Average</w:t>
            </w:r>
          </w:p>
        </w:tc>
      </w:tr>
      <w:tr>
        <w:trPr>
          <w:trHeight w:val="194"/>
        </w:trPr>
        <w:tc>
          <w:tcPr>
            <w:tcW w:w="2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Warrants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91"/>
              </w:rPr>
              <w:t>Exercise Price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color w:val="auto"/>
                <w:w w:val="93"/>
              </w:rPr>
              <w:t>Remaining Life</w:t>
            </w:r>
          </w:p>
        </w:tc>
        <w:tc>
          <w:tcPr>
            <w:tcW w:w="140" w:type="dxa"/>
            <w:vAlign w:val="bottom"/>
          </w:tcPr>
          <w:p>
            <w:pPr>
              <w:spacing w:after="0"/>
              <w:rPr>
                <w:sz w:val="16"/>
                <w:szCs w:val="16"/>
                <w:color w:val="auto"/>
              </w:rPr>
            </w:pPr>
          </w:p>
        </w:tc>
      </w:tr>
      <w:tr>
        <w:trPr>
          <w:trHeight w:val="351"/>
        </w:trPr>
        <w:tc>
          <w:tcPr>
            <w:tcW w:w="7200" w:type="dxa"/>
            <w:vAlign w:val="bottom"/>
            <w:gridSpan w:val="2"/>
          </w:tcPr>
          <w:p>
            <w:pPr>
              <w:spacing w:after="0"/>
              <w:rPr>
                <w:sz w:val="20"/>
                <w:szCs w:val="20"/>
                <w:color w:val="auto"/>
              </w:rPr>
            </w:pPr>
            <w:r>
              <w:rPr>
                <w:rFonts w:ascii="Arial" w:cs="Arial" w:eastAsia="Arial" w:hAnsi="Arial"/>
                <w:sz w:val="15"/>
                <w:szCs w:val="15"/>
                <w:b w:val="1"/>
                <w:bCs w:val="1"/>
                <w:color w:val="auto"/>
              </w:rPr>
              <w:t>Balance, December 31, 2013</w:t>
            </w:r>
          </w:p>
        </w:tc>
        <w:tc>
          <w:tcPr>
            <w:tcW w:w="1380" w:type="dxa"/>
            <w:vAlign w:val="bottom"/>
            <w:gridSpan w:val="3"/>
          </w:tcPr>
          <w:p>
            <w:pPr>
              <w:jc w:val="right"/>
              <w:ind w:right="100"/>
              <w:spacing w:after="0"/>
              <w:rPr>
                <w:sz w:val="20"/>
                <w:szCs w:val="20"/>
                <w:color w:val="auto"/>
              </w:rPr>
            </w:pPr>
            <w:r>
              <w:rPr>
                <w:rFonts w:ascii="Arial" w:cs="Arial" w:eastAsia="Arial" w:hAnsi="Arial"/>
                <w:sz w:val="15"/>
                <w:szCs w:val="15"/>
                <w:color w:val="auto"/>
              </w:rPr>
              <w:t>149,452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25.85</w:t>
            </w:r>
          </w:p>
        </w:tc>
        <w:tc>
          <w:tcPr>
            <w:tcW w:w="1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2.76</w:t>
            </w:r>
          </w:p>
        </w:tc>
      </w:tr>
      <w:tr>
        <w:trPr>
          <w:trHeight w:val="181"/>
        </w:trPr>
        <w:tc>
          <w:tcPr>
            <w:tcW w:w="20" w:type="dxa"/>
            <w:vAlign w:val="bottom"/>
          </w:tcPr>
          <w:p>
            <w:pPr>
              <w:spacing w:after="0"/>
              <w:rPr>
                <w:sz w:val="15"/>
                <w:szCs w:val="15"/>
                <w:color w:val="auto"/>
              </w:rPr>
            </w:pPr>
          </w:p>
        </w:tc>
        <w:tc>
          <w:tcPr>
            <w:tcW w:w="7180" w:type="dxa"/>
            <w:vAlign w:val="bottom"/>
          </w:tcPr>
          <w:p>
            <w:pPr>
              <w:ind w:left="40"/>
              <w:spacing w:after="0"/>
              <w:rPr>
                <w:sz w:val="20"/>
                <w:szCs w:val="20"/>
                <w:color w:val="auto"/>
              </w:rPr>
            </w:pPr>
            <w:r>
              <w:rPr>
                <w:rFonts w:ascii="Arial" w:cs="Arial" w:eastAsia="Arial" w:hAnsi="Arial"/>
                <w:sz w:val="15"/>
                <w:szCs w:val="15"/>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5"/>
                <w:szCs w:val="15"/>
                <w:color w:val="auto"/>
              </w:rPr>
              <w:t>2,546,132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4.23</w:t>
            </w:r>
          </w:p>
        </w:tc>
      </w:tr>
      <w:tr>
        <w:trPr>
          <w:trHeight w:val="181"/>
        </w:trPr>
        <w:tc>
          <w:tcPr>
            <w:tcW w:w="20" w:type="dxa"/>
            <w:vAlign w:val="bottom"/>
          </w:tcPr>
          <w:p>
            <w:pPr>
              <w:spacing w:after="0"/>
              <w:rPr>
                <w:sz w:val="15"/>
                <w:szCs w:val="15"/>
                <w:color w:val="auto"/>
              </w:rPr>
            </w:pPr>
          </w:p>
        </w:tc>
        <w:tc>
          <w:tcPr>
            <w:tcW w:w="7180" w:type="dxa"/>
            <w:vAlign w:val="bottom"/>
          </w:tcPr>
          <w:p>
            <w:pPr>
              <w:ind w:left="40"/>
              <w:spacing w:after="0"/>
              <w:rPr>
                <w:sz w:val="20"/>
                <w:szCs w:val="20"/>
                <w:color w:val="auto"/>
              </w:rPr>
            </w:pPr>
            <w:r>
              <w:rPr>
                <w:rFonts w:ascii="Arial" w:cs="Arial" w:eastAsia="Arial" w:hAnsi="Arial"/>
                <w:sz w:val="15"/>
                <w:szCs w:val="15"/>
                <w:color w:val="auto"/>
              </w:rPr>
              <w:t>Exercised</w:t>
            </w:r>
          </w:p>
        </w:tc>
        <w:tc>
          <w:tcPr>
            <w:tcW w:w="138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7180" w:type="dxa"/>
            <w:vAlign w:val="bottom"/>
          </w:tcPr>
          <w:p>
            <w:pPr>
              <w:ind w:left="40"/>
              <w:spacing w:after="0"/>
              <w:rPr>
                <w:sz w:val="20"/>
                <w:szCs w:val="20"/>
                <w:color w:val="auto"/>
              </w:rPr>
            </w:pPr>
            <w:r>
              <w:rPr>
                <w:rFonts w:ascii="Arial" w:cs="Arial" w:eastAsia="Arial" w:hAnsi="Arial"/>
                <w:sz w:val="15"/>
                <w:szCs w:val="15"/>
                <w:color w:val="auto"/>
              </w:rPr>
              <w:t>Extinguished or expired</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(36,167)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40.00</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Borders>
              <w:bottom w:val="single" w:sz="8" w:color="auto"/>
            </w:tcBorders>
          </w:tcPr>
          <w:p>
            <w:pPr>
              <w:spacing w:after="0"/>
              <w:rPr>
                <w:sz w:val="15"/>
                <w:szCs w:val="15"/>
                <w:color w:val="auto"/>
              </w:rPr>
            </w:pPr>
          </w:p>
        </w:tc>
        <w:tc>
          <w:tcPr>
            <w:tcW w:w="7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Balance, December 31, 2014</w:t>
            </w:r>
          </w:p>
        </w:tc>
        <w:tc>
          <w:tcPr>
            <w:tcW w:w="14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2,659,417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1.83</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4.15</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6"/>
        </w:trPr>
        <w:tc>
          <w:tcPr>
            <w:tcW w:w="7200" w:type="dxa"/>
            <w:vAlign w:val="bottom"/>
            <w:gridSpan w:val="2"/>
          </w:tcPr>
          <w:p>
            <w:pPr>
              <w:spacing w:after="0"/>
              <w:rPr>
                <w:sz w:val="20"/>
                <w:szCs w:val="20"/>
                <w:color w:val="auto"/>
              </w:rPr>
            </w:pPr>
            <w:r>
              <w:rPr>
                <w:rFonts w:ascii="Arial" w:cs="Arial" w:eastAsia="Arial" w:hAnsi="Arial"/>
                <w:sz w:val="15"/>
                <w:szCs w:val="15"/>
                <w:b w:val="1"/>
                <w:bCs w:val="1"/>
                <w:color w:val="auto"/>
              </w:rPr>
              <w:t>NOTE 11: INCOME TAXES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2"/>
        </w:trPr>
        <w:tc>
          <w:tcPr>
            <w:tcW w:w="7200" w:type="dxa"/>
            <w:vAlign w:val="bottom"/>
            <w:gridSpan w:val="2"/>
          </w:tcPr>
          <w:p>
            <w:pPr>
              <w:spacing w:after="0"/>
              <w:rPr>
                <w:sz w:val="20"/>
                <w:szCs w:val="20"/>
                <w:color w:val="auto"/>
              </w:rPr>
            </w:pPr>
            <w:r>
              <w:rPr>
                <w:rFonts w:ascii="Arial" w:cs="Arial" w:eastAsia="Arial" w:hAnsi="Arial"/>
                <w:sz w:val="15"/>
                <w:szCs w:val="15"/>
                <w:color w:val="auto"/>
              </w:rPr>
              <w:t>The income tax provision (benefit) for the years ended December 31, 2014 and 2013 are as follows: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71" w:lineRule="exact"/>
              <w:rPr>
                <w:sz w:val="20"/>
                <w:szCs w:val="20"/>
                <w:color w:val="auto"/>
              </w:rPr>
            </w:pPr>
            <w:r>
              <w:rPr>
                <w:rFonts w:ascii="Arial" w:cs="Arial" w:eastAsia="Arial" w:hAnsi="Arial"/>
                <w:sz w:val="15"/>
                <w:szCs w:val="15"/>
                <w:color w:val="auto"/>
                <w:w w:val="88"/>
              </w:rPr>
              <w:t>Year Ended</w:t>
            </w:r>
          </w:p>
        </w:tc>
        <w:tc>
          <w:tcPr>
            <w:tcW w:w="100" w:type="dxa"/>
            <w:vAlign w:val="bottom"/>
          </w:tcPr>
          <w:p>
            <w:pPr>
              <w:spacing w:after="0"/>
              <w:rPr>
                <w:sz w:val="14"/>
                <w:szCs w:val="14"/>
                <w:color w:val="auto"/>
              </w:rPr>
            </w:pPr>
          </w:p>
        </w:tc>
        <w:tc>
          <w:tcPr>
            <w:tcW w:w="1220" w:type="dxa"/>
            <w:vAlign w:val="bottom"/>
            <w:gridSpan w:val="2"/>
          </w:tcPr>
          <w:p>
            <w:pPr>
              <w:jc w:val="center"/>
              <w:ind w:right="240"/>
              <w:spacing w:after="0" w:line="171" w:lineRule="exact"/>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color w:val="auto"/>
                <w:w w:val="89"/>
              </w:rPr>
              <w:t>December 31,</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color w:val="auto"/>
                <w:w w:val="89"/>
              </w:rPr>
              <w:t>2013</w:t>
            </w:r>
          </w:p>
        </w:tc>
        <w:tc>
          <w:tcPr>
            <w:tcW w:w="140" w:type="dxa"/>
            <w:vAlign w:val="bottom"/>
          </w:tcPr>
          <w:p>
            <w:pPr>
              <w:spacing w:after="0"/>
              <w:rPr>
                <w:sz w:val="16"/>
                <w:szCs w:val="16"/>
                <w:color w:val="auto"/>
              </w:rPr>
            </w:pPr>
          </w:p>
        </w:tc>
      </w:tr>
      <w:tr>
        <w:trPr>
          <w:trHeight w:val="532"/>
        </w:trPr>
        <w:tc>
          <w:tcPr>
            <w:tcW w:w="7200" w:type="dxa"/>
            <w:vAlign w:val="bottom"/>
            <w:gridSpan w:val="2"/>
          </w:tcPr>
          <w:p>
            <w:pPr>
              <w:spacing w:after="0"/>
              <w:rPr>
                <w:sz w:val="20"/>
                <w:szCs w:val="20"/>
                <w:color w:val="auto"/>
              </w:rPr>
            </w:pPr>
            <w:r>
              <w:rPr>
                <w:rFonts w:ascii="Arial" w:cs="Arial" w:eastAsia="Arial" w:hAnsi="Arial"/>
                <w:sz w:val="15"/>
                <w:szCs w:val="15"/>
                <w:color w:val="auto"/>
              </w:rPr>
              <w:t>Federal:</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0"/>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Deferred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(1,265,000)</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(1,321,000)</w:t>
            </w:r>
          </w:p>
        </w:tc>
      </w:tr>
      <w:tr>
        <w:trPr>
          <w:trHeight w:val="353"/>
        </w:trPr>
        <w:tc>
          <w:tcPr>
            <w:tcW w:w="7200" w:type="dxa"/>
            <w:vAlign w:val="bottom"/>
            <w:gridSpan w:val="2"/>
          </w:tcPr>
          <w:p>
            <w:pPr>
              <w:spacing w:after="0"/>
              <w:rPr>
                <w:sz w:val="20"/>
                <w:szCs w:val="20"/>
                <w:color w:val="auto"/>
              </w:rPr>
            </w:pPr>
            <w:r>
              <w:rPr>
                <w:rFonts w:ascii="Arial" w:cs="Arial" w:eastAsia="Arial" w:hAnsi="Arial"/>
                <w:sz w:val="15"/>
                <w:szCs w:val="15"/>
                <w:color w:val="auto"/>
              </w:rPr>
              <w:t>State:</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1"/>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Deferred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5"/>
                <w:szCs w:val="15"/>
                <w:color w:val="auto"/>
              </w:rPr>
              <w:t>(1,265,000)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5"/>
                <w:szCs w:val="15"/>
                <w:color w:val="auto"/>
              </w:rPr>
              <w:t>(1,321,000)</w:t>
            </w:r>
          </w:p>
        </w:tc>
        <w:tc>
          <w:tcPr>
            <w:tcW w:w="140" w:type="dxa"/>
            <w:vAlign w:val="bottom"/>
          </w:tcPr>
          <w:p>
            <w:pPr>
              <w:spacing w:after="0"/>
              <w:rPr>
                <w:sz w:val="13"/>
                <w:szCs w:val="13"/>
                <w:color w:val="auto"/>
              </w:rPr>
            </w:pPr>
          </w:p>
        </w:tc>
      </w:tr>
      <w:tr>
        <w:trPr>
          <w:trHeight w:val="194"/>
        </w:trPr>
        <w:tc>
          <w:tcPr>
            <w:tcW w:w="7200" w:type="dxa"/>
            <w:vAlign w:val="bottom"/>
            <w:gridSpan w:val="2"/>
          </w:tcPr>
          <w:p>
            <w:pPr>
              <w:spacing w:after="0"/>
              <w:rPr>
                <w:sz w:val="20"/>
                <w:szCs w:val="20"/>
                <w:color w:val="auto"/>
              </w:rPr>
            </w:pPr>
            <w:r>
              <w:rPr>
                <w:rFonts w:ascii="Arial" w:cs="Arial" w:eastAsia="Arial" w:hAnsi="Arial"/>
                <w:sz w:val="15"/>
                <w:szCs w:val="15"/>
                <w:color w:val="auto"/>
              </w:rPr>
              <w:t>Change in valuation allowance</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1,265,000</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1,321,000</w:t>
            </w:r>
          </w:p>
        </w:tc>
      </w:tr>
      <w:tr>
        <w:trPr>
          <w:trHeight w:val="181"/>
        </w:trPr>
        <w:tc>
          <w:tcPr>
            <w:tcW w:w="72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Income tax provision (benefit)</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7"/>
        </w:trPr>
        <w:tc>
          <w:tcPr>
            <w:tcW w:w="20" w:type="dxa"/>
            <w:vAlign w:val="bottom"/>
          </w:tcPr>
          <w:p>
            <w:pPr>
              <w:spacing w:after="0"/>
              <w:rPr>
                <w:sz w:val="24"/>
                <w:szCs w:val="24"/>
                <w:color w:val="auto"/>
              </w:rPr>
            </w:pPr>
          </w:p>
        </w:tc>
        <w:tc>
          <w:tcPr>
            <w:tcW w:w="7180" w:type="dxa"/>
            <w:vAlign w:val="bottom"/>
          </w:tcPr>
          <w:p>
            <w:pPr>
              <w:ind w:left="5560"/>
              <w:spacing w:after="0"/>
              <w:rPr>
                <w:sz w:val="20"/>
                <w:szCs w:val="20"/>
                <w:color w:val="auto"/>
              </w:rPr>
            </w:pPr>
            <w:r>
              <w:rPr>
                <w:rFonts w:ascii="Arial" w:cs="Arial" w:eastAsia="Arial" w:hAnsi="Arial"/>
                <w:sz w:val="15"/>
                <w:szCs w:val="15"/>
                <w:color w:val="auto"/>
              </w:rPr>
              <w:t>F-17</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9"/>
        </w:trPr>
        <w:tc>
          <w:tcPr>
            <w:tcW w:w="20" w:type="dxa"/>
            <w:vAlign w:val="bottom"/>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61" w:name="page62"/>
    <w:bookmarkEnd w:id="61"/>
    <w:p>
      <w:pPr>
        <w:spacing w:after="0"/>
        <w:rPr>
          <w:sz w:val="20"/>
          <w:szCs w:val="20"/>
          <w:color w:val="auto"/>
        </w:rPr>
      </w:pPr>
      <w:r>
        <w:rPr>
          <w:rFonts w:ascii="Arial" w:cs="Arial" w:eastAsia="Arial" w:hAnsi="Arial"/>
          <w:sz w:val="13"/>
          <w:szCs w:val="13"/>
          <w:color w:val="auto"/>
        </w:rPr>
        <w:t>The effects of temporary differences that give rise to significant portions of the deferred tax assets as of December 31, 2014 and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726884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-231140</wp:posOffset>
            </wp:positionV>
            <wp:extent cx="545909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color w:val="auto"/>
        </w:rPr>
        <w:t>Ney operating loss carryforwards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Stock-based compensation</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color w:val="auto"/>
        </w:rPr>
        <w:t>Technology licensing fee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Total deferred tax assets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54590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54590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Year Ended</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60" w:type="dxa"/>
            <w:vAlign w:val="bottom"/>
          </w:tcPr>
          <w:p>
            <w:pPr>
              <w:spacing w:after="0"/>
              <w:rPr>
                <w:sz w:val="16"/>
                <w:szCs w:val="16"/>
                <w:color w:val="auto"/>
              </w:rPr>
            </w:pPr>
          </w:p>
        </w:tc>
      </w:tr>
      <w:tr>
        <w:trPr>
          <w:trHeight w:val="532"/>
        </w:trPr>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10,433,000</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9,174,000</w:t>
            </w:r>
          </w:p>
        </w:tc>
      </w:tr>
      <w:tr>
        <w:trPr>
          <w:trHeight w:val="181"/>
        </w:trPr>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1,871,000</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1,866,000</w:t>
            </w: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167,000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167,000</w:t>
            </w:r>
          </w:p>
        </w:tc>
      </w:tr>
      <w:tr>
        <w:trPr>
          <w:trHeight w:val="170"/>
        </w:trPr>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12,471,000</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11,207,000</w:t>
            </w:r>
          </w:p>
        </w:tc>
        <w:tc>
          <w:tcPr>
            <w:tcW w:w="6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(12,471,000)</w:t>
            </w: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(11,207,000)</w:t>
            </w:r>
          </w:p>
        </w:tc>
      </w:tr>
      <w:tr>
        <w:trPr>
          <w:trHeight w:val="181"/>
        </w:trPr>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8000" w:space="720"/>
            <w:col w:w="2720"/>
          </w:cols>
          <w:pgMar w:left="240" w:top="457" w:right="219" w:bottom="1440" w:gutter="0" w:footer="0" w:header="0"/>
          <w:type w:val="continuous"/>
        </w:sectPr>
      </w:pPr>
    </w:p>
    <w:p>
      <w:pPr>
        <w:jc w:val="both"/>
        <w:spacing w:after="0" w:line="264" w:lineRule="auto"/>
        <w:rPr>
          <w:sz w:val="20"/>
          <w:szCs w:val="20"/>
          <w:color w:val="auto"/>
        </w:rPr>
      </w:pPr>
      <w:r>
        <w:rPr>
          <w:rFonts w:ascii="Arial" w:cs="Arial" w:eastAsia="Arial" w:hAnsi="Arial"/>
          <w:sz w:val="15"/>
          <w:szCs w:val="15"/>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2014 and 2013.</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Company has not filed U.S tax returns since inception, but is in the process of filing tax returns for the years ended December 31, 2014, 2013, 2012, 2011, 2010, and 2009. The Net operating losses (“NOLs”) will not be available to reduce future taxable income until the returns are filed. Assuming these returns are filed, as of December 31, 2014 and 2013, the Company has approximately $30,686,428 and $26,982,085, respectively, of federal NOLs that may be available to offset future taxable income, if any. The federal net operating loss carryforwards, if not utilized, will expire beginning in 2023.</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Company has also not filed any Canadian tax returns for GPC, which was dissolved in the fourth quarter of fiscal year 2014. The Company could be subject to fines and penalties for not filing the tax returns. The Company does not know the quantum of such fines and penalties, if any, and no liabilities have been accrued in the fiscal year 2014.</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For the years ended December 31, 2014 and 2013, the expected tax expense (benefit) based on the U.S. federal statutory rate is reconciled with the actual tax provision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726884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-231140</wp:posOffset>
            </wp:positionV>
            <wp:extent cx="545909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5"/>
          <w:szCs w:val="15"/>
          <w:color w:val="auto"/>
        </w:rPr>
        <w:t>Permanent differences</w:t>
      </w:r>
    </w:p>
    <w:p>
      <w:pPr>
        <w:spacing w:after="0" w:line="18" w:lineRule="exact"/>
        <w:rPr>
          <w:sz w:val="20"/>
          <w:szCs w:val="20"/>
          <w:color w:val="auto"/>
        </w:rPr>
      </w:pPr>
    </w:p>
    <w:p>
      <w:pPr>
        <w:ind w:left="180" w:right="5300" w:hanging="39"/>
        <w:spacing w:after="0" w:line="251" w:lineRule="auto"/>
        <w:tabs>
          <w:tab w:leader="none" w:pos="230"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Non-cash loss on extinguishment of debt -Other permanent differences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5"/>
          <w:szCs w:val="15"/>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54590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33655</wp:posOffset>
            </wp:positionV>
            <wp:extent cx="54590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Year Ended</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60" w:type="dxa"/>
            <w:vAlign w:val="bottom"/>
          </w:tcPr>
          <w:p>
            <w:pPr>
              <w:spacing w:after="0"/>
              <w:rPr>
                <w:sz w:val="16"/>
                <w:szCs w:val="16"/>
                <w:color w:val="auto"/>
              </w:rPr>
            </w:pPr>
          </w:p>
        </w:tc>
      </w:tr>
      <w:tr>
        <w:trPr>
          <w:trHeight w:val="361"/>
        </w:trPr>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(10,449,000)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(1,881,000)</w:t>
            </w:r>
          </w:p>
        </w:tc>
      </w:tr>
      <w:tr>
        <w:trPr>
          <w:trHeight w:val="53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9,122,000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893,000</w:t>
            </w: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62,000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(334,000)</w:t>
            </w: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1,265,000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1,322,000</w:t>
            </w:r>
          </w:p>
        </w:tc>
      </w:tr>
      <w:tr>
        <w:trPr>
          <w:trHeight w:val="181"/>
        </w:trPr>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720"/>
          </w:cols>
          <w:pgMar w:left="240" w:top="457" w:right="219" w:bottom="1440" w:gutter="0" w:footer="0" w:header="0"/>
          <w:type w:val="continuous"/>
        </w:sectPr>
      </w:pP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2014 and 2013, there were no unrecognized tax benefits. The Company recognizes accrued interest and penalties as income tax expense. No amounts were accrued for the payment of interest and penalties at December 31, 2014 and 2013. The Company is currently not aware of any issues under review that could result in significant payments, accruals or material deviation from its position in the next year.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5"/>
          <w:szCs w:val="15"/>
          <w:b w:val="1"/>
          <w:bCs w:val="1"/>
          <w:color w:val="auto"/>
        </w:rPr>
        <w:t>NOTE 12: CONTINGENCIES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Consultant Litigation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May 2012, the Company issued 112,000 post-consolidated shares of common stock to two consultants. The Company contested the validity of the services provided and initially were able to delay the sale of the contested shares. The Company was not successful in recovering the contested shares. A claim for alleged damages of approximately $362,000 plus costs by one of the consultants as a result of the contesting of the issuance of the shares has been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the arbitrator ordered (on July 18, 2014) the consultant to pay Tapimmune $196,204 plus 9% interest from the date of the award. The Company is attempting to collect the award from Mr. Gardner.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law firm that we used to pursue the Gardner Action was awarded a judgment against us for $210,255 of unpaid legal fees (“G&amp;S Judgment”). Shareholders of the Company acquired the G&amp;S Judgment in full, converted that Judgment into preferred shares of the Company (which in turn converted into common stock) and subsequently released the Company from any liability related thereto.</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One of our suppliers, Fischer Scientific was awarded a judgment against us for $51,000 which is equal to the amount owed to them. We intend on settling that matter in the second quarter of 2015.</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13:SUBSEQUENT EVENTS</w:t>
      </w:r>
    </w:p>
    <w:p>
      <w:pPr>
        <w:spacing w:after="0" w:line="193" w:lineRule="exact"/>
        <w:rPr>
          <w:sz w:val="20"/>
          <w:szCs w:val="20"/>
          <w:color w:val="auto"/>
        </w:rPr>
      </w:pPr>
    </w:p>
    <w:p>
      <w:pPr>
        <w:ind w:left="540" w:right="20" w:hanging="278"/>
        <w:spacing w:after="0" w:line="299" w:lineRule="auto"/>
        <w:tabs>
          <w:tab w:leader="none" w:pos="540" w:val="left"/>
        </w:tabs>
        <w:numPr>
          <w:ilvl w:val="1"/>
          <w:numId w:val="29"/>
        </w:numPr>
        <w:rPr>
          <w:rFonts w:ascii="Arial" w:cs="Arial" w:eastAsia="Arial" w:hAnsi="Arial"/>
          <w:sz w:val="13"/>
          <w:szCs w:val="13"/>
          <w:color w:val="auto"/>
        </w:rPr>
      </w:pPr>
      <w:r>
        <w:rPr>
          <w:rFonts w:ascii="Arial" w:cs="Arial" w:eastAsia="Arial" w:hAnsi="Arial"/>
          <w:sz w:val="13"/>
          <w:szCs w:val="13"/>
          <w:color w:val="auto"/>
        </w:rPr>
        <w:t>On January 12, 2015, the Company entered into a Securities Purchase Agreement with certain accredited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38" w:lineRule="exact"/>
        <w:rPr>
          <w:rFonts w:ascii="Arial" w:cs="Arial" w:eastAsia="Arial" w:hAnsi="Arial"/>
          <w:sz w:val="13"/>
          <w:szCs w:val="13"/>
          <w:color w:val="auto"/>
        </w:rPr>
      </w:pPr>
    </w:p>
    <w:p>
      <w:pPr>
        <w:ind w:left="540" w:right="20"/>
        <w:spacing w:after="0" w:line="276" w:lineRule="auto"/>
        <w:rPr>
          <w:rFonts w:ascii="Arial" w:cs="Arial" w:eastAsia="Arial" w:hAnsi="Arial"/>
          <w:sz w:val="13"/>
          <w:szCs w:val="13"/>
          <w:color w:val="auto"/>
        </w:rPr>
      </w:pPr>
      <w:r>
        <w:rPr>
          <w:rFonts w:ascii="Arial" w:cs="Arial" w:eastAsia="Arial" w:hAnsi="Arial"/>
          <w:sz w:val="15"/>
          <w:szCs w:val="15"/>
          <w:color w:val="auto"/>
        </w:rPr>
        <w:t>Pursuant to a placement agent agreement, the Company agreed to issue warrants to purchase an aggregate of up to 5% of the aggregate number of shares of common stock sold in the offering to the placement agents. The placement agent warrants have substantially the same terms as the January 2015 Warrants.</w:t>
      </w:r>
    </w:p>
    <w:p>
      <w:pPr>
        <w:spacing w:after="0" w:line="146" w:lineRule="exact"/>
        <w:rPr>
          <w:rFonts w:ascii="Arial" w:cs="Arial" w:eastAsia="Arial" w:hAnsi="Arial"/>
          <w:sz w:val="13"/>
          <w:szCs w:val="13"/>
          <w:color w:val="auto"/>
        </w:rPr>
      </w:pPr>
    </w:p>
    <w:p>
      <w:pPr>
        <w:ind w:left="520" w:right="80" w:hanging="269"/>
        <w:spacing w:after="0" w:line="306" w:lineRule="auto"/>
        <w:tabs>
          <w:tab w:leader="none" w:pos="5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On March 9,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“March 2015 Warrants”). The March 2015 Warrants have substantially the same terms as the January 2015 Warrants.</w:t>
      </w:r>
    </w:p>
    <w:p>
      <w:pPr>
        <w:spacing w:after="0" w:line="132" w:lineRule="exact"/>
        <w:rPr>
          <w:rFonts w:ascii="Arial" w:cs="Arial" w:eastAsia="Arial" w:hAnsi="Arial"/>
          <w:sz w:val="13"/>
          <w:szCs w:val="13"/>
          <w:color w:val="auto"/>
        </w:rPr>
      </w:pPr>
    </w:p>
    <w:p>
      <w:pPr>
        <w:ind w:left="540" w:right="20"/>
        <w:spacing w:after="0" w:line="276" w:lineRule="auto"/>
        <w:rPr>
          <w:rFonts w:ascii="Arial" w:cs="Arial" w:eastAsia="Arial" w:hAnsi="Arial"/>
          <w:sz w:val="13"/>
          <w:szCs w:val="13"/>
          <w:color w:val="auto"/>
        </w:rPr>
      </w:pPr>
      <w:r>
        <w:rPr>
          <w:rFonts w:ascii="Arial" w:cs="Arial" w:eastAsia="Arial" w:hAnsi="Arial"/>
          <w:sz w:val="15"/>
          <w:szCs w:val="15"/>
          <w:color w:val="auto"/>
        </w:rPr>
        <w:t>Pursuant to a placement agent agreement, the Company agreed to issue warrants to purchase an aggregate of up to 2.5% of the aggregate number of shares of common stock sold in the offering to the placement agents. The placement agent warrants have substantially the same terms as the March 2015 Warrants.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2"/>
              <w:spacing w:after="0"/>
              <w:rPr>
                <w:sz w:val="20"/>
                <w:szCs w:val="20"/>
                <w:color w:val="auto"/>
              </w:rPr>
            </w:pPr>
            <w:r>
              <w:rPr>
                <w:rFonts w:ascii="Arial" w:cs="Arial" w:eastAsia="Arial" w:hAnsi="Arial"/>
                <w:sz w:val="15"/>
                <w:szCs w:val="15"/>
                <w:color w:val="auto"/>
                <w:w w:val="92"/>
              </w:rPr>
              <w:t>March 31,</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225"/>
              <w:spacing w:after="0"/>
              <w:rPr>
                <w:sz w:val="20"/>
                <w:szCs w:val="20"/>
                <w:color w:val="auto"/>
              </w:rPr>
            </w:pPr>
            <w:r>
              <w:rPr>
                <w:rFonts w:ascii="Arial" w:cs="Arial" w:eastAsia="Arial" w:hAnsi="Arial"/>
                <w:sz w:val="15"/>
                <w:szCs w:val="15"/>
                <w:color w:val="auto"/>
                <w:w w:val="93"/>
              </w:rPr>
              <w:t>December 31,</w:t>
            </w:r>
          </w:p>
        </w:tc>
        <w:tc>
          <w:tcPr>
            <w:tcW w:w="0" w:type="dxa"/>
            <w:vAlign w:val="bottom"/>
          </w:tcPr>
          <w:p>
            <w:pPr>
              <w:spacing w:after="0"/>
              <w:rPr>
                <w:sz w:val="1"/>
                <w:szCs w:val="1"/>
                <w:color w:val="auto"/>
              </w:rPr>
            </w:pPr>
          </w:p>
        </w:tc>
      </w:tr>
      <w:tr>
        <w:trPr>
          <w:trHeight w:val="194"/>
        </w:trPr>
        <w:tc>
          <w:tcPr>
            <w:tcW w:w="46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color w:val="auto"/>
                <w:w w:val="89"/>
              </w:rPr>
              <w:t>2015</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2014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4240" w:type="dxa"/>
            <w:vAlign w:val="bottom"/>
            <w:gridSpan w:val="3"/>
            <w:vMerge w:val="restart"/>
          </w:tcPr>
          <w:p>
            <w:pPr>
              <w:jc w:val="right"/>
              <w:ind w:right="2940"/>
              <w:spacing w:after="0"/>
              <w:rPr>
                <w:sz w:val="20"/>
                <w:szCs w:val="20"/>
                <w:color w:val="auto"/>
              </w:rPr>
            </w:pPr>
            <w:r>
              <w:rPr>
                <w:rFonts w:ascii="Arial" w:cs="Arial" w:eastAsia="Arial" w:hAnsi="Arial"/>
                <w:sz w:val="15"/>
                <w:szCs w:val="15"/>
                <w:b w:val="1"/>
                <w:bCs w:val="1"/>
                <w:color w:val="auto"/>
              </w:rPr>
              <w:t>ASSETS</w:t>
            </w:r>
          </w:p>
        </w:tc>
        <w:tc>
          <w:tcPr>
            <w:tcW w:w="1020" w:type="dxa"/>
            <w:vAlign w:val="bottom"/>
          </w:tcPr>
          <w:p>
            <w:pPr>
              <w:jc w:val="center"/>
              <w:ind w:right="85"/>
              <w:spacing w:after="0"/>
              <w:rPr>
                <w:sz w:val="20"/>
                <w:szCs w:val="20"/>
                <w:color w:val="auto"/>
              </w:rPr>
            </w:pPr>
            <w:r>
              <w:rPr>
                <w:rFonts w:ascii="Arial" w:cs="Arial" w:eastAsia="Arial" w:hAnsi="Arial"/>
                <w:sz w:val="15"/>
                <w:szCs w:val="15"/>
                <w:color w:val="auto"/>
                <w:w w:val="94"/>
              </w:rPr>
              <w:t>(Unaudited)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620" w:type="dxa"/>
            <w:vAlign w:val="bottom"/>
            <w:vMerge w:val="restart"/>
          </w:tcPr>
          <w:p>
            <w:pPr>
              <w:spacing w:after="0"/>
              <w:rPr>
                <w:sz w:val="20"/>
                <w:szCs w:val="20"/>
                <w:color w:val="auto"/>
              </w:rPr>
            </w:pPr>
            <w:r>
              <w:rPr>
                <w:rFonts w:ascii="Arial" w:cs="Arial" w:eastAsia="Arial" w:hAnsi="Arial"/>
                <w:sz w:val="15"/>
                <w:szCs w:val="15"/>
                <w:b w:val="1"/>
                <w:bCs w:val="1"/>
                <w:color w:val="auto"/>
              </w:rPr>
              <w:t>Current Assets</w:t>
            </w:r>
          </w:p>
        </w:tc>
        <w:tc>
          <w:tcPr>
            <w:tcW w:w="424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20" w:type="dxa"/>
            <w:vAlign w:val="bottom"/>
            <w:vMerge w:val="continue"/>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Cash</w:t>
            </w:r>
          </w:p>
        </w:tc>
        <w:tc>
          <w:tcPr>
            <w:tcW w:w="42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1,453,505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141,944</w:t>
            </w:r>
          </w:p>
        </w:tc>
        <w:tc>
          <w:tcPr>
            <w:tcW w:w="0" w:type="dxa"/>
            <w:vAlign w:val="bottom"/>
          </w:tcPr>
          <w:p>
            <w:pPr>
              <w:spacing w:after="0"/>
              <w:rPr>
                <w:sz w:val="1"/>
                <w:szCs w:val="1"/>
                <w:color w:val="auto"/>
              </w:rPr>
            </w:pPr>
          </w:p>
        </w:tc>
      </w:tr>
      <w:tr>
        <w:trPr>
          <w:trHeight w:val="191"/>
        </w:trPr>
        <w:tc>
          <w:tcPr>
            <w:tcW w:w="4620" w:type="dxa"/>
            <w:vAlign w:val="bottom"/>
          </w:tcPr>
          <w:p>
            <w:pPr>
              <w:ind w:left="60"/>
              <w:spacing w:after="0"/>
              <w:rPr>
                <w:sz w:val="20"/>
                <w:szCs w:val="20"/>
                <w:color w:val="auto"/>
              </w:rPr>
            </w:pPr>
            <w:r>
              <w:rPr>
                <w:rFonts w:ascii="Arial" w:cs="Arial" w:eastAsia="Arial" w:hAnsi="Arial"/>
                <w:sz w:val="15"/>
                <w:szCs w:val="15"/>
                <w:color w:val="auto"/>
              </w:rPr>
              <w:t>Prepaid expenses and deposits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82,504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82,504</w:t>
            </w:r>
          </w:p>
        </w:tc>
        <w:tc>
          <w:tcPr>
            <w:tcW w:w="0" w:type="dxa"/>
            <w:vAlign w:val="bottom"/>
          </w:tcPr>
          <w:p>
            <w:pPr>
              <w:spacing w:after="0"/>
              <w:rPr>
                <w:sz w:val="1"/>
                <w:szCs w:val="1"/>
                <w:color w:val="auto"/>
              </w:rPr>
            </w:pPr>
          </w:p>
        </w:tc>
      </w:tr>
      <w:tr>
        <w:trPr>
          <w:trHeight w:val="23"/>
        </w:trPr>
        <w:tc>
          <w:tcPr>
            <w:tcW w:w="4620" w:type="dxa"/>
            <w:vAlign w:val="bottom"/>
            <w:shd w:val="clear" w:color="auto" w:fill="000000"/>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1"/>
        </w:trPr>
        <w:tc>
          <w:tcPr>
            <w:tcW w:w="4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1,536,009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224,448</w:t>
            </w:r>
          </w:p>
        </w:tc>
        <w:tc>
          <w:tcPr>
            <w:tcW w:w="0" w:type="dxa"/>
            <w:vAlign w:val="bottom"/>
          </w:tcPr>
          <w:p>
            <w:pPr>
              <w:spacing w:after="0"/>
              <w:rPr>
                <w:sz w:val="1"/>
                <w:szCs w:val="1"/>
                <w:color w:val="auto"/>
              </w:rPr>
            </w:pPr>
          </w:p>
        </w:tc>
      </w:tr>
      <w:tr>
        <w:trPr>
          <w:trHeight w:val="20"/>
        </w:trPr>
        <w:tc>
          <w:tcPr>
            <w:tcW w:w="8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860" w:type="dxa"/>
            <w:vAlign w:val="bottom"/>
            <w:gridSpan w:val="4"/>
          </w:tcPr>
          <w:p>
            <w:pPr>
              <w:ind w:left="3620"/>
              <w:spacing w:after="0"/>
              <w:rPr>
                <w:sz w:val="20"/>
                <w:szCs w:val="20"/>
                <w:color w:val="auto"/>
              </w:rPr>
            </w:pPr>
            <w:r>
              <w:rPr>
                <w:rFonts w:ascii="Arial" w:cs="Arial" w:eastAsia="Arial" w:hAnsi="Arial"/>
                <w:sz w:val="15"/>
                <w:szCs w:val="15"/>
                <w:b w:val="1"/>
                <w:bCs w:val="1"/>
                <w:color w:val="auto"/>
              </w:rPr>
              <w:t>LIABILITIES AND STOCKHOLDERS’ EQUITY (DEFICIT)</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Accounts payable and accrued liabilities</w:t>
            </w:r>
          </w:p>
        </w:tc>
        <w:tc>
          <w:tcPr>
            <w:tcW w:w="42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703,323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693,362</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Research agreement obligations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492,365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492,365</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Derivative liability – warrants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2,052,975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9,415</w:t>
            </w:r>
          </w:p>
        </w:tc>
        <w:tc>
          <w:tcPr>
            <w:tcW w:w="0" w:type="dxa"/>
            <w:vAlign w:val="bottom"/>
          </w:tcPr>
          <w:p>
            <w:pPr>
              <w:spacing w:after="0"/>
              <w:rPr>
                <w:sz w:val="1"/>
                <w:szCs w:val="1"/>
                <w:color w:val="auto"/>
              </w:rPr>
            </w:pPr>
          </w:p>
        </w:tc>
      </w:tr>
      <w:tr>
        <w:trPr>
          <w:trHeight w:val="194"/>
        </w:trPr>
        <w:tc>
          <w:tcPr>
            <w:tcW w:w="4620" w:type="dxa"/>
            <w:vAlign w:val="bottom"/>
          </w:tcPr>
          <w:p>
            <w:pPr>
              <w:ind w:left="60"/>
              <w:spacing w:after="0"/>
              <w:rPr>
                <w:sz w:val="20"/>
                <w:szCs w:val="20"/>
                <w:color w:val="auto"/>
              </w:rPr>
            </w:pPr>
            <w:r>
              <w:rPr>
                <w:rFonts w:ascii="Arial" w:cs="Arial" w:eastAsia="Arial" w:hAnsi="Arial"/>
                <w:sz w:val="15"/>
                <w:szCs w:val="15"/>
                <w:color w:val="auto"/>
              </w:rPr>
              <w:t>Promissory notes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52,942</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52,942</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3,301,605</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1,248,084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0"/>
                <w:szCs w:val="20"/>
                <w:color w:val="auto"/>
              </w:rPr>
            </w:pPr>
            <w:r>
              <w:rPr>
                <w:rFonts w:ascii="Arial" w:cs="Arial" w:eastAsia="Arial" w:hAnsi="Arial"/>
                <w:sz w:val="15"/>
                <w:szCs w:val="15"/>
                <w:b w:val="1"/>
                <w:bCs w:val="1"/>
                <w:color w:val="auto"/>
              </w:rPr>
              <w:t>COMMITMENTS AND CONTINGENCIES</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20" w:type="dxa"/>
            <w:vAlign w:val="bottom"/>
          </w:tcPr>
          <w:p>
            <w:pPr>
              <w:spacing w:after="0"/>
              <w:rPr>
                <w:sz w:val="20"/>
                <w:szCs w:val="20"/>
                <w:color w:val="auto"/>
              </w:rPr>
            </w:pPr>
            <w:r>
              <w:rPr>
                <w:rFonts w:ascii="Arial" w:cs="Arial" w:eastAsia="Arial" w:hAnsi="Arial"/>
                <w:sz w:val="15"/>
                <w:szCs w:val="15"/>
                <w:b w:val="1"/>
                <w:bCs w:val="1"/>
                <w:color w:val="auto"/>
              </w:rPr>
              <w:t>Stockholders’ Equity (Deficit)</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860" w:type="dxa"/>
            <w:vAlign w:val="bottom"/>
            <w:gridSpan w:val="4"/>
          </w:tcPr>
          <w:p>
            <w:pPr>
              <w:spacing w:after="0"/>
              <w:rPr>
                <w:sz w:val="20"/>
                <w:szCs w:val="20"/>
                <w:color w:val="auto"/>
              </w:rPr>
            </w:pPr>
            <w:r>
              <w:rPr>
                <w:rFonts w:ascii="Arial" w:cs="Arial" w:eastAsia="Arial" w:hAnsi="Arial"/>
                <w:sz w:val="15"/>
                <w:szCs w:val="15"/>
                <w:color w:val="auto"/>
              </w:rPr>
              <w:t>Convertible preferred stock, $0.001 par value — 10,000,000 shares authorized:</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860" w:type="dxa"/>
            <w:vAlign w:val="bottom"/>
            <w:gridSpan w:val="4"/>
          </w:tcPr>
          <w:p>
            <w:pPr>
              <w:ind w:left="120"/>
              <w:spacing w:after="0"/>
              <w:rPr>
                <w:sz w:val="20"/>
                <w:szCs w:val="20"/>
                <w:color w:val="auto"/>
              </w:rPr>
            </w:pPr>
            <w:r>
              <w:rPr>
                <w:rFonts w:ascii="Arial" w:cs="Arial" w:eastAsia="Arial" w:hAnsi="Arial"/>
                <w:sz w:val="15"/>
                <w:szCs w:val="15"/>
                <w:color w:val="auto"/>
                <w:w w:val="94"/>
              </w:rPr>
              <w:t>Series A, $0.001 par value, 1,250,000 shares designated, -0- shares issued and outstanding as of March 31, 2015 and December 31, 2014</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w w:val="89"/>
              </w:rPr>
              <w:t>Series B, $0.001 par value, 1,500,000 shares designated, -0- shares issued</w:t>
            </w:r>
          </w:p>
        </w:tc>
        <w:tc>
          <w:tcPr>
            <w:tcW w:w="4240" w:type="dxa"/>
            <w:vAlign w:val="bottom"/>
            <w:gridSpan w:val="3"/>
          </w:tcPr>
          <w:p>
            <w:pPr>
              <w:jc w:val="right"/>
              <w:ind w:right="460"/>
              <w:spacing w:after="0"/>
              <w:rPr>
                <w:sz w:val="20"/>
                <w:szCs w:val="20"/>
                <w:color w:val="auto"/>
              </w:rPr>
            </w:pPr>
            <w:r>
              <w:rPr>
                <w:rFonts w:ascii="Arial" w:cs="Arial" w:eastAsia="Arial" w:hAnsi="Arial"/>
                <w:sz w:val="15"/>
                <w:szCs w:val="15"/>
                <w:color w:val="auto"/>
                <w:w w:val="90"/>
              </w:rPr>
              <w:t>and outstanding as of March 31, 2015 and December 31, 2014</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Common stock, $0.001 par value, 500,000,000 shares authorized</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32,638,811 shares issued and outstanding (2014 – 20,318,815)</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32,639</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20,319</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85,493,220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85,265,776</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Arial" w:cs="Arial" w:eastAsia="Arial" w:hAnsi="Arial"/>
                <w:sz w:val="15"/>
                <w:szCs w:val="15"/>
                <w:color w:val="auto"/>
              </w:rPr>
              <w:t>Accumulated deficit</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2"/>
              <w:spacing w:after="0"/>
              <w:rPr>
                <w:sz w:val="20"/>
                <w:szCs w:val="20"/>
                <w:color w:val="auto"/>
              </w:rPr>
            </w:pPr>
            <w:r>
              <w:rPr>
                <w:rFonts w:ascii="Arial" w:cs="Arial" w:eastAsia="Arial" w:hAnsi="Arial"/>
                <w:sz w:val="15"/>
                <w:szCs w:val="15"/>
                <w:color w:val="auto"/>
              </w:rPr>
              <w:t>(87,291,455)</w:t>
            </w:r>
          </w:p>
        </w:tc>
        <w:tc>
          <w:tcPr>
            <w:tcW w:w="120" w:type="dxa"/>
            <w:vAlign w:val="bottom"/>
          </w:tcPr>
          <w:p>
            <w:pPr>
              <w:spacing w:after="0"/>
              <w:rPr>
                <w:sz w:val="16"/>
                <w:szCs w:val="16"/>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(86,309,731)</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(1,765,596</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(1,023,636</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4"/>
                <w:szCs w:val="24"/>
                <w:color w:val="auto"/>
              </w:rPr>
            </w:pPr>
          </w:p>
        </w:tc>
        <w:tc>
          <w:tcPr>
            <w:tcW w:w="42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1,536,009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224,448</w:t>
            </w:r>
          </w:p>
        </w:tc>
        <w:tc>
          <w:tcPr>
            <w:tcW w:w="0" w:type="dxa"/>
            <w:vAlign w:val="bottom"/>
          </w:tcPr>
          <w:p>
            <w:pPr>
              <w:spacing w:after="0"/>
              <w:rPr>
                <w:sz w:val="1"/>
                <w:szCs w:val="1"/>
                <w:color w:val="auto"/>
              </w:rPr>
            </w:pPr>
          </w:p>
        </w:tc>
      </w:tr>
      <w:tr>
        <w:trPr>
          <w:trHeight w:val="20"/>
        </w:trPr>
        <w:tc>
          <w:tcPr>
            <w:tcW w:w="462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64" w:name="page65"/>
    <w:bookmarkEnd w:id="64"/>
    <w:p>
      <w:pPr>
        <w:jc w:val="center"/>
        <w:ind w:right="-79"/>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264795</wp:posOffset>
            </wp:positionV>
            <wp:extent cx="726884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360"/>
          </w:cols>
          <w:pgMar w:left="240" w:top="65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-228600</wp:posOffset>
            </wp:positionV>
            <wp:extent cx="545909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General and administrative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from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Changes in fair value of derivative liabilities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Accretion of discount on convertible notes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Interest and financing charges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45909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Foreign exchange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5459095"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45909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545909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Basic and Diluted Net Loss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54590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Weighted Average Number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54590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92"/>
              </w:rPr>
              <w:t>Three Months</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Three Months</w:t>
            </w:r>
          </w:p>
        </w:tc>
      </w:tr>
      <w:tr>
        <w:trPr>
          <w:trHeight w:val="181"/>
        </w:trPr>
        <w:tc>
          <w:tcPr>
            <w:tcW w:w="1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87"/>
              </w:rPr>
              <w:t>Ended</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87"/>
              </w:rPr>
              <w:t>Ended</w:t>
            </w:r>
          </w:p>
        </w:tc>
      </w:tr>
      <w:tr>
        <w:trPr>
          <w:trHeight w:val="181"/>
        </w:trPr>
        <w:tc>
          <w:tcPr>
            <w:tcW w:w="1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92"/>
              </w:rPr>
              <w:t>March 31,</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March 31,</w:t>
            </w:r>
          </w:p>
        </w:tc>
      </w:tr>
      <w:tr>
        <w:trPr>
          <w:trHeight w:val="194"/>
        </w:trPr>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2015</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60" w:type="dxa"/>
            <w:vAlign w:val="bottom"/>
          </w:tcPr>
          <w:p>
            <w:pPr>
              <w:spacing w:after="0"/>
              <w:rPr>
                <w:sz w:val="16"/>
                <w:szCs w:val="16"/>
                <w:color w:val="auto"/>
              </w:rPr>
            </w:pPr>
          </w:p>
        </w:tc>
      </w:tr>
      <w:tr>
        <w:trPr>
          <w:trHeight w:val="532"/>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418,786</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1,164,098</w:t>
            </w:r>
          </w:p>
        </w:tc>
      </w:tr>
      <w:tr>
        <w:trPr>
          <w:trHeight w:val="191"/>
        </w:trPr>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609,378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22,500</w:t>
            </w:r>
          </w:p>
        </w:tc>
      </w:tr>
      <w:tr>
        <w:trPr>
          <w:trHeight w:val="23"/>
        </w:trPr>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61"/>
        </w:trPr>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(1,028,164)</w:t>
            </w: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(1,186,598)</w:t>
            </w:r>
          </w:p>
        </w:tc>
      </w:tr>
      <w:tr>
        <w:trPr>
          <w:trHeight w:val="534"/>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46,440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(338,297)</w:t>
            </w:r>
          </w:p>
        </w:tc>
      </w:tr>
      <w:tr>
        <w:trPr>
          <w:trHeight w:val="181"/>
        </w:trPr>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483,636)</w:t>
            </w:r>
          </w:p>
        </w:tc>
      </w:tr>
      <w:tr>
        <w:trPr>
          <w:trHeight w:val="181"/>
        </w:trPr>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(35,269)</w:t>
            </w:r>
          </w:p>
        </w:tc>
      </w:tr>
      <w:tr>
        <w:trPr>
          <w:trHeight w:val="192"/>
        </w:trPr>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(27,663,430)</w:t>
            </w:r>
          </w:p>
        </w:tc>
      </w:tr>
      <w:tr>
        <w:trPr>
          <w:trHeight w:val="23"/>
        </w:trPr>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(981,724)</w:t>
            </w: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(29,707,230)</w:t>
            </w:r>
          </w:p>
        </w:tc>
      </w:tr>
      <w:tr>
        <w:trPr>
          <w:trHeight w:val="23"/>
        </w:trPr>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3"/>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(1,249)</w:t>
            </w:r>
          </w:p>
        </w:tc>
      </w:tr>
      <w:tr>
        <w:trPr>
          <w:trHeight w:val="23"/>
        </w:trPr>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00"/>
              <w:spacing w:after="0" w:line="341" w:lineRule="exact"/>
              <w:rPr>
                <w:sz w:val="20"/>
                <w:szCs w:val="20"/>
                <w:color w:val="auto"/>
              </w:rPr>
            </w:pPr>
            <w:r>
              <w:rPr>
                <w:rFonts w:ascii="Arial" w:cs="Arial" w:eastAsia="Arial" w:hAnsi="Arial"/>
                <w:sz w:val="15"/>
                <w:szCs w:val="15"/>
                <w:color w:val="auto"/>
              </w:rPr>
              <w:t>(981,724</w:t>
            </w:r>
            <w:r>
              <w:rPr>
                <w:rFonts w:ascii="Arial" w:cs="Arial" w:eastAsia="Arial" w:hAnsi="Arial"/>
                <w:sz w:val="30"/>
                <w:szCs w:val="3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line="341" w:lineRule="exact"/>
              <w:rPr>
                <w:sz w:val="20"/>
                <w:szCs w:val="20"/>
                <w:color w:val="auto"/>
              </w:rPr>
            </w:pPr>
            <w:r>
              <w:rPr>
                <w:rFonts w:ascii="Arial" w:cs="Arial" w:eastAsia="Arial" w:hAnsi="Arial"/>
                <w:sz w:val="15"/>
                <w:szCs w:val="15"/>
                <w:color w:val="auto"/>
              </w:rPr>
              <w:t>(29,708,479</w:t>
            </w:r>
            <w:r>
              <w:rPr>
                <w:rFonts w:ascii="Arial" w:cs="Arial" w:eastAsia="Arial" w:hAnsi="Arial"/>
                <w:sz w:val="30"/>
                <w:szCs w:val="30"/>
                <w:color w:val="auto"/>
                <w:vertAlign w:val="subscript"/>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8"/>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(0.04</w:t>
            </w:r>
            <w:r>
              <w:rPr>
                <w:rFonts w:ascii="Arial" w:cs="Arial" w:eastAsia="Arial" w:hAnsi="Arial"/>
                <w:sz w:val="30"/>
                <w:szCs w:val="3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(3.89</w:t>
            </w:r>
            <w:r>
              <w:rPr>
                <w:rFonts w:ascii="Arial" w:cs="Arial" w:eastAsia="Arial" w:hAnsi="Arial"/>
                <w:sz w:val="30"/>
                <w:szCs w:val="30"/>
                <w:color w:val="auto"/>
                <w:vertAlign w:val="subscript"/>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8"/>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27,611,255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7,631,669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640"/>
          </w:cols>
          <w:pgMar w:left="240" w:top="656" w:right="299" w:bottom="1440" w:gutter="0" w:footer="0" w:header="0"/>
          <w:type w:val="continuous"/>
        </w:sectPr>
      </w:pP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60"/>
          </w:cols>
          <w:pgMar w:left="240" w:top="656" w:right="299" w:bottom="1440" w:gutter="0" w:footer="0" w:header="0"/>
          <w:type w:val="continuous"/>
        </w:sectPr>
      </w:pPr>
    </w:p>
    <w:bookmarkStart w:id="65" w:name="page66"/>
    <w:bookmarkEnd w:id="65"/>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 OF STOCKHOLDERS’ EQUITY (DEFICIT)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Accumulated</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5"/>
          </w:tcPr>
          <w:p>
            <w:pPr>
              <w:jc w:val="right"/>
              <w:ind w:right="1040"/>
              <w:spacing w:after="0"/>
              <w:rPr>
                <w:sz w:val="20"/>
                <w:szCs w:val="20"/>
                <w:color w:val="auto"/>
              </w:rPr>
            </w:pPr>
            <w:r>
              <w:rPr>
                <w:rFonts w:ascii="Arial" w:cs="Arial" w:eastAsia="Arial" w:hAnsi="Arial"/>
                <w:sz w:val="15"/>
                <w:szCs w:val="15"/>
                <w:color w:val="auto"/>
              </w:rPr>
              <w:t>Common Stock</w:t>
            </w:r>
          </w:p>
        </w:tc>
        <w:tc>
          <w:tcPr>
            <w:tcW w:w="1280" w:type="dxa"/>
            <w:vAlign w:val="bottom"/>
            <w:gridSpan w:val="2"/>
          </w:tcPr>
          <w:p>
            <w:pPr>
              <w:jc w:val="right"/>
              <w:ind w:right="400"/>
              <w:spacing w:after="0"/>
              <w:rPr>
                <w:sz w:val="20"/>
                <w:szCs w:val="20"/>
                <w:color w:val="auto"/>
              </w:rPr>
            </w:pPr>
            <w:r>
              <w:rPr>
                <w:rFonts w:ascii="Arial" w:cs="Arial" w:eastAsia="Arial" w:hAnsi="Arial"/>
                <w:sz w:val="15"/>
                <w:szCs w:val="15"/>
                <w:color w:val="auto"/>
              </w:rPr>
              <w:t>Additional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Other</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5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color w:val="auto"/>
                <w:w w:val="94"/>
              </w:rPr>
              <w:t>Number of</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5"/>
                <w:szCs w:val="15"/>
                <w:color w:val="auto"/>
              </w:rPr>
              <w:t>Paid In</w:t>
            </w:r>
          </w:p>
        </w:tc>
        <w:tc>
          <w:tcPr>
            <w:tcW w:w="100" w:type="dxa"/>
            <w:vAlign w:val="bottom"/>
          </w:tcPr>
          <w:p>
            <w:pPr>
              <w:spacing w:after="0"/>
              <w:rPr>
                <w:sz w:val="24"/>
                <w:szCs w:val="24"/>
                <w:color w:val="auto"/>
              </w:rPr>
            </w:pPr>
          </w:p>
        </w:tc>
        <w:tc>
          <w:tcPr>
            <w:tcW w:w="1400" w:type="dxa"/>
            <w:vAlign w:val="bottom"/>
            <w:gridSpan w:val="2"/>
          </w:tcPr>
          <w:p>
            <w:pPr>
              <w:jc w:val="right"/>
              <w:ind w:right="345"/>
              <w:spacing w:after="0"/>
              <w:rPr>
                <w:sz w:val="20"/>
                <w:szCs w:val="20"/>
                <w:color w:val="auto"/>
              </w:rPr>
            </w:pPr>
            <w:r>
              <w:rPr>
                <w:rFonts w:ascii="Arial" w:cs="Arial" w:eastAsia="Arial" w:hAnsi="Arial"/>
                <w:sz w:val="15"/>
                <w:szCs w:val="15"/>
                <w:color w:val="auto"/>
              </w:rPr>
              <w:t>Accumulated</w:t>
            </w:r>
          </w:p>
        </w:tc>
        <w:tc>
          <w:tcPr>
            <w:tcW w:w="1140" w:type="dxa"/>
            <w:vAlign w:val="bottom"/>
          </w:tcPr>
          <w:p>
            <w:pPr>
              <w:jc w:val="center"/>
              <w:spacing w:after="0"/>
              <w:rPr>
                <w:sz w:val="20"/>
                <w:szCs w:val="20"/>
                <w:color w:val="auto"/>
              </w:rPr>
            </w:pPr>
            <w:r>
              <w:rPr>
                <w:rFonts w:ascii="Arial" w:cs="Arial" w:eastAsia="Arial" w:hAnsi="Arial"/>
                <w:sz w:val="15"/>
                <w:szCs w:val="15"/>
                <w:color w:val="auto"/>
                <w:w w:val="89"/>
              </w:rPr>
              <w:t>Comprehensive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color w:val="auto"/>
                <w:w w:val="84"/>
              </w:rPr>
              <w:t>shares</w:t>
            </w:r>
          </w:p>
        </w:tc>
        <w:tc>
          <w:tcPr>
            <w:tcW w:w="120" w:type="dxa"/>
            <w:vAlign w:val="bottom"/>
          </w:tcPr>
          <w:p>
            <w:pPr>
              <w:spacing w:after="0"/>
              <w:rPr>
                <w:sz w:val="15"/>
                <w:szCs w:val="15"/>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5"/>
                <w:szCs w:val="15"/>
                <w:color w:val="auto"/>
              </w:rPr>
              <w:t>Amount</w:t>
            </w:r>
          </w:p>
        </w:tc>
        <w:tc>
          <w:tcPr>
            <w:tcW w:w="1280" w:type="dxa"/>
            <w:vAlign w:val="bottom"/>
            <w:gridSpan w:val="2"/>
          </w:tcPr>
          <w:p>
            <w:pPr>
              <w:jc w:val="right"/>
              <w:ind w:right="500"/>
              <w:spacing w:after="0"/>
              <w:rPr>
                <w:sz w:val="20"/>
                <w:szCs w:val="20"/>
                <w:color w:val="auto"/>
              </w:rPr>
            </w:pPr>
            <w:r>
              <w:rPr>
                <w:rFonts w:ascii="Arial" w:cs="Arial" w:eastAsia="Arial" w:hAnsi="Arial"/>
                <w:sz w:val="15"/>
                <w:szCs w:val="15"/>
                <w:color w:val="auto"/>
              </w:rPr>
              <w:t>Capital</w:t>
            </w:r>
          </w:p>
        </w:tc>
        <w:tc>
          <w:tcPr>
            <w:tcW w:w="100" w:type="dxa"/>
            <w:vAlign w:val="bottom"/>
          </w:tcPr>
          <w:p>
            <w:pPr>
              <w:spacing w:after="0"/>
              <w:rPr>
                <w:sz w:val="15"/>
                <w:szCs w:val="15"/>
                <w:color w:val="auto"/>
              </w:rPr>
            </w:pPr>
          </w:p>
        </w:tc>
        <w:tc>
          <w:tcPr>
            <w:tcW w:w="1400" w:type="dxa"/>
            <w:vAlign w:val="bottom"/>
            <w:gridSpan w:val="2"/>
          </w:tcPr>
          <w:p>
            <w:pPr>
              <w:jc w:val="right"/>
              <w:ind w:right="545"/>
              <w:spacing w:after="0"/>
              <w:rPr>
                <w:sz w:val="20"/>
                <w:szCs w:val="20"/>
                <w:color w:val="auto"/>
              </w:rPr>
            </w:pPr>
            <w:r>
              <w:rPr>
                <w:rFonts w:ascii="Arial" w:cs="Arial" w:eastAsia="Arial" w:hAnsi="Arial"/>
                <w:sz w:val="15"/>
                <w:szCs w:val="15"/>
                <w:color w:val="auto"/>
              </w:rPr>
              <w:t>Deficit</w:t>
            </w:r>
          </w:p>
        </w:tc>
        <w:tc>
          <w:tcPr>
            <w:tcW w:w="1140" w:type="dxa"/>
            <w:vAlign w:val="bottom"/>
          </w:tcPr>
          <w:p>
            <w:pPr>
              <w:jc w:val="center"/>
              <w:spacing w:after="0"/>
              <w:rPr>
                <w:sz w:val="20"/>
                <w:szCs w:val="20"/>
                <w:color w:val="auto"/>
              </w:rPr>
            </w:pPr>
            <w:r>
              <w:rPr>
                <w:rFonts w:ascii="Arial" w:cs="Arial" w:eastAsia="Arial" w:hAnsi="Arial"/>
                <w:sz w:val="15"/>
                <w:szCs w:val="15"/>
                <w:color w:val="auto"/>
                <w:w w:val="94"/>
              </w:rPr>
              <w:t>Loss</w:t>
            </w:r>
          </w:p>
        </w:tc>
        <w:tc>
          <w:tcPr>
            <w:tcW w:w="260" w:type="dxa"/>
            <w:vAlign w:val="bottom"/>
          </w:tcPr>
          <w:p>
            <w:pPr>
              <w:spacing w:after="0"/>
              <w:rPr>
                <w:sz w:val="15"/>
                <w:szCs w:val="15"/>
                <w:color w:val="auto"/>
              </w:rPr>
            </w:pPr>
          </w:p>
        </w:tc>
        <w:tc>
          <w:tcPr>
            <w:tcW w:w="1300" w:type="dxa"/>
            <w:vAlign w:val="bottom"/>
            <w:gridSpan w:val="2"/>
          </w:tcPr>
          <w:p>
            <w:pPr>
              <w:jc w:val="right"/>
              <w:ind w:right="485"/>
              <w:spacing w:after="0"/>
              <w:rPr>
                <w:sz w:val="20"/>
                <w:szCs w:val="20"/>
                <w:color w:val="auto"/>
              </w:rPr>
            </w:pPr>
            <w:r>
              <w:rPr>
                <w:rFonts w:ascii="Arial" w:cs="Arial" w:eastAsia="Arial" w:hAnsi="Arial"/>
                <w:sz w:val="15"/>
                <w:szCs w:val="15"/>
                <w:color w:val="auto"/>
              </w:rPr>
              <w:t>Total</w:t>
            </w:r>
          </w:p>
        </w:tc>
      </w:tr>
      <w:tr>
        <w:trPr>
          <w:trHeight w:val="194"/>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98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40" w:type="dxa"/>
            <w:vAlign w:val="bottom"/>
          </w:tcPr>
          <w:p>
            <w:pPr>
              <w:jc w:val="right"/>
              <w:ind w:right="1007"/>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6"/>
                <w:szCs w:val="16"/>
                <w:color w:val="auto"/>
              </w:rPr>
            </w:pPr>
          </w:p>
        </w:tc>
        <w:tc>
          <w:tcPr>
            <w:tcW w:w="1240" w:type="dxa"/>
            <w:vAlign w:val="bottom"/>
            <w:gridSpan w:val="2"/>
          </w:tcPr>
          <w:p>
            <w:pPr>
              <w:jc w:val="right"/>
              <w:ind w:right="98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40" w:type="dxa"/>
            <w:vAlign w:val="bottom"/>
          </w:tcPr>
          <w:p>
            <w:pPr>
              <w:jc w:val="right"/>
              <w:ind w:right="1007"/>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00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0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Balance, December 31, 2014</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20,318,816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20,319</w:t>
            </w:r>
          </w:p>
        </w:tc>
        <w:tc>
          <w:tcPr>
            <w:tcW w:w="26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85,265,776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(86,309,731)</w:t>
            </w:r>
          </w:p>
        </w:tc>
        <w:tc>
          <w:tcPr>
            <w:tcW w:w="26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(1,023,636)</w:t>
            </w:r>
          </w:p>
        </w:tc>
        <w:tc>
          <w:tcPr>
            <w:tcW w:w="140" w:type="dxa"/>
            <w:vAlign w:val="bottom"/>
          </w:tcPr>
          <w:p>
            <w:pPr>
              <w:spacing w:after="0"/>
              <w:rPr>
                <w:sz w:val="16"/>
                <w:szCs w:val="16"/>
                <w:color w:val="auto"/>
              </w:rPr>
            </w:pPr>
          </w:p>
        </w:tc>
      </w:tr>
      <w:tr>
        <w:trPr>
          <w:trHeight w:val="342"/>
        </w:trPr>
        <w:tc>
          <w:tcPr>
            <w:tcW w:w="3060" w:type="dxa"/>
            <w:vAlign w:val="bottom"/>
            <w:gridSpan w:val="2"/>
          </w:tcPr>
          <w:p>
            <w:pPr>
              <w:spacing w:after="0"/>
              <w:rPr>
                <w:sz w:val="20"/>
                <w:szCs w:val="20"/>
                <w:color w:val="auto"/>
              </w:rPr>
            </w:pPr>
            <w:r>
              <w:rPr>
                <w:rFonts w:ascii="Arial" w:cs="Arial" w:eastAsia="Arial" w:hAnsi="Arial"/>
                <w:sz w:val="15"/>
                <w:szCs w:val="15"/>
                <w:color w:val="auto"/>
                <w:w w:val="91"/>
              </w:rPr>
              <w:t>Private placement (net of finders’ fee of $140,000)</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12,319,995</w:t>
            </w:r>
          </w:p>
        </w:tc>
        <w:tc>
          <w:tcPr>
            <w:tcW w:w="120" w:type="dxa"/>
            <w:vAlign w:val="bottom"/>
          </w:tcPr>
          <w:p>
            <w:pPr>
              <w:spacing w:after="0"/>
              <w:rPr>
                <w:sz w:val="24"/>
                <w:szCs w:val="24"/>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12,320</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2,313,694</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65"/>
              <w:spacing w:after="0"/>
              <w:rPr>
                <w:sz w:val="20"/>
                <w:szCs w:val="20"/>
                <w:color w:val="auto"/>
              </w:rPr>
            </w:pPr>
            <w:r>
              <w:rPr>
                <w:rFonts w:ascii="Arial" w:cs="Arial" w:eastAsia="Arial" w:hAnsi="Arial"/>
                <w:sz w:val="15"/>
                <w:szCs w:val="15"/>
                <w:color w:val="auto"/>
              </w:rPr>
              <w:t>2,326,014</w:t>
            </w:r>
          </w:p>
        </w:tc>
      </w:tr>
      <w:tr>
        <w:trPr>
          <w:trHeight w:val="181"/>
        </w:trPr>
        <w:tc>
          <w:tcPr>
            <w:tcW w:w="3060" w:type="dxa"/>
            <w:vAlign w:val="bottom"/>
            <w:gridSpan w:val="2"/>
          </w:tcPr>
          <w:p>
            <w:pPr>
              <w:spacing w:after="0"/>
              <w:rPr>
                <w:sz w:val="20"/>
                <w:szCs w:val="20"/>
                <w:color w:val="auto"/>
              </w:rPr>
            </w:pPr>
            <w:r>
              <w:rPr>
                <w:rFonts w:ascii="Arial" w:cs="Arial" w:eastAsia="Arial" w:hAnsi="Arial"/>
                <w:sz w:val="15"/>
                <w:szCs w:val="15"/>
                <w:color w:val="auto"/>
                <w:w w:val="98"/>
              </w:rPr>
              <w:t>Fair value of warrants recognized as derivative</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3060" w:type="dxa"/>
            <w:vAlign w:val="bottom"/>
            <w:gridSpan w:val="2"/>
          </w:tcPr>
          <w:p>
            <w:pPr>
              <w:spacing w:after="0"/>
              <w:rPr>
                <w:sz w:val="20"/>
                <w:szCs w:val="20"/>
                <w:color w:val="auto"/>
              </w:rPr>
            </w:pPr>
            <w:r>
              <w:rPr>
                <w:rFonts w:ascii="Arial" w:cs="Arial" w:eastAsia="Arial" w:hAnsi="Arial"/>
                <w:sz w:val="15"/>
                <w:szCs w:val="15"/>
                <w:color w:val="auto"/>
              </w:rPr>
              <w:t>liabilities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(2,090,000)</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5"/>
              <w:spacing w:after="0"/>
              <w:rPr>
                <w:sz w:val="20"/>
                <w:szCs w:val="20"/>
                <w:color w:val="auto"/>
              </w:rPr>
            </w:pPr>
            <w:r>
              <w:rPr>
                <w:rFonts w:ascii="Arial" w:cs="Arial" w:eastAsia="Arial" w:hAnsi="Arial"/>
                <w:sz w:val="15"/>
                <w:szCs w:val="15"/>
                <w:color w:val="auto"/>
              </w:rPr>
              <w:t>(2,090,000)</w:t>
            </w:r>
          </w:p>
        </w:tc>
      </w:tr>
      <w:tr>
        <w:trPr>
          <w:trHeight w:val="181"/>
        </w:trPr>
        <w:tc>
          <w:tcPr>
            <w:tcW w:w="3060" w:type="dxa"/>
            <w:vAlign w:val="bottom"/>
            <w:gridSpan w:val="2"/>
          </w:tcPr>
          <w:p>
            <w:pPr>
              <w:spacing w:after="0"/>
              <w:rPr>
                <w:sz w:val="20"/>
                <w:szCs w:val="20"/>
                <w:color w:val="auto"/>
              </w:rPr>
            </w:pPr>
            <w:r>
              <w:rPr>
                <w:rFonts w:ascii="Arial" w:cs="Arial" w:eastAsia="Arial" w:hAnsi="Arial"/>
                <w:sz w:val="15"/>
                <w:szCs w:val="15"/>
                <w:color w:val="auto"/>
              </w:rPr>
              <w:t>Stock- based compensation</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3,750</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65"/>
              <w:spacing w:after="0"/>
              <w:rPr>
                <w:sz w:val="20"/>
                <w:szCs w:val="20"/>
                <w:color w:val="auto"/>
              </w:rPr>
            </w:pPr>
            <w:r>
              <w:rPr>
                <w:rFonts w:ascii="Arial" w:cs="Arial" w:eastAsia="Arial" w:hAnsi="Arial"/>
                <w:sz w:val="15"/>
                <w:szCs w:val="15"/>
                <w:color w:val="auto"/>
              </w:rPr>
              <w:t>3,750</w:t>
            </w:r>
          </w:p>
        </w:tc>
      </w:tr>
      <w:tr>
        <w:trPr>
          <w:trHeight w:val="194"/>
        </w:trPr>
        <w:tc>
          <w:tcPr>
            <w:tcW w:w="306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500" w:type="dxa"/>
            <w:vAlign w:val="bottom"/>
            <w:gridSpan w:val="3"/>
          </w:tcPr>
          <w:p>
            <w:pPr>
              <w:jc w:val="right"/>
              <w:ind w:right="125"/>
              <w:spacing w:after="0"/>
              <w:rPr>
                <w:sz w:val="20"/>
                <w:szCs w:val="20"/>
                <w:color w:val="auto"/>
              </w:rPr>
            </w:pPr>
            <w:r>
              <w:rPr>
                <w:rFonts w:ascii="Arial" w:cs="Arial" w:eastAsia="Arial" w:hAnsi="Arial"/>
                <w:sz w:val="15"/>
                <w:szCs w:val="15"/>
                <w:color w:val="auto"/>
              </w:rPr>
              <w:t>(981,724)</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5"/>
              <w:spacing w:after="0"/>
              <w:rPr>
                <w:sz w:val="20"/>
                <w:szCs w:val="20"/>
                <w:color w:val="auto"/>
              </w:rPr>
            </w:pPr>
            <w:r>
              <w:rPr>
                <w:rFonts w:ascii="Arial" w:cs="Arial" w:eastAsia="Arial" w:hAnsi="Arial"/>
                <w:sz w:val="15"/>
                <w:szCs w:val="15"/>
                <w:color w:val="auto"/>
              </w:rPr>
              <w:t>(981,724)</w:t>
            </w:r>
          </w:p>
        </w:tc>
      </w:tr>
      <w:tr>
        <w:trPr>
          <w:trHeight w:val="181"/>
        </w:trPr>
        <w:tc>
          <w:tcPr>
            <w:tcW w:w="3060" w:type="dxa"/>
            <w:vAlign w:val="bottom"/>
            <w:tcBorders>
              <w:top w:val="single" w:sz="8" w:color="auto"/>
              <w:bottom w:val="single" w:sz="8" w:color="auto"/>
            </w:tcBorders>
            <w:gridSpan w:val="2"/>
          </w:tcPr>
          <w:p>
            <w:pPr>
              <w:spacing w:after="0" w:line="161" w:lineRule="exact"/>
              <w:rPr>
                <w:sz w:val="20"/>
                <w:szCs w:val="20"/>
                <w:color w:val="auto"/>
              </w:rPr>
            </w:pPr>
            <w:r>
              <w:rPr>
                <w:rFonts w:ascii="Arial" w:cs="Arial" w:eastAsia="Arial" w:hAnsi="Arial"/>
                <w:sz w:val="15"/>
                <w:szCs w:val="15"/>
                <w:color w:val="auto"/>
              </w:rPr>
              <w:t>Balance, March 31, 2015</w:t>
            </w:r>
          </w:p>
        </w:tc>
        <w:tc>
          <w:tcPr>
            <w:tcW w:w="1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32,638,811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32,639</w:t>
            </w:r>
          </w:p>
        </w:tc>
        <w:tc>
          <w:tcPr>
            <w:tcW w:w="26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85,493,220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(87,291,455</w:t>
            </w:r>
          </w:p>
        </w:tc>
        <w:tc>
          <w:tcPr>
            <w:tcW w:w="260" w:type="dxa"/>
            <w:vAlign w:val="bottom"/>
          </w:tcPr>
          <w:p>
            <w:pPr>
              <w:jc w:val="right"/>
              <w:ind w:right="125"/>
              <w:spacing w:after="0" w:line="161" w:lineRule="exact"/>
              <w:rPr>
                <w:sz w:val="20"/>
                <w:szCs w:val="20"/>
                <w:color w:val="auto"/>
              </w:rPr>
            </w:pPr>
            <w:r>
              <w:rPr>
                <w:rFonts w:ascii="Arial" w:cs="Arial" w:eastAsia="Arial" w:hAnsi="Arial"/>
                <w:sz w:val="15"/>
                <w:szCs w:val="15"/>
                <w:color w:val="auto"/>
                <w:w w:val="79"/>
              </w:rPr>
              <w:t>)</w:t>
            </w: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(1,765,596</w:t>
            </w:r>
          </w:p>
        </w:tc>
        <w:tc>
          <w:tcPr>
            <w:tcW w:w="140" w:type="dxa"/>
            <w:vAlign w:val="bottom"/>
          </w:tcPr>
          <w:p>
            <w:pPr>
              <w:jc w:val="right"/>
              <w:ind w:right="5"/>
              <w:spacing w:after="0" w:line="161" w:lineRule="exact"/>
              <w:rPr>
                <w:sz w:val="20"/>
                <w:szCs w:val="20"/>
                <w:color w:val="auto"/>
              </w:rPr>
            </w:pPr>
            <w:r>
              <w:rPr>
                <w:rFonts w:ascii="Arial" w:cs="Arial" w:eastAsia="Arial" w:hAnsi="Arial"/>
                <w:sz w:val="15"/>
                <w:szCs w:val="15"/>
                <w:color w:val="auto"/>
                <w:w w:val="79"/>
              </w:rPr>
              <w:t>)</w:t>
            </w:r>
          </w:p>
        </w:tc>
      </w:tr>
      <w:tr>
        <w:trPr>
          <w:trHeight w:val="20"/>
        </w:trPr>
        <w:tc>
          <w:tcPr>
            <w:tcW w:w="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2"/>
              <w:spacing w:after="0"/>
              <w:rPr>
                <w:sz w:val="20"/>
                <w:szCs w:val="20"/>
                <w:color w:val="auto"/>
              </w:rPr>
            </w:pPr>
            <w:r>
              <w:rPr>
                <w:rFonts w:ascii="Arial" w:cs="Arial" w:eastAsia="Arial" w:hAnsi="Arial"/>
                <w:sz w:val="15"/>
                <w:szCs w:val="15"/>
                <w:color w:val="auto"/>
                <w:w w:val="92"/>
              </w:rPr>
              <w:t>Three Months</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165"/>
              <w:spacing w:after="0"/>
              <w:rPr>
                <w:sz w:val="20"/>
                <w:szCs w:val="20"/>
                <w:color w:val="auto"/>
              </w:rPr>
            </w:pPr>
            <w:r>
              <w:rPr>
                <w:rFonts w:ascii="Arial" w:cs="Arial" w:eastAsia="Arial" w:hAnsi="Arial"/>
                <w:sz w:val="15"/>
                <w:szCs w:val="15"/>
                <w:color w:val="auto"/>
                <w:w w:val="92"/>
              </w:rPr>
              <w:t>Three Months</w:t>
            </w:r>
          </w:p>
        </w:tc>
      </w:tr>
      <w:tr>
        <w:trPr>
          <w:trHeight w:val="181"/>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2"/>
              <w:spacing w:after="0"/>
              <w:rPr>
                <w:sz w:val="20"/>
                <w:szCs w:val="20"/>
                <w:color w:val="auto"/>
              </w:rPr>
            </w:pPr>
            <w:r>
              <w:rPr>
                <w:rFonts w:ascii="Arial" w:cs="Arial" w:eastAsia="Arial" w:hAnsi="Arial"/>
                <w:sz w:val="15"/>
                <w:szCs w:val="15"/>
                <w:color w:val="auto"/>
                <w:w w:val="87"/>
              </w:rPr>
              <w:t>Ended</w:t>
            </w:r>
          </w:p>
        </w:tc>
        <w:tc>
          <w:tcPr>
            <w:tcW w:w="140" w:type="dxa"/>
            <w:vAlign w:val="bottom"/>
          </w:tcPr>
          <w:p>
            <w:pPr>
              <w:spacing w:after="0"/>
              <w:rPr>
                <w:sz w:val="15"/>
                <w:szCs w:val="15"/>
                <w:color w:val="auto"/>
              </w:rPr>
            </w:pPr>
          </w:p>
        </w:tc>
        <w:tc>
          <w:tcPr>
            <w:tcW w:w="1180" w:type="dxa"/>
            <w:vAlign w:val="bottom"/>
            <w:gridSpan w:val="2"/>
          </w:tcPr>
          <w:p>
            <w:pPr>
              <w:jc w:val="center"/>
              <w:ind w:right="205"/>
              <w:spacing w:after="0"/>
              <w:rPr>
                <w:sz w:val="20"/>
                <w:szCs w:val="20"/>
                <w:color w:val="auto"/>
              </w:rPr>
            </w:pPr>
            <w:r>
              <w:rPr>
                <w:rFonts w:ascii="Arial" w:cs="Arial" w:eastAsia="Arial" w:hAnsi="Arial"/>
                <w:sz w:val="15"/>
                <w:szCs w:val="15"/>
                <w:color w:val="auto"/>
                <w:w w:val="87"/>
              </w:rPr>
              <w:t>Ended</w:t>
            </w:r>
          </w:p>
        </w:tc>
      </w:tr>
      <w:tr>
        <w:trPr>
          <w:trHeight w:val="181"/>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2"/>
              <w:spacing w:after="0"/>
              <w:rPr>
                <w:sz w:val="20"/>
                <w:szCs w:val="20"/>
                <w:color w:val="auto"/>
              </w:rPr>
            </w:pPr>
            <w:r>
              <w:rPr>
                <w:rFonts w:ascii="Arial" w:cs="Arial" w:eastAsia="Arial" w:hAnsi="Arial"/>
                <w:sz w:val="15"/>
                <w:szCs w:val="15"/>
                <w:color w:val="auto"/>
                <w:w w:val="92"/>
              </w:rPr>
              <w:t>March 31,</w:t>
            </w:r>
          </w:p>
        </w:tc>
        <w:tc>
          <w:tcPr>
            <w:tcW w:w="140" w:type="dxa"/>
            <w:vAlign w:val="bottom"/>
          </w:tcPr>
          <w:p>
            <w:pPr>
              <w:spacing w:after="0"/>
              <w:rPr>
                <w:sz w:val="15"/>
                <w:szCs w:val="15"/>
                <w:color w:val="auto"/>
              </w:rPr>
            </w:pPr>
          </w:p>
        </w:tc>
        <w:tc>
          <w:tcPr>
            <w:tcW w:w="1180" w:type="dxa"/>
            <w:vAlign w:val="bottom"/>
            <w:gridSpan w:val="2"/>
          </w:tcPr>
          <w:p>
            <w:pPr>
              <w:jc w:val="center"/>
              <w:ind w:right="205"/>
              <w:spacing w:after="0"/>
              <w:rPr>
                <w:sz w:val="20"/>
                <w:szCs w:val="20"/>
                <w:color w:val="auto"/>
              </w:rPr>
            </w:pPr>
            <w:r>
              <w:rPr>
                <w:rFonts w:ascii="Arial" w:cs="Arial" w:eastAsia="Arial" w:hAnsi="Arial"/>
                <w:sz w:val="15"/>
                <w:szCs w:val="15"/>
                <w:color w:val="auto"/>
                <w:w w:val="92"/>
              </w:rPr>
              <w:t>March 31,</w:t>
            </w:r>
          </w:p>
        </w:tc>
      </w:tr>
      <w:tr>
        <w:trPr>
          <w:trHeight w:val="194"/>
        </w:trPr>
        <w:tc>
          <w:tcPr>
            <w:tcW w:w="20" w:type="dxa"/>
            <w:vAlign w:val="bottom"/>
          </w:tcPr>
          <w:p>
            <w:pPr>
              <w:spacing w:after="0"/>
              <w:rPr>
                <w:sz w:val="16"/>
                <w:szCs w:val="16"/>
                <w:color w:val="auto"/>
              </w:rPr>
            </w:pPr>
          </w:p>
        </w:tc>
        <w:tc>
          <w:tcPr>
            <w:tcW w:w="8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2015</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89"/>
              </w:rPr>
              <w:t>2014</w:t>
            </w:r>
          </w:p>
        </w:tc>
        <w:tc>
          <w:tcPr>
            <w:tcW w:w="140" w:type="dxa"/>
            <w:vAlign w:val="bottom"/>
          </w:tcPr>
          <w:p>
            <w:pPr>
              <w:spacing w:after="0"/>
              <w:rPr>
                <w:sz w:val="16"/>
                <w:szCs w:val="16"/>
                <w:color w:val="auto"/>
              </w:rPr>
            </w:pP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(981,724)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(29,707,230)</w:t>
            </w: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Adjustments to reconcile net loss to</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cash from operating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Changes in fair value of derivative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(46,440)</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338,297</w:t>
            </w: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27,663,430</w:t>
            </w: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Non-cash interest and finance charges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483,636</w:t>
            </w: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Stock based compensation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3,750</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690,000</w:t>
            </w: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Changes in operating assets and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Accounts payable and accrued liabilities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9, 961</w:t>
            </w:r>
          </w:p>
        </w:tc>
        <w:tc>
          <w:tcPr>
            <w:tcW w:w="140" w:type="dxa"/>
            <w:vAlign w:val="bottom"/>
          </w:tcPr>
          <w:p>
            <w:pPr>
              <w:spacing w:after="0"/>
              <w:rPr>
                <w:sz w:val="16"/>
                <w:szCs w:val="16"/>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158,913</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(1,014,453</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(372,954</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Issuance of shares, net of issuance costs of $140,000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2,326,014</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Convertible note issuance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418,000</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2,326,014</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418,000</w:t>
            </w:r>
          </w:p>
        </w:tc>
        <w:tc>
          <w:tcPr>
            <w:tcW w:w="140" w:type="dxa"/>
            <w:vAlign w:val="bottom"/>
          </w:tcPr>
          <w:p>
            <w:pPr>
              <w:spacing w:after="0"/>
              <w:rPr>
                <w:sz w:val="15"/>
                <w:szCs w:val="15"/>
                <w:color w:val="auto"/>
              </w:rPr>
            </w:pPr>
          </w:p>
        </w:tc>
      </w:tr>
      <w:tr>
        <w:trPr>
          <w:trHeight w:val="36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INCREASE IN CASH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1,311,561</w:t>
            </w:r>
          </w:p>
        </w:tc>
        <w:tc>
          <w:tcPr>
            <w:tcW w:w="140" w:type="dxa"/>
            <w:vAlign w:val="bottom"/>
          </w:tcPr>
          <w:p>
            <w:pPr>
              <w:spacing w:after="0"/>
              <w:rPr>
                <w:sz w:val="24"/>
                <w:szCs w:val="24"/>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45,046</w:t>
            </w:r>
          </w:p>
        </w:tc>
      </w:tr>
      <w:tr>
        <w:trPr>
          <w:trHeight w:val="366"/>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BEGINNING OF PERIOD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141,944</w:t>
            </w:r>
          </w:p>
        </w:tc>
        <w:tc>
          <w:tcPr>
            <w:tcW w:w="140" w:type="dxa"/>
            <w:vAlign w:val="bottom"/>
          </w:tcPr>
          <w:p>
            <w:pPr>
              <w:spacing w:after="0"/>
              <w:rPr>
                <w:sz w:val="24"/>
                <w:szCs w:val="24"/>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48,589</w:t>
            </w:r>
          </w:p>
        </w:tc>
      </w:tr>
      <w:tr>
        <w:trPr>
          <w:trHeight w:val="181"/>
        </w:trPr>
        <w:tc>
          <w:tcPr>
            <w:tcW w:w="8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CASH, END OF PERIOD</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1,453,505</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93,635</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left="5"/>
              <w:spacing w:after="0"/>
              <w:rPr>
                <w:sz w:val="20"/>
                <w:szCs w:val="20"/>
                <w:color w:val="auto"/>
              </w:rPr>
            </w:pPr>
            <w:r>
              <w:rPr>
                <w:rFonts w:ascii="Arial" w:cs="Arial" w:eastAsia="Arial" w:hAnsi="Arial"/>
                <w:sz w:val="15"/>
                <w:szCs w:val="15"/>
                <w:color w:val="auto"/>
                <w:w w:val="92"/>
              </w:rPr>
              <w:t>Three Months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5"/>
                <w:szCs w:val="15"/>
                <w:color w:val="auto"/>
                <w:w w:val="92"/>
              </w:rPr>
              <w:t>Three Months</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left="5"/>
              <w:spacing w:after="0"/>
              <w:rPr>
                <w:sz w:val="20"/>
                <w:szCs w:val="20"/>
                <w:color w:val="auto"/>
              </w:rPr>
            </w:pPr>
            <w:r>
              <w:rPr>
                <w:rFonts w:ascii="Arial" w:cs="Arial" w:eastAsia="Arial" w:hAnsi="Arial"/>
                <w:sz w:val="15"/>
                <w:szCs w:val="15"/>
                <w:color w:val="auto"/>
                <w:w w:val="87"/>
              </w:rPr>
              <w:t>Ended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87"/>
              </w:rPr>
              <w:t>Ended</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left="5"/>
              <w:spacing w:after="0"/>
              <w:rPr>
                <w:sz w:val="20"/>
                <w:szCs w:val="20"/>
                <w:color w:val="auto"/>
              </w:rPr>
            </w:pPr>
            <w:r>
              <w:rPr>
                <w:rFonts w:ascii="Arial" w:cs="Arial" w:eastAsia="Arial" w:hAnsi="Arial"/>
                <w:sz w:val="15"/>
                <w:szCs w:val="15"/>
                <w:color w:val="auto"/>
                <w:w w:val="92"/>
              </w:rPr>
              <w:t>March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92"/>
              </w:rPr>
              <w:t>March 31,</w:t>
            </w:r>
          </w:p>
        </w:tc>
      </w:tr>
      <w:tr>
        <w:trPr>
          <w:trHeight w:val="194"/>
        </w:trPr>
        <w:tc>
          <w:tcPr>
            <w:tcW w:w="8580" w:type="dxa"/>
            <w:vAlign w:val="bottom"/>
          </w:tcPr>
          <w:p>
            <w:pPr>
              <w:spacing w:after="0"/>
              <w:rPr>
                <w:sz w:val="16"/>
                <w:szCs w:val="16"/>
                <w:color w:val="auto"/>
              </w:rPr>
            </w:pPr>
          </w:p>
        </w:tc>
        <w:tc>
          <w:tcPr>
            <w:tcW w:w="1200" w:type="dxa"/>
            <w:vAlign w:val="bottom"/>
            <w:gridSpan w:val="2"/>
          </w:tcPr>
          <w:p>
            <w:pPr>
              <w:jc w:val="center"/>
              <w:ind w:left="145"/>
              <w:spacing w:after="0"/>
              <w:rPr>
                <w:sz w:val="20"/>
                <w:szCs w:val="20"/>
                <w:color w:val="auto"/>
              </w:rPr>
            </w:pPr>
            <w:r>
              <w:rPr>
                <w:rFonts w:ascii="Arial" w:cs="Arial" w:eastAsia="Arial" w:hAnsi="Arial"/>
                <w:sz w:val="15"/>
                <w:szCs w:val="15"/>
                <w:color w:val="auto"/>
                <w:w w:val="89"/>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5"/>
              <w:spacing w:after="0"/>
              <w:rPr>
                <w:sz w:val="20"/>
                <w:szCs w:val="20"/>
                <w:color w:val="auto"/>
              </w:rPr>
            </w:pPr>
            <w:r>
              <w:rPr>
                <w:rFonts w:ascii="Arial" w:cs="Arial" w:eastAsia="Arial" w:hAnsi="Arial"/>
                <w:sz w:val="15"/>
                <w:szCs w:val="15"/>
                <w:color w:val="auto"/>
                <w:w w:val="89"/>
              </w:rPr>
              <w:t>2014</w:t>
            </w:r>
          </w:p>
        </w:tc>
        <w:tc>
          <w:tcPr>
            <w:tcW w:w="140" w:type="dxa"/>
            <w:vAlign w:val="bottom"/>
          </w:tcPr>
          <w:p>
            <w:pPr>
              <w:spacing w:after="0"/>
              <w:rPr>
                <w:sz w:val="16"/>
                <w:szCs w:val="16"/>
                <w:color w:val="auto"/>
              </w:rPr>
            </w:pPr>
          </w:p>
        </w:tc>
      </w:tr>
      <w:tr>
        <w:trPr>
          <w:trHeight w:val="361"/>
        </w:trPr>
        <w:tc>
          <w:tcPr>
            <w:tcW w:w="85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SUPPLEMENTAL SCHEDULE OF NON-CASH ACTIVITIES</w:t>
            </w:r>
          </w:p>
        </w:tc>
        <w:tc>
          <w:tcPr>
            <w:tcW w:w="1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62"/>
        </w:trPr>
        <w:tc>
          <w:tcPr>
            <w:tcW w:w="8580" w:type="dxa"/>
            <w:vAlign w:val="bottom"/>
          </w:tcPr>
          <w:p>
            <w:pPr>
              <w:spacing w:after="0"/>
              <w:rPr>
                <w:sz w:val="20"/>
                <w:szCs w:val="20"/>
                <w:color w:val="auto"/>
              </w:rPr>
            </w:pPr>
            <w:r>
              <w:rPr>
                <w:rFonts w:ascii="Arial" w:cs="Arial" w:eastAsia="Arial" w:hAnsi="Arial"/>
                <w:sz w:val="15"/>
                <w:szCs w:val="15"/>
                <w:color w:val="auto"/>
              </w:rPr>
              <w:t>Accounts payable settled in common stock</w:t>
            </w:r>
          </w:p>
        </w:tc>
        <w:tc>
          <w:tcPr>
            <w:tcW w:w="1200" w:type="dxa"/>
            <w:vAlign w:val="bottom"/>
            <w:gridSpan w:val="2"/>
          </w:tcPr>
          <w:p>
            <w:pPr>
              <w:jc w:val="right"/>
              <w:ind w:right="925"/>
              <w:spacing w:after="0"/>
              <w:rPr>
                <w:sz w:val="20"/>
                <w:szCs w:val="20"/>
                <w:color w:val="auto"/>
              </w:rPr>
            </w:pPr>
            <w:r>
              <w:rPr>
                <w:rFonts w:ascii="Arial" w:cs="Arial" w:eastAsia="Arial" w:hAnsi="Arial"/>
                <w:sz w:val="15"/>
                <w:szCs w:val="15"/>
                <w:color w:val="auto"/>
              </w:rPr>
              <w:t>$</w:t>
            </w:r>
          </w:p>
        </w:tc>
        <w:tc>
          <w:tcPr>
            <w:tcW w:w="460" w:type="dxa"/>
            <w:vAlign w:val="bottom"/>
            <w:gridSpan w:val="3"/>
          </w:tcPr>
          <w:p>
            <w:pPr>
              <w:ind w:left="40"/>
              <w:spacing w:after="0"/>
              <w:rPr>
                <w:sz w:val="20"/>
                <w:szCs w:val="20"/>
                <w:color w:val="auto"/>
              </w:rPr>
            </w:pPr>
            <w:r>
              <w:rPr>
                <w:rFonts w:ascii="Arial" w:cs="Arial" w:eastAsia="Arial" w:hAnsi="Arial"/>
                <w:sz w:val="15"/>
                <w:szCs w:val="15"/>
                <w:color w:val="auto"/>
              </w:rPr>
              <w:t>-   $</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513,000</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Conversion of debt obligations into common stock:</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Accrued interest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476,000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Convertible notes payable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3,293,000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Loans payable, related party</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42,000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Promissory notes, related party</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210,000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Due to related parties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369,000</w:t>
            </w: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Fair value derivative liability – conversion option at conversion</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708,000</w:t>
            </w:r>
          </w:p>
        </w:tc>
      </w:tr>
      <w:tr>
        <w:trPr>
          <w:trHeight w:val="366"/>
        </w:trPr>
        <w:tc>
          <w:tcPr>
            <w:tcW w:w="8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68" w:name="page69"/>
    <w:bookmarkEnd w:id="68"/>
    <w:p>
      <w:pPr>
        <w:jc w:val="center"/>
        <w:spacing w:after="0"/>
        <w:rPr>
          <w:sz w:val="20"/>
          <w:szCs w:val="20"/>
          <w:color w:val="auto"/>
        </w:rPr>
      </w:pPr>
      <w:r>
        <w:rPr>
          <w:rFonts w:ascii="Arial" w:cs="Arial" w:eastAsia="Arial" w:hAnsi="Arial"/>
          <w:sz w:val="15"/>
          <w:szCs w:val="15"/>
          <w:b w:val="1"/>
          <w:bCs w:val="1"/>
          <w:i w:val="1"/>
          <w:iCs w:val="1"/>
          <w:color w:val="auto"/>
        </w:rPr>
        <w:t>TAPIMMUNE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March 31, 2015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OPERATIONS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BASIS OF PRESENTATION</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59" w:lineRule="exact"/>
        <w:rPr>
          <w:sz w:val="20"/>
          <w:szCs w:val="20"/>
          <w:color w:val="auto"/>
        </w:rPr>
      </w:pPr>
    </w:p>
    <w:p>
      <w:pPr>
        <w:jc w:val="both"/>
        <w:ind w:firstLine="43"/>
        <w:spacing w:after="0" w:line="260" w:lineRule="auto"/>
        <w:rPr>
          <w:sz w:val="20"/>
          <w:szCs w:val="20"/>
          <w:color w:val="auto"/>
        </w:rPr>
      </w:pPr>
      <w:r>
        <w:rPr>
          <w:rFonts w:ascii="Arial" w:cs="Arial" w:eastAsia="Arial" w:hAnsi="Arial"/>
          <w:sz w:val="15"/>
          <w:szCs w:val="15"/>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LIQUIDITY AND FINANCIAL CONDITION</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As of March 31, 2015, the Company had cash and cash equivalents of approximately $1,454,000.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SIGNIFICANT ACCOUNTING POLICIES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There have been no material changes in the Company’s significant accounting policies to those previously disclosed in the Company’s annual report on Form 10-K, which was filed with the SEC on April 15, 2015.</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Prior Period Reclassifications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Certain prior period amounts that were combined in the March 31, 2014 consolidated financial statements have been reclassified for comparability with the March 31, 2015 presentation.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These reclassifications had no effect on previously reported net loss.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color w:val="auto"/>
        </w:rPr>
        <w:t>NOTE 5: POTENTIALLY DILUTIVE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Options, warrants, and convertible debt outstanding were all considered anti-dilutive for the three months ended March 31, 2015 and 2014, due to net losses.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securities were not included in the diluted net loss per share calculation because their effect was anti-dilutive as of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720" w:type="dxa"/>
            <w:vAlign w:val="bottom"/>
          </w:tcPr>
          <w:p>
            <w:pPr>
              <w:spacing w:after="0"/>
              <w:rPr>
                <w:sz w:val="17"/>
                <w:szCs w:val="17"/>
                <w:color w:val="auto"/>
              </w:rPr>
            </w:pPr>
          </w:p>
        </w:tc>
        <w:tc>
          <w:tcPr>
            <w:tcW w:w="1700" w:type="dxa"/>
            <w:vAlign w:val="bottom"/>
            <w:tcBorders>
              <w:bottom w:val="single" w:sz="8" w:color="auto"/>
            </w:tcBorders>
            <w:gridSpan w:val="3"/>
          </w:tcPr>
          <w:p>
            <w:pPr>
              <w:ind w:left="920"/>
              <w:spacing w:after="0"/>
              <w:rPr>
                <w:sz w:val="20"/>
                <w:szCs w:val="20"/>
                <w:color w:val="auto"/>
              </w:rPr>
            </w:pPr>
            <w:r>
              <w:rPr>
                <w:rFonts w:ascii="Arial" w:cs="Arial" w:eastAsia="Arial" w:hAnsi="Arial"/>
                <w:sz w:val="15"/>
                <w:szCs w:val="15"/>
                <w:b w:val="1"/>
                <w:bCs w:val="1"/>
                <w:color w:val="auto"/>
              </w:rPr>
              <w:t>March 31,</w:t>
            </w:r>
          </w:p>
        </w:tc>
        <w:tc>
          <w:tcPr>
            <w:tcW w:w="880" w:type="dxa"/>
            <w:vAlign w:val="bottom"/>
            <w:tcBorders>
              <w:bottom w:val="single" w:sz="8" w:color="auto"/>
            </w:tcBorders>
          </w:tcPr>
          <w:p>
            <w:pPr>
              <w:spacing w:after="0"/>
              <w:rPr>
                <w:sz w:val="17"/>
                <w:szCs w:val="17"/>
                <w:color w:val="auto"/>
              </w:rPr>
            </w:pPr>
          </w:p>
        </w:tc>
      </w:tr>
      <w:tr>
        <w:trPr>
          <w:trHeight w:val="184"/>
        </w:trPr>
        <w:tc>
          <w:tcPr>
            <w:tcW w:w="8720" w:type="dxa"/>
            <w:vAlign w:val="bottom"/>
          </w:tcPr>
          <w:p>
            <w:pPr>
              <w:spacing w:after="0"/>
              <w:rPr>
                <w:sz w:val="15"/>
                <w:szCs w:val="15"/>
                <w:color w:val="auto"/>
              </w:rPr>
            </w:pPr>
          </w:p>
        </w:tc>
        <w:tc>
          <w:tcPr>
            <w:tcW w:w="11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2015</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2014</w:t>
            </w:r>
          </w:p>
        </w:tc>
      </w:tr>
      <w:tr>
        <w:trPr>
          <w:trHeight w:val="170"/>
        </w:trPr>
        <w:tc>
          <w:tcPr>
            <w:tcW w:w="8720" w:type="dxa"/>
            <w:vAlign w:val="bottom"/>
          </w:tcPr>
          <w:p>
            <w:pPr>
              <w:spacing w:after="0" w:line="171" w:lineRule="exact"/>
              <w:rPr>
                <w:sz w:val="20"/>
                <w:szCs w:val="20"/>
                <w:color w:val="auto"/>
              </w:rPr>
            </w:pPr>
            <w:r>
              <w:rPr>
                <w:rFonts w:ascii="Arial" w:cs="Arial" w:eastAsia="Arial" w:hAnsi="Arial"/>
                <w:sz w:val="15"/>
                <w:szCs w:val="15"/>
                <w:color w:val="auto"/>
              </w:rPr>
              <w:t>Common stock options</w:t>
            </w:r>
          </w:p>
        </w:tc>
        <w:tc>
          <w:tcPr>
            <w:tcW w:w="1160" w:type="dxa"/>
            <w:vAlign w:val="bottom"/>
          </w:tcPr>
          <w:p>
            <w:pPr>
              <w:jc w:val="right"/>
              <w:spacing w:after="0" w:line="171" w:lineRule="exact"/>
              <w:rPr>
                <w:sz w:val="20"/>
                <w:szCs w:val="20"/>
                <w:color w:val="auto"/>
              </w:rPr>
            </w:pPr>
            <w:r>
              <w:rPr>
                <w:rFonts w:ascii="Arial" w:cs="Arial" w:eastAsia="Arial" w:hAnsi="Arial"/>
                <w:sz w:val="15"/>
                <w:szCs w:val="15"/>
                <w:color w:val="auto"/>
              </w:rPr>
              <w:t>65,000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5"/>
                <w:szCs w:val="15"/>
                <w:color w:val="auto"/>
              </w:rPr>
              <w:t>65,000</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equity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52,229,000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193,000</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liability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12,514,000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57,000</w:t>
            </w:r>
          </w:p>
        </w:tc>
      </w:tr>
      <w:tr>
        <w:trPr>
          <w:trHeight w:val="194"/>
        </w:trPr>
        <w:tc>
          <w:tcPr>
            <w:tcW w:w="8720" w:type="dxa"/>
            <w:vAlign w:val="bottom"/>
          </w:tcPr>
          <w:p>
            <w:pPr>
              <w:spacing w:after="0"/>
              <w:rPr>
                <w:sz w:val="20"/>
                <w:szCs w:val="20"/>
                <w:color w:val="auto"/>
              </w:rPr>
            </w:pPr>
            <w:r>
              <w:rPr>
                <w:rFonts w:ascii="Arial" w:cs="Arial" w:eastAsia="Arial" w:hAnsi="Arial"/>
                <w:sz w:val="15"/>
                <w:szCs w:val="15"/>
                <w:color w:val="auto"/>
              </w:rPr>
              <w:t>Convertible notes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15,000</w:t>
            </w:r>
          </w:p>
        </w:tc>
      </w:tr>
      <w:tr>
        <w:trPr>
          <w:trHeight w:val="181"/>
        </w:trPr>
        <w:tc>
          <w:tcPr>
            <w:tcW w:w="8720" w:type="dxa"/>
            <w:vAlign w:val="bottom"/>
          </w:tcPr>
          <w:p>
            <w:pPr>
              <w:spacing w:after="0" w:line="161" w:lineRule="exact"/>
              <w:rPr>
                <w:sz w:val="20"/>
                <w:szCs w:val="20"/>
                <w:color w:val="auto"/>
              </w:rPr>
            </w:pPr>
            <w:r>
              <w:rPr>
                <w:rFonts w:ascii="Arial" w:cs="Arial" w:eastAsia="Arial" w:hAnsi="Arial"/>
                <w:sz w:val="15"/>
                <w:szCs w:val="15"/>
                <w:color w:val="auto"/>
              </w:rPr>
              <w:t>Potentially dilutive securities</w:t>
            </w:r>
          </w:p>
        </w:tc>
        <w:tc>
          <w:tcPr>
            <w:tcW w:w="1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64,808,000</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330,000</w:t>
            </w:r>
          </w:p>
        </w:tc>
      </w:tr>
      <w:tr>
        <w:trPr>
          <w:trHeight w:val="20"/>
        </w:trPr>
        <w:tc>
          <w:tcPr>
            <w:tcW w:w="8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DERIVATIVE LIABILITY - WARRANTS AND DERIVATIVE LIABILITY – CONVERSION OPTION</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2015 and 2014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80" w:type="dxa"/>
            <w:vAlign w:val="bottom"/>
            <w:gridSpan w:val="2"/>
          </w:tcPr>
          <w:p>
            <w:pPr>
              <w:spacing w:after="0"/>
              <w:rPr>
                <w:sz w:val="20"/>
                <w:szCs w:val="20"/>
                <w:color w:val="auto"/>
              </w:rPr>
            </w:pPr>
            <w:r>
              <w:rPr>
                <w:rFonts w:ascii="Arial" w:cs="Arial" w:eastAsia="Arial" w:hAnsi="Arial"/>
                <w:sz w:val="15"/>
                <w:szCs w:val="15"/>
                <w:b w:val="1"/>
                <w:bCs w:val="1"/>
                <w:color w:val="auto"/>
              </w:rPr>
              <w:t>Share Purchase Warrants</w:t>
            </w:r>
          </w:p>
        </w:tc>
        <w:tc>
          <w:tcPr>
            <w:tcW w:w="2720" w:type="dxa"/>
            <w:vAlign w:val="bottom"/>
            <w:gridSpan w:val="6"/>
          </w:tcPr>
          <w:p>
            <w:pPr>
              <w:ind w:left="20"/>
              <w:spacing w:after="0"/>
              <w:rPr>
                <w:sz w:val="20"/>
                <w:szCs w:val="20"/>
                <w:color w:val="auto"/>
              </w:rPr>
            </w:pPr>
            <w:r>
              <w:rPr>
                <w:rFonts w:ascii="Arial" w:cs="Arial" w:eastAsia="Arial" w:hAnsi="Arial"/>
                <w:sz w:val="15"/>
                <w:szCs w:val="15"/>
                <w:b w:val="1"/>
                <w:bCs w:val="1"/>
                <w:color w:val="auto"/>
                <w:w w:val="95"/>
              </w:rPr>
              <w:t>Weighted Average Inputs for the Period</w:t>
            </w:r>
          </w:p>
        </w:tc>
      </w:tr>
      <w:tr>
        <w:trPr>
          <w:trHeight w:val="166"/>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top w:val="single" w:sz="8" w:color="auto"/>
            </w:tcBorders>
            <w:gridSpan w:val="3"/>
          </w:tcPr>
          <w:p>
            <w:pPr>
              <w:jc w:val="center"/>
              <w:ind w:right="260"/>
              <w:spacing w:after="0" w:line="167" w:lineRule="exact"/>
              <w:rPr>
                <w:sz w:val="20"/>
                <w:szCs w:val="20"/>
                <w:color w:val="auto"/>
              </w:rPr>
            </w:pPr>
            <w:r>
              <w:rPr>
                <w:rFonts w:ascii="Arial" w:cs="Arial" w:eastAsia="Arial" w:hAnsi="Arial"/>
                <w:sz w:val="15"/>
                <w:szCs w:val="15"/>
                <w:b w:val="1"/>
                <w:bCs w:val="1"/>
                <w:color w:val="auto"/>
                <w:w w:val="95"/>
              </w:rPr>
              <w:t>For the Quarter</w:t>
            </w:r>
          </w:p>
        </w:tc>
        <w:tc>
          <w:tcPr>
            <w:tcW w:w="1180" w:type="dxa"/>
            <w:vAlign w:val="bottom"/>
            <w:tcBorders>
              <w:top w:val="single" w:sz="8" w:color="auto"/>
            </w:tcBorders>
            <w:gridSpan w:val="2"/>
          </w:tcPr>
          <w:p>
            <w:pPr>
              <w:jc w:val="center"/>
              <w:spacing w:after="0" w:line="167" w:lineRule="exact"/>
              <w:rPr>
                <w:sz w:val="20"/>
                <w:szCs w:val="20"/>
                <w:color w:val="auto"/>
              </w:rPr>
            </w:pPr>
            <w:r>
              <w:rPr>
                <w:rFonts w:ascii="Arial" w:cs="Arial" w:eastAsia="Arial" w:hAnsi="Arial"/>
                <w:sz w:val="15"/>
                <w:szCs w:val="15"/>
                <w:b w:val="1"/>
                <w:bCs w:val="1"/>
                <w:color w:val="auto"/>
                <w:w w:val="95"/>
              </w:rPr>
              <w:t>For the Quarter</w:t>
            </w:r>
          </w:p>
        </w:tc>
        <w:tc>
          <w:tcPr>
            <w:tcW w:w="120" w:type="dxa"/>
            <w:vAlign w:val="bottom"/>
          </w:tcPr>
          <w:p>
            <w:pPr>
              <w:spacing w:after="0"/>
              <w:rPr>
                <w:sz w:val="14"/>
                <w:szCs w:val="14"/>
                <w:color w:val="auto"/>
              </w:rPr>
            </w:pPr>
          </w:p>
        </w:tc>
      </w:tr>
      <w:tr>
        <w:trPr>
          <w:trHeight w:val="181"/>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4"/>
              </w:rPr>
              <w:t>Ending March</w:t>
            </w:r>
          </w:p>
        </w:tc>
        <w:tc>
          <w:tcPr>
            <w:tcW w:w="13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4"/>
              </w:rPr>
              <w:t>Ending March 31,</w:t>
            </w:r>
          </w:p>
        </w:tc>
      </w:tr>
      <w:tr>
        <w:trPr>
          <w:trHeight w:val="198"/>
        </w:trPr>
        <w:tc>
          <w:tcPr>
            <w:tcW w:w="85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of valuation</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8"/>
              </w:rPr>
              <w:t>31, 2015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5"/>
              <w:spacing w:after="0"/>
              <w:rPr>
                <w:sz w:val="20"/>
                <w:szCs w:val="20"/>
                <w:color w:val="auto"/>
              </w:rPr>
            </w:pPr>
            <w:r>
              <w:rPr>
                <w:rFonts w:ascii="Arial" w:cs="Arial" w:eastAsia="Arial" w:hAnsi="Arial"/>
                <w:sz w:val="15"/>
                <w:szCs w:val="15"/>
                <w:b w:val="1"/>
                <w:bCs w:val="1"/>
                <w:color w:val="auto"/>
                <w:w w:val="89"/>
              </w:rPr>
              <w:t>2014</w:t>
            </w:r>
          </w:p>
        </w:tc>
        <w:tc>
          <w:tcPr>
            <w:tcW w:w="120" w:type="dxa"/>
            <w:vAlign w:val="bottom"/>
          </w:tcPr>
          <w:p>
            <w:pPr>
              <w:spacing w:after="0"/>
              <w:rPr>
                <w:sz w:val="17"/>
                <w:szCs w:val="17"/>
                <w:color w:val="auto"/>
              </w:rPr>
            </w:pPr>
          </w:p>
        </w:tc>
      </w:tr>
      <w:tr>
        <w:trPr>
          <w:trHeight w:val="170"/>
        </w:trPr>
        <w:tc>
          <w:tcPr>
            <w:tcW w:w="8560" w:type="dxa"/>
            <w:vAlign w:val="bottom"/>
          </w:tcPr>
          <w:p>
            <w:pPr>
              <w:spacing w:after="0" w:line="171" w:lineRule="exact"/>
              <w:rPr>
                <w:sz w:val="20"/>
                <w:szCs w:val="20"/>
                <w:color w:val="auto"/>
              </w:rPr>
            </w:pPr>
            <w:r>
              <w:rPr>
                <w:rFonts w:ascii="Arial" w:cs="Arial" w:eastAsia="Arial" w:hAnsi="Arial"/>
                <w:sz w:val="15"/>
                <w:szCs w:val="15"/>
                <w:color w:val="auto"/>
              </w:rPr>
              <w:t>Dividend yield (per 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rPr>
              <w:t>0%</w:t>
            </w:r>
          </w:p>
        </w:tc>
        <w:tc>
          <w:tcPr>
            <w:tcW w:w="26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0%</w:t>
            </w:r>
          </w:p>
        </w:tc>
      </w:tr>
      <w:tr>
        <w:trPr>
          <w:trHeight w:val="181"/>
        </w:trPr>
        <w:tc>
          <w:tcPr>
            <w:tcW w:w="8680" w:type="dxa"/>
            <w:vAlign w:val="bottom"/>
            <w:gridSpan w:val="2"/>
          </w:tcPr>
          <w:p>
            <w:pPr>
              <w:spacing w:after="0"/>
              <w:rPr>
                <w:sz w:val="20"/>
                <w:szCs w:val="20"/>
                <w:color w:val="auto"/>
              </w:rPr>
            </w:pPr>
            <w:r>
              <w:rPr>
                <w:rFonts w:ascii="Arial" w:cs="Arial" w:eastAsia="Arial" w:hAnsi="Arial"/>
                <w:sz w:val="15"/>
                <w:szCs w:val="15"/>
                <w:color w:val="auto"/>
              </w:rPr>
              <w:t>Strike price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1.52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5.84</w:t>
            </w:r>
          </w:p>
        </w:tc>
      </w:tr>
      <w:tr>
        <w:trPr>
          <w:trHeight w:val="181"/>
        </w:trPr>
        <w:tc>
          <w:tcPr>
            <w:tcW w:w="8680" w:type="dxa"/>
            <w:vAlign w:val="bottom"/>
            <w:gridSpan w:val="2"/>
          </w:tcPr>
          <w:p>
            <w:pPr>
              <w:spacing w:after="0"/>
              <w:rPr>
                <w:sz w:val="20"/>
                <w:szCs w:val="20"/>
                <w:color w:val="auto"/>
              </w:rPr>
            </w:pPr>
            <w:r>
              <w:rPr>
                <w:rFonts w:ascii="Arial" w:cs="Arial" w:eastAsia="Arial" w:hAnsi="Arial"/>
                <w:sz w:val="15"/>
                <w:szCs w:val="15"/>
                <w:color w:val="auto"/>
              </w:rPr>
              <w:t>Volatility (annual)</w:t>
            </w:r>
          </w:p>
        </w:tc>
        <w:tc>
          <w:tcPr>
            <w:tcW w:w="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155.00%</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159.00%</w:t>
            </w:r>
          </w:p>
        </w:tc>
      </w:tr>
      <w:tr>
        <w:trPr>
          <w:trHeight w:val="181"/>
        </w:trPr>
        <w:tc>
          <w:tcPr>
            <w:tcW w:w="8680" w:type="dxa"/>
            <w:vAlign w:val="bottom"/>
            <w:gridSpan w:val="2"/>
          </w:tcPr>
          <w:p>
            <w:pPr>
              <w:spacing w:after="0"/>
              <w:rPr>
                <w:sz w:val="20"/>
                <w:szCs w:val="20"/>
                <w:color w:val="auto"/>
              </w:rPr>
            </w:pPr>
            <w:r>
              <w:rPr>
                <w:rFonts w:ascii="Arial" w:cs="Arial" w:eastAsia="Arial" w:hAnsi="Arial"/>
                <w:sz w:val="15"/>
                <w:szCs w:val="15"/>
                <w:color w:val="auto"/>
              </w:rPr>
              <w:t>Risk-free rate</w:t>
            </w:r>
          </w:p>
        </w:tc>
        <w:tc>
          <w:tcPr>
            <w:tcW w:w="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1.37%</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0.65%</w:t>
            </w:r>
          </w:p>
        </w:tc>
      </w:tr>
      <w:tr>
        <w:trPr>
          <w:trHeight w:val="194"/>
        </w:trPr>
        <w:tc>
          <w:tcPr>
            <w:tcW w:w="8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Contractual term (years)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w:t>
            </w:r>
          </w:p>
        </w:tc>
        <w:tc>
          <w:tcPr>
            <w:tcW w:w="120" w:type="dxa"/>
            <w:vAlign w:val="bottom"/>
          </w:tcPr>
          <w:p>
            <w:pPr>
              <w:spacing w:after="0"/>
              <w:rPr>
                <w:sz w:val="16"/>
                <w:szCs w:val="16"/>
                <w:color w:val="auto"/>
              </w:rPr>
            </w:pPr>
          </w:p>
        </w:tc>
      </w:tr>
    </w:tbl>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Assets and Liabilities Measured at Fair Value on a Recurring Basis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Financial assets and liabilities measured at fair value on a recurring basis are summarized below and disclosed on the balance sheet under Derivative liability – warrants and Derivative liability – conversion option: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2"/>
              </w:rPr>
              <w:t>As of March 31, 2015</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gridSpan w:val="6"/>
          </w:tcPr>
          <w:p>
            <w:pPr>
              <w:jc w:val="center"/>
              <w:ind w:left="745"/>
              <w:spacing w:after="0"/>
              <w:rPr>
                <w:sz w:val="20"/>
                <w:szCs w:val="20"/>
                <w:color w:val="auto"/>
              </w:rPr>
            </w:pPr>
            <w:r>
              <w:rPr>
                <w:rFonts w:ascii="Arial" w:cs="Arial" w:eastAsia="Arial" w:hAnsi="Arial"/>
                <w:sz w:val="15"/>
                <w:szCs w:val="15"/>
                <w:b w:val="1"/>
                <w:bCs w:val="1"/>
                <w:color w:val="auto"/>
                <w:w w:val="91"/>
              </w:rPr>
              <w:t>Fair Value Measurements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line="171" w:lineRule="exact"/>
              <w:rPr>
                <w:sz w:val="20"/>
                <w:szCs w:val="20"/>
                <w:color w:val="auto"/>
              </w:rPr>
            </w:pPr>
            <w:r>
              <w:rPr>
                <w:rFonts w:ascii="Arial" w:cs="Arial" w:eastAsia="Arial" w:hAnsi="Arial"/>
                <w:sz w:val="15"/>
                <w:szCs w:val="15"/>
                <w:b w:val="1"/>
                <w:bCs w:val="1"/>
                <w:color w:val="auto"/>
              </w:rPr>
              <w:t>Fair Value</w:t>
            </w:r>
          </w:p>
        </w:tc>
        <w:tc>
          <w:tcPr>
            <w:tcW w:w="1160" w:type="dxa"/>
            <w:vAlign w:val="bottom"/>
            <w:gridSpan w:val="2"/>
          </w:tcPr>
          <w:p>
            <w:pPr>
              <w:jc w:val="right"/>
              <w:ind w:right="4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line="171" w:lineRule="exact"/>
              <w:rPr>
                <w:sz w:val="20"/>
                <w:szCs w:val="20"/>
                <w:color w:val="auto"/>
              </w:rPr>
            </w:pPr>
            <w:r>
              <w:rPr>
                <w:rFonts w:ascii="Arial" w:cs="Arial" w:eastAsia="Arial" w:hAnsi="Arial"/>
                <w:sz w:val="15"/>
                <w:szCs w:val="15"/>
                <w:b w:val="1"/>
                <w:bCs w:val="1"/>
                <w:color w:val="auto"/>
              </w:rPr>
              <w:t>Level 2</w:t>
            </w:r>
          </w:p>
        </w:tc>
        <w:tc>
          <w:tcPr>
            <w:tcW w:w="320" w:type="dxa"/>
            <w:vAlign w:val="bottom"/>
          </w:tcPr>
          <w:p>
            <w:pPr>
              <w:spacing w:after="0"/>
              <w:rPr>
                <w:sz w:val="14"/>
                <w:szCs w:val="14"/>
                <w:color w:val="auto"/>
              </w:rPr>
            </w:pPr>
          </w:p>
        </w:tc>
        <w:tc>
          <w:tcPr>
            <w:tcW w:w="1080" w:type="dxa"/>
            <w:vAlign w:val="bottom"/>
            <w:gridSpan w:val="2"/>
          </w:tcPr>
          <w:p>
            <w:pPr>
              <w:jc w:val="right"/>
              <w:ind w:right="260"/>
              <w:spacing w:after="0" w:line="171" w:lineRule="exact"/>
              <w:rPr>
                <w:sz w:val="20"/>
                <w:szCs w:val="20"/>
                <w:color w:val="auto"/>
              </w:rPr>
            </w:pPr>
            <w:r>
              <w:rPr>
                <w:rFonts w:ascii="Arial" w:cs="Arial" w:eastAsia="Arial" w:hAnsi="Arial"/>
                <w:sz w:val="15"/>
                <w:szCs w:val="15"/>
                <w:b w:val="1"/>
                <w:bCs w:val="1"/>
                <w:color w:val="auto"/>
              </w:rPr>
              <w:t>Level 3</w:t>
            </w:r>
          </w:p>
        </w:tc>
        <w:tc>
          <w:tcPr>
            <w:tcW w:w="320" w:type="dxa"/>
            <w:vAlign w:val="bottom"/>
          </w:tcPr>
          <w:p>
            <w:pPr>
              <w:spacing w:after="0"/>
              <w:rPr>
                <w:sz w:val="14"/>
                <w:szCs w:val="14"/>
                <w:color w:val="auto"/>
              </w:rPr>
            </w:pPr>
          </w:p>
        </w:tc>
        <w:tc>
          <w:tcPr>
            <w:tcW w:w="980" w:type="dxa"/>
            <w:vAlign w:val="bottom"/>
            <w:gridSpan w:val="2"/>
          </w:tcPr>
          <w:p>
            <w:pPr>
              <w:jc w:val="right"/>
              <w:ind w:right="140"/>
              <w:spacing w:after="0" w:line="171" w:lineRule="exact"/>
              <w:rPr>
                <w:sz w:val="20"/>
                <w:szCs w:val="20"/>
                <w:color w:val="auto"/>
              </w:rPr>
            </w:pPr>
            <w:r>
              <w:rPr>
                <w:rFonts w:ascii="Arial" w:cs="Arial" w:eastAsia="Arial" w:hAnsi="Arial"/>
                <w:sz w:val="15"/>
                <w:szCs w:val="15"/>
                <w:b w:val="1"/>
                <w:bCs w:val="1"/>
                <w:color w:val="auto"/>
              </w:rPr>
              <w:t>Total</w:t>
            </w:r>
          </w:p>
        </w:tc>
      </w:tr>
      <w:tr>
        <w:trPr>
          <w:trHeight w:val="194"/>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2,053,000</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2,053,000</w:t>
            </w:r>
          </w:p>
        </w:tc>
        <w:tc>
          <w:tcPr>
            <w:tcW w:w="260" w:type="dxa"/>
            <w:vAlign w:val="bottom"/>
          </w:tcPr>
          <w:p>
            <w:pPr>
              <w:spacing w:after="0"/>
              <w:rPr>
                <w:sz w:val="16"/>
                <w:szCs w:val="16"/>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2,053,000</w:t>
            </w:r>
          </w:p>
        </w:tc>
      </w:tr>
      <w:tr>
        <w:trPr>
          <w:trHeight w:val="181"/>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2,053,000</w:t>
            </w:r>
          </w:p>
        </w:tc>
        <w:tc>
          <w:tcPr>
            <w:tcW w:w="2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2,053,000</w:t>
            </w:r>
          </w:p>
        </w:tc>
        <w:tc>
          <w:tcPr>
            <w:tcW w:w="26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2,053,000</w:t>
            </w:r>
          </w:p>
        </w:tc>
        <w:tc>
          <w:tcPr>
            <w:tcW w:w="140" w:type="dxa"/>
            <w:vAlign w:val="bottom"/>
          </w:tcPr>
          <w:p>
            <w:pPr>
              <w:spacing w:after="0"/>
              <w:rPr>
                <w:sz w:val="15"/>
                <w:szCs w:val="15"/>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4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84"/>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As of December 31, 2014</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gridSpan w:val="6"/>
          </w:tcPr>
          <w:p>
            <w:pPr>
              <w:jc w:val="center"/>
              <w:ind w:left="745"/>
              <w:spacing w:after="0"/>
              <w:rPr>
                <w:sz w:val="20"/>
                <w:szCs w:val="20"/>
                <w:color w:val="auto"/>
              </w:rPr>
            </w:pPr>
            <w:r>
              <w:rPr>
                <w:rFonts w:ascii="Arial" w:cs="Arial" w:eastAsia="Arial" w:hAnsi="Arial"/>
                <w:sz w:val="15"/>
                <w:szCs w:val="15"/>
                <w:b w:val="1"/>
                <w:bCs w:val="1"/>
                <w:color w:val="auto"/>
                <w:w w:val="91"/>
              </w:rPr>
              <w:t>Fair Value Measurements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line="171" w:lineRule="exact"/>
              <w:rPr>
                <w:sz w:val="20"/>
                <w:szCs w:val="20"/>
                <w:color w:val="auto"/>
              </w:rPr>
            </w:pPr>
            <w:r>
              <w:rPr>
                <w:rFonts w:ascii="Arial" w:cs="Arial" w:eastAsia="Arial" w:hAnsi="Arial"/>
                <w:sz w:val="15"/>
                <w:szCs w:val="15"/>
                <w:b w:val="1"/>
                <w:bCs w:val="1"/>
                <w:color w:val="auto"/>
              </w:rPr>
              <w:t>Fair Value</w:t>
            </w:r>
          </w:p>
        </w:tc>
        <w:tc>
          <w:tcPr>
            <w:tcW w:w="1160" w:type="dxa"/>
            <w:vAlign w:val="bottom"/>
            <w:gridSpan w:val="2"/>
          </w:tcPr>
          <w:p>
            <w:pPr>
              <w:jc w:val="right"/>
              <w:ind w:right="4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line="171" w:lineRule="exact"/>
              <w:rPr>
                <w:sz w:val="20"/>
                <w:szCs w:val="20"/>
                <w:color w:val="auto"/>
              </w:rPr>
            </w:pPr>
            <w:r>
              <w:rPr>
                <w:rFonts w:ascii="Arial" w:cs="Arial" w:eastAsia="Arial" w:hAnsi="Arial"/>
                <w:sz w:val="15"/>
                <w:szCs w:val="15"/>
                <w:b w:val="1"/>
                <w:bCs w:val="1"/>
                <w:color w:val="auto"/>
              </w:rPr>
              <w:t>Level 2</w:t>
            </w:r>
          </w:p>
        </w:tc>
        <w:tc>
          <w:tcPr>
            <w:tcW w:w="320" w:type="dxa"/>
            <w:vAlign w:val="bottom"/>
          </w:tcPr>
          <w:p>
            <w:pPr>
              <w:spacing w:after="0"/>
              <w:rPr>
                <w:sz w:val="14"/>
                <w:szCs w:val="14"/>
                <w:color w:val="auto"/>
              </w:rPr>
            </w:pPr>
          </w:p>
        </w:tc>
        <w:tc>
          <w:tcPr>
            <w:tcW w:w="1080" w:type="dxa"/>
            <w:vAlign w:val="bottom"/>
            <w:gridSpan w:val="2"/>
          </w:tcPr>
          <w:p>
            <w:pPr>
              <w:jc w:val="right"/>
              <w:ind w:right="260"/>
              <w:spacing w:after="0" w:line="171" w:lineRule="exact"/>
              <w:rPr>
                <w:sz w:val="20"/>
                <w:szCs w:val="20"/>
                <w:color w:val="auto"/>
              </w:rPr>
            </w:pPr>
            <w:r>
              <w:rPr>
                <w:rFonts w:ascii="Arial" w:cs="Arial" w:eastAsia="Arial" w:hAnsi="Arial"/>
                <w:sz w:val="15"/>
                <w:szCs w:val="15"/>
                <w:b w:val="1"/>
                <w:bCs w:val="1"/>
                <w:color w:val="auto"/>
              </w:rPr>
              <w:t>Level 3</w:t>
            </w:r>
          </w:p>
        </w:tc>
        <w:tc>
          <w:tcPr>
            <w:tcW w:w="320" w:type="dxa"/>
            <w:vAlign w:val="bottom"/>
          </w:tcPr>
          <w:p>
            <w:pPr>
              <w:spacing w:after="0"/>
              <w:rPr>
                <w:sz w:val="14"/>
                <w:szCs w:val="14"/>
                <w:color w:val="auto"/>
              </w:rPr>
            </w:pPr>
          </w:p>
        </w:tc>
        <w:tc>
          <w:tcPr>
            <w:tcW w:w="980" w:type="dxa"/>
            <w:vAlign w:val="bottom"/>
            <w:gridSpan w:val="2"/>
          </w:tcPr>
          <w:p>
            <w:pPr>
              <w:jc w:val="right"/>
              <w:ind w:right="140"/>
              <w:spacing w:after="0" w:line="171" w:lineRule="exact"/>
              <w:rPr>
                <w:sz w:val="20"/>
                <w:szCs w:val="20"/>
                <w:color w:val="auto"/>
              </w:rPr>
            </w:pPr>
            <w:r>
              <w:rPr>
                <w:rFonts w:ascii="Arial" w:cs="Arial" w:eastAsia="Arial" w:hAnsi="Arial"/>
                <w:sz w:val="15"/>
                <w:szCs w:val="15"/>
                <w:b w:val="1"/>
                <w:bCs w:val="1"/>
                <w:color w:val="auto"/>
              </w:rPr>
              <w:t>Total</w:t>
            </w:r>
          </w:p>
        </w:tc>
      </w:tr>
      <w:tr>
        <w:trPr>
          <w:trHeight w:val="194"/>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9,000</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9,000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9,000</w:t>
            </w:r>
          </w:p>
        </w:tc>
      </w:tr>
      <w:tr>
        <w:trPr>
          <w:trHeight w:val="181"/>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2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26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140" w:type="dxa"/>
            <w:vAlign w:val="bottom"/>
          </w:tcPr>
          <w:p>
            <w:pPr>
              <w:spacing w:after="0"/>
              <w:rPr>
                <w:sz w:val="15"/>
                <w:szCs w:val="15"/>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between Level 1, 2 or 3 during the three months ended March 31, 2015.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70" w:name="page71"/>
    <w:bookmarkEnd w:id="70"/>
    <w:p>
      <w:pPr>
        <w:spacing w:after="0"/>
        <w:rPr>
          <w:sz w:val="20"/>
          <w:szCs w:val="20"/>
          <w:color w:val="auto"/>
        </w:rPr>
      </w:pPr>
      <w:r>
        <w:rPr>
          <w:rFonts w:ascii="Arial" w:cs="Arial" w:eastAsia="Arial" w:hAnsi="Arial"/>
          <w:sz w:val="13"/>
          <w:szCs w:val="13"/>
          <w:color w:val="auto"/>
        </w:rPr>
        <w:t>The following table presents changes in Level 3 liabilities measured at fair value for the three months ended March 31, 2015: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Balance – December 31, 2014</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Additions during the quarter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warrant liability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Balance – March 31, 2015</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37"/>
        <w:spacing w:after="0"/>
        <w:rPr>
          <w:sz w:val="20"/>
          <w:szCs w:val="20"/>
          <w:color w:val="auto"/>
        </w:rPr>
      </w:pPr>
      <w:r>
        <w:rPr>
          <w:rFonts w:ascii="Arial" w:cs="Arial" w:eastAsia="Arial" w:hAnsi="Arial"/>
          <w:sz w:val="15"/>
          <w:szCs w:val="15"/>
          <w:color w:val="auto"/>
        </w:rPr>
        <w:t>Derivative liability</w:t>
      </w:r>
    </w:p>
    <w:p>
      <w:pPr>
        <w:spacing w:after="0" w:line="18" w:lineRule="exact"/>
        <w:rPr>
          <w:sz w:val="20"/>
          <w:szCs w:val="20"/>
          <w:color w:val="auto"/>
        </w:rPr>
      </w:pPr>
    </w:p>
    <w:p>
      <w:pPr>
        <w:jc w:val="center"/>
        <w:ind w:right="137"/>
        <w:spacing w:after="0"/>
        <w:rPr>
          <w:sz w:val="20"/>
          <w:szCs w:val="20"/>
          <w:color w:val="auto"/>
        </w:rPr>
      </w:pPr>
      <w:r>
        <w:rPr>
          <w:rFonts w:ascii="Arial" w:cs="Arial" w:eastAsia="Arial" w:hAnsi="Arial"/>
          <w:sz w:val="15"/>
          <w:szCs w:val="15"/>
          <w:color w:val="auto"/>
        </w:rPr>
        <w: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39775"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9775" cy="14605"/>
                    </a:xfrm>
                    <a:prstGeom prst="rect">
                      <a:avLst/>
                    </a:prstGeom>
                    <a:noFill/>
                  </pic:spPr>
                </pic:pic>
              </a:graphicData>
            </a:graphic>
          </wp:anchor>
        </w:drawing>
      </w:r>
    </w:p>
    <w:p>
      <w:pPr>
        <w:spacing w:after="0" w:line="2" w:lineRule="exact"/>
        <w:rPr>
          <w:sz w:val="20"/>
          <w:szCs w:val="20"/>
          <w:color w:val="auto"/>
        </w:rPr>
      </w:pPr>
    </w:p>
    <w:p>
      <w:pPr>
        <w:ind w:left="823" w:hanging="823"/>
        <w:spacing w:after="0"/>
        <w:tabs>
          <w:tab w:leader="none" w:pos="823" w:val="left"/>
        </w:tabs>
        <w:numPr>
          <w:ilvl w:val="0"/>
          <w:numId w:val="31"/>
        </w:numPr>
        <w:rPr>
          <w:rFonts w:ascii="Arial" w:cs="Arial" w:eastAsia="Arial" w:hAnsi="Arial"/>
          <w:sz w:val="15"/>
          <w:szCs w:val="15"/>
          <w:color w:val="auto"/>
        </w:rPr>
      </w:pPr>
      <w:r>
        <w:rPr>
          <w:rFonts w:ascii="Arial" w:cs="Arial" w:eastAsia="Arial" w:hAnsi="Arial"/>
          <w:sz w:val="15"/>
          <w:szCs w:val="15"/>
          <w:color w:val="auto"/>
        </w:rPr>
        <w:t>9,000</w:t>
      </w:r>
    </w:p>
    <w:p>
      <w:pPr>
        <w:spacing w:after="0" w:line="17" w:lineRule="exact"/>
        <w:rPr>
          <w:rFonts w:ascii="Arial" w:cs="Arial" w:eastAsia="Arial" w:hAnsi="Arial"/>
          <w:sz w:val="15"/>
          <w:szCs w:val="15"/>
          <w:color w:val="auto"/>
        </w:rPr>
      </w:pPr>
    </w:p>
    <w:p>
      <w:pPr>
        <w:ind w:left="563"/>
        <w:spacing w:after="0"/>
        <w:rPr>
          <w:rFonts w:ascii="Arial" w:cs="Arial" w:eastAsia="Arial" w:hAnsi="Arial"/>
          <w:sz w:val="15"/>
          <w:szCs w:val="15"/>
          <w:color w:val="auto"/>
        </w:rPr>
      </w:pPr>
      <w:r>
        <w:rPr>
          <w:rFonts w:ascii="Arial" w:cs="Arial" w:eastAsia="Arial" w:hAnsi="Arial"/>
          <w:sz w:val="14"/>
          <w:szCs w:val="14"/>
          <w:color w:val="auto"/>
        </w:rPr>
        <w:t>2,090,000</w:t>
      </w:r>
    </w:p>
    <w:p>
      <w:pPr>
        <w:spacing w:after="0" w:line="19" w:lineRule="exact"/>
        <w:rPr>
          <w:rFonts w:ascii="Arial" w:cs="Arial" w:eastAsia="Arial" w:hAnsi="Arial"/>
          <w:sz w:val="15"/>
          <w:szCs w:val="15"/>
          <w:color w:val="auto"/>
        </w:rPr>
      </w:pPr>
    </w:p>
    <w:p>
      <w:pPr>
        <w:ind w:left="703"/>
        <w:spacing w:after="0"/>
        <w:rPr>
          <w:rFonts w:ascii="Arial" w:cs="Arial" w:eastAsia="Arial" w:hAnsi="Arial"/>
          <w:sz w:val="15"/>
          <w:szCs w:val="15"/>
          <w:color w:val="auto"/>
        </w:rPr>
      </w:pPr>
      <w:r>
        <w:rPr>
          <w:rFonts w:ascii="Arial" w:cs="Arial" w:eastAsia="Arial" w:hAnsi="Arial"/>
          <w:sz w:val="13"/>
          <w:szCs w:val="13"/>
          <w:color w:val="auto"/>
        </w:rPr>
        <w:t>(46,000)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3977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9775" cy="14605"/>
                    </a:xfrm>
                    <a:prstGeom prst="rect">
                      <a:avLst/>
                    </a:prstGeom>
                    <a:noFill/>
                  </pic:spPr>
                </pic:pic>
              </a:graphicData>
            </a:graphic>
          </wp:anchor>
        </w:drawing>
      </w:r>
    </w:p>
    <w:p>
      <w:pPr>
        <w:spacing w:after="0" w:line="34" w:lineRule="exact"/>
        <w:rPr>
          <w:sz w:val="20"/>
          <w:szCs w:val="20"/>
          <w:color w:val="auto"/>
        </w:rPr>
      </w:pPr>
    </w:p>
    <w:p>
      <w:pPr>
        <w:ind w:left="563" w:hanging="563"/>
        <w:spacing w:after="0"/>
        <w:tabs>
          <w:tab w:leader="none" w:pos="563" w:val="left"/>
        </w:tabs>
        <w:numPr>
          <w:ilvl w:val="0"/>
          <w:numId w:val="32"/>
        </w:numPr>
        <w:rPr>
          <w:rFonts w:ascii="Arial" w:cs="Arial" w:eastAsia="Arial" w:hAnsi="Arial"/>
          <w:sz w:val="14"/>
          <w:szCs w:val="14"/>
          <w:color w:val="auto"/>
        </w:rPr>
      </w:pPr>
      <w:r>
        <w:rPr>
          <w:rFonts w:ascii="Arial" w:cs="Arial" w:eastAsia="Arial" w:hAnsi="Arial"/>
          <w:sz w:val="14"/>
          <w:szCs w:val="14"/>
          <w:color w:val="auto"/>
        </w:rPr>
        <w:t>2,053,000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3977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73977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417" w:space="720"/>
            <w:col w:w="1303"/>
          </w:cols>
          <w:pgMar w:left="240" w:top="457" w:right="219" w:bottom="1440" w:gutter="0" w:footer="0" w:header="0"/>
        </w:sectPr>
      </w:pPr>
    </w:p>
    <w:p>
      <w:pPr>
        <w:jc w:val="both"/>
        <w:spacing w:after="0" w:line="306" w:lineRule="auto"/>
        <w:rPr>
          <w:sz w:val="20"/>
          <w:szCs w:val="20"/>
          <w:color w:val="auto"/>
        </w:rPr>
      </w:pPr>
      <w:r>
        <w:rPr>
          <w:rFonts w:ascii="Arial" w:cs="Arial" w:eastAsia="Arial" w:hAnsi="Arial"/>
          <w:sz w:val="13"/>
          <w:szCs w:val="13"/>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55"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ectPr>
          <w:pgSz w:w="11900" w:h="16838" w:orient="portrait"/>
          <w:cols w:equalWidth="0" w:num="1">
            <w:col w:w="11440"/>
          </w:cols>
          <w:pgMar w:left="240" w:top="457" w:right="21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Conversion Option</w:t>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of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437505"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37505" cy="146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Dividend yield (per share)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Strike price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Volatility (annual)</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Risk-free rate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Contractual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121285</wp:posOffset>
            </wp:positionV>
            <wp:extent cx="5437505"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37505" cy="1460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Fair value of Conversion Option at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543750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3750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Weighted Average Inputs for the Period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5"/>
              </w:rPr>
              <w:t>For the Quarter</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5"/>
                <w:szCs w:val="15"/>
                <w:b w:val="1"/>
                <w:bCs w:val="1"/>
                <w:color w:val="auto"/>
              </w:rPr>
              <w:t>For the Quarter</w:t>
            </w:r>
          </w:p>
        </w:tc>
        <w:tc>
          <w:tcPr>
            <w:tcW w:w="120" w:type="dxa"/>
            <w:vAlign w:val="bottom"/>
          </w:tcPr>
          <w:p>
            <w:pPr>
              <w:spacing w:after="0"/>
              <w:rPr>
                <w:sz w:val="14"/>
                <w:szCs w:val="14"/>
                <w:color w:val="auto"/>
              </w:rPr>
            </w:pPr>
          </w:p>
        </w:tc>
      </w:tr>
      <w:tr>
        <w:trPr>
          <w:trHeight w:val="181"/>
        </w:trPr>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4"/>
              </w:rPr>
              <w:t>Ending March</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5"/>
                <w:szCs w:val="15"/>
                <w:b w:val="1"/>
                <w:bCs w:val="1"/>
                <w:color w:val="auto"/>
              </w:rPr>
              <w:t>Ending March 31,</w:t>
            </w:r>
          </w:p>
        </w:tc>
      </w:tr>
      <w:tr>
        <w:trPr>
          <w:trHeight w:val="198"/>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31, 2015</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2014</w:t>
            </w:r>
          </w:p>
        </w:tc>
        <w:tc>
          <w:tcPr>
            <w:tcW w:w="120" w:type="dxa"/>
            <w:vAlign w:val="bottom"/>
          </w:tcPr>
          <w:p>
            <w:pPr>
              <w:spacing w:after="0"/>
              <w:rPr>
                <w:sz w:val="17"/>
                <w:szCs w:val="17"/>
                <w:color w:val="auto"/>
              </w:rPr>
            </w:pPr>
          </w:p>
        </w:tc>
      </w:tr>
      <w:tr>
        <w:trPr>
          <w:trHeight w:val="170"/>
        </w:trPr>
        <w:tc>
          <w:tcPr>
            <w:tcW w:w="1100" w:type="dxa"/>
            <w:vAlign w:val="bottom"/>
          </w:tcPr>
          <w:p>
            <w:pPr>
              <w:spacing w:after="0"/>
              <w:rPr>
                <w:sz w:val="14"/>
                <w:szCs w:val="14"/>
                <w:color w:val="auto"/>
              </w:rPr>
            </w:pPr>
          </w:p>
        </w:tc>
        <w:tc>
          <w:tcPr>
            <w:tcW w:w="60" w:type="dxa"/>
            <w:vAlign w:val="bottom"/>
          </w:tcPr>
          <w:p>
            <w:pPr>
              <w:spacing w:after="0" w:line="171" w:lineRule="exact"/>
              <w:rPr>
                <w:sz w:val="20"/>
                <w:szCs w:val="20"/>
                <w:color w:val="auto"/>
              </w:rPr>
            </w:pPr>
            <w:r>
              <w:rPr>
                <w:rFonts w:ascii="Arial" w:cs="Arial" w:eastAsia="Arial" w:hAnsi="Arial"/>
                <w:sz w:val="15"/>
                <w:szCs w:val="15"/>
                <w:color w:val="auto"/>
                <w:w w:val="79"/>
              </w:rPr>
              <w:t>-</w:t>
            </w:r>
          </w:p>
        </w:tc>
        <w:tc>
          <w:tcPr>
            <w:tcW w:w="26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w w:val="74"/>
              </w:rPr>
              <w:t>%</w:t>
            </w:r>
          </w:p>
        </w:tc>
        <w:tc>
          <w:tcPr>
            <w:tcW w:w="26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0%</w:t>
            </w:r>
          </w:p>
        </w:tc>
      </w:tr>
      <w:tr>
        <w:trPr>
          <w:trHeight w:val="181"/>
        </w:trPr>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8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1.03</w:t>
            </w:r>
          </w:p>
        </w:tc>
      </w:tr>
      <w:tr>
        <w:trPr>
          <w:trHeight w:val="181"/>
        </w:trPr>
        <w:tc>
          <w:tcPr>
            <w:tcW w:w="1100" w:type="dxa"/>
            <w:vAlign w:val="bottom"/>
          </w:tcPr>
          <w:p>
            <w:pPr>
              <w:spacing w:after="0"/>
              <w:rPr>
                <w:sz w:val="15"/>
                <w:szCs w:val="15"/>
                <w:color w:val="auto"/>
              </w:rPr>
            </w:pPr>
          </w:p>
        </w:tc>
        <w:tc>
          <w:tcPr>
            <w:tcW w:w="320" w:type="dxa"/>
            <w:vAlign w:val="bottom"/>
            <w:gridSpan w:val="3"/>
          </w:tcPr>
          <w:p>
            <w:pPr>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199.00%</w:t>
            </w:r>
          </w:p>
        </w:tc>
      </w:tr>
      <w:tr>
        <w:trPr>
          <w:trHeight w:val="181"/>
        </w:trPr>
        <w:tc>
          <w:tcPr>
            <w:tcW w:w="1100" w:type="dxa"/>
            <w:vAlign w:val="bottom"/>
          </w:tcPr>
          <w:p>
            <w:pPr>
              <w:spacing w:after="0"/>
              <w:rPr>
                <w:sz w:val="15"/>
                <w:szCs w:val="15"/>
                <w:color w:val="auto"/>
              </w:rPr>
            </w:pPr>
          </w:p>
        </w:tc>
        <w:tc>
          <w:tcPr>
            <w:tcW w:w="320" w:type="dxa"/>
            <w:vAlign w:val="bottom"/>
            <w:gridSpan w:val="3"/>
          </w:tcPr>
          <w:p>
            <w:pPr>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0.05%</w:t>
            </w:r>
          </w:p>
        </w:tc>
      </w:tr>
      <w:tr>
        <w:trPr>
          <w:trHeight w:val="190"/>
        </w:trPr>
        <w:tc>
          <w:tcPr>
            <w:tcW w:w="1100" w:type="dxa"/>
            <w:vAlign w:val="bottom"/>
          </w:tcPr>
          <w:p>
            <w:pPr>
              <w:spacing w:after="0"/>
              <w:rPr>
                <w:sz w:val="16"/>
                <w:szCs w:val="16"/>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0.24</w:t>
            </w:r>
          </w:p>
        </w:tc>
      </w:tr>
      <w:tr>
        <w:trPr>
          <w:trHeight w:val="185"/>
        </w:trPr>
        <w:tc>
          <w:tcPr>
            <w:tcW w:w="110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r>
      <w:tr>
        <w:trPr>
          <w:trHeight w:val="184"/>
        </w:trPr>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708,000</w:t>
            </w:r>
          </w:p>
        </w:tc>
        <w:tc>
          <w:tcPr>
            <w:tcW w:w="120" w:type="dxa"/>
            <w:vAlign w:val="bottom"/>
          </w:tcPr>
          <w:p>
            <w:pPr>
              <w:spacing w:after="0"/>
              <w:rPr>
                <w:sz w:val="15"/>
                <w:szCs w:val="15"/>
                <w:color w:val="auto"/>
              </w:rPr>
            </w:pPr>
          </w:p>
        </w:tc>
      </w:tr>
    </w:tbl>
    <w:p>
      <w:pPr>
        <w:spacing w:after="0" w:line="166" w:lineRule="exact"/>
        <w:rPr>
          <w:sz w:val="20"/>
          <w:szCs w:val="20"/>
          <w:color w:val="auto"/>
        </w:rPr>
      </w:pPr>
    </w:p>
    <w:p>
      <w:pPr>
        <w:sectPr>
          <w:pgSz w:w="11900" w:h="16838" w:orient="portrait"/>
          <w:cols w:equalWidth="0" w:num="2">
            <w:col w:w="7960" w:space="720"/>
            <w:col w:w="2760"/>
          </w:cols>
          <w:pgMar w:left="240" w:top="457" w:right="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NOTE 7: PROMISSORY NOTES, RELATED PARTY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has outstanding promissory notes in the amount of $52,942 (December 31, 2014 - $52,942), of which $23,000 of promissory notes are from an officer and a director of the Company. The promissory notes bear no interest charges and have no fixed repayment terms.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CAPITAL STOCK</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 Share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Private placements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3"/>
          <w:szCs w:val="13"/>
          <w:color w:val="auto"/>
        </w:rPr>
        <w:t>Pursuant to a placement agent agreement, the Company agreed to issue warrants to purchase 366,000 common shares with substantially the same terms as the January 2015 Warrants.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Series A warrants were issued with price reset features. The fair value of these warrants was determined to be $1,346,000 and recognized as a derivative liability.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Series B, C, D &amp; E warrants was determined to be $4,635,000 and was included within equity.</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Pursuant to a placement agent agreement, the Company agreed to issue warrants to purchase 125,000 common shares with substantially the same terms as the March 2015 Warrants.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The Series A warrants were issued with price reset features. The fair value of these warrants was determined to be $744,000 and recognized as a derivative liability.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Series B, C, D &amp; E warrants was determined to be $2,588,000 and was included within equity.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Purchase Warrants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share purchase warrants as of March 31, 2015 and changes during the period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7268845"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-228600</wp:posOffset>
            </wp:positionV>
            <wp:extent cx="4582795"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82795" cy="1460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color w:val="auto"/>
        </w:rPr>
        <w:t>Issued</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Exercised</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Extinguished or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4582795"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82795" cy="146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Balance,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458279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827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458279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82795"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CONTINGENCIES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Consultant Litigation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380" w:type="dxa"/>
            <w:vAlign w:val="bottom"/>
            <w:gridSpan w:val="2"/>
          </w:tcPr>
          <w:p>
            <w:pPr>
              <w:jc w:val="right"/>
              <w:ind w:right="480"/>
              <w:spacing w:after="0"/>
              <w:rPr>
                <w:sz w:val="20"/>
                <w:szCs w:val="20"/>
                <w:color w:val="auto"/>
              </w:rPr>
            </w:pPr>
            <w:r>
              <w:rPr>
                <w:rFonts w:ascii="Arial" w:cs="Arial" w:eastAsia="Arial" w:hAnsi="Arial"/>
                <w:sz w:val="15"/>
                <w:szCs w:val="15"/>
                <w:color w:val="auto"/>
              </w:rPr>
              <w:t>Number of</w:t>
            </w:r>
          </w:p>
        </w:tc>
        <w:tc>
          <w:tcPr>
            <w:tcW w:w="1400" w:type="dxa"/>
            <w:vAlign w:val="bottom"/>
            <w:gridSpan w:val="3"/>
          </w:tcPr>
          <w:p>
            <w:pPr>
              <w:ind w:left="20"/>
              <w:spacing w:after="0"/>
              <w:rPr>
                <w:sz w:val="20"/>
                <w:szCs w:val="20"/>
                <w:color w:val="auto"/>
              </w:rPr>
            </w:pPr>
            <w:r>
              <w:rPr>
                <w:rFonts w:ascii="Arial" w:cs="Arial" w:eastAsia="Arial" w:hAnsi="Arial"/>
                <w:sz w:val="15"/>
                <w:szCs w:val="15"/>
                <w:color w:val="auto"/>
              </w:rPr>
              <w:t>Weighted Average</w:t>
            </w: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Weighted Average</w:t>
            </w:r>
          </w:p>
        </w:tc>
      </w:tr>
      <w:tr>
        <w:trPr>
          <w:trHeight w:val="194"/>
        </w:trPr>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Warrants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1"/>
              </w:rPr>
              <w:t>Exercise Price</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Remaining Life</w:t>
            </w:r>
          </w:p>
        </w:tc>
        <w:tc>
          <w:tcPr>
            <w:tcW w:w="20" w:type="dxa"/>
            <w:vAlign w:val="bottom"/>
          </w:tcPr>
          <w:p>
            <w:pPr>
              <w:spacing w:after="0"/>
              <w:rPr>
                <w:sz w:val="16"/>
                <w:szCs w:val="16"/>
                <w:color w:val="auto"/>
              </w:rPr>
            </w:pPr>
          </w:p>
        </w:tc>
      </w:tr>
      <w:tr>
        <w:trPr>
          <w:trHeight w:val="351"/>
        </w:trPr>
        <w:tc>
          <w:tcPr>
            <w:tcW w:w="1140" w:type="dxa"/>
            <w:vAlign w:val="bottom"/>
          </w:tcPr>
          <w:p>
            <w:pPr>
              <w:jc w:val="right"/>
              <w:spacing w:after="0"/>
              <w:rPr>
                <w:sz w:val="20"/>
                <w:szCs w:val="20"/>
                <w:color w:val="auto"/>
              </w:rPr>
            </w:pPr>
            <w:r>
              <w:rPr>
                <w:rFonts w:ascii="Arial" w:cs="Arial" w:eastAsia="Arial" w:hAnsi="Arial"/>
                <w:sz w:val="15"/>
                <w:szCs w:val="15"/>
                <w:color w:val="auto"/>
              </w:rPr>
              <w:t>2,659,417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1.83</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4.15</w:t>
            </w:r>
          </w:p>
        </w:tc>
      </w:tr>
      <w:tr>
        <w:trPr>
          <w:trHeight w:val="181"/>
        </w:trPr>
        <w:tc>
          <w:tcPr>
            <w:tcW w:w="1140" w:type="dxa"/>
            <w:vAlign w:val="bottom"/>
          </w:tcPr>
          <w:p>
            <w:pPr>
              <w:jc w:val="right"/>
              <w:spacing w:after="0"/>
              <w:rPr>
                <w:sz w:val="20"/>
                <w:szCs w:val="20"/>
                <w:color w:val="auto"/>
              </w:rPr>
            </w:pPr>
            <w:r>
              <w:rPr>
                <w:rFonts w:ascii="Arial" w:cs="Arial" w:eastAsia="Arial" w:hAnsi="Arial"/>
                <w:sz w:val="15"/>
                <w:szCs w:val="15"/>
                <w:color w:val="auto"/>
              </w:rPr>
              <w:t>62,090,975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1.03</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3.96</w:t>
            </w:r>
          </w:p>
        </w:tc>
      </w:tr>
      <w:tr>
        <w:trPr>
          <w:trHeight w:val="181"/>
        </w:trPr>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94"/>
        </w:trPr>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(7,500)</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50.00</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81"/>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64,742,892</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2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3.95</w:t>
            </w:r>
          </w:p>
        </w:tc>
        <w:tc>
          <w:tcPr>
            <w:tcW w:w="20" w:type="dxa"/>
            <w:vAlign w:val="bottom"/>
          </w:tcPr>
          <w:p>
            <w:pPr>
              <w:spacing w:after="0"/>
              <w:rPr>
                <w:sz w:val="15"/>
                <w:szCs w:val="15"/>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55" w:lineRule="exact"/>
        <w:rPr>
          <w:sz w:val="20"/>
          <w:szCs w:val="20"/>
          <w:color w:val="auto"/>
        </w:rPr>
      </w:pPr>
    </w:p>
    <w:p>
      <w:pPr>
        <w:sectPr>
          <w:pgSz w:w="11900" w:h="16838" w:orient="portrait"/>
          <w:cols w:equalWidth="0" w:num="2">
            <w:col w:w="6620" w:space="720"/>
            <w:col w:w="4100"/>
          </w:cols>
          <w:pgMar w:left="240" w:top="457" w:right="219" w:bottom="1440" w:gutter="0" w:footer="0" w:header="0"/>
          <w:type w:val="continuous"/>
        </w:sectPr>
      </w:pPr>
    </w:p>
    <w:p>
      <w:pPr>
        <w:jc w:val="both"/>
        <w:spacing w:after="0" w:line="277" w:lineRule="auto"/>
        <w:rPr>
          <w:sz w:val="20"/>
          <w:szCs w:val="20"/>
          <w:color w:val="auto"/>
        </w:rPr>
      </w:pPr>
      <w:r>
        <w:rPr>
          <w:rFonts w:ascii="Arial" w:cs="Arial" w:eastAsia="Arial" w:hAnsi="Arial"/>
          <w:sz w:val="14"/>
          <w:szCs w:val="14"/>
          <w:color w:val="auto"/>
        </w:rPr>
        <w:t>In May 2012, the Company issued 112,000 post-consolidated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was filed in the Supreme Court of New York. The claim was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2014 the arbitrator ordered (on July 18, 2014) the consultant to pay Tapimmune $196,204 plus 9% interest from the date of the award. The Company is attempting to collect the award from Mr. Michael Gardner.</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Vendor Litigation</w:t>
      </w:r>
    </w:p>
    <w:p>
      <w:pPr>
        <w:spacing w:after="0" w:line="18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One of our suppliers, Fischer Scientific was awarded a judgment against us for $51,000 which is equal to the amount owed to them and is currently accrued on the balance sheet. We intend on settling that matter in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TAPIMMUNE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24,64,000 Shares of Common Stock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 2015]</w:t>
      </w:r>
    </w:p>
    <w:p>
      <w:pPr>
        <w:spacing w:after="0" w:line="200" w:lineRule="exact"/>
        <w:rPr>
          <w:sz w:val="20"/>
          <w:szCs w:val="20"/>
          <w:color w:val="auto"/>
        </w:rPr>
      </w:pPr>
    </w:p>
    <w:p>
      <w:pPr>
        <w:spacing w:after="0" w:line="351"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color w:val="auto"/>
        </w:rPr>
        <w:t>Until [[♦], 2015]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73" w:name="page74"/>
    <w:bookmarkEnd w:id="73"/>
    <w:p>
      <w:pPr>
        <w:jc w:val="center"/>
        <w:spacing w:after="0"/>
        <w:rPr>
          <w:sz w:val="20"/>
          <w:szCs w:val="20"/>
          <w:color w:val="auto"/>
        </w:rPr>
      </w:pPr>
      <w:r>
        <w:rPr>
          <w:rFonts w:ascii="Arial" w:cs="Arial" w:eastAsia="Arial" w:hAnsi="Arial"/>
          <w:sz w:val="15"/>
          <w:szCs w:val="15"/>
          <w:b w:val="1"/>
          <w:bCs w:val="1"/>
          <w:color w:val="auto"/>
        </w:rPr>
        <w:t>PART II</w:t>
      </w:r>
    </w:p>
    <w:p>
      <w:pPr>
        <w:spacing w:after="0" w:line="189"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INFORMATION NOT REQUIRED IN THE PROSPECTUS</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20"/>
                <w:szCs w:val="20"/>
                <w:color w:val="auto"/>
              </w:rPr>
            </w:pPr>
            <w:r>
              <w:rPr>
                <w:rFonts w:ascii="Arial" w:cs="Arial" w:eastAsia="Arial" w:hAnsi="Arial"/>
                <w:sz w:val="15"/>
                <w:szCs w:val="15"/>
                <w:color w:val="auto"/>
              </w:rPr>
              <w:t>Securities and Exchange Commission Registration Fee</w:t>
            </w:r>
          </w:p>
        </w:tc>
        <w:tc>
          <w:tcPr>
            <w:tcW w:w="7060" w:type="dxa"/>
            <w:vAlign w:val="bottom"/>
          </w:tcPr>
          <w:p>
            <w:pPr>
              <w:jc w:val="right"/>
              <w:ind w:right="3125"/>
              <w:spacing w:after="0"/>
              <w:rPr>
                <w:sz w:val="20"/>
                <w:szCs w:val="20"/>
                <w:color w:val="auto"/>
              </w:rPr>
            </w:pPr>
            <w:r>
              <w:rPr>
                <w:rFonts w:ascii="Arial" w:cs="Arial" w:eastAsia="Arial" w:hAnsi="Arial"/>
                <w:sz w:val="15"/>
                <w:szCs w:val="15"/>
                <w:color w:val="auto"/>
              </w:rPr>
              <w:t>$2,606†</w:t>
            </w:r>
          </w:p>
        </w:tc>
      </w:tr>
      <w:tr>
        <w:trPr>
          <w:trHeight w:val="181"/>
        </w:trPr>
        <w:tc>
          <w:tcPr>
            <w:tcW w:w="4080" w:type="dxa"/>
            <w:vAlign w:val="bottom"/>
          </w:tcPr>
          <w:p>
            <w:pPr>
              <w:spacing w:after="0"/>
              <w:rPr>
                <w:sz w:val="20"/>
                <w:szCs w:val="20"/>
                <w:color w:val="auto"/>
              </w:rPr>
            </w:pPr>
            <w:r>
              <w:rPr>
                <w:rFonts w:ascii="Arial" w:cs="Arial" w:eastAsia="Arial" w:hAnsi="Arial"/>
                <w:sz w:val="15"/>
                <w:szCs w:val="15"/>
                <w:color w:val="auto"/>
              </w:rPr>
              <w:t>Legal Fees and Expenses</w:t>
            </w:r>
          </w:p>
        </w:tc>
        <w:tc>
          <w:tcPr>
            <w:tcW w:w="7060" w:type="dxa"/>
            <w:vAlign w:val="bottom"/>
          </w:tcPr>
          <w:p>
            <w:pPr>
              <w:jc w:val="right"/>
              <w:ind w:right="3125"/>
              <w:spacing w:after="0"/>
              <w:rPr>
                <w:sz w:val="20"/>
                <w:szCs w:val="20"/>
                <w:color w:val="auto"/>
              </w:rPr>
            </w:pPr>
            <w:r>
              <w:rPr>
                <w:rFonts w:ascii="Arial" w:cs="Arial" w:eastAsia="Arial" w:hAnsi="Arial"/>
                <w:sz w:val="15"/>
                <w:szCs w:val="15"/>
                <w:color w:val="auto"/>
              </w:rPr>
              <w:t>$15,000†</w:t>
            </w:r>
          </w:p>
        </w:tc>
      </w:tr>
      <w:tr>
        <w:trPr>
          <w:trHeight w:val="181"/>
        </w:trPr>
        <w:tc>
          <w:tcPr>
            <w:tcW w:w="4080" w:type="dxa"/>
            <w:vAlign w:val="bottom"/>
          </w:tcPr>
          <w:p>
            <w:pPr>
              <w:spacing w:after="0"/>
              <w:rPr>
                <w:sz w:val="20"/>
                <w:szCs w:val="20"/>
                <w:color w:val="auto"/>
              </w:rPr>
            </w:pPr>
            <w:r>
              <w:rPr>
                <w:rFonts w:ascii="Arial" w:cs="Arial" w:eastAsia="Arial" w:hAnsi="Arial"/>
                <w:sz w:val="15"/>
                <w:szCs w:val="15"/>
                <w:color w:val="auto"/>
              </w:rPr>
              <w:t>Accountants’ Fees and Expenses</w:t>
            </w:r>
          </w:p>
        </w:tc>
        <w:tc>
          <w:tcPr>
            <w:tcW w:w="7060" w:type="dxa"/>
            <w:vAlign w:val="bottom"/>
          </w:tcPr>
          <w:p>
            <w:pPr>
              <w:jc w:val="right"/>
              <w:ind w:right="3125"/>
              <w:spacing w:after="0"/>
              <w:rPr>
                <w:sz w:val="20"/>
                <w:szCs w:val="20"/>
                <w:color w:val="auto"/>
              </w:rPr>
            </w:pPr>
            <w:r>
              <w:rPr>
                <w:rFonts w:ascii="Arial" w:cs="Arial" w:eastAsia="Arial" w:hAnsi="Arial"/>
                <w:sz w:val="15"/>
                <w:szCs w:val="15"/>
                <w:color w:val="auto"/>
              </w:rPr>
              <w:t>$10,000†</w:t>
            </w:r>
          </w:p>
        </w:tc>
      </w:tr>
      <w:tr>
        <w:trPr>
          <w:trHeight w:val="181"/>
        </w:trPr>
        <w:tc>
          <w:tcPr>
            <w:tcW w:w="4080" w:type="dxa"/>
            <w:vAlign w:val="bottom"/>
          </w:tcPr>
          <w:p>
            <w:pPr>
              <w:spacing w:after="0"/>
              <w:rPr>
                <w:sz w:val="20"/>
                <w:szCs w:val="20"/>
                <w:color w:val="auto"/>
              </w:rPr>
            </w:pPr>
            <w:r>
              <w:rPr>
                <w:rFonts w:ascii="Arial" w:cs="Arial" w:eastAsia="Arial" w:hAnsi="Arial"/>
                <w:sz w:val="15"/>
                <w:szCs w:val="15"/>
                <w:color w:val="auto"/>
              </w:rPr>
              <w:t>Transfer agent and registrar’s fees and expenses</w:t>
            </w:r>
          </w:p>
        </w:tc>
        <w:tc>
          <w:tcPr>
            <w:tcW w:w="7060" w:type="dxa"/>
            <w:vAlign w:val="bottom"/>
          </w:tcPr>
          <w:p>
            <w:pPr>
              <w:jc w:val="right"/>
              <w:ind w:right="3125"/>
              <w:spacing w:after="0"/>
              <w:rPr>
                <w:sz w:val="20"/>
                <w:szCs w:val="20"/>
                <w:color w:val="auto"/>
              </w:rPr>
            </w:pPr>
            <w:r>
              <w:rPr>
                <w:rFonts w:ascii="Arial" w:cs="Arial" w:eastAsia="Arial" w:hAnsi="Arial"/>
                <w:sz w:val="15"/>
                <w:szCs w:val="15"/>
                <w:color w:val="auto"/>
              </w:rPr>
              <w:t>$2,500†</w:t>
            </w:r>
          </w:p>
        </w:tc>
      </w:tr>
      <w:tr>
        <w:trPr>
          <w:trHeight w:val="181"/>
        </w:trPr>
        <w:tc>
          <w:tcPr>
            <w:tcW w:w="4080" w:type="dxa"/>
            <w:vAlign w:val="bottom"/>
          </w:tcPr>
          <w:p>
            <w:pPr>
              <w:spacing w:after="0"/>
              <w:rPr>
                <w:sz w:val="20"/>
                <w:szCs w:val="20"/>
                <w:color w:val="auto"/>
              </w:rPr>
            </w:pPr>
            <w:r>
              <w:rPr>
                <w:rFonts w:ascii="Arial" w:cs="Arial" w:eastAsia="Arial" w:hAnsi="Arial"/>
                <w:sz w:val="15"/>
                <w:szCs w:val="15"/>
                <w:color w:val="auto"/>
              </w:rPr>
              <w:t>Miscellaneous Expenses</w:t>
            </w:r>
          </w:p>
        </w:tc>
        <w:tc>
          <w:tcPr>
            <w:tcW w:w="7060" w:type="dxa"/>
            <w:vAlign w:val="bottom"/>
          </w:tcPr>
          <w:p>
            <w:pPr>
              <w:jc w:val="right"/>
              <w:ind w:right="3125"/>
              <w:spacing w:after="0"/>
              <w:rPr>
                <w:sz w:val="20"/>
                <w:szCs w:val="20"/>
                <w:color w:val="auto"/>
              </w:rPr>
            </w:pPr>
            <w:r>
              <w:rPr>
                <w:rFonts w:ascii="Arial" w:cs="Arial" w:eastAsia="Arial" w:hAnsi="Arial"/>
                <w:sz w:val="15"/>
                <w:szCs w:val="15"/>
                <w:color w:val="auto"/>
              </w:rPr>
              <w:t>$2,000†</w:t>
            </w:r>
          </w:p>
        </w:tc>
      </w:tr>
      <w:tr>
        <w:trPr>
          <w:trHeight w:val="190"/>
        </w:trPr>
        <w:tc>
          <w:tcPr>
            <w:tcW w:w="4080" w:type="dxa"/>
            <w:vAlign w:val="bottom"/>
          </w:tcPr>
          <w:p>
            <w:pPr>
              <w:spacing w:after="0"/>
              <w:rPr>
                <w:sz w:val="20"/>
                <w:szCs w:val="20"/>
                <w:color w:val="auto"/>
              </w:rPr>
            </w:pPr>
            <w:r>
              <w:rPr>
                <w:rFonts w:ascii="Arial" w:cs="Arial" w:eastAsia="Arial" w:hAnsi="Arial"/>
                <w:sz w:val="15"/>
                <w:szCs w:val="15"/>
                <w:color w:val="auto"/>
              </w:rPr>
              <w:t>Total</w:t>
            </w:r>
          </w:p>
        </w:tc>
        <w:tc>
          <w:tcPr>
            <w:tcW w:w="7060" w:type="dxa"/>
            <w:vAlign w:val="bottom"/>
          </w:tcPr>
          <w:p>
            <w:pPr>
              <w:jc w:val="right"/>
              <w:ind w:right="3125"/>
              <w:spacing w:after="0"/>
              <w:rPr>
                <w:sz w:val="20"/>
                <w:szCs w:val="20"/>
                <w:color w:val="auto"/>
              </w:rPr>
            </w:pPr>
            <w:r>
              <w:rPr>
                <w:rFonts w:ascii="Arial" w:cs="Arial" w:eastAsia="Arial" w:hAnsi="Arial"/>
                <w:sz w:val="15"/>
                <w:szCs w:val="15"/>
                <w:color w:val="auto"/>
              </w:rPr>
              <w:t>$32,106†</w:t>
            </w:r>
          </w:p>
        </w:tc>
      </w:tr>
      <w:tr>
        <w:trPr>
          <w:trHeight w:val="353"/>
        </w:trPr>
        <w:tc>
          <w:tcPr>
            <w:tcW w:w="4080" w:type="dxa"/>
            <w:vAlign w:val="bottom"/>
          </w:tcPr>
          <w:p>
            <w:pPr>
              <w:ind w:left="3020"/>
              <w:spacing w:after="0"/>
              <w:rPr>
                <w:sz w:val="20"/>
                <w:szCs w:val="20"/>
                <w:color w:val="auto"/>
              </w:rPr>
            </w:pPr>
            <w:r>
              <w:rPr>
                <w:rFonts w:ascii="Arial" w:cs="Arial" w:eastAsia="Arial" w:hAnsi="Arial"/>
                <w:sz w:val="15"/>
                <w:szCs w:val="15"/>
                <w:color w:val="auto"/>
              </w:rPr>
              <w:t>†</w:t>
            </w:r>
          </w:p>
        </w:tc>
        <w:tc>
          <w:tcPr>
            <w:tcW w:w="7060" w:type="dxa"/>
            <w:vAlign w:val="bottom"/>
          </w:tcPr>
          <w:p>
            <w:pPr>
              <w:ind w:left="760"/>
              <w:spacing w:after="0"/>
              <w:rPr>
                <w:sz w:val="20"/>
                <w:szCs w:val="20"/>
                <w:color w:val="auto"/>
              </w:rPr>
            </w:pPr>
            <w:r>
              <w:rPr>
                <w:rFonts w:ascii="Arial" w:cs="Arial" w:eastAsia="Arial" w:hAnsi="Arial"/>
                <w:sz w:val="15"/>
                <w:szCs w:val="15"/>
                <w:color w:val="auto"/>
                <w:w w:val="89"/>
              </w:rPr>
              <w:t>Estimated expenses are not presently known. The foregoing sets forth the general categories of expenses</w:t>
            </w:r>
          </w:p>
        </w:tc>
      </w:tr>
      <w:tr>
        <w:trPr>
          <w:trHeight w:val="181"/>
        </w:trPr>
        <w:tc>
          <w:tcPr>
            <w:tcW w:w="4080" w:type="dxa"/>
            <w:vAlign w:val="bottom"/>
          </w:tcPr>
          <w:p>
            <w:pPr>
              <w:spacing w:after="0"/>
              <w:rPr>
                <w:sz w:val="15"/>
                <w:szCs w:val="15"/>
                <w:color w:val="auto"/>
              </w:rPr>
            </w:pPr>
          </w:p>
        </w:tc>
        <w:tc>
          <w:tcPr>
            <w:tcW w:w="7060" w:type="dxa"/>
            <w:vAlign w:val="bottom"/>
          </w:tcPr>
          <w:p>
            <w:pPr>
              <w:ind w:left="760"/>
              <w:spacing w:after="0"/>
              <w:rPr>
                <w:sz w:val="20"/>
                <w:szCs w:val="20"/>
                <w:color w:val="auto"/>
              </w:rPr>
            </w:pPr>
            <w:r>
              <w:rPr>
                <w:rFonts w:ascii="Arial" w:cs="Arial" w:eastAsia="Arial" w:hAnsi="Arial"/>
                <w:sz w:val="15"/>
                <w:szCs w:val="15"/>
                <w:color w:val="auto"/>
                <w:w w:val="98"/>
              </w:rPr>
              <w:t>(other than underwriting discounts and commissions) that the Company anticipates it will incur in</w:t>
            </w:r>
          </w:p>
        </w:tc>
      </w:tr>
      <w:tr>
        <w:trPr>
          <w:trHeight w:val="190"/>
        </w:trPr>
        <w:tc>
          <w:tcPr>
            <w:tcW w:w="4080" w:type="dxa"/>
            <w:vAlign w:val="bottom"/>
          </w:tcPr>
          <w:p>
            <w:pPr>
              <w:spacing w:after="0"/>
              <w:rPr>
                <w:sz w:val="16"/>
                <w:szCs w:val="16"/>
                <w:color w:val="auto"/>
              </w:rPr>
            </w:pPr>
          </w:p>
        </w:tc>
        <w:tc>
          <w:tcPr>
            <w:tcW w:w="7060" w:type="dxa"/>
            <w:vAlign w:val="bottom"/>
          </w:tcPr>
          <w:p>
            <w:pPr>
              <w:ind w:left="760"/>
              <w:spacing w:after="0"/>
              <w:rPr>
                <w:sz w:val="20"/>
                <w:szCs w:val="20"/>
                <w:color w:val="auto"/>
              </w:rPr>
            </w:pPr>
            <w:r>
              <w:rPr>
                <w:rFonts w:ascii="Arial" w:cs="Arial" w:eastAsia="Arial" w:hAnsi="Arial"/>
                <w:sz w:val="15"/>
                <w:szCs w:val="15"/>
                <w:color w:val="auto"/>
              </w:rPr>
              <w:t>connection with the offering of securities under the registration statement.</w:t>
            </w:r>
          </w:p>
        </w:tc>
      </w:tr>
    </w:tbl>
    <w:p>
      <w:pPr>
        <w:spacing w:after="0" w:line="349"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Our officers and directors are indemnified under Nevada law. Our Amended and Restated Articles of Incorporation and our By-laws are silent as to director and officer indemnification.</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Nevada Revised Statute. The registrant is a Nevada corporation.</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Section 78.138 of the Nevada Revised Statutes provides that a director or officer will not be personally liable to the corporation and its stockholders unless it is proven that (i) 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 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041" w:right="2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4"/>
        </w:trPr>
        <w:tc>
          <w:tcPr>
            <w:tcW w:w="900" w:type="dxa"/>
            <w:vAlign w:val="bottom"/>
          </w:tcPr>
          <w:p>
            <w:pPr>
              <w:spacing w:after="0"/>
              <w:rPr>
                <w:sz w:val="20"/>
                <w:szCs w:val="20"/>
                <w:color w:val="auto"/>
              </w:rPr>
            </w:pPr>
            <w:r>
              <w:rPr>
                <w:rFonts w:ascii="Arial" w:cs="Arial" w:eastAsia="Arial" w:hAnsi="Arial"/>
                <w:sz w:val="15"/>
                <w:szCs w:val="15"/>
                <w:b w:val="1"/>
                <w:bCs w:val="1"/>
                <w:color w:val="auto"/>
              </w:rPr>
              <w:t>ITEM 16.</w:t>
            </w:r>
          </w:p>
        </w:tc>
        <w:tc>
          <w:tcPr>
            <w:tcW w:w="10540" w:type="dxa"/>
            <w:vAlign w:val="bottom"/>
            <w:gridSpan w:val="2"/>
          </w:tcPr>
          <w:p>
            <w:pPr>
              <w:ind w:left="120"/>
              <w:spacing w:after="0"/>
              <w:rPr>
                <w:sz w:val="20"/>
                <w:szCs w:val="20"/>
                <w:color w:val="auto"/>
              </w:rPr>
            </w:pPr>
            <w:r>
              <w:rPr>
                <w:rFonts w:ascii="Arial" w:cs="Arial" w:eastAsia="Arial" w:hAnsi="Arial"/>
                <w:sz w:val="15"/>
                <w:szCs w:val="15"/>
                <w:b w:val="1"/>
                <w:bCs w:val="1"/>
                <w:color w:val="auto"/>
              </w:rPr>
              <w:t>EXHIBITS.</w:t>
            </w:r>
          </w:p>
        </w:tc>
      </w:tr>
      <w:tr>
        <w:trPr>
          <w:trHeight w:val="349"/>
        </w:trPr>
        <w:tc>
          <w:tcPr>
            <w:tcW w:w="90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260" w:type="dxa"/>
            <w:vAlign w:val="bottom"/>
          </w:tcPr>
          <w:p>
            <w:pPr>
              <w:spacing w:after="0"/>
              <w:rPr>
                <w:sz w:val="24"/>
                <w:szCs w:val="24"/>
                <w:color w:val="auto"/>
              </w:rPr>
            </w:pPr>
          </w:p>
        </w:tc>
        <w:tc>
          <w:tcPr>
            <w:tcW w:w="10280" w:type="dxa"/>
            <w:vAlign w:val="bottom"/>
          </w:tcPr>
          <w:p>
            <w:pPr>
              <w:spacing w:after="0"/>
              <w:rPr>
                <w:sz w:val="24"/>
                <w:szCs w:val="24"/>
                <w:color w:val="auto"/>
              </w:rPr>
            </w:pPr>
          </w:p>
        </w:tc>
      </w:tr>
      <w:tr>
        <w:trPr>
          <w:trHeight w:val="195"/>
        </w:trPr>
        <w:tc>
          <w:tcPr>
            <w:tcW w:w="9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6"/>
                <w:szCs w:val="16"/>
                <w:color w:val="auto"/>
              </w:rPr>
            </w:pPr>
          </w:p>
        </w:tc>
        <w:tc>
          <w:tcPr>
            <w:tcW w:w="102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80" w:type="dxa"/>
            <w:vAlign w:val="bottom"/>
            <w:tcBorders>
              <w:bottom w:val="single" w:sz="8" w:color="auto"/>
            </w:tcBorders>
          </w:tcPr>
          <w:p>
            <w:pPr>
              <w:spacing w:after="0" w:line="20" w:lineRule="exact"/>
              <w:rPr>
                <w:sz w:val="1"/>
                <w:szCs w:val="1"/>
                <w:color w:val="auto"/>
              </w:rPr>
            </w:pPr>
          </w:p>
        </w:tc>
      </w:tr>
      <w:tr>
        <w:trPr>
          <w:trHeight w:val="337"/>
        </w:trPr>
        <w:tc>
          <w:tcPr>
            <w:tcW w:w="900" w:type="dxa"/>
            <w:vAlign w:val="bottom"/>
          </w:tcPr>
          <w:p>
            <w:pPr>
              <w:spacing w:after="0"/>
              <w:rPr>
                <w:sz w:val="20"/>
                <w:szCs w:val="20"/>
                <w:color w:val="auto"/>
              </w:rPr>
            </w:pPr>
            <w:r>
              <w:rPr>
                <w:rFonts w:ascii="Arial" w:cs="Arial" w:eastAsia="Arial" w:hAnsi="Arial"/>
                <w:sz w:val="15"/>
                <w:szCs w:val="15"/>
                <w:color w:val="auto"/>
              </w:rPr>
              <w:t>3.1</w:t>
            </w:r>
          </w:p>
        </w:tc>
        <w:tc>
          <w:tcPr>
            <w:tcW w:w="26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8"/>
              </w:rPr>
              <w:t>Amended Articles of Incorporation dated February 3, 2009 as filed as Exhibit 3.1 to Form 8-K filed on February 6, 2009 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3.2</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2"/>
              </w:rPr>
              <w:t>Amended Articles of Incorporation dated May 19, 1999 as filed as Exhibit 2.1 to the Registration Statement filed on Form 10-SB on September 3, 1999 and incorporated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3.3</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1"/>
              </w:rPr>
              <w:t>Amended and Restated Bylaws of the company dated May 10, 2004 as filed as Exhibit 3.1 to the company's Quarterly Report on Form 10-QSB as filed on May 20, 2004</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3.4</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2"/>
              </w:rPr>
              <w:t>Certificate of Designation for the company’s Series A Convertible Preferred Stock, dated January 6, 2014 as filed as exhibit 3.2 to the company’s current report on Form</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8-K filed on January 7, 2014 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3.5</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5"/>
              </w:rPr>
              <w:t>Certificate of Amendment to Articles of Incorporation dated February 20, 2014 as filed as Exhibit 3.3 to the company’s current report on Form 8-K filed on March 3,</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2014 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3.6</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4"/>
              </w:rPr>
              <w:t>Certificate of Designation for the company’s Series B Convertible Preferred Stock, dated February 18, 2014 as filed as exhibit 3.2 to the company’s current report on</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Form 8-K filed on March 3, 2014 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4.1</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2"/>
              </w:rPr>
              <w:t>Form of Common Stock Purchase Warrant issued on August 13, 2014 as filed as Exhibit 4.1 to the company’s current report on Form 8-K filed on August 14, 2014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4.2</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7"/>
              </w:rPr>
              <w:t>Form of Common Stock Purchase Warrants-Series A as filed as filed as Exhibit 4.1 to the company’s current report on Form 8-K filed on January 12, 2015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4.3</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7"/>
              </w:rPr>
              <w:t>Form of Common Stock Purchase Warrants-Series B as filed as filed as Exhibit 4.2 to the company’s current report on Form 8-K filed on January 12, 2015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4.4</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7"/>
              </w:rPr>
              <w:t>Form of Common Stock Purchase Warrants-Series C as filed as filed as Exhibit 4.3 to the company’s current report on Form 8-K filed on January 12, 2015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4.5</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7"/>
              </w:rPr>
              <w:t>Form of Common Stock Purchase Warrants-Series D as filed as filed as Exhibit 4.4 to the company’s current report on Form 8-K filed on January 12, 2015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4.6</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7"/>
              </w:rPr>
              <w:t>Form of Common Stock Purchase Warrants-Series E as filed as filed as Exhibit 4.5 to the company’s current report on Form 8-K filed on January 12, 2015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4.7</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7"/>
              </w:rPr>
              <w:t>Form of Common Stock Purchase Warrants-Series A-1 as filed as filed as Exhibit 4.1 to the company’s current report on Form 8-K filed on March 10, 2015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4.8</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7"/>
              </w:rPr>
              <w:t>Form of Common Stock Purchase Warrants-Series B-1 as filed as filed as Exhibit 4.2 to the company’s current report on Form 8-K filed on March 10, 2015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4.9</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7"/>
              </w:rPr>
              <w:t>Form of Common Stock Purchase Warrants-Series C-1 as filed as filed as Exhibit 4.3 to the company’s current report on Form 8-K filed on March 10, 2015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4.10</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7"/>
              </w:rPr>
              <w:t>Form of Common Stock Purchase Warrants-Series D-1 as filed as filed as Exhibit 4.4 to the company’s current report on Form 8-K filed on March 10, 2015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4.11</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7"/>
              </w:rPr>
              <w:t>Form of Common Stock Purchase Warrants-Series E-1 as filed as filed as Exhibit 4.5 to the company’s current report on Form 8-K filed on March 10, 2015 and</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5.1</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Opinion of Sanders Ortoli Vaughn-Flam Rosenstadt LLP*</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10.1</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0"/>
              </w:rPr>
              <w:t>Form of Securities Purchase Agreement, dated as of August 11, 2014, by and among the company and the Purchasers in the August 2014 offering as filed as Exhibit 10.1</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to the company’s current report on Form 8-K filed on August 14, 2014 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10.2</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1"/>
              </w:rPr>
              <w:t>Form of Securities Purchase Agreement, dated as of January 12, 2015, by and among the Company and the Purchasers in the January offering as filed as Exhibit 10.1 to</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the company’s current report on Form 8-K filed on January 12, 2015 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10.3</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1"/>
              </w:rPr>
              <w:t>Securities Purchase Agreement, dated as of March 9, 2015, between the Company and Eastern Capital Limited as filed as Exhibit 10.1 to the company’s current report on</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Form 8-K filed on March 10, 2015 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10.4</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0"/>
              </w:rPr>
              <w:t>Form of Restructuring Agreement, dated as of May 28, 2015, among the company and the purchasers in the January 2015 offering and the March 2015 offering as filed as</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Exhibit 10.1 to the company’s current report on Form 8-K filed on June 3, 2015 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10.5</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3"/>
              </w:rPr>
              <w:t>Amended and Restated Restructuring Agreement, dated as June 2, 2015, between the company and Eastern Capital Limited as filed as Exhibit 10.1 to the company’s</w:t>
            </w:r>
          </w:p>
        </w:tc>
      </w:tr>
      <w:tr>
        <w:trPr>
          <w:trHeight w:val="181"/>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current report on Form 8-K filed on June 5, 2015 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21.1</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w w:val="99"/>
              </w:rPr>
              <w:t>List of subsidiaries as filed as Exhibit 21.2 to the company’s registration statement on Form S-1 filed on June 16, 2010 and incorporated herein by reference</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23.1</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Consent of Dale Matheson Carr-Hilton LaBonte LLP*</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23.2</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Consent of Marcum LLP*</w:t>
            </w:r>
          </w:p>
        </w:tc>
      </w:tr>
      <w:tr>
        <w:trPr>
          <w:trHeight w:val="181"/>
        </w:trPr>
        <w:tc>
          <w:tcPr>
            <w:tcW w:w="900" w:type="dxa"/>
            <w:vAlign w:val="bottom"/>
          </w:tcPr>
          <w:p>
            <w:pPr>
              <w:spacing w:after="0"/>
              <w:rPr>
                <w:sz w:val="20"/>
                <w:szCs w:val="20"/>
                <w:color w:val="auto"/>
              </w:rPr>
            </w:pPr>
            <w:r>
              <w:rPr>
                <w:rFonts w:ascii="Arial" w:cs="Arial" w:eastAsia="Arial" w:hAnsi="Arial"/>
                <w:sz w:val="15"/>
                <w:szCs w:val="15"/>
                <w:color w:val="auto"/>
              </w:rPr>
              <w:t>23.2</w:t>
            </w:r>
          </w:p>
        </w:tc>
        <w:tc>
          <w:tcPr>
            <w:tcW w:w="26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Consent of Sanders Ortoli Vaughn-Flam Rosenstadt LLP (included in the opinion filed as Exhibit 5.1)*</w:t>
            </w:r>
          </w:p>
        </w:tc>
      </w:tr>
      <w:tr>
        <w:trPr>
          <w:trHeight w:val="190"/>
        </w:trPr>
        <w:tc>
          <w:tcPr>
            <w:tcW w:w="900" w:type="dxa"/>
            <w:vAlign w:val="bottom"/>
          </w:tcPr>
          <w:p>
            <w:pPr>
              <w:spacing w:after="0"/>
              <w:rPr>
                <w:sz w:val="20"/>
                <w:szCs w:val="20"/>
                <w:color w:val="auto"/>
              </w:rPr>
            </w:pPr>
            <w:r>
              <w:rPr>
                <w:rFonts w:ascii="Arial" w:cs="Arial" w:eastAsia="Arial" w:hAnsi="Arial"/>
                <w:sz w:val="15"/>
                <w:szCs w:val="15"/>
                <w:color w:val="auto"/>
              </w:rPr>
              <w:t>24.1</w:t>
            </w:r>
          </w:p>
        </w:tc>
        <w:tc>
          <w:tcPr>
            <w:tcW w:w="260" w:type="dxa"/>
            <w:vAlign w:val="bottom"/>
          </w:tcPr>
          <w:p>
            <w:pPr>
              <w:spacing w:after="0"/>
              <w:rPr>
                <w:sz w:val="16"/>
                <w:szCs w:val="16"/>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Power of Attorney (included on the signature page to this Registration Statement)*</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018" w:right="219" w:bottom="1440" w:gutter="0" w:footer="0" w:header="0"/>
        </w:sectPr>
      </w:pPr>
    </w:p>
    <w:bookmarkStart w:id="75" w:name="page76"/>
    <w:bookmarkEnd w:id="75"/>
    <w:p>
      <w:pPr>
        <w:ind w:left="10"/>
        <w:spacing w:after="0"/>
        <w:tabs>
          <w:tab w:leader="none" w:pos="1129"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4"/>
          <w:szCs w:val="14"/>
          <w:b w:val="1"/>
          <w:bCs w:val="1"/>
          <w:color w:val="auto"/>
        </w:rPr>
        <w:t>UNDERTAKINGS.</w:t>
      </w:r>
    </w:p>
    <w:p>
      <w:pPr>
        <w:spacing w:after="0" w:line="193" w:lineRule="exact"/>
        <w:rPr>
          <w:sz w:val="20"/>
          <w:szCs w:val="20"/>
          <w:color w:val="auto"/>
        </w:rPr>
      </w:pPr>
    </w:p>
    <w:p>
      <w:pPr>
        <w:ind w:left="470" w:hanging="470"/>
        <w:spacing w:after="0"/>
        <w:tabs>
          <w:tab w:leader="none" w:pos="47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RULE 415 OFFERING</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undersigned registrant hereby undertakes:</w:t>
      </w:r>
    </w:p>
    <w:p>
      <w:pPr>
        <w:spacing w:after="0" w:line="189" w:lineRule="exact"/>
        <w:rPr>
          <w:sz w:val="20"/>
          <w:szCs w:val="20"/>
          <w:color w:val="auto"/>
        </w:rPr>
      </w:pPr>
    </w:p>
    <w:p>
      <w:pPr>
        <w:ind w:left="250" w:hanging="250"/>
        <w:spacing w:after="0"/>
        <w:tabs>
          <w:tab w:leader="none" w:pos="25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189" w:lineRule="exact"/>
        <w:rPr>
          <w:rFonts w:ascii="Arial" w:cs="Arial" w:eastAsia="Arial" w:hAnsi="Arial"/>
          <w:sz w:val="15"/>
          <w:szCs w:val="15"/>
          <w:color w:val="auto"/>
        </w:rPr>
      </w:pPr>
    </w:p>
    <w:p>
      <w:pPr>
        <w:ind w:left="750" w:hanging="207"/>
        <w:spacing w:after="0"/>
        <w:tabs>
          <w:tab w:leader="none" w:pos="750" w:val="left"/>
        </w:tabs>
        <w:numPr>
          <w:ilvl w:val="1"/>
          <w:numId w:val="34"/>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 of 1933, as amended;</w:t>
      </w:r>
    </w:p>
    <w:p>
      <w:pPr>
        <w:spacing w:after="0" w:line="189" w:lineRule="exact"/>
        <w:rPr>
          <w:rFonts w:ascii="Arial" w:cs="Arial" w:eastAsia="Arial" w:hAnsi="Arial"/>
          <w:sz w:val="15"/>
          <w:szCs w:val="15"/>
          <w:color w:val="auto"/>
        </w:rPr>
      </w:pPr>
    </w:p>
    <w:p>
      <w:pPr>
        <w:jc w:val="both"/>
        <w:ind w:left="550" w:hanging="7"/>
        <w:spacing w:after="0" w:line="306" w:lineRule="auto"/>
        <w:tabs>
          <w:tab w:leader="none" w:pos="847" w:val="left"/>
        </w:tabs>
        <w:numPr>
          <w:ilvl w:val="1"/>
          <w:numId w:val="34"/>
        </w:numPr>
        <w:rPr>
          <w:rFonts w:ascii="Arial" w:cs="Arial" w:eastAsia="Arial" w:hAnsi="Arial"/>
          <w:sz w:val="13"/>
          <w:szCs w:val="13"/>
          <w:color w:val="auto"/>
        </w:rPr>
      </w:pPr>
      <w:r>
        <w:rPr>
          <w:rFonts w:ascii="Arial" w:cs="Arial" w:eastAsia="Arial" w:hAnsi="Arial"/>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32" w:lineRule="exact"/>
        <w:rPr>
          <w:rFonts w:ascii="Arial" w:cs="Arial" w:eastAsia="Arial" w:hAnsi="Arial"/>
          <w:sz w:val="13"/>
          <w:szCs w:val="13"/>
          <w:color w:val="auto"/>
        </w:rPr>
      </w:pPr>
    </w:p>
    <w:p>
      <w:pPr>
        <w:ind w:left="10" w:firstLine="533"/>
        <w:spacing w:after="0" w:line="276" w:lineRule="auto"/>
        <w:tabs>
          <w:tab w:leader="none" w:pos="857" w:val="left"/>
        </w:tabs>
        <w:numPr>
          <w:ilvl w:val="1"/>
          <w:numId w:val="34"/>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color w:val="auto"/>
        </w:rPr>
        <w:t>Provided, however, That:</w:t>
      </w:r>
    </w:p>
    <w:p>
      <w:pPr>
        <w:spacing w:after="0" w:line="189" w:lineRule="exact"/>
        <w:rPr>
          <w:sz w:val="20"/>
          <w:szCs w:val="20"/>
          <w:color w:val="auto"/>
        </w:rPr>
      </w:pPr>
    </w:p>
    <w:p>
      <w:pPr>
        <w:jc w:val="both"/>
        <w:ind w:left="550" w:hanging="7"/>
        <w:spacing w:after="0" w:line="264" w:lineRule="auto"/>
        <w:tabs>
          <w:tab w:leader="none" w:pos="815" w:val="left"/>
        </w:tabs>
        <w:numPr>
          <w:ilvl w:val="1"/>
          <w:numId w:val="35"/>
        </w:numPr>
        <w:rPr>
          <w:rFonts w:ascii="Arial" w:cs="Arial" w:eastAsia="Arial" w:hAnsi="Arial"/>
          <w:sz w:val="15"/>
          <w:szCs w:val="15"/>
          <w:color w:val="auto"/>
        </w:rPr>
      </w:pPr>
      <w:r>
        <w:rPr>
          <w:rFonts w:ascii="Arial" w:cs="Arial" w:eastAsia="Arial" w:hAnsi="Arial"/>
          <w:sz w:val="15"/>
          <w:szCs w:val="15"/>
          <w:color w:val="auto"/>
        </w:rPr>
        <w:t>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154" w:lineRule="exact"/>
        <w:rPr>
          <w:rFonts w:ascii="Arial" w:cs="Arial" w:eastAsia="Arial" w:hAnsi="Arial"/>
          <w:sz w:val="15"/>
          <w:szCs w:val="15"/>
          <w:color w:val="auto"/>
        </w:rPr>
      </w:pPr>
    </w:p>
    <w:p>
      <w:pPr>
        <w:jc w:val="both"/>
        <w:ind w:left="550" w:hanging="7"/>
        <w:spacing w:after="0" w:line="260" w:lineRule="auto"/>
        <w:tabs>
          <w:tab w:leader="none" w:pos="791" w:val="left"/>
        </w:tabs>
        <w:numPr>
          <w:ilvl w:val="1"/>
          <w:numId w:val="35"/>
        </w:numPr>
        <w:rPr>
          <w:rFonts w:ascii="Arial" w:cs="Arial" w:eastAsia="Arial" w:hAnsi="Arial"/>
          <w:sz w:val="15"/>
          <w:szCs w:val="15"/>
          <w:color w:val="auto"/>
        </w:rPr>
      </w:pPr>
      <w:r>
        <w:rPr>
          <w:rFonts w:ascii="Arial" w:cs="Arial" w:eastAsia="Arial" w:hAnsi="Arial"/>
          <w:sz w:val="15"/>
          <w:szCs w:val="15"/>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7" w:lineRule="exact"/>
        <w:rPr>
          <w:rFonts w:ascii="Arial" w:cs="Arial" w:eastAsia="Arial" w:hAnsi="Arial"/>
          <w:sz w:val="15"/>
          <w:szCs w:val="15"/>
          <w:color w:val="auto"/>
        </w:rPr>
      </w:pPr>
    </w:p>
    <w:p>
      <w:pPr>
        <w:ind w:left="10" w:hanging="10"/>
        <w:spacing w:after="0" w:line="276" w:lineRule="auto"/>
        <w:tabs>
          <w:tab w:leader="none" w:pos="263"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of 1933, as amended, each such post- effective amendment shall be deemed to be a new registration statement relating to the securities offered therein, and the offering of such securities at that time shall be deemed to be initial bona fide offering thereof.</w:t>
      </w:r>
    </w:p>
    <w:p>
      <w:pPr>
        <w:spacing w:after="0" w:line="146" w:lineRule="exact"/>
        <w:rPr>
          <w:rFonts w:ascii="Arial" w:cs="Arial" w:eastAsia="Arial" w:hAnsi="Arial"/>
          <w:sz w:val="15"/>
          <w:szCs w:val="15"/>
          <w:color w:val="auto"/>
        </w:rPr>
      </w:pPr>
    </w:p>
    <w:p>
      <w:pPr>
        <w:ind w:left="250" w:hanging="250"/>
        <w:spacing w:after="0"/>
        <w:tabs>
          <w:tab w:leader="none" w:pos="25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189" w:lineRule="exact"/>
        <w:rPr>
          <w:rFonts w:ascii="Arial" w:cs="Arial" w:eastAsia="Arial" w:hAnsi="Arial"/>
          <w:sz w:val="15"/>
          <w:szCs w:val="15"/>
          <w:color w:val="auto"/>
        </w:rPr>
      </w:pPr>
    </w:p>
    <w:p>
      <w:pPr>
        <w:ind w:left="250" w:hanging="250"/>
        <w:spacing w:after="0"/>
        <w:tabs>
          <w:tab w:leader="none" w:pos="25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That, for the purpose of determining liability under the Securities Act of 1933, as amended, to any purchaser:</w:t>
      </w:r>
    </w:p>
    <w:p>
      <w:pPr>
        <w:spacing w:after="0" w:line="189" w:lineRule="exact"/>
        <w:rPr>
          <w:rFonts w:ascii="Arial" w:cs="Arial" w:eastAsia="Arial" w:hAnsi="Arial"/>
          <w:sz w:val="15"/>
          <w:szCs w:val="15"/>
          <w:color w:val="auto"/>
        </w:rPr>
      </w:pPr>
    </w:p>
    <w:p>
      <w:pPr>
        <w:ind w:left="550" w:hanging="7"/>
        <w:spacing w:after="0" w:line="276" w:lineRule="auto"/>
        <w:tabs>
          <w:tab w:leader="none" w:pos="797" w:val="left"/>
        </w:tabs>
        <w:numPr>
          <w:ilvl w:val="1"/>
          <w:numId w:val="36"/>
        </w:numPr>
        <w:rPr>
          <w:rFonts w:ascii="Arial" w:cs="Arial" w:eastAsia="Arial" w:hAnsi="Arial"/>
          <w:sz w:val="15"/>
          <w:szCs w:val="15"/>
          <w:color w:val="auto"/>
        </w:rPr>
      </w:pPr>
      <w:r>
        <w:rPr>
          <w:rFonts w:ascii="Arial" w:cs="Arial" w:eastAsia="Arial" w:hAnsi="Arial"/>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6" w:lineRule="exact"/>
        <w:rPr>
          <w:rFonts w:ascii="Arial" w:cs="Arial" w:eastAsia="Arial" w:hAnsi="Arial"/>
          <w:sz w:val="15"/>
          <w:szCs w:val="15"/>
          <w:color w:val="auto"/>
        </w:rPr>
      </w:pPr>
    </w:p>
    <w:p>
      <w:pPr>
        <w:jc w:val="both"/>
        <w:ind w:left="550" w:hanging="7"/>
        <w:spacing w:after="0" w:line="275" w:lineRule="auto"/>
        <w:tabs>
          <w:tab w:leader="none" w:pos="803" w:val="left"/>
        </w:tabs>
        <w:numPr>
          <w:ilvl w:val="1"/>
          <w:numId w:val="36"/>
        </w:numPr>
        <w:rPr>
          <w:rFonts w:ascii="Arial" w:cs="Arial" w:eastAsia="Arial" w:hAnsi="Arial"/>
          <w:sz w:val="14"/>
          <w:szCs w:val="14"/>
          <w:color w:val="auto"/>
        </w:rPr>
      </w:pPr>
      <w:r>
        <w:rPr>
          <w:rFonts w:ascii="Arial" w:cs="Arial" w:eastAsia="Arial" w:hAnsi="Arial"/>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the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838" w:right="219" w:bottom="1440" w:gutter="0" w:footer="0" w:header="0"/>
        </w:sectPr>
      </w:pPr>
    </w:p>
    <w:bookmarkStart w:id="76" w:name="page77"/>
    <w:bookmarkEnd w:id="76"/>
    <w:p>
      <w:pPr>
        <w:jc w:val="both"/>
        <w:ind w:left="10" w:hanging="10"/>
        <w:spacing w:after="0" w:line="260" w:lineRule="auto"/>
        <w:tabs>
          <w:tab w:leader="none" w:pos="266"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7" w:lineRule="exact"/>
        <w:rPr>
          <w:rFonts w:ascii="Arial" w:cs="Arial" w:eastAsia="Arial" w:hAnsi="Arial"/>
          <w:sz w:val="15"/>
          <w:szCs w:val="15"/>
          <w:color w:val="auto"/>
        </w:rPr>
      </w:pPr>
    </w:p>
    <w:p>
      <w:pPr>
        <w:ind w:left="730" w:hanging="187"/>
        <w:spacing w:after="0"/>
        <w:tabs>
          <w:tab w:leader="none" w:pos="73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212" w:lineRule="exact"/>
        <w:rPr>
          <w:rFonts w:ascii="Arial" w:cs="Arial" w:eastAsia="Arial" w:hAnsi="Arial"/>
          <w:sz w:val="15"/>
          <w:szCs w:val="15"/>
          <w:color w:val="auto"/>
        </w:rPr>
      </w:pPr>
    </w:p>
    <w:p>
      <w:pPr>
        <w:ind w:left="770" w:hanging="227"/>
        <w:spacing w:after="0"/>
        <w:tabs>
          <w:tab w:leader="none" w:pos="77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5"/>
          <w:szCs w:val="15"/>
          <w:color w:val="auto"/>
        </w:rPr>
      </w:pPr>
    </w:p>
    <w:p>
      <w:pPr>
        <w:ind w:left="550" w:right="20" w:hanging="7"/>
        <w:spacing w:after="0" w:line="276" w:lineRule="auto"/>
        <w:tabs>
          <w:tab w:leader="none" w:pos="822"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portion of any other free writing prospectuses relating to the offering containing material information about the undersigned registrant or its securities provided by or on behalf of the undersigned registrant; and</w:t>
      </w:r>
    </w:p>
    <w:p>
      <w:pPr>
        <w:spacing w:after="0" w:line="146" w:lineRule="exact"/>
        <w:rPr>
          <w:rFonts w:ascii="Arial" w:cs="Arial" w:eastAsia="Arial" w:hAnsi="Arial"/>
          <w:sz w:val="15"/>
          <w:szCs w:val="15"/>
          <w:color w:val="auto"/>
        </w:rPr>
      </w:pPr>
    </w:p>
    <w:p>
      <w:pPr>
        <w:ind w:left="790" w:hanging="247"/>
        <w:spacing w:after="0"/>
        <w:tabs>
          <w:tab w:leader="none" w:pos="79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Any other communication that is an offer in the offering made by the undersigned registrant to the purchaser.</w:t>
      </w:r>
    </w:p>
    <w:p>
      <w:pPr>
        <w:spacing w:after="0" w:line="189" w:lineRule="exact"/>
        <w:rPr>
          <w:sz w:val="20"/>
          <w:szCs w:val="20"/>
          <w:color w:val="auto"/>
        </w:rPr>
      </w:pPr>
    </w:p>
    <w:p>
      <w:pPr>
        <w:jc w:val="both"/>
        <w:ind w:left="10" w:hanging="10"/>
        <w:spacing w:after="0" w:line="312" w:lineRule="auto"/>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28" w:lineRule="exact"/>
        <w:rPr>
          <w:sz w:val="20"/>
          <w:szCs w:val="20"/>
          <w:color w:val="auto"/>
        </w:rPr>
      </w:pPr>
    </w:p>
    <w:p>
      <w:pPr>
        <w:jc w:val="both"/>
        <w:ind w:left="10" w:hanging="10"/>
        <w:spacing w:after="0" w:line="255" w:lineRule="auto"/>
        <w:tabs>
          <w:tab w:leader="none" w:pos="263"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38" w:right="219" w:bottom="1440" w:gutter="0" w:footer="0" w:header="0"/>
        </w:sectPr>
      </w:pPr>
    </w:p>
    <w:bookmarkStart w:id="77" w:name="page78"/>
    <w:bookmarkEnd w:id="77"/>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397"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 the undersigned, thereunto duly authorized, on July 20, 2015.</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20"/>
                <w:szCs w:val="20"/>
                <w:color w:val="auto"/>
              </w:rPr>
            </w:pPr>
            <w:r>
              <w:rPr>
                <w:rFonts w:ascii="Arial" w:cs="Arial" w:eastAsia="Arial" w:hAnsi="Arial"/>
                <w:sz w:val="15"/>
                <w:szCs w:val="15"/>
                <w:color w:val="auto"/>
              </w:rPr>
              <w:t>TapImmune Inc.</w:t>
            </w:r>
          </w:p>
        </w:tc>
        <w:tc>
          <w:tcPr>
            <w:tcW w:w="10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29"/>
        </w:trPr>
        <w:tc>
          <w:tcPr>
            <w:tcW w:w="4580" w:type="dxa"/>
            <w:vAlign w:val="bottom"/>
          </w:tcPr>
          <w:p>
            <w:pPr>
              <w:spacing w:after="0"/>
              <w:rPr>
                <w:sz w:val="20"/>
                <w:szCs w:val="20"/>
                <w:color w:val="auto"/>
              </w:rPr>
            </w:pPr>
            <w:r>
              <w:rPr>
                <w:rFonts w:ascii="Arial" w:cs="Arial" w:eastAsia="Arial" w:hAnsi="Arial"/>
                <w:sz w:val="15"/>
                <w:szCs w:val="15"/>
                <w:color w:val="auto"/>
              </w:rPr>
              <w:t>By:</w:t>
            </w:r>
          </w:p>
        </w:tc>
        <w:tc>
          <w:tcPr>
            <w:tcW w:w="3300" w:type="dxa"/>
            <w:vAlign w:val="bottom"/>
            <w:gridSpan w:val="2"/>
          </w:tcPr>
          <w:p>
            <w:pPr>
              <w:spacing w:after="0"/>
              <w:rPr>
                <w:sz w:val="20"/>
                <w:szCs w:val="20"/>
                <w:color w:val="auto"/>
              </w:rPr>
            </w:pPr>
            <w:r>
              <w:rPr>
                <w:rFonts w:ascii="Arial" w:cs="Arial" w:eastAsia="Arial" w:hAnsi="Arial"/>
                <w:sz w:val="15"/>
                <w:szCs w:val="15"/>
                <w:color w:val="auto"/>
              </w:rPr>
              <w:t>/s/ Glynn Wilson</w:t>
            </w:r>
          </w:p>
        </w:tc>
      </w:tr>
      <w:tr>
        <w:trPr>
          <w:trHeight w:val="184"/>
        </w:trPr>
        <w:tc>
          <w:tcPr>
            <w:tcW w:w="4580" w:type="dxa"/>
            <w:vAlign w:val="bottom"/>
          </w:tcPr>
          <w:p>
            <w:pPr>
              <w:spacing w:after="0"/>
              <w:rPr>
                <w:sz w:val="16"/>
                <w:szCs w:val="16"/>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Glynn Wilson</w:t>
            </w:r>
          </w:p>
        </w:tc>
        <w:tc>
          <w:tcPr>
            <w:tcW w:w="2280" w:type="dxa"/>
            <w:vAlign w:val="bottom"/>
          </w:tcPr>
          <w:p>
            <w:pPr>
              <w:spacing w:after="0"/>
              <w:rPr>
                <w:sz w:val="16"/>
                <w:szCs w:val="16"/>
                <w:color w:val="auto"/>
              </w:rPr>
            </w:pPr>
          </w:p>
        </w:tc>
      </w:tr>
      <w:tr>
        <w:trPr>
          <w:trHeight w:val="181"/>
        </w:trPr>
        <w:tc>
          <w:tcPr>
            <w:tcW w:w="458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w w:val="94"/>
              </w:rPr>
              <w:t>Chief Executive Officer (Principal Executive Officer),</w:t>
            </w:r>
          </w:p>
        </w:tc>
      </w:tr>
      <w:tr>
        <w:trPr>
          <w:trHeight w:val="190"/>
        </w:trPr>
        <w:tc>
          <w:tcPr>
            <w:tcW w:w="458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w w:val="94"/>
              </w:rPr>
              <w:t>Chief Financial Officer (Principal Accounting Officer)</w:t>
            </w:r>
          </w:p>
        </w:tc>
      </w:tr>
    </w:tbl>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Pursuant to the requirements of the Securities Act of 1933, as amended, this Registration Statement has been signed by the following persons in the capacities and on the dates indicated. Each person in so signing also makes, constitutes and appoints Glynn Wilson, his or her true and lawful attorney-in-fact, with full power of substitution, in any and all capacities, to execute and cause to be filed with the Securities and Exchange Commission pursuant to the requirements of the Securities Act of 1933, as amended, any and all amendments and post-effective amendments to this Registration Statement, with exhibits to such registration statements and amendments and other documents in connection therewith, and hereby ratifies and confirms all that said attorney-in-fact or his or her substitute or substitutes may do or cause to be done by virtue hereof.</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gridSpan w:val="4"/>
          </w:tcPr>
          <w:p>
            <w:pPr>
              <w:spacing w:after="0"/>
              <w:rPr>
                <w:sz w:val="20"/>
                <w:szCs w:val="20"/>
                <w:color w:val="auto"/>
              </w:rPr>
            </w:pPr>
            <w:r>
              <w:rPr>
                <w:rFonts w:ascii="Arial" w:cs="Arial" w:eastAsia="Arial" w:hAnsi="Arial"/>
                <w:sz w:val="15"/>
                <w:szCs w:val="15"/>
                <w:b w:val="1"/>
                <w:bCs w:val="1"/>
                <w:color w:val="auto"/>
              </w:rPr>
              <w:t>Signature</w:t>
            </w:r>
          </w:p>
        </w:tc>
        <w:tc>
          <w:tcPr>
            <w:tcW w:w="5920" w:type="dxa"/>
            <w:vAlign w:val="bottom"/>
            <w:gridSpan w:val="2"/>
          </w:tcPr>
          <w:p>
            <w:pPr>
              <w:ind w:left="780"/>
              <w:spacing w:after="0"/>
              <w:rPr>
                <w:sz w:val="20"/>
                <w:szCs w:val="20"/>
                <w:color w:val="auto"/>
              </w:rPr>
            </w:pPr>
            <w:r>
              <w:rPr>
                <w:rFonts w:ascii="Arial" w:cs="Arial" w:eastAsia="Arial" w:hAnsi="Arial"/>
                <w:sz w:val="15"/>
                <w:szCs w:val="15"/>
                <w:b w:val="1"/>
                <w:bCs w:val="1"/>
                <w:color w:val="auto"/>
              </w:rPr>
              <w:t>Title</w:t>
            </w:r>
          </w:p>
        </w:tc>
        <w:tc>
          <w:tcPr>
            <w:tcW w:w="2640" w:type="dxa"/>
            <w:vAlign w:val="bottom"/>
            <w:gridSpan w:val="2"/>
          </w:tcPr>
          <w:p>
            <w:pPr>
              <w:ind w:left="520"/>
              <w:spacing w:after="0"/>
              <w:rPr>
                <w:sz w:val="20"/>
                <w:szCs w:val="20"/>
                <w:color w:val="auto"/>
              </w:rPr>
            </w:pPr>
            <w:r>
              <w:rPr>
                <w:rFonts w:ascii="Arial" w:cs="Arial" w:eastAsia="Arial" w:hAnsi="Arial"/>
                <w:sz w:val="15"/>
                <w:szCs w:val="15"/>
                <w:b w:val="1"/>
                <w:bCs w:val="1"/>
                <w:color w:val="auto"/>
              </w:rPr>
              <w:t>Date</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314"/>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9"/>
              </w:rPr>
              <w:t>/s/ Sherry Grisewood</w:t>
            </w:r>
          </w:p>
        </w:tc>
        <w:tc>
          <w:tcPr>
            <w:tcW w:w="1600" w:type="dxa"/>
            <w:vAlign w:val="bottom"/>
            <w:gridSpan w:val="2"/>
          </w:tcPr>
          <w:p>
            <w:pPr>
              <w:spacing w:after="0"/>
              <w:rPr>
                <w:sz w:val="24"/>
                <w:szCs w:val="24"/>
                <w:color w:val="auto"/>
              </w:rPr>
            </w:pPr>
          </w:p>
        </w:tc>
        <w:tc>
          <w:tcPr>
            <w:tcW w:w="5920" w:type="dxa"/>
            <w:vAlign w:val="bottom"/>
            <w:gridSpan w:val="2"/>
          </w:tcPr>
          <w:p>
            <w:pPr>
              <w:ind w:left="780"/>
              <w:spacing w:after="0"/>
              <w:rPr>
                <w:sz w:val="20"/>
                <w:szCs w:val="20"/>
                <w:color w:val="auto"/>
              </w:rPr>
            </w:pPr>
            <w:r>
              <w:rPr>
                <w:rFonts w:ascii="Arial" w:cs="Arial" w:eastAsia="Arial" w:hAnsi="Arial"/>
                <w:sz w:val="15"/>
                <w:szCs w:val="15"/>
                <w:color w:val="auto"/>
              </w:rPr>
              <w:t>Director</w:t>
            </w:r>
          </w:p>
        </w:tc>
        <w:tc>
          <w:tcPr>
            <w:tcW w:w="2640" w:type="dxa"/>
            <w:vAlign w:val="bottom"/>
            <w:gridSpan w:val="2"/>
          </w:tcPr>
          <w:p>
            <w:pPr>
              <w:ind w:left="520"/>
              <w:spacing w:after="0"/>
              <w:rPr>
                <w:sz w:val="20"/>
                <w:szCs w:val="20"/>
                <w:color w:val="auto"/>
              </w:rPr>
            </w:pPr>
            <w:r>
              <w:rPr>
                <w:rFonts w:ascii="Arial" w:cs="Arial" w:eastAsia="Arial" w:hAnsi="Arial"/>
                <w:sz w:val="15"/>
                <w:szCs w:val="15"/>
                <w:color w:val="auto"/>
              </w:rPr>
              <w:t>July 20, 2015</w:t>
            </w:r>
          </w:p>
        </w:tc>
      </w:tr>
      <w:tr>
        <w:trPr>
          <w:trHeight w:val="194"/>
        </w:trPr>
        <w:tc>
          <w:tcPr>
            <w:tcW w:w="2880" w:type="dxa"/>
            <w:vAlign w:val="bottom"/>
            <w:gridSpan w:val="4"/>
          </w:tcPr>
          <w:p>
            <w:pPr>
              <w:spacing w:after="0"/>
              <w:rPr>
                <w:sz w:val="20"/>
                <w:szCs w:val="20"/>
                <w:color w:val="auto"/>
              </w:rPr>
            </w:pPr>
            <w:r>
              <w:rPr>
                <w:rFonts w:ascii="Arial" w:cs="Arial" w:eastAsia="Arial" w:hAnsi="Arial"/>
                <w:sz w:val="15"/>
                <w:szCs w:val="15"/>
                <w:color w:val="auto"/>
              </w:rPr>
              <w:t>Sherry Grisewood</w:t>
            </w:r>
          </w:p>
        </w:tc>
        <w:tc>
          <w:tcPr>
            <w:tcW w:w="7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29"/>
        </w:trPr>
        <w:tc>
          <w:tcPr>
            <w:tcW w:w="102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2"/>
              </w:rPr>
              <w:t>/s/ Glynn Wilson</w:t>
            </w:r>
          </w:p>
        </w:tc>
        <w:tc>
          <w:tcPr>
            <w:tcW w:w="1860" w:type="dxa"/>
            <w:vAlign w:val="bottom"/>
            <w:gridSpan w:val="3"/>
          </w:tcPr>
          <w:p>
            <w:pPr>
              <w:spacing w:after="0"/>
              <w:rPr>
                <w:sz w:val="24"/>
                <w:szCs w:val="24"/>
                <w:color w:val="auto"/>
              </w:rPr>
            </w:pPr>
          </w:p>
        </w:tc>
        <w:tc>
          <w:tcPr>
            <w:tcW w:w="5920" w:type="dxa"/>
            <w:vAlign w:val="bottom"/>
            <w:gridSpan w:val="2"/>
          </w:tcPr>
          <w:p>
            <w:pPr>
              <w:ind w:left="780"/>
              <w:spacing w:after="0"/>
              <w:rPr>
                <w:sz w:val="20"/>
                <w:szCs w:val="20"/>
                <w:color w:val="auto"/>
              </w:rPr>
            </w:pPr>
            <w:r>
              <w:rPr>
                <w:rFonts w:ascii="Arial" w:cs="Arial" w:eastAsia="Arial" w:hAnsi="Arial"/>
                <w:sz w:val="15"/>
                <w:szCs w:val="15"/>
                <w:color w:val="auto"/>
              </w:rPr>
              <w:t>Director</w:t>
            </w:r>
          </w:p>
        </w:tc>
        <w:tc>
          <w:tcPr>
            <w:tcW w:w="2640" w:type="dxa"/>
            <w:vAlign w:val="bottom"/>
            <w:gridSpan w:val="2"/>
          </w:tcPr>
          <w:p>
            <w:pPr>
              <w:ind w:left="520"/>
              <w:spacing w:after="0"/>
              <w:rPr>
                <w:sz w:val="20"/>
                <w:szCs w:val="20"/>
                <w:color w:val="auto"/>
              </w:rPr>
            </w:pPr>
            <w:r>
              <w:rPr>
                <w:rFonts w:ascii="Arial" w:cs="Arial" w:eastAsia="Arial" w:hAnsi="Arial"/>
                <w:sz w:val="15"/>
                <w:szCs w:val="15"/>
                <w:color w:val="auto"/>
              </w:rPr>
              <w:t>July 20, 2015</w:t>
            </w:r>
          </w:p>
        </w:tc>
      </w:tr>
      <w:tr>
        <w:trPr>
          <w:trHeight w:val="194"/>
        </w:trPr>
        <w:tc>
          <w:tcPr>
            <w:tcW w:w="2880" w:type="dxa"/>
            <w:vAlign w:val="bottom"/>
            <w:gridSpan w:val="4"/>
          </w:tcPr>
          <w:p>
            <w:pPr>
              <w:spacing w:after="0"/>
              <w:rPr>
                <w:sz w:val="20"/>
                <w:szCs w:val="20"/>
                <w:color w:val="auto"/>
              </w:rPr>
            </w:pPr>
            <w:r>
              <w:rPr>
                <w:rFonts w:ascii="Arial" w:cs="Arial" w:eastAsia="Arial" w:hAnsi="Arial"/>
                <w:sz w:val="15"/>
                <w:szCs w:val="15"/>
                <w:color w:val="auto"/>
              </w:rPr>
              <w:t>Glynn Wilson</w:t>
            </w:r>
          </w:p>
        </w:tc>
        <w:tc>
          <w:tcPr>
            <w:tcW w:w="7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29"/>
        </w:trPr>
        <w:tc>
          <w:tcPr>
            <w:tcW w:w="2880" w:type="dxa"/>
            <w:vAlign w:val="bottom"/>
            <w:gridSpan w:val="4"/>
          </w:tcPr>
          <w:p>
            <w:pPr>
              <w:spacing w:after="0"/>
              <w:rPr>
                <w:sz w:val="20"/>
                <w:szCs w:val="20"/>
                <w:color w:val="auto"/>
              </w:rPr>
            </w:pPr>
            <w:r>
              <w:rPr>
                <w:rFonts w:ascii="Arial" w:cs="Arial" w:eastAsia="Arial" w:hAnsi="Arial"/>
                <w:sz w:val="15"/>
                <w:szCs w:val="15"/>
                <w:color w:val="auto"/>
              </w:rPr>
              <w:t>/s/David Laskow-Pooley</w:t>
            </w:r>
          </w:p>
        </w:tc>
        <w:tc>
          <w:tcPr>
            <w:tcW w:w="5920" w:type="dxa"/>
            <w:vAlign w:val="bottom"/>
            <w:gridSpan w:val="2"/>
          </w:tcPr>
          <w:p>
            <w:pPr>
              <w:ind w:left="780"/>
              <w:spacing w:after="0"/>
              <w:rPr>
                <w:sz w:val="20"/>
                <w:szCs w:val="20"/>
                <w:color w:val="auto"/>
              </w:rPr>
            </w:pPr>
            <w:r>
              <w:rPr>
                <w:rFonts w:ascii="Arial" w:cs="Arial" w:eastAsia="Arial" w:hAnsi="Arial"/>
                <w:sz w:val="15"/>
                <w:szCs w:val="15"/>
                <w:color w:val="auto"/>
              </w:rPr>
              <w:t>Director</w:t>
            </w:r>
          </w:p>
        </w:tc>
        <w:tc>
          <w:tcPr>
            <w:tcW w:w="2640" w:type="dxa"/>
            <w:vAlign w:val="bottom"/>
            <w:gridSpan w:val="2"/>
          </w:tcPr>
          <w:p>
            <w:pPr>
              <w:ind w:left="520"/>
              <w:spacing w:after="0"/>
              <w:rPr>
                <w:sz w:val="20"/>
                <w:szCs w:val="20"/>
                <w:color w:val="auto"/>
              </w:rPr>
            </w:pPr>
            <w:r>
              <w:rPr>
                <w:rFonts w:ascii="Arial" w:cs="Arial" w:eastAsia="Arial" w:hAnsi="Arial"/>
                <w:sz w:val="15"/>
                <w:szCs w:val="15"/>
                <w:color w:val="auto"/>
              </w:rPr>
              <w:t>July 20, 2015</w:t>
            </w:r>
          </w:p>
        </w:tc>
      </w:tr>
      <w:tr>
        <w:trPr>
          <w:trHeight w:val="194"/>
        </w:trPr>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David Laskow-Pooley</w:t>
            </w: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29"/>
        </w:trPr>
        <w:tc>
          <w:tcPr>
            <w:tcW w:w="2880" w:type="dxa"/>
            <w:vAlign w:val="bottom"/>
            <w:gridSpan w:val="4"/>
          </w:tcPr>
          <w:p>
            <w:pPr>
              <w:spacing w:after="0"/>
              <w:rPr>
                <w:sz w:val="20"/>
                <w:szCs w:val="20"/>
                <w:color w:val="auto"/>
              </w:rPr>
            </w:pPr>
            <w:r>
              <w:rPr>
                <w:rFonts w:ascii="Arial" w:cs="Arial" w:eastAsia="Arial" w:hAnsi="Arial"/>
                <w:sz w:val="15"/>
                <w:szCs w:val="15"/>
                <w:color w:val="auto"/>
              </w:rPr>
              <w:t>/s/ Mark Reddish</w:t>
            </w:r>
          </w:p>
        </w:tc>
        <w:tc>
          <w:tcPr>
            <w:tcW w:w="5920" w:type="dxa"/>
            <w:vAlign w:val="bottom"/>
            <w:gridSpan w:val="2"/>
          </w:tcPr>
          <w:p>
            <w:pPr>
              <w:ind w:left="780"/>
              <w:spacing w:after="0"/>
              <w:rPr>
                <w:sz w:val="20"/>
                <w:szCs w:val="20"/>
                <w:color w:val="auto"/>
              </w:rPr>
            </w:pPr>
            <w:r>
              <w:rPr>
                <w:rFonts w:ascii="Arial" w:cs="Arial" w:eastAsia="Arial" w:hAnsi="Arial"/>
                <w:sz w:val="15"/>
                <w:szCs w:val="15"/>
                <w:color w:val="auto"/>
              </w:rPr>
              <w:t>Director</w:t>
            </w:r>
          </w:p>
        </w:tc>
        <w:tc>
          <w:tcPr>
            <w:tcW w:w="2640" w:type="dxa"/>
            <w:vAlign w:val="bottom"/>
            <w:gridSpan w:val="2"/>
          </w:tcPr>
          <w:p>
            <w:pPr>
              <w:ind w:left="520"/>
              <w:spacing w:after="0"/>
              <w:rPr>
                <w:sz w:val="20"/>
                <w:szCs w:val="20"/>
                <w:color w:val="auto"/>
              </w:rPr>
            </w:pPr>
            <w:r>
              <w:rPr>
                <w:rFonts w:ascii="Arial" w:cs="Arial" w:eastAsia="Arial" w:hAnsi="Arial"/>
                <w:sz w:val="15"/>
                <w:szCs w:val="15"/>
                <w:color w:val="auto"/>
              </w:rPr>
              <w:t>July 20, 2015</w:t>
            </w:r>
          </w:p>
        </w:tc>
      </w:tr>
      <w:tr>
        <w:trPr>
          <w:trHeight w:val="194"/>
        </w:trPr>
        <w:tc>
          <w:tcPr>
            <w:tcW w:w="10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Mark Reddish</w:t>
            </w:r>
          </w:p>
        </w:tc>
        <w:tc>
          <w:tcPr>
            <w:tcW w:w="1860" w:type="dxa"/>
            <w:vAlign w:val="bottom"/>
            <w:gridSpan w:val="3"/>
          </w:tcPr>
          <w:p>
            <w:pPr>
              <w:spacing w:after="0"/>
              <w:rPr>
                <w:sz w:val="16"/>
                <w:szCs w:val="16"/>
                <w:color w:val="auto"/>
              </w:rPr>
            </w:pPr>
          </w:p>
        </w:tc>
        <w:tc>
          <w:tcPr>
            <w:tcW w:w="7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-54610</wp:posOffset>
            </wp:positionV>
            <wp:extent cx="727456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4560" cy="38735"/>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78" w:name="page79"/>
    <w:bookmarkEnd w:id="78"/>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179705</wp:posOffset>
            </wp:positionV>
            <wp:extent cx="727456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4560" cy="34290"/>
                    </a:xfrm>
                    <a:prstGeom prst="rect">
                      <a:avLst/>
                    </a:prstGeom>
                    <a:noFill/>
                  </pic:spPr>
                </pic:pic>
              </a:graphicData>
            </a:graphic>
          </wp:anchor>
        </w:drawing>
        <w:t>EXHIBIT 5.1</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July 20, 2015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TapImmune Inc.</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1551 Eastlake Avenue East,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Suite 100, Seattle, WA</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 have acted as counsel for TapImmune Inc. (the “Company”) in connection with the preparation of the Company’s Registration Statement on Form S-1 (the “Registration</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Statement”) filed with the Securities and Exchange Commission on July 17, 2015, concerning the registration of up to 24,640,000 shares of the Company’s common stock (the “Common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Stock”) by certain stockholders of the Company (the “Selling Stockholders”).</w:t>
      </w:r>
    </w:p>
    <w:p>
      <w:pPr>
        <w:spacing w:after="0" w:line="180" w:lineRule="exact"/>
        <w:rPr>
          <w:sz w:val="20"/>
          <w:szCs w:val="20"/>
          <w:color w:val="auto"/>
        </w:rPr>
      </w:pPr>
    </w:p>
    <w:p>
      <w:pPr>
        <w:ind w:right="80" w:firstLine="543"/>
        <w:spacing w:after="0" w:line="306" w:lineRule="auto"/>
        <w:rPr>
          <w:sz w:val="20"/>
          <w:szCs w:val="20"/>
          <w:color w:val="auto"/>
        </w:rPr>
      </w:pPr>
      <w:r>
        <w:rPr>
          <w:rFonts w:ascii="Arial" w:cs="Arial" w:eastAsia="Arial" w:hAnsi="Arial"/>
          <w:sz w:val="13"/>
          <w:szCs w:val="13"/>
          <w:color w:val="auto"/>
        </w:rPr>
        <w:t>We have examined the Articles of Incorporation, as amended, and the Bylaws, as amended, of the Company and the record of the Company’s corporate proceedings concerning the registration described above. In addition, we have examined such other certificates, agreements, documents and papers, and we have made such other inquiries and investigations of law as we have deemed appropriate and necessary to express the opinion set forth in this letter. In our examinations, we have assumed the genuineness of all signatures, the authenticity of all documents submitted to us as originals, photostatic, or conformed copies and the authenticity of the originals of all such latter documents. In addition, as to certain matters we have relied upon certificates and advice from various state authorities and public officials, and we have assumed the accuracy of the material and the factual matters contained herein.</w:t>
      </w:r>
    </w:p>
    <w:p>
      <w:pPr>
        <w:spacing w:after="0" w:line="133" w:lineRule="exact"/>
        <w:rPr>
          <w:sz w:val="20"/>
          <w:szCs w:val="20"/>
          <w:color w:val="auto"/>
        </w:rPr>
      </w:pPr>
    </w:p>
    <w:p>
      <w:pPr>
        <w:jc w:val="both"/>
        <w:ind w:right="40" w:firstLine="543"/>
        <w:spacing w:after="0" w:line="264" w:lineRule="auto"/>
        <w:rPr>
          <w:sz w:val="20"/>
          <w:szCs w:val="20"/>
          <w:color w:val="auto"/>
        </w:rPr>
      </w:pPr>
      <w:r>
        <w:rPr>
          <w:rFonts w:ascii="Arial" w:cs="Arial" w:eastAsia="Arial" w:hAnsi="Arial"/>
          <w:sz w:val="15"/>
          <w:szCs w:val="15"/>
          <w:color w:val="auto"/>
        </w:rPr>
        <w:t>Subject to the foregoing and on the basis of the aforementioned examinations and investigations, it is our opinion that the shares of Common Stock that may be issued to the Selling Stockholders, when issued in accordance with the terms described in the constituent documents and the Articles of Incorporation, as amended, will be validly issued and fully paid and non-assessable.</w:t>
      </w:r>
    </w:p>
    <w:p>
      <w:pPr>
        <w:spacing w:after="0" w:line="155" w:lineRule="exact"/>
        <w:rPr>
          <w:sz w:val="20"/>
          <w:szCs w:val="20"/>
          <w:color w:val="auto"/>
        </w:rPr>
      </w:pPr>
    </w:p>
    <w:p>
      <w:pPr>
        <w:ind w:right="160" w:firstLine="543"/>
        <w:spacing w:after="0" w:line="313" w:lineRule="auto"/>
        <w:rPr>
          <w:sz w:val="20"/>
          <w:szCs w:val="20"/>
          <w:color w:val="auto"/>
        </w:rPr>
      </w:pPr>
      <w:r>
        <w:rPr>
          <w:rFonts w:ascii="Arial" w:cs="Arial" w:eastAsia="Arial" w:hAnsi="Arial"/>
          <w:sz w:val="14"/>
          <w:szCs w:val="14"/>
          <w:color w:val="auto"/>
        </w:rPr>
        <w:t>We hereby consent (a) to be named in the Registration Statement and in the prospectus that constitutes a part of the Registration Statement as acting as counsel in connection with the offering, including with respect to the issuance of securities offered in the offering; and (b) to the filing of this opinion as an exhibit to the Registration Statement.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This opinion is to be used solely for the purpose of the registration of the Common Stock and may not be used for any other purpose.</w:t>
      </w:r>
    </w:p>
    <w:p>
      <w:pPr>
        <w:spacing w:after="0" w:line="37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Very truly yours,</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5"/>
          <w:szCs w:val="15"/>
          <w:u w:val="single" w:color="auto"/>
          <w:color w:val="auto"/>
        </w:rPr>
        <w:t>/s/ SANDERS ORTOLI VAUGHN-FLAM ROSENSTADT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591185</wp:posOffset>
            </wp:positionV>
            <wp:extent cx="727456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4560" cy="38735"/>
                    </a:xfrm>
                    <a:prstGeom prst="rect">
                      <a:avLst/>
                    </a:prstGeom>
                    <a:noFill/>
                  </pic:spPr>
                </pic:pic>
              </a:graphicData>
            </a:graphic>
          </wp:anchor>
        </w:drawing>
      </w:r>
    </w:p>
    <w:p>
      <w:pPr>
        <w:sectPr>
          <w:pgSz w:w="11900" w:h="16838" w:orient="portrait"/>
          <w:cols w:equalWidth="0" w:num="1">
            <w:col w:w="11440"/>
          </w:cols>
          <w:pgMar w:left="240" w:top="396" w:right="2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308610</wp:posOffset>
            </wp:positionV>
            <wp:extent cx="727456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4560" cy="34290"/>
                    </a:xfrm>
                    <a:prstGeom prst="rect">
                      <a:avLst/>
                    </a:prstGeom>
                    <a:noFill/>
                  </pic:spPr>
                </pic:pic>
              </a:graphicData>
            </a:graphic>
          </wp:anchor>
        </w:drawing>
        <w:t>EXHIBIT 23-2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INDEPENDENT REGISTERED PUBLIC ACCOUNTING FIRM’S CONSENT</w:t>
      </w:r>
    </w:p>
    <w:p>
      <w:pPr>
        <w:spacing w:after="0" w:line="200"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We consent to the inclusion in this Registration Statement of TapImmune Inc. on Form S-1 of our report dated April 15, 2015, which includes an explanatory paragraph as to the Company’s ability to continue as a going concern, with respect to our audits of the consolidated financial statements of TapImmune Inc. as of December 31, 2014 and for the year then ended, which report appears in the Prospectus, which is part of this Registration Statement. We also consent to the reference to our Firm under the heading “Experts” in such Prospectus.</w:t>
      </w: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 Marcum </w:t>
      </w:r>
      <w:r>
        <w:rPr>
          <w:rFonts w:ascii="Arial" w:cs="Arial" w:eastAsia="Arial" w:hAnsi="Arial"/>
          <w:sz w:val="10"/>
          <w:szCs w:val="10"/>
          <w:color w:val="auto"/>
        </w:rPr>
        <w:t>LLP</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New York, 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July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2503805</wp:posOffset>
            </wp:positionV>
            <wp:extent cx="727456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4560" cy="38735"/>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80" w:name="page81"/>
    <w:bookmarkEnd w:id="80"/>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308610</wp:posOffset>
            </wp:positionV>
            <wp:extent cx="727456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4560" cy="34290"/>
                    </a:xfrm>
                    <a:prstGeom prst="rect">
                      <a:avLst/>
                    </a:prstGeom>
                    <a:noFill/>
                  </pic:spPr>
                </pic:pic>
              </a:graphicData>
            </a:graphic>
          </wp:anchor>
        </w:drawing>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129540</wp:posOffset>
            </wp:positionV>
            <wp:extent cx="7321550" cy="17240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2155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July 20, 2015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0" w:lineRule="exact"/>
        <w:rPr>
          <w:sz w:val="20"/>
          <w:szCs w:val="20"/>
          <w:color w:val="auto"/>
        </w:rPr>
      </w:pPr>
    </w:p>
    <w:p>
      <w:pPr>
        <w:spacing w:after="0" w:line="220" w:lineRule="exact"/>
        <w:rPr>
          <w:sz w:val="20"/>
          <w:szCs w:val="20"/>
          <w:color w:val="auto"/>
        </w:rPr>
      </w:pPr>
    </w:p>
    <w:p>
      <w:pPr>
        <w:ind w:right="200"/>
        <w:spacing w:after="0" w:line="276" w:lineRule="auto"/>
        <w:rPr>
          <w:sz w:val="20"/>
          <w:szCs w:val="20"/>
          <w:color w:val="auto"/>
        </w:rPr>
      </w:pPr>
      <w:r>
        <w:rPr>
          <w:rFonts w:ascii="Arial" w:cs="Arial" w:eastAsia="Arial" w:hAnsi="Arial"/>
          <w:sz w:val="15"/>
          <w:szCs w:val="15"/>
          <w:color w:val="auto"/>
        </w:rPr>
        <w:t>We consent to the use of our report dated April 14, 2014 relating to the consolidated financial statements of TapImmune Inc. (the "Company") appearing in the Prospectus which is part of the Company'sRegistration Statement on Form S-1 for the registration of up to 24,640,000 shares of its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also consent to the reference to our firm included under the heading "Experts" in such Registration Statement.</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5"/>
          <w:szCs w:val="15"/>
          <w:b w:val="1"/>
          <w:bCs w:val="1"/>
          <w:i w:val="1"/>
          <w:iCs w:val="1"/>
          <w:color w:val="auto"/>
        </w:rPr>
        <w:t>"DMCL"</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Dale Matheson Carr-Hilton LaBonte LLP</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441325</wp:posOffset>
            </wp:positionV>
            <wp:extent cx="727456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4560" cy="38735"/>
                    </a:xfrm>
                    <a:prstGeom prst="rect">
                      <a:avLst/>
                    </a:prstGeom>
                    <a:noFill/>
                  </pic:spPr>
                </pic:pic>
              </a:graphicData>
            </a:graphic>
          </wp:anchor>
        </w:drawing>
      </w:r>
    </w:p>
    <w:sectPr>
      <w:pgSz w:w="11900" w:h="16838" w:orient="portrait"/>
      <w:cols w:equalWidth="0" w:num="1">
        <w:col w:w="11440"/>
      </w:cols>
      <w:pgMar w:left="240" w:top="80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lowerRoman"/>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lvl w:ilvl="1">
      <w:lvlJc w:val="left"/>
      <w:lvlText w:val="(%2)"/>
      <w:numFmt w:val="decimal"/>
      <w:start w:val="4"/>
    </w:lvl>
  </w:abstractNum>
  <w:abstractNum w:abstractNumId="18">
    <w:nsid w:val="2901D82"/>
    <w:multiLevelType w:val="hybridMultilevel"/>
    <w:lvl w:ilvl="0">
      <w:lvlJc w:val="left"/>
      <w:lvlText w:val="(%1)"/>
      <w:numFmt w:val="decimal"/>
      <w:start w:val="5"/>
    </w:lvl>
    <w:lvl w:ilvl="1">
      <w:lvlJc w:val="left"/>
      <w:lvlText w:val="%2"/>
      <w:numFmt w:val="decimal"/>
      <w:start w:val="1"/>
    </w:lvl>
  </w:abstractNum>
  <w:abstractNum w:abstractNumId="19">
    <w:nsid w:val="3A95F874"/>
    <w:multiLevelType w:val="hybridMultilevel"/>
    <w:lvl w:ilvl="0">
      <w:lvlJc w:val="left"/>
      <w:lvlText w:val="(%1)"/>
      <w:numFmt w:val="decimal"/>
      <w:start w:val="9"/>
    </w:lvl>
  </w:abstractNum>
  <w:abstractNum w:abstractNumId="20">
    <w:nsid w:val="8138641"/>
    <w:multiLevelType w:val="hybridMultilevel"/>
    <w:lvl w:ilvl="0">
      <w:lvlJc w:val="left"/>
      <w:lvlText w:val="●"/>
      <w:numFmt w:val="bullet"/>
      <w:start w:val="1"/>
    </w:lvl>
    <w:lvl w:ilvl="1">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lvl w:ilvl="1">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lvl w:ilvl="1">
      <w:lvlJc w:val="left"/>
      <w:lvlText w:val="%2."/>
      <w:numFmt w:val="decimal"/>
      <w:start w:val="1"/>
    </w:lvl>
  </w:abstractNum>
  <w:abstractNum w:abstractNumId="29">
    <w:nsid w:val="419AC241"/>
    <w:multiLevelType w:val="hybridMultilevel"/>
    <w:lvl w:ilvl="0">
      <w:lvlJc w:val="left"/>
      <w:lvlText w:val="%1."/>
      <w:numFmt w:val="decimal"/>
      <w:start w:val="2"/>
    </w:lvl>
    <w:lvl w:ilvl="1">
      <w:lvlJc w:val="left"/>
      <w:lvlText w:val="%2"/>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upperLetter"/>
      <w:start w:val="1"/>
    </w:lvl>
  </w:abstractNum>
  <w:abstractNum w:abstractNumId="33">
    <w:nsid w:val="3804823E"/>
    <w:multiLevelType w:val="hybridMultilevel"/>
    <w:lvl w:ilvl="0">
      <w:lvlJc w:val="left"/>
      <w:lvlText w:val="(%1)"/>
      <w:numFmt w:val="decimal"/>
      <w:start w:val="1"/>
    </w:lvl>
    <w:lvl w:ilvl="1">
      <w:lvlJc w:val="left"/>
      <w:lvlText w:val="(%2)"/>
      <w:numFmt w:val="lowerRoman"/>
      <w:start w:val="1"/>
    </w:lvl>
  </w:abstractNum>
  <w:abstractNum w:abstractNumId="34">
    <w:nsid w:val="77465F01"/>
    <w:multiLevelType w:val="hybridMultilevel"/>
    <w:lvl w:ilvl="0">
      <w:lvlJc w:val="left"/>
      <w:lvlText w:val="%1"/>
      <w:numFmt w:val="decimal"/>
      <w:start w:val="1"/>
    </w:lvl>
    <w:lvl w:ilvl="1">
      <w:lvlJc w:val="left"/>
      <w:lvlText w:val="(%2)"/>
      <w:numFmt w:val="upperLetter"/>
      <w:start w:val="1"/>
    </w:lvl>
  </w:abstractNum>
  <w:abstractNum w:abstractNumId="35">
    <w:nsid w:val="7724C67E"/>
    <w:multiLevelType w:val="hybridMultilevel"/>
    <w:lvl w:ilvl="0">
      <w:lvlJc w:val="left"/>
      <w:lvlText w:val="(%1)"/>
      <w:numFmt w:val="decimal"/>
      <w:start w:val="2"/>
    </w:lvl>
    <w:lvl w:ilvl="1">
      <w:lvlJc w:val="left"/>
      <w:lvlText w:val="(%2)"/>
      <w:numFmt w:val="upperLetter"/>
      <w:start w:val="1"/>
    </w:lvl>
  </w:abstractNum>
  <w:abstractNum w:abstractNumId="36">
    <w:nsid w:val="5C482A97"/>
    <w:multiLevelType w:val="hybridMultilevel"/>
    <w:lvl w:ilvl="0">
      <w:lvlJc w:val="left"/>
      <w:lvlText w:val="(%1)"/>
      <w:numFmt w:val="decimal"/>
      <w:start w:val="5"/>
    </w:lvl>
    <w:lvl w:ilvl="1">
      <w:lvlJc w:val="left"/>
      <w:lvlText w:val="(%2)"/>
      <w:numFmt w:val="lowerRoman"/>
      <w:start w:val="1"/>
    </w:lvl>
  </w:abstractNum>
  <w:abstractNum w:abstractNumId="37">
    <w:nsid w:val="2463B9EA"/>
    <w:multiLevelType w:val="hybridMultilevel"/>
    <w:lvl w:ilvl="0">
      <w:lvlJc w:val="left"/>
      <w:lvlText w:val="(%1)"/>
      <w:numFmt w:val="lowerLetter"/>
      <w:start w:val="5"/>
    </w:lvl>
  </w:abstractNum>
  <w:abstractNum w:abstractNumId="38">
    <w:nsid w:val="5E884ADC"/>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2020-01-24T02:53:17Z</dcterms:created>
  <dcterms:modified xsi:type="dcterms:W3CDTF">2020-01-24T02:53:17Z</dcterms:modified>
</cp:coreProperties>
</file>