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 1344</w:t>
            </w:r>
          </w:p>
        </w:tc>
        <w:tc>
          <w:tcPr>
            <w:tcW w:w="320" w:type="dxa"/>
            <w:vAlign w:val="bottom"/>
          </w:tcPr>
          <w:p>
            <w:pPr>
              <w:spacing w:after="0"/>
              <w:rPr>
                <w:sz w:val="18"/>
                <w:szCs w:val="18"/>
                <w:color w:val="auto"/>
              </w:rPr>
            </w:pPr>
          </w:p>
        </w:tc>
        <w:tc>
          <w:tcPr>
            <w:tcW w:w="9700" w:type="dxa"/>
            <w:vAlign w:val="bottom"/>
            <w:gridSpan w:val="7"/>
          </w:tcPr>
          <w:p>
            <w:pPr>
              <w:spacing w:after="0"/>
              <w:rPr>
                <w:sz w:val="20"/>
                <w:szCs w:val="20"/>
                <w:color w:val="auto"/>
              </w:rPr>
            </w:pPr>
            <w:r>
              <w:rPr>
                <w:rFonts w:ascii="Arial" w:cs="Arial" w:eastAsia="Arial" w:hAnsi="Arial"/>
                <w:sz w:val="18"/>
                <w:szCs w:val="18"/>
                <w:b w:val="1"/>
                <w:bCs w:val="1"/>
                <w:color w:val="auto"/>
                <w:w w:val="89"/>
              </w:rPr>
              <w:t>Persons who are to respond to the collection of information contained in this form are not required to respond unless the form</w:t>
            </w:r>
          </w:p>
        </w:tc>
      </w:tr>
      <w:tr>
        <w:trPr>
          <w:trHeight w:val="228"/>
        </w:trPr>
        <w:tc>
          <w:tcPr>
            <w:tcW w:w="1400" w:type="dxa"/>
            <w:vAlign w:val="bottom"/>
          </w:tcPr>
          <w:p>
            <w:pPr>
              <w:spacing w:after="0"/>
              <w:rPr>
                <w:sz w:val="20"/>
                <w:szCs w:val="20"/>
                <w:color w:val="auto"/>
              </w:rPr>
            </w:pPr>
            <w:r>
              <w:rPr>
                <w:rFonts w:ascii="Arial" w:cs="Arial" w:eastAsia="Arial" w:hAnsi="Arial"/>
                <w:sz w:val="18"/>
                <w:szCs w:val="18"/>
                <w:color w:val="auto"/>
              </w:rPr>
              <w:t>(07-03)</w:t>
            </w:r>
          </w:p>
        </w:tc>
        <w:tc>
          <w:tcPr>
            <w:tcW w:w="320" w:type="dxa"/>
            <w:vAlign w:val="bottom"/>
          </w:tcPr>
          <w:p>
            <w:pPr>
              <w:spacing w:after="0"/>
              <w:rPr>
                <w:sz w:val="19"/>
                <w:szCs w:val="19"/>
                <w:color w:val="auto"/>
              </w:rPr>
            </w:pPr>
          </w:p>
        </w:tc>
        <w:tc>
          <w:tcPr>
            <w:tcW w:w="3800" w:type="dxa"/>
            <w:vAlign w:val="bottom"/>
            <w:gridSpan w:val="3"/>
          </w:tcPr>
          <w:p>
            <w:pPr>
              <w:spacing w:after="0"/>
              <w:rPr>
                <w:sz w:val="20"/>
                <w:szCs w:val="20"/>
                <w:color w:val="auto"/>
              </w:rPr>
            </w:pPr>
            <w:r>
              <w:rPr>
                <w:rFonts w:ascii="Arial" w:cs="Arial" w:eastAsia="Arial" w:hAnsi="Arial"/>
                <w:sz w:val="18"/>
                <w:szCs w:val="18"/>
                <w:b w:val="1"/>
                <w:bCs w:val="1"/>
                <w:color w:val="auto"/>
                <w:w w:val="93"/>
              </w:rPr>
              <w:t>displays a currently valid OMB control number.</w:t>
            </w:r>
          </w:p>
        </w:tc>
        <w:tc>
          <w:tcPr>
            <w:tcW w:w="3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97"/>
        </w:trPr>
        <w:tc>
          <w:tcPr>
            <w:tcW w:w="1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37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98"/>
        </w:trPr>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120" w:type="dxa"/>
            <w:vAlign w:val="bottom"/>
            <w:tcBorders>
              <w:bottom w:val="single" w:sz="8" w:color="2C2C2C"/>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57"/>
        </w:trPr>
        <w:tc>
          <w:tcPr>
            <w:tcW w:w="1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22"/>
                <w:szCs w:val="22"/>
                <w:color w:val="auto"/>
              </w:rPr>
            </w:pPr>
          </w:p>
        </w:tc>
      </w:tr>
      <w:tr>
        <w:trPr>
          <w:trHeight w:val="250"/>
        </w:trPr>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OMB Number: 3235-0058</w:t>
            </w:r>
          </w:p>
        </w:tc>
        <w:tc>
          <w:tcPr>
            <w:tcW w:w="20" w:type="dxa"/>
            <w:vAlign w:val="bottom"/>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Expires: March 31, 2006</w:t>
            </w:r>
          </w:p>
        </w:tc>
        <w:tc>
          <w:tcPr>
            <w:tcW w:w="20" w:type="dxa"/>
            <w:vAlign w:val="bottom"/>
          </w:tcPr>
          <w:p>
            <w:pPr>
              <w:spacing w:after="0"/>
              <w:rPr>
                <w:sz w:val="21"/>
                <w:szCs w:val="21"/>
                <w:color w:val="auto"/>
              </w:rPr>
            </w:pPr>
          </w:p>
        </w:tc>
      </w:tr>
      <w:tr>
        <w:trPr>
          <w:trHeight w:val="215"/>
        </w:trPr>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w w:val="99"/>
              </w:rPr>
              <w:t>Estimated average burden</w:t>
            </w:r>
          </w:p>
        </w:tc>
      </w:tr>
      <w:tr>
        <w:trPr>
          <w:trHeight w:val="251"/>
        </w:trPr>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21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rPr>
              <w:t>hours per response...2.50</w:t>
            </w:r>
          </w:p>
        </w:tc>
      </w:tr>
      <w:tr>
        <w:trPr>
          <w:trHeight w:val="217"/>
        </w:trPr>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120" w:type="dxa"/>
            <w:vAlign w:val="bottom"/>
            <w:tcBorders>
              <w:bottom w:val="single" w:sz="8" w:color="2C2C2C"/>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r>
      <w:tr>
        <w:trPr>
          <w:trHeight w:val="241"/>
        </w:trPr>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gridSpan w:val="2"/>
          </w:tcPr>
          <w:p>
            <w:pPr>
              <w:ind w:left="40"/>
              <w:spacing w:after="0"/>
              <w:rPr>
                <w:sz w:val="20"/>
                <w:szCs w:val="20"/>
                <w:color w:val="auto"/>
              </w:rPr>
            </w:pPr>
            <w:r>
              <w:rPr>
                <w:rFonts w:ascii="Arial" w:cs="Arial" w:eastAsia="Arial" w:hAnsi="Arial"/>
                <w:sz w:val="18"/>
                <w:szCs w:val="18"/>
                <w:color w:val="auto"/>
              </w:rPr>
              <w:t>SEC FILE NUMBER</w:t>
            </w:r>
          </w:p>
        </w:tc>
      </w:tr>
      <w:tr>
        <w:trPr>
          <w:trHeight w:val="36"/>
        </w:trPr>
        <w:tc>
          <w:tcPr>
            <w:tcW w:w="1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740" w:type="dxa"/>
            <w:vAlign w:val="bottom"/>
          </w:tcPr>
          <w:p>
            <w:pPr>
              <w:spacing w:after="0"/>
              <w:rPr>
                <w:sz w:val="3"/>
                <w:szCs w:val="3"/>
                <w:color w:val="auto"/>
              </w:rPr>
            </w:pPr>
          </w:p>
        </w:tc>
        <w:tc>
          <w:tcPr>
            <w:tcW w:w="20" w:type="dxa"/>
            <w:vAlign w:val="bottom"/>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41"/>
        </w:trPr>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gridSpan w:val="2"/>
          </w:tcPr>
          <w:p>
            <w:pPr>
              <w:ind w:left="40"/>
              <w:spacing w:after="0"/>
              <w:rPr>
                <w:sz w:val="20"/>
                <w:szCs w:val="20"/>
                <w:color w:val="auto"/>
              </w:rPr>
            </w:pPr>
            <w:r>
              <w:rPr>
                <w:rFonts w:ascii="Arial" w:cs="Arial" w:eastAsia="Arial" w:hAnsi="Arial"/>
                <w:sz w:val="18"/>
                <w:szCs w:val="18"/>
                <w:color w:val="auto"/>
              </w:rPr>
              <w:t>CUSIP NUMBER</w:t>
            </w:r>
          </w:p>
        </w:tc>
      </w:tr>
      <w:tr>
        <w:trPr>
          <w:trHeight w:val="36"/>
        </w:trPr>
        <w:tc>
          <w:tcPr>
            <w:tcW w:w="1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120" w:type="dxa"/>
            <w:vAlign w:val="bottom"/>
            <w:gridSpan w:val="2"/>
          </w:tcPr>
          <w:p>
            <w:pPr>
              <w:spacing w:after="0"/>
              <w:rPr>
                <w:sz w:val="3"/>
                <w:szCs w:val="3"/>
                <w:color w:val="auto"/>
              </w:rPr>
            </w:pPr>
          </w:p>
        </w:tc>
        <w:tc>
          <w:tcPr>
            <w:tcW w:w="2160" w:type="dxa"/>
            <w:vAlign w:val="bottom"/>
            <w:tcBorders>
              <w:bottom w:val="single" w:sz="8" w:color="2C2C2C"/>
            </w:tcBorders>
            <w:gridSpan w:val="3"/>
          </w:tcPr>
          <w:p>
            <w:pPr>
              <w:spacing w:after="0"/>
              <w:rPr>
                <w:sz w:val="3"/>
                <w:szCs w:val="3"/>
                <w:color w:val="auto"/>
              </w:rPr>
            </w:pPr>
          </w:p>
        </w:tc>
      </w:tr>
      <w:tr>
        <w:trPr>
          <w:trHeight w:val="661"/>
        </w:trPr>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80" w:type="dxa"/>
            <w:vAlign w:val="bottom"/>
            <w:gridSpan w:val="5"/>
          </w:tcPr>
          <w:p>
            <w:pPr>
              <w:jc w:val="center"/>
              <w:ind w:right="4140"/>
              <w:spacing w:after="0"/>
              <w:rPr>
                <w:sz w:val="20"/>
                <w:szCs w:val="20"/>
                <w:color w:val="auto"/>
              </w:rPr>
            </w:pPr>
            <w:r>
              <w:rPr>
                <w:rFonts w:ascii="Arial" w:cs="Arial" w:eastAsia="Arial" w:hAnsi="Arial"/>
                <w:sz w:val="18"/>
                <w:szCs w:val="18"/>
                <w:b w:val="1"/>
                <w:bCs w:val="1"/>
                <w:color w:val="auto"/>
                <w:w w:val="96"/>
              </w:rPr>
              <w:t>UNITED STATES</w:t>
            </w:r>
          </w:p>
        </w:tc>
      </w:tr>
      <w:tr>
        <w:trPr>
          <w:trHeight w:val="216"/>
        </w:trPr>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540" w:type="dxa"/>
            <w:vAlign w:val="bottom"/>
            <w:gridSpan w:val="6"/>
          </w:tcPr>
          <w:p>
            <w:pPr>
              <w:jc w:val="center"/>
              <w:ind w:right="2880"/>
              <w:spacing w:after="0"/>
              <w:rPr>
                <w:sz w:val="20"/>
                <w:szCs w:val="20"/>
                <w:color w:val="auto"/>
              </w:rPr>
            </w:pPr>
            <w:r>
              <w:rPr>
                <w:rFonts w:ascii="Arial" w:cs="Arial" w:eastAsia="Arial" w:hAnsi="Arial"/>
                <w:sz w:val="18"/>
                <w:szCs w:val="18"/>
                <w:b w:val="1"/>
                <w:bCs w:val="1"/>
                <w:color w:val="auto"/>
                <w:w w:val="98"/>
              </w:rPr>
              <w:t>SECURITIES AND EXCHANGE COMMISSION</w:t>
            </w:r>
          </w:p>
        </w:tc>
      </w:tr>
      <w:tr>
        <w:trPr>
          <w:trHeight w:val="228"/>
        </w:trPr>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80" w:type="dxa"/>
            <w:vAlign w:val="bottom"/>
            <w:gridSpan w:val="5"/>
          </w:tcPr>
          <w:p>
            <w:pPr>
              <w:jc w:val="center"/>
              <w:ind w:right="4140"/>
              <w:spacing w:after="0"/>
              <w:rPr>
                <w:sz w:val="20"/>
                <w:szCs w:val="20"/>
                <w:color w:val="auto"/>
              </w:rPr>
            </w:pPr>
            <w:r>
              <w:rPr>
                <w:rFonts w:ascii="Arial" w:cs="Arial" w:eastAsia="Arial" w:hAnsi="Arial"/>
                <w:sz w:val="18"/>
                <w:szCs w:val="18"/>
                <w:b w:val="1"/>
                <w:bCs w:val="1"/>
                <w:color w:val="auto"/>
                <w:w w:val="89"/>
              </w:rPr>
              <w:t>Washington, D.C. 20549</w:t>
            </w:r>
          </w:p>
        </w:tc>
      </w:tr>
      <w:tr>
        <w:trPr>
          <w:trHeight w:val="432"/>
        </w:trPr>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80" w:type="dxa"/>
            <w:vAlign w:val="bottom"/>
            <w:gridSpan w:val="5"/>
          </w:tcPr>
          <w:p>
            <w:pPr>
              <w:jc w:val="center"/>
              <w:ind w:right="4120"/>
              <w:spacing w:after="0"/>
              <w:rPr>
                <w:sz w:val="20"/>
                <w:szCs w:val="20"/>
                <w:color w:val="auto"/>
              </w:rPr>
            </w:pPr>
            <w:r>
              <w:rPr>
                <w:rFonts w:ascii="Arial" w:cs="Arial" w:eastAsia="Arial" w:hAnsi="Arial"/>
                <w:sz w:val="18"/>
                <w:szCs w:val="18"/>
                <w:b w:val="1"/>
                <w:bCs w:val="1"/>
                <w:color w:val="auto"/>
                <w:w w:val="93"/>
              </w:rPr>
              <w:t>FORM 12b-25</w:t>
            </w:r>
          </w:p>
        </w:tc>
      </w:tr>
      <w:tr>
        <w:trPr>
          <w:trHeight w:val="432"/>
        </w:trPr>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80" w:type="dxa"/>
            <w:vAlign w:val="bottom"/>
            <w:gridSpan w:val="5"/>
          </w:tcPr>
          <w:p>
            <w:pPr>
              <w:jc w:val="center"/>
              <w:ind w:right="4140"/>
              <w:spacing w:after="0"/>
              <w:rPr>
                <w:sz w:val="20"/>
                <w:szCs w:val="20"/>
                <w:color w:val="auto"/>
              </w:rPr>
            </w:pPr>
            <w:r>
              <w:rPr>
                <w:rFonts w:ascii="Arial" w:cs="Arial" w:eastAsia="Arial" w:hAnsi="Arial"/>
                <w:sz w:val="18"/>
                <w:szCs w:val="18"/>
                <w:b w:val="1"/>
                <w:bCs w:val="1"/>
                <w:color w:val="auto"/>
              </w:rPr>
              <w:t>NOTIFICATION OF LATE FILING</w:t>
            </w:r>
          </w:p>
        </w:tc>
      </w:tr>
      <w:tr>
        <w:trPr>
          <w:trHeight w:val="669"/>
        </w:trPr>
        <w:tc>
          <w:tcPr>
            <w:tcW w:w="1400" w:type="dxa"/>
            <w:vAlign w:val="bottom"/>
          </w:tcPr>
          <w:p>
            <w:pPr>
              <w:spacing w:after="0"/>
              <w:rPr>
                <w:sz w:val="20"/>
                <w:szCs w:val="20"/>
                <w:color w:val="auto"/>
              </w:rPr>
            </w:pPr>
            <w:r>
              <w:rPr>
                <w:rFonts w:ascii="Arial" w:cs="Arial" w:eastAsia="Arial" w:hAnsi="Arial"/>
                <w:sz w:val="18"/>
                <w:szCs w:val="18"/>
                <w:i w:val="1"/>
                <w:iCs w:val="1"/>
                <w:color w:val="auto"/>
              </w:rPr>
              <w:t>(Check One):</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o</w:t>
            </w:r>
          </w:p>
        </w:tc>
        <w:tc>
          <w:tcPr>
            <w:tcW w:w="1160" w:type="dxa"/>
            <w:vAlign w:val="bottom"/>
          </w:tcPr>
          <w:p>
            <w:pPr>
              <w:ind w:left="120"/>
              <w:spacing w:after="0"/>
              <w:rPr>
                <w:sz w:val="20"/>
                <w:szCs w:val="20"/>
                <w:color w:val="auto"/>
              </w:rPr>
            </w:pPr>
            <w:r>
              <w:rPr>
                <w:rFonts w:ascii="Arial" w:cs="Arial" w:eastAsia="Arial" w:hAnsi="Arial"/>
                <w:sz w:val="18"/>
                <w:szCs w:val="18"/>
                <w:color w:val="auto"/>
              </w:rPr>
              <w:t>Form 10-K</w:t>
            </w:r>
          </w:p>
        </w:tc>
        <w:tc>
          <w:tcPr>
            <w:tcW w:w="1260" w:type="dxa"/>
            <w:vAlign w:val="bottom"/>
          </w:tcPr>
          <w:p>
            <w:pPr>
              <w:ind w:left="100"/>
              <w:spacing w:after="0"/>
              <w:rPr>
                <w:sz w:val="20"/>
                <w:szCs w:val="20"/>
                <w:color w:val="auto"/>
              </w:rPr>
            </w:pPr>
            <w:r>
              <w:rPr>
                <w:rFonts w:ascii="Arial" w:cs="Arial" w:eastAsia="Arial" w:hAnsi="Arial"/>
                <w:sz w:val="18"/>
                <w:szCs w:val="18"/>
                <w:color w:val="auto"/>
              </w:rPr>
              <w:t>o  Form 20-F</w:t>
            </w:r>
          </w:p>
        </w:tc>
        <w:tc>
          <w:tcPr>
            <w:tcW w:w="1380" w:type="dxa"/>
            <w:vAlign w:val="bottom"/>
          </w:tcPr>
          <w:p>
            <w:pPr>
              <w:ind w:left="200"/>
              <w:spacing w:after="0"/>
              <w:rPr>
                <w:sz w:val="20"/>
                <w:szCs w:val="20"/>
                <w:color w:val="auto"/>
              </w:rPr>
            </w:pPr>
            <w:r>
              <w:rPr>
                <w:rFonts w:ascii="Arial" w:cs="Arial" w:eastAsia="Arial" w:hAnsi="Arial"/>
                <w:sz w:val="18"/>
                <w:szCs w:val="18"/>
                <w:color w:val="auto"/>
              </w:rPr>
              <w:t>o  Form 11-K</w:t>
            </w:r>
          </w:p>
        </w:tc>
        <w:tc>
          <w:tcPr>
            <w:tcW w:w="5900" w:type="dxa"/>
            <w:vAlign w:val="bottom"/>
            <w:gridSpan w:val="4"/>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10-Q</w:t>
            </w:r>
          </w:p>
        </w:tc>
      </w:tr>
      <w:tr>
        <w:trPr>
          <w:trHeight w:val="222"/>
        </w:trPr>
        <w:tc>
          <w:tcPr>
            <w:tcW w:w="1400" w:type="dxa"/>
            <w:vAlign w:val="bottom"/>
          </w:tcPr>
          <w:p>
            <w:pPr>
              <w:spacing w:after="0"/>
              <w:rPr>
                <w:sz w:val="20"/>
                <w:szCs w:val="20"/>
                <w:color w:val="auto"/>
              </w:rPr>
            </w:pPr>
            <w:r>
              <w:rPr>
                <w:rFonts w:ascii="Arial" w:cs="Arial" w:eastAsia="Arial" w:hAnsi="Arial"/>
                <w:sz w:val="18"/>
                <w:szCs w:val="18"/>
                <w:color w:val="auto"/>
              </w:rPr>
              <w:t>o  Form N-SAR</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o</w:t>
            </w:r>
          </w:p>
        </w:tc>
        <w:tc>
          <w:tcPr>
            <w:tcW w:w="1160" w:type="dxa"/>
            <w:vAlign w:val="bottom"/>
          </w:tcPr>
          <w:p>
            <w:pPr>
              <w:ind w:left="120"/>
              <w:spacing w:after="0"/>
              <w:rPr>
                <w:sz w:val="20"/>
                <w:szCs w:val="20"/>
                <w:color w:val="auto"/>
              </w:rPr>
            </w:pPr>
            <w:r>
              <w:rPr>
                <w:rFonts w:ascii="Arial" w:cs="Arial" w:eastAsia="Arial" w:hAnsi="Arial"/>
                <w:sz w:val="18"/>
                <w:szCs w:val="18"/>
                <w:color w:val="auto"/>
                <w:w w:val="98"/>
              </w:rPr>
              <w:t>Form N-CSR</w:t>
            </w: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5866765</wp:posOffset>
            </wp:positionH>
            <wp:positionV relativeFrom="paragraph">
              <wp:posOffset>-3201035</wp:posOffset>
            </wp:positionV>
            <wp:extent cx="1397635" cy="1397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139763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For Period Ended: </w:t>
      </w:r>
      <w:r>
        <w:rPr>
          <w:rFonts w:ascii="Arial" w:cs="Arial" w:eastAsia="Arial" w:hAnsi="Arial"/>
          <w:sz w:val="18"/>
          <w:szCs w:val="18"/>
          <w:u w:val="single" w:color="auto"/>
          <w:color w:val="auto"/>
        </w:rPr>
        <w:t>March 31, 2005</w:t>
      </w:r>
    </w:p>
    <w:p>
      <w:pPr>
        <w:spacing w:after="0" w:line="36" w:lineRule="exact"/>
        <w:rPr>
          <w:sz w:val="20"/>
          <w:szCs w:val="20"/>
          <w:color w:val="auto"/>
        </w:rPr>
      </w:pPr>
    </w:p>
    <w:p>
      <w:pPr>
        <w:ind w:left="240" w:hanging="218"/>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Transition Report on Form 10-K</w:t>
      </w:r>
    </w:p>
    <w:p>
      <w:pPr>
        <w:spacing w:after="0" w:line="144" w:lineRule="exact"/>
        <w:rPr>
          <w:rFonts w:ascii="Arial" w:cs="Arial" w:eastAsia="Arial" w:hAnsi="Arial"/>
          <w:sz w:val="18"/>
          <w:szCs w:val="18"/>
          <w:color w:val="auto"/>
        </w:rPr>
      </w:pPr>
    </w:p>
    <w:p>
      <w:pPr>
        <w:ind w:left="240" w:hanging="218"/>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Transition Report on Form 20-F</w:t>
      </w:r>
    </w:p>
    <w:p>
      <w:pPr>
        <w:spacing w:after="0" w:line="144" w:lineRule="exact"/>
        <w:rPr>
          <w:rFonts w:ascii="Arial" w:cs="Arial" w:eastAsia="Arial" w:hAnsi="Arial"/>
          <w:sz w:val="18"/>
          <w:szCs w:val="18"/>
          <w:color w:val="auto"/>
        </w:rPr>
      </w:pPr>
    </w:p>
    <w:p>
      <w:pPr>
        <w:ind w:left="240" w:hanging="218"/>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Transition Report on Form 11-K</w:t>
      </w:r>
    </w:p>
    <w:p>
      <w:pPr>
        <w:spacing w:after="0" w:line="36" w:lineRule="exact"/>
        <w:rPr>
          <w:rFonts w:ascii="Arial" w:cs="Arial" w:eastAsia="Arial" w:hAnsi="Arial"/>
          <w:sz w:val="18"/>
          <w:szCs w:val="18"/>
          <w:color w:val="auto"/>
        </w:rPr>
      </w:pPr>
    </w:p>
    <w:p>
      <w:pPr>
        <w:ind w:left="240" w:hanging="218"/>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Transition Report on Form 10-Q</w:t>
      </w:r>
    </w:p>
    <w:p>
      <w:pPr>
        <w:spacing w:after="0" w:line="36" w:lineRule="exact"/>
        <w:rPr>
          <w:rFonts w:ascii="Arial" w:cs="Arial" w:eastAsia="Arial" w:hAnsi="Arial"/>
          <w:sz w:val="18"/>
          <w:szCs w:val="18"/>
          <w:color w:val="auto"/>
        </w:rPr>
      </w:pPr>
    </w:p>
    <w:p>
      <w:pPr>
        <w:ind w:left="240" w:hanging="218"/>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Transition Report on Form N-SAR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Transition Period Ended: 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72020"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73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GENEMAX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1681 Chestnut Street, Suite 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Vancouver, British Columbia, Canada V6J 4M6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RULES 12b-25(b) AND (c)</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86" w:lineRule="exact"/>
        <w:rPr>
          <w:sz w:val="20"/>
          <w:szCs w:val="20"/>
          <w:color w:val="auto"/>
        </w:rPr>
      </w:pPr>
    </w:p>
    <w:p>
      <w:pPr>
        <w:ind w:left="880" w:hanging="548"/>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36" w:lineRule="exact"/>
        <w:rPr>
          <w:rFonts w:ascii="Arial" w:cs="Arial" w:eastAsia="Arial" w:hAnsi="Arial"/>
          <w:sz w:val="18"/>
          <w:szCs w:val="18"/>
          <w:color w:val="auto"/>
        </w:rPr>
      </w:pPr>
    </w:p>
    <w:p>
      <w:pPr>
        <w:ind w:left="880" w:hanging="548"/>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N-SAR or Form N-CSR, or portion</w:t>
      </w:r>
    </w:p>
    <w:p>
      <w:pPr>
        <w:sectPr>
          <w:pgSz w:w="11900" w:h="16843" w:orient="portrait"/>
          <w:cols w:equalWidth="0" w:num="1">
            <w:col w:w="11420"/>
          </w:cols>
          <w:pgMar w:left="240" w:top="827" w:right="239" w:bottom="0" w:gutter="0" w:footer="0" w:header="0"/>
        </w:sectPr>
      </w:pPr>
    </w:p>
    <w:bookmarkStart w:id="2" w:name="page3"/>
    <w:bookmarkEnd w:id="2"/>
    <w:p>
      <w:pPr>
        <w:ind w:left="880" w:hanging="872"/>
        <w:spacing w:after="0" w:line="186" w:lineRule="auto"/>
        <w:tabs>
          <w:tab w:leader="none" w:pos="880" w:val="left"/>
        </w:tabs>
        <w:numPr>
          <w:ilvl w:val="0"/>
          <w:numId w:val="3"/>
        </w:numPr>
        <w:rPr>
          <w:rFonts w:ascii="MS PGothic" w:cs="MS PGothic" w:eastAsia="MS PGothic" w:hAnsi="MS PGothic"/>
          <w:sz w:val="38"/>
          <w:szCs w:val="38"/>
          <w:color w:val="auto"/>
          <w:vertAlign w:val="subscript"/>
        </w:rPr>
      </w:pPr>
      <w:r>
        <w:rPr>
          <w:rFonts w:ascii="Arial" w:cs="Arial" w:eastAsia="Arial" w:hAnsi="Arial"/>
          <w:sz w:val="16"/>
          <w:szCs w:val="16"/>
          <w:color w:val="auto"/>
        </w:rPr>
        <w:t>thereof, will be filed on or before the fifteenth calendar day following the prescribed due date; or the subject quarterly report or transition report on Form 10-Q, or portion thereof, will be filed on or before the fifth calendar day following the prescribed due date; and</w:t>
      </w:r>
    </w:p>
    <w:p>
      <w:pPr>
        <w:spacing w:after="0" w:line="1" w:lineRule="exact"/>
        <w:rPr>
          <w:rFonts w:ascii="MS PGothic" w:cs="MS PGothic" w:eastAsia="MS PGothic" w:hAnsi="MS PGothic"/>
          <w:sz w:val="38"/>
          <w:szCs w:val="38"/>
          <w:color w:val="auto"/>
          <w:vertAlign w:val="subscript"/>
        </w:rPr>
      </w:pPr>
    </w:p>
    <w:p>
      <w:pPr>
        <w:ind w:left="880" w:hanging="548"/>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State below in reasonable detail why Forms 10-K, 20-F, 11-K, 10-Q, N-SAR, N-CSR, or the transition report or portion thereof, could not be filed within the prescribed time period.</w:t>
      </w:r>
    </w:p>
    <w:p>
      <w:pPr>
        <w:spacing w:after="0" w:line="180" w:lineRule="exact"/>
        <w:rPr>
          <w:sz w:val="20"/>
          <w:szCs w:val="20"/>
          <w:color w:val="auto"/>
        </w:rPr>
      </w:pPr>
    </w:p>
    <w:p>
      <w:pPr>
        <w:ind w:right="120" w:firstLine="267"/>
        <w:spacing w:after="0" w:line="264" w:lineRule="auto"/>
        <w:rPr>
          <w:sz w:val="20"/>
          <w:szCs w:val="20"/>
          <w:color w:val="auto"/>
        </w:rPr>
      </w:pPr>
      <w:r>
        <w:rPr>
          <w:rFonts w:ascii="Arial" w:cs="Arial" w:eastAsia="Arial" w:hAnsi="Arial"/>
          <w:sz w:val="18"/>
          <w:szCs w:val="18"/>
          <w:color w:val="auto"/>
        </w:rPr>
        <w:t>The Company encountered an unexpected delay in preparing its financial statements for the period. Due to the delay in preparation of the financial statements, and without incurring unreasonable effort or expense, the Company was unable to provide sufficient time for its auditors to review the subject report. The Company plans to file the subject report on or before May 20th.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3" w:name="page4"/>
    <w:bookmarkEnd w:id="3"/>
    <w:p>
      <w:pPr>
        <w:ind w:left="20"/>
        <w:spacing w:after="0"/>
        <w:rPr>
          <w:sz w:val="20"/>
          <w:szCs w:val="20"/>
          <w:color w:val="auto"/>
        </w:rPr>
      </w:pPr>
      <w:r>
        <w:rPr>
          <w:rFonts w:ascii="Arial" w:cs="Arial" w:eastAsia="Arial" w:hAnsi="Arial"/>
          <w:sz w:val="18"/>
          <w:szCs w:val="18"/>
          <w:b w:val="1"/>
          <w:bCs w:val="1"/>
          <w:color w:val="auto"/>
        </w:rPr>
        <w:t>PART IV — OTHER INFORMATION</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Name and telephone number of person to contact in regard to this notification</w:t>
      </w: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Robert P. Attai, Esq.</w:t>
            </w:r>
          </w:p>
        </w:tc>
        <w:tc>
          <w:tcPr>
            <w:tcW w:w="4680" w:type="dxa"/>
            <w:vAlign w:val="bottom"/>
          </w:tcPr>
          <w:p>
            <w:pPr>
              <w:jc w:val="right"/>
              <w:ind w:right="2052"/>
              <w:spacing w:after="0"/>
              <w:rPr>
                <w:sz w:val="20"/>
                <w:szCs w:val="20"/>
                <w:color w:val="auto"/>
              </w:rPr>
            </w:pPr>
            <w:r>
              <w:rPr>
                <w:rFonts w:ascii="Arial" w:cs="Arial" w:eastAsia="Arial" w:hAnsi="Arial"/>
                <w:sz w:val="18"/>
                <w:szCs w:val="18"/>
                <w:color w:val="auto"/>
              </w:rPr>
              <w:t>(303)</w:t>
            </w:r>
          </w:p>
        </w:tc>
        <w:tc>
          <w:tcPr>
            <w:tcW w:w="3380" w:type="dxa"/>
            <w:vAlign w:val="bottom"/>
          </w:tcPr>
          <w:p>
            <w:pPr>
              <w:jc w:val="right"/>
              <w:spacing w:after="0"/>
              <w:rPr>
                <w:sz w:val="20"/>
                <w:szCs w:val="20"/>
                <w:color w:val="auto"/>
              </w:rPr>
            </w:pPr>
            <w:r>
              <w:rPr>
                <w:rFonts w:ascii="Arial" w:cs="Arial" w:eastAsia="Arial" w:hAnsi="Arial"/>
                <w:sz w:val="18"/>
                <w:szCs w:val="18"/>
                <w:color w:val="auto"/>
              </w:rPr>
              <w:t>825-8400</w:t>
            </w:r>
          </w:p>
        </w:tc>
      </w:tr>
      <w:tr>
        <w:trPr>
          <w:trHeight w:val="97"/>
        </w:trPr>
        <w:tc>
          <w:tcPr>
            <w:tcW w:w="3360" w:type="dxa"/>
            <w:vAlign w:val="bottom"/>
            <w:tcBorders>
              <w:bottom w:val="single" w:sz="8" w:color="808080"/>
            </w:tcBorders>
          </w:tcPr>
          <w:p>
            <w:pPr>
              <w:spacing w:after="0"/>
              <w:rPr>
                <w:sz w:val="8"/>
                <w:szCs w:val="8"/>
                <w:color w:val="auto"/>
              </w:rPr>
            </w:pPr>
          </w:p>
        </w:tc>
        <w:tc>
          <w:tcPr>
            <w:tcW w:w="4680" w:type="dxa"/>
            <w:vAlign w:val="bottom"/>
            <w:tcBorders>
              <w:bottom w:val="single" w:sz="8" w:color="808080"/>
            </w:tcBorders>
          </w:tcPr>
          <w:p>
            <w:pPr>
              <w:spacing w:after="0"/>
              <w:rPr>
                <w:sz w:val="8"/>
                <w:szCs w:val="8"/>
                <w:color w:val="auto"/>
              </w:rPr>
            </w:pPr>
          </w:p>
        </w:tc>
        <w:tc>
          <w:tcPr>
            <w:tcW w:w="3380" w:type="dxa"/>
            <w:vAlign w:val="bottom"/>
            <w:tcBorders>
              <w:bottom w:val="single" w:sz="8" w:color="808080"/>
            </w:tcBorders>
          </w:tcPr>
          <w:p>
            <w:pPr>
              <w:spacing w:after="0"/>
              <w:rPr>
                <w:sz w:val="8"/>
                <w:szCs w:val="8"/>
                <w:color w:val="auto"/>
              </w:rPr>
            </w:pPr>
          </w:p>
        </w:tc>
      </w:tr>
      <w:tr>
        <w:trPr>
          <w:trHeight w:val="289"/>
        </w:trPr>
        <w:tc>
          <w:tcPr>
            <w:tcW w:w="336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tcPr>
          <w:p>
            <w:pPr>
              <w:jc w:val="center"/>
              <w:spacing w:after="0"/>
              <w:rPr>
                <w:sz w:val="20"/>
                <w:szCs w:val="20"/>
                <w:color w:val="auto"/>
              </w:rPr>
            </w:pPr>
            <w:r>
              <w:rPr>
                <w:rFonts w:ascii="Arial" w:cs="Arial" w:eastAsia="Arial" w:hAnsi="Arial"/>
                <w:sz w:val="18"/>
                <w:szCs w:val="18"/>
                <w:color w:val="auto"/>
                <w:w w:val="89"/>
              </w:rPr>
              <w:t>(Area Code)</w:t>
            </w:r>
          </w:p>
        </w:tc>
        <w:tc>
          <w:tcPr>
            <w:tcW w:w="3380" w:type="dxa"/>
            <w:vAlign w:val="bottom"/>
          </w:tcPr>
          <w:p>
            <w:pPr>
              <w:jc w:val="right"/>
              <w:spacing w:after="0"/>
              <w:rPr>
                <w:sz w:val="20"/>
                <w:szCs w:val="20"/>
                <w:color w:val="auto"/>
              </w:rPr>
            </w:pPr>
            <w:r>
              <w:rPr>
                <w:rFonts w:ascii="Arial" w:cs="Arial" w:eastAsia="Arial" w:hAnsi="Arial"/>
                <w:sz w:val="18"/>
                <w:szCs w:val="18"/>
                <w:color w:val="auto"/>
              </w:rPr>
              <w:t>(Telephone Number)</w:t>
            </w:r>
          </w:p>
        </w:tc>
      </w:tr>
    </w:tbl>
    <w:p>
      <w:pPr>
        <w:spacing w:after="0" w:line="210" w:lineRule="exact"/>
        <w:rPr>
          <w:sz w:val="20"/>
          <w:szCs w:val="20"/>
          <w:color w:val="auto"/>
        </w:rPr>
      </w:pPr>
    </w:p>
    <w:p>
      <w:pPr>
        <w:jc w:val="center"/>
        <w:ind w:left="20" w:right="40" w:firstLine="8"/>
        <w:spacing w:after="0" w:line="370" w:lineRule="auto"/>
        <w:tabs>
          <w:tab w:leader="none" w:pos="269" w:val="left"/>
        </w:tabs>
        <w:numPr>
          <w:ilvl w:val="0"/>
          <w:numId w:val="4"/>
        </w:numPr>
        <w:rPr>
          <w:rFonts w:ascii="Arial" w:cs="Arial" w:eastAsia="Arial" w:hAnsi="Arial"/>
          <w:sz w:val="15"/>
          <w:szCs w:val="15"/>
          <w:color w:val="auto"/>
        </w:rPr>
      </w:pPr>
      <w:r>
        <w:rPr>
          <w:rFonts w:ascii="Arial" w:cs="Arial" w:eastAsia="Arial" w:hAnsi="Arial"/>
          <w:sz w:val="15"/>
          <w:szCs w:val="15"/>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84" w:lineRule="exact"/>
        <w:rPr>
          <w:sz w:val="20"/>
          <w:szCs w:val="20"/>
          <w:color w:val="auto"/>
        </w:rPr>
      </w:pPr>
    </w:p>
    <w:p>
      <w:pPr>
        <w:jc w:val="right"/>
        <w:spacing w:after="0" w:line="207" w:lineRule="exact"/>
        <w:tabs>
          <w:tab w:leader="none" w:pos="240" w:val="left"/>
        </w:tabs>
        <w:rPr>
          <w:sz w:val="20"/>
          <w:szCs w:val="20"/>
          <w:color w:val="auto"/>
        </w:rPr>
      </w:pPr>
      <w:r>
        <w:rPr>
          <w:rFonts w:ascii="Arial" w:cs="Arial" w:eastAsia="Arial" w:hAnsi="Arial"/>
          <w:sz w:val="18"/>
          <w:szCs w:val="18"/>
          <w:color w:val="auto"/>
        </w:rPr>
        <w:t xml:space="preserve">o  No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168910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20" w:right="460" w:firstLine="8"/>
        <w:spacing w:after="0" w:line="268" w:lineRule="auto"/>
        <w:tabs>
          <w:tab w:leader="none" w:pos="269"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85" w:lineRule="exact"/>
        <w:rPr>
          <w:rFonts w:ascii="Arial" w:cs="Arial" w:eastAsia="Arial" w:hAnsi="Arial"/>
          <w:sz w:val="18"/>
          <w:szCs w:val="18"/>
          <w:color w:val="auto"/>
        </w:rPr>
      </w:pPr>
    </w:p>
    <w:p>
      <w:pPr>
        <w:ind w:left="10700" w:hanging="287"/>
        <w:spacing w:after="0"/>
        <w:tabs>
          <w:tab w:leader="none" w:pos="10700" w:val="left"/>
        </w:tabs>
        <w:numPr>
          <w:ilvl w:val="1"/>
          <w:numId w:val="5"/>
        </w:numPr>
        <w:rPr>
          <w:rFonts w:ascii="MS PGothic" w:cs="MS PGothic" w:eastAsia="MS PGothic" w:hAnsi="MS PGothic"/>
          <w:sz w:val="16"/>
          <w:szCs w:val="16"/>
          <w:color w:val="auto"/>
        </w:rPr>
      </w:pPr>
      <w:r>
        <w:rPr>
          <w:rFonts w:ascii="Arial" w:cs="Arial" w:eastAsia="Arial" w:hAnsi="Arial"/>
          <w:sz w:val="16"/>
          <w:szCs w:val="16"/>
          <w:color w:val="auto"/>
        </w:rPr>
        <w:t>No o  Yes</w:t>
      </w:r>
    </w:p>
    <w:p>
      <w:pPr>
        <w:spacing w:after="0" w:line="248" w:lineRule="exact"/>
        <w:rPr>
          <w:sz w:val="20"/>
          <w:szCs w:val="20"/>
          <w:color w:val="auto"/>
        </w:rPr>
      </w:pPr>
    </w:p>
    <w:p>
      <w:pPr>
        <w:ind w:left="20" w:right="260"/>
        <w:spacing w:after="0" w:line="268"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260350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GENEMAX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71120</wp:posOffset>
            </wp:positionV>
            <wp:extent cx="54457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178"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(Name of Registrant as Specified in Charter)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p>
      <w:pPr>
        <w:ind w:left="20"/>
        <w:spacing w:after="0"/>
        <w:tabs>
          <w:tab w:leader="none" w:pos="520" w:val="left"/>
          <w:tab w:leader="none" w:pos="6020" w:val="left"/>
        </w:tabs>
        <w:rPr>
          <w:sz w:val="20"/>
          <w:szCs w:val="20"/>
          <w:color w:val="auto"/>
        </w:rPr>
      </w:pPr>
      <w:r>
        <w:rPr>
          <w:rFonts w:ascii="Arial" w:cs="Arial" w:eastAsia="Arial" w:hAnsi="Arial"/>
          <w:sz w:val="18"/>
          <w:szCs w:val="18"/>
          <w:color w:val="auto"/>
        </w:rPr>
        <w:t>Date</w:t>
        <w:tab/>
        <w:t>May 16, 2005</w:t>
      </w:r>
      <w:r>
        <w:rPr>
          <w:sz w:val="20"/>
          <w:szCs w:val="20"/>
          <w:color w:val="auto"/>
        </w:rPr>
        <w:tab/>
      </w:r>
      <w:r>
        <w:rPr>
          <w:rFonts w:ascii="Arial" w:cs="Arial" w:eastAsia="Arial" w:hAnsi="Arial"/>
          <w:sz w:val="16"/>
          <w:szCs w:val="16"/>
          <w:color w:val="auto"/>
        </w:rPr>
        <w:t>By /s/ KONSTANTINE SARAFIS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80010</wp:posOffset>
            </wp:positionV>
            <wp:extent cx="6980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80555" cy="8890"/>
                    </a:xfrm>
                    <a:prstGeom prst="rect">
                      <a:avLst/>
                    </a:prstGeom>
                    <a:noFill/>
                  </pic:spPr>
                </pic:pic>
              </a:graphicData>
            </a:graphic>
          </wp:anchor>
        </w:drawing>
      </w:r>
    </w:p>
    <w:p>
      <w:pPr>
        <w:spacing w:after="0" w:line="219" w:lineRule="exact"/>
        <w:rPr>
          <w:sz w:val="20"/>
          <w:szCs w:val="20"/>
          <w:color w:val="auto"/>
        </w:rPr>
      </w:pPr>
    </w:p>
    <w:p>
      <w:pPr>
        <w:jc w:val="center"/>
        <w:ind w:left="6220"/>
        <w:spacing w:after="0"/>
        <w:rPr>
          <w:sz w:val="20"/>
          <w:szCs w:val="20"/>
          <w:color w:val="auto"/>
        </w:rPr>
      </w:pPr>
      <w:r>
        <w:rPr>
          <w:rFonts w:ascii="Arial" w:cs="Arial" w:eastAsia="Arial" w:hAnsi="Arial"/>
          <w:sz w:val="18"/>
          <w:szCs w:val="18"/>
          <w:color w:val="auto"/>
        </w:rPr>
        <w:t>Konstantine Sarafis</w:t>
      </w:r>
    </w:p>
    <w:p>
      <w:pPr>
        <w:spacing w:after="0" w:line="15" w:lineRule="exact"/>
        <w:rPr>
          <w:sz w:val="20"/>
          <w:szCs w:val="20"/>
          <w:color w:val="auto"/>
        </w:rPr>
      </w:pPr>
    </w:p>
    <w:p>
      <w:pPr>
        <w:jc w:val="center"/>
        <w:ind w:left="622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ind w:left="20" w:right="40"/>
        <w:spacing w:after="0" w:line="306"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82"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1905</wp:posOffset>
            </wp:positionV>
            <wp:extent cx="7259320" cy="248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9320" cy="2482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42545" cy="2190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545" cy="219075"/>
                    </a:xfrm>
                    <a:prstGeom prst="rect">
                      <a:avLst/>
                    </a:prstGeom>
                    <a:noFill/>
                    <a:ln>
                      <a:noFill/>
                    </a:ln>
                  </pic:spPr>
                </pic:pic>
              </a:graphicData>
            </a:graphic>
          </wp:inline>
        </w:drawing>
      </w:r>
      <w:r>
        <w:rPr>
          <w:rFonts w:ascii="Arial" w:cs="Arial" w:eastAsia="Arial" w:hAnsi="Arial"/>
          <w:sz w:val="18"/>
          <w:szCs w:val="18"/>
          <w:b w:val="1"/>
          <w:bCs w:val="1"/>
          <w:color w:val="auto"/>
        </w:rPr>
        <w:t xml:space="preserve"> Intentional misstatements or omissions of fact constitute Federal Criminal Violations (See 18 U.S.C. 1001).</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Instructions</w:t>
      </w:r>
    </w:p>
    <w:p>
      <w:pPr>
        <w:spacing w:after="0" w:line="231" w:lineRule="exact"/>
        <w:rPr>
          <w:sz w:val="20"/>
          <w:szCs w:val="20"/>
          <w:color w:val="auto"/>
        </w:rPr>
      </w:pPr>
    </w:p>
    <w:p>
      <w:pPr>
        <w:ind w:left="200" w:hanging="17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form is required by Rule 12b-25 (17 CFR 240.12b-25) of the General Rules and Regulations under the Securities Exchange Act of 1934.</w:t>
      </w:r>
    </w:p>
    <w:p>
      <w:pPr>
        <w:spacing w:after="0" w:line="225" w:lineRule="exact"/>
        <w:rPr>
          <w:rFonts w:ascii="Arial" w:cs="Arial" w:eastAsia="Arial" w:hAnsi="Arial"/>
          <w:sz w:val="18"/>
          <w:szCs w:val="18"/>
          <w:color w:val="auto"/>
        </w:rPr>
      </w:pPr>
    </w:p>
    <w:p>
      <w:pPr>
        <w:ind w:left="20" w:right="260" w:firstLine="8"/>
        <w:spacing w:after="0" w:line="259" w:lineRule="auto"/>
        <w:tabs>
          <w:tab w:leader="none" w:pos="196"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signed original and four conformed copies of this form and amendments thereto must be completed and filed with the Securities and Exchange Commission, Washington, D.C. 20549, in accordance with Rule 0-3 of the General Rules and Regulations under the Act. The information contained in or filed with the form will be made a matter of public record in the Commission files.</w:t>
      </w:r>
    </w:p>
    <w:p>
      <w:pPr>
        <w:spacing w:after="0" w:line="194" w:lineRule="exact"/>
        <w:rPr>
          <w:rFonts w:ascii="Arial" w:cs="Arial" w:eastAsia="Arial" w:hAnsi="Arial"/>
          <w:sz w:val="18"/>
          <w:szCs w:val="18"/>
          <w:color w:val="auto"/>
        </w:rPr>
      </w:pPr>
    </w:p>
    <w:p>
      <w:pPr>
        <w:ind w:left="20" w:right="520" w:firstLine="8"/>
        <w:spacing w:after="0" w:line="268" w:lineRule="auto"/>
        <w:tabs>
          <w:tab w:leader="none" w:pos="186" w:val="left"/>
        </w:tabs>
        <w:numPr>
          <w:ilvl w:val="0"/>
          <w:numId w:val="6"/>
        </w:numPr>
        <w:rPr>
          <w:rFonts w:ascii="Arial" w:cs="Arial" w:eastAsia="Arial" w:hAnsi="Arial"/>
          <w:sz w:val="18"/>
          <w:szCs w:val="18"/>
          <w:color w:val="auto"/>
        </w:rPr>
      </w:pPr>
      <w:r>
        <w:rPr>
          <w:rFonts w:ascii="Arial" w:cs="Arial" w:eastAsia="Arial" w:hAnsi="Arial"/>
          <w:sz w:val="18"/>
          <w:szCs w:val="18"/>
          <w:color w:val="auto"/>
        </w:rPr>
        <w:t>A manually signed copy of the form and amendments thereto shall be filed with each national securities exchange on which any class of securities of the registrant is registered.</w:t>
      </w:r>
    </w:p>
    <w:p>
      <w:pPr>
        <w:spacing w:after="0" w:line="185" w:lineRule="exact"/>
        <w:rPr>
          <w:rFonts w:ascii="Arial" w:cs="Arial" w:eastAsia="Arial" w:hAnsi="Arial"/>
          <w:sz w:val="18"/>
          <w:szCs w:val="18"/>
          <w:color w:val="auto"/>
        </w:rPr>
      </w:pPr>
    </w:p>
    <w:p>
      <w:pPr>
        <w:ind w:left="20" w:firstLine="8"/>
        <w:spacing w:after="0" w:line="268" w:lineRule="auto"/>
        <w:tabs>
          <w:tab w:leader="none" w:pos="186"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Amendments to the notifications must also be filed on Form 12b-25 but need not restate information that has been correctly furnished. The form shall be clearly identified as an amended notification.</w:t>
      </w:r>
    </w:p>
    <w:p>
      <w:pPr>
        <w:spacing w:after="0" w:line="185" w:lineRule="exact"/>
        <w:rPr>
          <w:rFonts w:ascii="Arial" w:cs="Arial" w:eastAsia="Arial" w:hAnsi="Arial"/>
          <w:sz w:val="18"/>
          <w:szCs w:val="18"/>
          <w:color w:val="auto"/>
        </w:rPr>
      </w:pPr>
    </w:p>
    <w:p>
      <w:pPr>
        <w:ind w:left="20" w:right="60" w:firstLine="8"/>
        <w:spacing w:after="0" w:line="306" w:lineRule="auto"/>
        <w:tabs>
          <w:tab w:leader="none" w:pos="196"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Electronic Filers. </w:t>
      </w:r>
      <w:r>
        <w:rPr>
          <w:rFonts w:ascii="Arial" w:cs="Arial" w:eastAsia="Arial" w:hAnsi="Arial"/>
          <w:sz w:val="16"/>
          <w:szCs w:val="16"/>
          <w:color w:val="auto"/>
        </w:rPr>
        <w:t>This form shall not be used by electronic filers unable to timely file a report solely due to electronic difficulties. Filers unable to submit</w:t>
      </w:r>
      <w:r>
        <w:rPr>
          <w:rFonts w:ascii="Arial" w:cs="Arial" w:eastAsia="Arial" w:hAnsi="Arial"/>
          <w:sz w:val="16"/>
          <w:szCs w:val="16"/>
          <w:i w:val="1"/>
          <w:iCs w:val="1"/>
          <w:color w:val="auto"/>
        </w:rPr>
        <w:t xml:space="preserve"> </w:t>
      </w:r>
      <w:r>
        <w:rPr>
          <w:rFonts w:ascii="Arial" w:cs="Arial" w:eastAsia="Arial" w:hAnsi="Arial"/>
          <w:sz w:val="16"/>
          <w:szCs w:val="16"/>
          <w:color w:val="auto"/>
        </w:rPr>
        <w:t>reports within the time period prescribed due to difficulties in electronic filing should comply with either Rule 201 or Rule 202 of Regulation S-T (§ 232.201 or § 232.202 of this chapter) or apply for an adjustment in filing date pursuant to Rule 13(b) of Regulation S-T (§ 232.13(b) of this chapter).</w:t>
      </w:r>
    </w:p>
    <w:sectPr>
      <w:pgSz w:w="11900" w:h="16838" w:orient="portrait"/>
      <w:cols w:equalWidth="0" w:num="1">
        <w:col w:w="11440"/>
      </w:cols>
      <w:pgMar w:left="22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lvl w:ilvl="1">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2020-02-20T10:20:29Z</dcterms:created>
  <dcterms:modified xsi:type="dcterms:W3CDTF">2020-02-20T10:20:29Z</dcterms:modified>
</cp:coreProperties>
</file>