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u w:val="single" w:color="auto"/>
          <w:color w:val="auto"/>
        </w:rPr>
        <w:t>FORM 10-Q</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Quarterly Report Under Section 13 or 15(d) of the Securities Exchange Act of 1934 for the quarterly period ended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September 30, 2008</w:t>
      </w:r>
    </w:p>
    <w:p>
      <w:pPr>
        <w:spacing w:after="0" w:line="191" w:lineRule="exact"/>
        <w:rPr>
          <w:sz w:val="24"/>
          <w:szCs w:val="24"/>
          <w:color w:val="auto"/>
        </w:rPr>
      </w:pPr>
    </w:p>
    <w:p>
      <w:pPr>
        <w:ind w:left="4380" w:right="2040" w:hanging="4372"/>
        <w:spacing w:after="0" w:line="472" w:lineRule="auto"/>
        <w:tabs>
          <w:tab w:leader="none" w:pos="11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000-27239</w:t>
      </w:r>
    </w:p>
    <w:p>
      <w:pPr>
        <w:spacing w:after="0" w:line="381"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u w:val="single" w:color="auto"/>
          <w:color w:val="auto"/>
        </w:rPr>
        <w:t>TAPIMMUNE INC.</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of registrant in its charter)</w:t>
      </w:r>
    </w:p>
    <w:p>
      <w:pPr>
        <w:spacing w:after="0" w:line="284" w:lineRule="exact"/>
        <w:rPr>
          <w:sz w:val="24"/>
          <w:szCs w:val="24"/>
          <w:color w:val="auto"/>
        </w:rPr>
      </w:pPr>
    </w:p>
    <w:tbl>
      <w:tblPr>
        <w:tblLayout w:type="fixed"/>
        <w:tblInd w:w="184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NEVADA</w:t>
            </w:r>
          </w:p>
        </w:tc>
        <w:tc>
          <w:tcPr>
            <w:tcW w:w="2260" w:type="dxa"/>
            <w:vAlign w:val="bottom"/>
            <w:gridSpan w:val="3"/>
          </w:tcPr>
          <w:p>
            <w:pPr>
              <w:spacing w:after="0"/>
              <w:rPr>
                <w:sz w:val="17"/>
                <w:szCs w:val="17"/>
                <w:color w:val="auto"/>
              </w:rPr>
            </w:pPr>
          </w:p>
        </w:tc>
        <w:tc>
          <w:tcPr>
            <w:tcW w:w="1360" w:type="dxa"/>
            <w:vAlign w:val="bottom"/>
          </w:tcPr>
          <w:p>
            <w:pPr>
              <w:spacing w:after="0"/>
              <w:rPr>
                <w:sz w:val="17"/>
                <w:szCs w:val="17"/>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88-0277072</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720" w:type="dxa"/>
            <w:vAlign w:val="bottom"/>
            <w:gridSpan w:val="7"/>
          </w:tcPr>
          <w:p>
            <w:pPr>
              <w:jc w:val="center"/>
              <w:ind w:right="540"/>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060" w:type="dxa"/>
            <w:vAlign w:val="bottom"/>
            <w:gridSpan w:val="5"/>
          </w:tcPr>
          <w:p>
            <w:pPr>
              <w:jc w:val="center"/>
              <w:ind w:left="432"/>
              <w:spacing w:after="0"/>
              <w:rPr>
                <w:sz w:val="20"/>
                <w:szCs w:val="20"/>
                <w:color w:val="auto"/>
              </w:rPr>
            </w:pPr>
            <w:r>
              <w:rPr>
                <w:rFonts w:ascii="Arial" w:cs="Arial" w:eastAsia="Arial" w:hAnsi="Arial"/>
                <w:sz w:val="18"/>
                <w:szCs w:val="18"/>
                <w:color w:val="auto"/>
                <w:w w:val="91"/>
              </w:rPr>
              <w:t>(I.R.S. Employer Identification No.)</w:t>
            </w:r>
          </w:p>
        </w:tc>
        <w:tc>
          <w:tcPr>
            <w:tcW w:w="0" w:type="dxa"/>
            <w:vAlign w:val="bottom"/>
          </w:tcPr>
          <w:p>
            <w:pPr>
              <w:spacing w:after="0"/>
              <w:rPr>
                <w:sz w:val="1"/>
                <w:szCs w:val="1"/>
                <w:color w:val="auto"/>
              </w:rPr>
            </w:pPr>
          </w:p>
        </w:tc>
      </w:tr>
      <w:tr>
        <w:trPr>
          <w:trHeight w:val="433"/>
        </w:trPr>
        <w:tc>
          <w:tcPr>
            <w:tcW w:w="660" w:type="dxa"/>
            <w:vAlign w:val="bottom"/>
          </w:tcPr>
          <w:p>
            <w:pPr>
              <w:spacing w:after="0"/>
              <w:rPr>
                <w:sz w:val="24"/>
                <w:szCs w:val="24"/>
                <w:color w:val="auto"/>
              </w:rPr>
            </w:pPr>
          </w:p>
        </w:tc>
        <w:tc>
          <w:tcPr>
            <w:tcW w:w="4060" w:type="dxa"/>
            <w:vAlign w:val="bottom"/>
            <w:gridSpan w:val="6"/>
          </w:tcPr>
          <w:p>
            <w:pPr>
              <w:jc w:val="center"/>
              <w:ind w:right="1180"/>
              <w:spacing w:after="0"/>
              <w:rPr>
                <w:sz w:val="20"/>
                <w:szCs w:val="20"/>
                <w:color w:val="auto"/>
              </w:rPr>
            </w:pPr>
            <w:r>
              <w:rPr>
                <w:rFonts w:ascii="Arial" w:cs="Arial" w:eastAsia="Arial" w:hAnsi="Arial"/>
                <w:sz w:val="18"/>
                <w:szCs w:val="18"/>
                <w:b w:val="1"/>
                <w:bCs w:val="1"/>
                <w:color w:val="auto"/>
                <w:w w:val="85"/>
              </w:rPr>
              <w:t>Unit 2, 3590 West 41</w:t>
            </w:r>
            <w:r>
              <w:rPr>
                <w:rFonts w:ascii="Arial" w:cs="Arial" w:eastAsia="Arial" w:hAnsi="Arial"/>
                <w:sz w:val="29"/>
                <w:szCs w:val="29"/>
                <w:b w:val="1"/>
                <w:bCs w:val="1"/>
                <w:color w:val="auto"/>
                <w:w w:val="85"/>
                <w:vertAlign w:val="superscript"/>
              </w:rPr>
              <w:t>st</w:t>
            </w:r>
            <w:r>
              <w:rPr>
                <w:rFonts w:ascii="Arial" w:cs="Arial" w:eastAsia="Arial" w:hAnsi="Arial"/>
                <w:sz w:val="18"/>
                <w:szCs w:val="18"/>
                <w:b w:val="1"/>
                <w:bCs w:val="1"/>
                <w:color w:val="auto"/>
                <w:w w:val="85"/>
              </w:rPr>
              <w:t xml:space="preserve"> Avenue,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V6N 3E6</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60" w:type="dxa"/>
            <w:vAlign w:val="bottom"/>
            <w:vMerge w:val="restart"/>
          </w:tcPr>
          <w:p>
            <w:pPr>
              <w:spacing w:after="0"/>
              <w:rPr>
                <w:sz w:val="12"/>
                <w:szCs w:val="12"/>
                <w:color w:val="auto"/>
              </w:rPr>
            </w:pPr>
          </w:p>
        </w:tc>
        <w:tc>
          <w:tcPr>
            <w:tcW w:w="2860" w:type="dxa"/>
            <w:vAlign w:val="bottom"/>
            <w:gridSpan w:val="5"/>
            <w:vMerge w:val="restart"/>
          </w:tcPr>
          <w:p>
            <w:pPr>
              <w:jc w:val="center"/>
              <w:spacing w:after="0" w:line="190" w:lineRule="exact"/>
              <w:rPr>
                <w:sz w:val="20"/>
                <w:szCs w:val="20"/>
                <w:color w:val="auto"/>
              </w:rPr>
            </w:pPr>
            <w:r>
              <w:rPr>
                <w:rFonts w:ascii="Arial" w:cs="Arial" w:eastAsia="Arial" w:hAnsi="Arial"/>
                <w:sz w:val="18"/>
                <w:szCs w:val="18"/>
                <w:b w:val="1"/>
                <w:bCs w:val="1"/>
                <w:color w:val="auto"/>
                <w:w w:val="89"/>
              </w:rPr>
              <w:t>Vancouver, British Columbia, Canada</w:t>
            </w:r>
          </w:p>
        </w:tc>
        <w:tc>
          <w:tcPr>
            <w:tcW w:w="120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9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660" w:type="dxa"/>
            <w:vAlign w:val="bottom"/>
            <w:vMerge w:val="continue"/>
          </w:tcPr>
          <w:p>
            <w:pPr>
              <w:spacing w:after="0" w:line="20" w:lineRule="exact"/>
              <w:rPr>
                <w:sz w:val="1"/>
                <w:szCs w:val="1"/>
                <w:color w:val="auto"/>
              </w:rPr>
            </w:pPr>
          </w:p>
        </w:tc>
        <w:tc>
          <w:tcPr>
            <w:tcW w:w="2860" w:type="dxa"/>
            <w:vAlign w:val="bottom"/>
            <w:tcBorders>
              <w:bottom w:val="single" w:sz="8" w:color="auto"/>
            </w:tcBorders>
            <w:gridSpan w:val="5"/>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gridSpan w:val="4"/>
            <w:vMerge w:val="restart"/>
          </w:tcPr>
          <w:p>
            <w:pPr>
              <w:jc w:val="center"/>
              <w:ind w:right="84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235"/>
        </w:trPr>
        <w:tc>
          <w:tcPr>
            <w:tcW w:w="660" w:type="dxa"/>
            <w:vAlign w:val="bottom"/>
          </w:tcPr>
          <w:p>
            <w:pPr>
              <w:spacing w:after="0"/>
              <w:rPr>
                <w:sz w:val="20"/>
                <w:szCs w:val="20"/>
                <w:color w:val="auto"/>
              </w:rPr>
            </w:pPr>
          </w:p>
        </w:tc>
        <w:tc>
          <w:tcPr>
            <w:tcW w:w="4060" w:type="dxa"/>
            <w:vAlign w:val="bottom"/>
            <w:gridSpan w:val="6"/>
          </w:tcPr>
          <w:p>
            <w:pPr>
              <w:jc w:val="center"/>
              <w:ind w:right="1200"/>
              <w:spacing w:after="0"/>
              <w:rPr>
                <w:sz w:val="20"/>
                <w:szCs w:val="20"/>
                <w:color w:val="auto"/>
              </w:rPr>
            </w:pPr>
            <w:r>
              <w:rPr>
                <w:rFonts w:ascii="Arial" w:cs="Arial" w:eastAsia="Arial" w:hAnsi="Arial"/>
                <w:sz w:val="18"/>
                <w:szCs w:val="18"/>
                <w:color w:val="auto"/>
                <w:w w:val="90"/>
              </w:rPr>
              <w:t>(Address of principal executive offices)</w:t>
            </w:r>
          </w:p>
        </w:tc>
        <w:tc>
          <w:tcPr>
            <w:tcW w:w="1360" w:type="dxa"/>
            <w:vAlign w:val="bottom"/>
          </w:tcPr>
          <w:p>
            <w:pPr>
              <w:spacing w:after="0"/>
              <w:rPr>
                <w:sz w:val="20"/>
                <w:szCs w:val="20"/>
                <w:color w:val="auto"/>
              </w:rPr>
            </w:pPr>
          </w:p>
        </w:tc>
        <w:tc>
          <w:tcPr>
            <w:tcW w:w="17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540" w:type="dxa"/>
            <w:vAlign w:val="bottom"/>
            <w:gridSpan w:val="2"/>
          </w:tcPr>
          <w:p>
            <w:pPr>
              <w:spacing w:after="0"/>
              <w:rPr>
                <w:sz w:val="24"/>
                <w:szCs w:val="2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(604) 264-8274</w:t>
            </w: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60" w:type="dxa"/>
            <w:vAlign w:val="bottom"/>
          </w:tcPr>
          <w:p>
            <w:pPr>
              <w:spacing w:after="0"/>
              <w:rPr>
                <w:sz w:val="20"/>
                <w:szCs w:val="20"/>
                <w:color w:val="auto"/>
              </w:rPr>
            </w:pPr>
          </w:p>
        </w:tc>
        <w:tc>
          <w:tcPr>
            <w:tcW w:w="4060" w:type="dxa"/>
            <w:vAlign w:val="bottom"/>
            <w:gridSpan w:val="6"/>
          </w:tcPr>
          <w:p>
            <w:pPr>
              <w:jc w:val="center"/>
              <w:ind w:right="1200"/>
              <w:spacing w:after="0"/>
              <w:rPr>
                <w:sz w:val="20"/>
                <w:szCs w:val="20"/>
                <w:color w:val="auto"/>
              </w:rPr>
            </w:pPr>
            <w:r>
              <w:rPr>
                <w:rFonts w:ascii="Arial" w:cs="Arial" w:eastAsia="Arial" w:hAnsi="Arial"/>
                <w:sz w:val="18"/>
                <w:szCs w:val="18"/>
                <w:color w:val="auto"/>
                <w:w w:val="86"/>
              </w:rPr>
              <w:t>(Issuer's telephone number)</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4" w:lineRule="exact"/>
        <w:rPr>
          <w:sz w:val="24"/>
          <w:szCs w:val="24"/>
          <w:color w:val="auto"/>
        </w:rPr>
      </w:pPr>
    </w:p>
    <w:p>
      <w:pPr>
        <w:ind w:right="40"/>
        <w:spacing w:after="0" w:line="332" w:lineRule="auto"/>
        <w:rPr>
          <w:sz w:val="20"/>
          <w:szCs w:val="20"/>
          <w:color w:val="auto"/>
        </w:rPr>
      </w:pPr>
      <w:r>
        <w:rPr>
          <w:rFonts w:ascii="Arial" w:cs="Arial" w:eastAsia="Arial" w:hAnsi="Arial"/>
          <w:sz w:val="16"/>
          <w:szCs w:val="16"/>
          <w:color w:val="auto"/>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S No [ ]</w:t>
      </w:r>
    </w:p>
    <w:p>
      <w:pPr>
        <w:spacing w:after="0" w:line="99" w:lineRule="exact"/>
        <w:rPr>
          <w:sz w:val="24"/>
          <w:szCs w:val="24"/>
          <w:color w:val="auto"/>
        </w:rPr>
      </w:pPr>
    </w:p>
    <w:p>
      <w:pPr>
        <w:ind w:right="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60"/>
          </w:cols>
          <w:pgMar w:left="240" w:top="233" w:right="199" w:bottom="0" w:gutter="0" w:footer="0" w:header="0"/>
        </w:sectPr>
      </w:pPr>
    </w:p>
    <w:p>
      <w:pPr>
        <w:spacing w:after="0" w:line="193" w:lineRule="exact"/>
        <w:rPr>
          <w:sz w:val="24"/>
          <w:szCs w:val="24"/>
          <w:color w:val="auto"/>
        </w:rPr>
      </w:pPr>
    </w:p>
    <w:p>
      <w:pPr>
        <w:ind w:left="100"/>
        <w:spacing w:after="0"/>
        <w:rPr>
          <w:sz w:val="20"/>
          <w:szCs w:val="20"/>
          <w:color w:val="auto"/>
        </w:rPr>
      </w:pPr>
      <w:r>
        <w:rPr>
          <w:rFonts w:ascii="Arial" w:cs="Arial" w:eastAsia="Arial" w:hAnsi="Arial"/>
          <w:sz w:val="18"/>
          <w:szCs w:val="18"/>
          <w:color w:val="auto"/>
        </w:rPr>
        <w:t>[ ] Large accelerated filer</w:t>
      </w:r>
    </w:p>
    <w:p>
      <w:pPr>
        <w:spacing w:after="0" w:line="15" w:lineRule="exact"/>
        <w:rPr>
          <w:sz w:val="24"/>
          <w:szCs w:val="24"/>
          <w:color w:val="auto"/>
        </w:rPr>
      </w:pPr>
    </w:p>
    <w:p>
      <w:pPr>
        <w:ind w:left="100"/>
        <w:spacing w:after="0"/>
        <w:rPr>
          <w:sz w:val="20"/>
          <w:szCs w:val="20"/>
          <w:color w:val="auto"/>
        </w:rPr>
      </w:pPr>
      <w:r>
        <w:rPr>
          <w:rFonts w:ascii="Arial" w:cs="Arial" w:eastAsia="Arial" w:hAnsi="Arial"/>
          <w:sz w:val="16"/>
          <w:szCs w:val="16"/>
          <w:color w:val="auto"/>
        </w:rPr>
        <w:t>[ ] Non-accelerated filer (Do not check</w:t>
      </w:r>
    </w:p>
    <w:p>
      <w:pPr>
        <w:spacing w:after="0" w:line="3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if smaller reporting company)</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ind w:left="700"/>
        <w:spacing w:after="0"/>
        <w:rPr>
          <w:sz w:val="20"/>
          <w:szCs w:val="20"/>
          <w:color w:val="auto"/>
        </w:rPr>
      </w:pPr>
      <w:r>
        <w:rPr>
          <w:rFonts w:ascii="Arial" w:cs="Arial" w:eastAsia="Arial" w:hAnsi="Arial"/>
          <w:sz w:val="16"/>
          <w:szCs w:val="16"/>
          <w:color w:val="auto"/>
        </w:rPr>
        <w:t>[ ] Accelerated filer</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S Smaller reporting company</w:t>
      </w:r>
    </w:p>
    <w:p>
      <w:pPr>
        <w:spacing w:after="0" w:line="439" w:lineRule="exact"/>
        <w:rPr>
          <w:sz w:val="24"/>
          <w:szCs w:val="24"/>
          <w:color w:val="auto"/>
        </w:rPr>
      </w:pPr>
    </w:p>
    <w:p>
      <w:pPr>
        <w:sectPr>
          <w:pgSz w:w="11900" w:h="16838" w:orient="portrait"/>
          <w:cols w:equalWidth="0" w:num="2">
            <w:col w:w="5740" w:space="720"/>
            <w:col w:w="5000"/>
          </w:cols>
          <w:pgMar w:left="240" w:top="233" w:right="199" w:bottom="0" w:gutter="0" w:footer="0" w:header="0"/>
          <w:type w:val="continuous"/>
        </w:sectPr>
      </w:pP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S</w:t>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As of November 18, 2008, the Company had </w:t>
      </w:r>
      <w:r>
        <w:rPr>
          <w:rFonts w:ascii="Arial" w:cs="Arial" w:eastAsia="Arial" w:hAnsi="Arial"/>
          <w:sz w:val="18"/>
          <w:szCs w:val="18"/>
          <w:b w:val="1"/>
          <w:bCs w:val="1"/>
          <w:color w:val="auto"/>
        </w:rPr>
        <w:t>24,149,827</w:t>
      </w:r>
      <w:r>
        <w:rPr>
          <w:rFonts w:ascii="Arial" w:cs="Arial" w:eastAsia="Arial" w:hAnsi="Arial"/>
          <w:sz w:val="18"/>
          <w:szCs w:val="18"/>
          <w:color w:val="auto"/>
        </w:rPr>
        <w:t xml:space="preserve"> shares of common stock issued and outstanding.</w:t>
      </w:r>
    </w:p>
    <w:p>
      <w:pPr>
        <w:spacing w:after="0" w:line="191"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480" w:type="dxa"/>
            <w:vAlign w:val="bottom"/>
          </w:tcPr>
          <w:p>
            <w:pPr>
              <w:jc w:val="center"/>
              <w:ind w:left="1532"/>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353"/>
        </w:trPr>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Item 1. Financial Statements</w:t>
            </w:r>
          </w:p>
        </w:tc>
        <w:tc>
          <w:tcPr>
            <w:tcW w:w="5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4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3"/>
              </w:rPr>
              <w:t>Page</w:t>
            </w:r>
          </w:p>
        </w:tc>
        <w:tc>
          <w:tcPr>
            <w:tcW w:w="3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532"/>
        </w:trPr>
        <w:tc>
          <w:tcPr>
            <w:tcW w:w="20" w:type="dxa"/>
            <w:vAlign w:val="bottom"/>
          </w:tcPr>
          <w:p>
            <w:pPr>
              <w:spacing w:after="0"/>
              <w:rPr>
                <w:sz w:val="24"/>
                <w:szCs w:val="24"/>
                <w:color w:val="auto"/>
              </w:rPr>
            </w:pPr>
          </w:p>
        </w:tc>
        <w:tc>
          <w:tcPr>
            <w:tcW w:w="7620" w:type="dxa"/>
            <w:vAlign w:val="bottom"/>
            <w:gridSpan w:val="3"/>
          </w:tcPr>
          <w:p>
            <w:pPr>
              <w:spacing w:after="0"/>
              <w:rPr>
                <w:sz w:val="20"/>
                <w:szCs w:val="20"/>
                <w:color w:val="auto"/>
              </w:rPr>
            </w:pPr>
            <w:r>
              <w:rPr>
                <w:rFonts w:ascii="Arial" w:cs="Arial" w:eastAsia="Arial" w:hAnsi="Arial"/>
                <w:sz w:val="18"/>
                <w:szCs w:val="18"/>
                <w:color w:val="auto"/>
              </w:rPr>
              <w:t>Consolidated Balance Sheets as of September 30, 2008 (Unaudited) and December 31, 2007</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07"/>
        </w:trPr>
        <w:tc>
          <w:tcPr>
            <w:tcW w:w="20" w:type="dxa"/>
            <w:vAlign w:val="bottom"/>
          </w:tcPr>
          <w:p>
            <w:pPr>
              <w:spacing w:after="0"/>
              <w:rPr>
                <w:sz w:val="24"/>
                <w:szCs w:val="24"/>
                <w:color w:val="auto"/>
              </w:rPr>
            </w:pPr>
          </w:p>
        </w:tc>
        <w:tc>
          <w:tcPr>
            <w:tcW w:w="7620" w:type="dxa"/>
            <w:vAlign w:val="bottom"/>
            <w:gridSpan w:val="3"/>
          </w:tcPr>
          <w:p>
            <w:pPr>
              <w:spacing w:after="0"/>
              <w:rPr>
                <w:sz w:val="20"/>
                <w:szCs w:val="20"/>
                <w:color w:val="auto"/>
              </w:rPr>
            </w:pPr>
            <w:r>
              <w:rPr>
                <w:rFonts w:ascii="Arial" w:cs="Arial" w:eastAsia="Arial" w:hAnsi="Arial"/>
                <w:sz w:val="18"/>
                <w:szCs w:val="18"/>
                <w:color w:val="auto"/>
                <w:w w:val="95"/>
              </w:rPr>
              <w:t>Consolidated Statements of Operations for the Three Months Ended September 30, 2008 and 2007,</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620" w:type="dxa"/>
            <w:vAlign w:val="bottom"/>
            <w:gridSpan w:val="3"/>
          </w:tcPr>
          <w:p>
            <w:pPr>
              <w:spacing w:after="0"/>
              <w:rPr>
                <w:sz w:val="20"/>
                <w:szCs w:val="20"/>
                <w:color w:val="auto"/>
              </w:rPr>
            </w:pPr>
            <w:r>
              <w:rPr>
                <w:rFonts w:ascii="Arial" w:cs="Arial" w:eastAsia="Arial" w:hAnsi="Arial"/>
                <w:sz w:val="18"/>
                <w:szCs w:val="18"/>
                <w:color w:val="auto"/>
                <w:w w:val="98"/>
              </w:rPr>
              <w:t>for the Nine Months Ended September 30, 2008 and 2007, and for the Period from July 27, 1999</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Arial" w:cs="Arial" w:eastAsia="Arial" w:hAnsi="Arial"/>
                <w:sz w:val="18"/>
                <w:szCs w:val="18"/>
                <w:color w:val="auto"/>
              </w:rPr>
              <w:t>(Date of Inception) to September 30, 2008 (Unaudited)</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507"/>
        </w:trPr>
        <w:tc>
          <w:tcPr>
            <w:tcW w:w="20" w:type="dxa"/>
            <w:vAlign w:val="bottom"/>
          </w:tcPr>
          <w:p>
            <w:pPr>
              <w:spacing w:after="0"/>
              <w:rPr>
                <w:sz w:val="24"/>
                <w:szCs w:val="24"/>
                <w:color w:val="auto"/>
              </w:rPr>
            </w:pPr>
          </w:p>
        </w:tc>
        <w:tc>
          <w:tcPr>
            <w:tcW w:w="7620" w:type="dxa"/>
            <w:vAlign w:val="bottom"/>
            <w:gridSpan w:val="3"/>
          </w:tcPr>
          <w:p>
            <w:pPr>
              <w:spacing w:after="0"/>
              <w:rPr>
                <w:sz w:val="20"/>
                <w:szCs w:val="20"/>
                <w:color w:val="auto"/>
              </w:rPr>
            </w:pPr>
            <w:r>
              <w:rPr>
                <w:rFonts w:ascii="Arial" w:cs="Arial" w:eastAsia="Arial" w:hAnsi="Arial"/>
                <w:sz w:val="18"/>
                <w:szCs w:val="18"/>
                <w:color w:val="auto"/>
                <w:w w:val="96"/>
              </w:rPr>
              <w:t>Consolidated Statements of Cash Flows for the Nine Months Ended September 30, 2008 and 2007</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Arial" w:cs="Arial" w:eastAsia="Arial" w:hAnsi="Arial"/>
                <w:sz w:val="18"/>
                <w:szCs w:val="18"/>
                <w:color w:val="auto"/>
              </w:rPr>
              <w:t>and for the Period from July 27, 1999 (Date of Inception) to September 30, 2008 (Unaudited)</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513"/>
        </w:trPr>
        <w:tc>
          <w:tcPr>
            <w:tcW w:w="20" w:type="dxa"/>
            <w:vAlign w:val="bottom"/>
          </w:tcPr>
          <w:p>
            <w:pPr>
              <w:spacing w:after="0"/>
              <w:rPr>
                <w:sz w:val="24"/>
                <w:szCs w:val="24"/>
                <w:color w:val="auto"/>
              </w:rPr>
            </w:pPr>
          </w:p>
        </w:tc>
        <w:tc>
          <w:tcPr>
            <w:tcW w:w="7620" w:type="dxa"/>
            <w:vAlign w:val="bottom"/>
            <w:gridSpan w:val="3"/>
          </w:tcPr>
          <w:p>
            <w:pPr>
              <w:spacing w:after="0"/>
              <w:rPr>
                <w:sz w:val="20"/>
                <w:szCs w:val="20"/>
                <w:color w:val="auto"/>
              </w:rPr>
            </w:pPr>
            <w:r>
              <w:rPr>
                <w:rFonts w:ascii="Arial" w:cs="Arial" w:eastAsia="Arial" w:hAnsi="Arial"/>
                <w:sz w:val="18"/>
                <w:szCs w:val="18"/>
                <w:color w:val="auto"/>
              </w:rPr>
              <w:t>Notes to the Consolidated Financial Statements (Unaudited)</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675"/>
        </w:trPr>
        <w:tc>
          <w:tcPr>
            <w:tcW w:w="7640" w:type="dxa"/>
            <w:vAlign w:val="bottom"/>
            <w:gridSpan w:val="4"/>
          </w:tcPr>
          <w:p>
            <w:pPr>
              <w:jc w:val="center"/>
              <w:ind w:left="3712"/>
              <w:spacing w:after="0"/>
              <w:rPr>
                <w:sz w:val="20"/>
                <w:szCs w:val="20"/>
                <w:color w:val="auto"/>
              </w:rPr>
            </w:pPr>
            <w:r>
              <w:rPr>
                <w:rFonts w:ascii="Arial" w:cs="Arial" w:eastAsia="Arial" w:hAnsi="Arial"/>
                <w:sz w:val="18"/>
                <w:szCs w:val="18"/>
                <w:color w:val="auto"/>
                <w:w w:val="90"/>
              </w:rPr>
              <w:t>-2-</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01"/>
        </w:trPr>
        <w:tc>
          <w:tcPr>
            <w:tcW w:w="2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54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400" w:type="dxa"/>
            <w:vAlign w:val="bottom"/>
            <w:tcBorders>
              <w:bottom w:val="single" w:sz="8" w:color="808080"/>
            </w:tcBorders>
          </w:tcPr>
          <w:p>
            <w:pPr>
              <w:spacing w:after="0"/>
              <w:rPr>
                <w:sz w:val="17"/>
                <w:szCs w:val="17"/>
                <w:color w:val="auto"/>
              </w:rPr>
            </w:pPr>
          </w:p>
        </w:tc>
      </w:tr>
      <w:tr>
        <w:trPr>
          <w:trHeight w:val="3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80" w:type="dxa"/>
            <w:vAlign w:val="bottom"/>
          </w:tcPr>
          <w:p>
            <w:pPr>
              <w:jc w:val="center"/>
              <w:ind w:left="1552"/>
              <w:spacing w:after="0"/>
              <w:rPr>
                <w:sz w:val="20"/>
                <w:szCs w:val="20"/>
                <w:color w:val="auto"/>
              </w:rPr>
            </w:pPr>
            <w:r>
              <w:rPr>
                <w:rFonts w:ascii="Arial" w:cs="Arial" w:eastAsia="Arial" w:hAnsi="Arial"/>
                <w:sz w:val="18"/>
                <w:szCs w:val="18"/>
                <w:b w:val="1"/>
                <w:bCs w:val="1"/>
                <w:color w:val="auto"/>
              </w:rPr>
              <w:t>TAPIMMUNE INC.</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480" w:type="dxa"/>
            <w:vAlign w:val="bottom"/>
          </w:tcPr>
          <w:p>
            <w:pPr>
              <w:jc w:val="center"/>
              <w:ind w:left="1552"/>
              <w:spacing w:after="0"/>
              <w:rPr>
                <w:sz w:val="20"/>
                <w:szCs w:val="20"/>
                <w:color w:val="auto"/>
              </w:rPr>
            </w:pPr>
            <w:r>
              <w:rPr>
                <w:rFonts w:ascii="Arial" w:cs="Arial" w:eastAsia="Arial" w:hAnsi="Arial"/>
                <w:sz w:val="18"/>
                <w:szCs w:val="18"/>
                <w:color w:val="auto"/>
                <w:w w:val="89"/>
              </w:rPr>
              <w:t>(A Development Stage Company)</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39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80" w:type="dxa"/>
            <w:vAlign w:val="bottom"/>
          </w:tcPr>
          <w:p>
            <w:pPr>
              <w:jc w:val="center"/>
              <w:ind w:left="1552"/>
              <w:spacing w:after="0"/>
              <w:rPr>
                <w:sz w:val="20"/>
                <w:szCs w:val="20"/>
                <w:color w:val="auto"/>
              </w:rPr>
            </w:pPr>
            <w:r>
              <w:rPr>
                <w:rFonts w:ascii="Arial" w:cs="Arial" w:eastAsia="Arial" w:hAnsi="Arial"/>
                <w:sz w:val="18"/>
                <w:szCs w:val="18"/>
                <w:b w:val="1"/>
                <w:bCs w:val="1"/>
                <w:color w:val="auto"/>
                <w:w w:val="96"/>
              </w:rPr>
              <w:t>CONSOLIDATED BALANCE SHEETS</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9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900" w:type="dxa"/>
            <w:vAlign w:val="bottom"/>
            <w:gridSpan w:val="3"/>
          </w:tcPr>
          <w:p>
            <w:pPr>
              <w:jc w:val="center"/>
              <w:ind w:left="4032"/>
              <w:spacing w:after="0"/>
              <w:rPr>
                <w:sz w:val="20"/>
                <w:szCs w:val="20"/>
                <w:color w:val="auto"/>
              </w:rPr>
            </w:pPr>
            <w:r>
              <w:rPr>
                <w:rFonts w:ascii="Arial" w:cs="Arial" w:eastAsia="Arial" w:hAnsi="Arial"/>
                <w:sz w:val="18"/>
                <w:szCs w:val="18"/>
                <w:color w:val="auto"/>
                <w:w w:val="86"/>
              </w:rPr>
              <w:t>September 30,</w:t>
            </w:r>
          </w:p>
        </w:tc>
        <w:tc>
          <w:tcPr>
            <w:tcW w:w="3400" w:type="dxa"/>
            <w:vAlign w:val="bottom"/>
          </w:tcPr>
          <w:p>
            <w:pPr>
              <w:jc w:val="center"/>
              <w:ind w:right="2192"/>
              <w:spacing w:after="0"/>
              <w:rPr>
                <w:sz w:val="20"/>
                <w:szCs w:val="20"/>
                <w:color w:val="auto"/>
              </w:rPr>
            </w:pPr>
            <w:r>
              <w:rPr>
                <w:rFonts w:ascii="Arial" w:cs="Arial" w:eastAsia="Arial" w:hAnsi="Arial"/>
                <w:sz w:val="18"/>
                <w:szCs w:val="18"/>
                <w:color w:val="auto"/>
                <w:w w:val="88"/>
              </w:rPr>
              <w:t>December 31,</w:t>
            </w:r>
          </w:p>
        </w:tc>
      </w:tr>
      <w:tr>
        <w:trPr>
          <w:trHeight w:val="222"/>
        </w:trPr>
        <w:tc>
          <w:tcPr>
            <w:tcW w:w="7640" w:type="dxa"/>
            <w:vAlign w:val="bottom"/>
            <w:gridSpan w:val="4"/>
          </w:tcPr>
          <w:p>
            <w:pPr>
              <w:jc w:val="right"/>
              <w:ind w:right="212"/>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0" w:type="dxa"/>
            <w:vAlign w:val="bottom"/>
          </w:tcPr>
          <w:p>
            <w:pPr>
              <w:jc w:val="right"/>
              <w:ind w:right="2572"/>
              <w:spacing w:after="0"/>
              <w:rPr>
                <w:sz w:val="20"/>
                <w:szCs w:val="20"/>
                <w:color w:val="auto"/>
              </w:rPr>
            </w:pPr>
            <w:r>
              <w:rPr>
                <w:rFonts w:ascii="Arial" w:cs="Arial" w:eastAsia="Arial" w:hAnsi="Arial"/>
                <w:sz w:val="18"/>
                <w:szCs w:val="18"/>
                <w:color w:val="auto"/>
              </w:rPr>
              <w:t>2007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-1115060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-1115060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130175</wp:posOffset>
            </wp:positionV>
            <wp:extent cx="57886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ectPr>
          <w:pgSz w:w="11900" w:h="16838" w:orient="portrait"/>
          <w:cols w:equalWidth="0" w:num="1">
            <w:col w:w="11460"/>
          </w:cols>
          <w:pgMar w:left="240" w:top="233" w:right="1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6540" w:type="dxa"/>
            <w:vAlign w:val="bottom"/>
          </w:tcPr>
          <w:p>
            <w:pPr>
              <w:spacing w:after="0"/>
              <w:rPr>
                <w:sz w:val="19"/>
                <w:szCs w:val="19"/>
                <w:color w:val="auto"/>
              </w:rPr>
            </w:pPr>
          </w:p>
        </w:tc>
        <w:tc>
          <w:tcPr>
            <w:tcW w:w="1400" w:type="dxa"/>
            <w:vAlign w:val="bottom"/>
          </w:tcPr>
          <w:p>
            <w:pPr>
              <w:jc w:val="right"/>
              <w:ind w:right="372"/>
              <w:spacing w:after="0"/>
              <w:rPr>
                <w:sz w:val="20"/>
                <w:szCs w:val="20"/>
                <w:color w:val="auto"/>
              </w:rPr>
            </w:pPr>
            <w:r>
              <w:rPr>
                <w:rFonts w:ascii="Arial" w:cs="Arial" w:eastAsia="Arial" w:hAnsi="Arial"/>
                <w:sz w:val="18"/>
                <w:szCs w:val="18"/>
                <w:color w:val="auto"/>
                <w:w w:val="97"/>
              </w:rPr>
              <w:t>(Unaudited)</w:t>
            </w:r>
          </w:p>
        </w:tc>
        <w:tc>
          <w:tcPr>
            <w:tcW w:w="1180" w:type="dxa"/>
            <w:vAlign w:val="bottom"/>
          </w:tcPr>
          <w:p>
            <w:pPr>
              <w:spacing w:after="0"/>
              <w:rPr>
                <w:sz w:val="19"/>
                <w:szCs w:val="19"/>
                <w:color w:val="auto"/>
              </w:rPr>
            </w:pPr>
          </w:p>
        </w:tc>
      </w:tr>
      <w:tr>
        <w:trPr>
          <w:trHeight w:val="419"/>
        </w:trPr>
        <w:tc>
          <w:tcPr>
            <w:tcW w:w="6540" w:type="dxa"/>
            <w:vAlign w:val="bottom"/>
          </w:tcPr>
          <w:p>
            <w:pPr>
              <w:ind w:left="4220"/>
              <w:spacing w:after="0"/>
              <w:rPr>
                <w:sz w:val="20"/>
                <w:szCs w:val="20"/>
                <w:color w:val="auto"/>
              </w:rPr>
            </w:pPr>
            <w:r>
              <w:rPr>
                <w:rFonts w:ascii="Arial" w:cs="Arial" w:eastAsia="Arial" w:hAnsi="Arial"/>
                <w:sz w:val="18"/>
                <w:szCs w:val="18"/>
                <w:b w:val="1"/>
                <w:bCs w:val="1"/>
                <w:color w:val="auto"/>
              </w:rPr>
              <w:t>ASSETS</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46"/>
        </w:trPr>
        <w:tc>
          <w:tcPr>
            <w:tcW w:w="65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9"/>
        </w:trPr>
        <w:tc>
          <w:tcPr>
            <w:tcW w:w="6540" w:type="dxa"/>
            <w:vAlign w:val="bottom"/>
          </w:tcPr>
          <w:p>
            <w:pPr>
              <w:ind w:left="80"/>
              <w:spacing w:after="0"/>
              <w:rPr>
                <w:sz w:val="20"/>
                <w:szCs w:val="20"/>
                <w:color w:val="auto"/>
              </w:rPr>
            </w:pPr>
            <w:r>
              <w:rPr>
                <w:rFonts w:ascii="Arial" w:cs="Arial" w:eastAsia="Arial" w:hAnsi="Arial"/>
                <w:sz w:val="18"/>
                <w:szCs w:val="18"/>
                <w:color w:val="auto"/>
              </w:rPr>
              <w:t>Cash</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$ 2,398</w:t>
            </w:r>
          </w:p>
        </w:tc>
        <w:tc>
          <w:tcPr>
            <w:tcW w:w="1180" w:type="dxa"/>
            <w:vAlign w:val="bottom"/>
          </w:tcPr>
          <w:p>
            <w:pPr>
              <w:jc w:val="right"/>
              <w:spacing w:after="0"/>
              <w:rPr>
                <w:sz w:val="20"/>
                <w:szCs w:val="20"/>
                <w:color w:val="auto"/>
              </w:rPr>
            </w:pPr>
            <w:r>
              <w:rPr>
                <w:rFonts w:ascii="Arial" w:cs="Arial" w:eastAsia="Arial" w:hAnsi="Arial"/>
                <w:sz w:val="18"/>
                <w:szCs w:val="18"/>
                <w:color w:val="auto"/>
              </w:rPr>
              <w:t>$ 167,539</w:t>
            </w:r>
          </w:p>
        </w:tc>
      </w:tr>
      <w:tr>
        <w:trPr>
          <w:trHeight w:val="419"/>
        </w:trPr>
        <w:tc>
          <w:tcPr>
            <w:tcW w:w="6540" w:type="dxa"/>
            <w:vAlign w:val="bottom"/>
          </w:tcPr>
          <w:p>
            <w:pPr>
              <w:ind w:left="80"/>
              <w:spacing w:after="0"/>
              <w:rPr>
                <w:sz w:val="20"/>
                <w:szCs w:val="20"/>
                <w:color w:val="auto"/>
              </w:rPr>
            </w:pPr>
            <w:r>
              <w:rPr>
                <w:rFonts w:ascii="Arial" w:cs="Arial" w:eastAsia="Arial" w:hAnsi="Arial"/>
                <w:sz w:val="18"/>
                <w:szCs w:val="18"/>
                <w:color w:val="auto"/>
              </w:rPr>
              <w:t>Due from government agency</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60,034</w:t>
            </w:r>
          </w:p>
        </w:tc>
        <w:tc>
          <w:tcPr>
            <w:tcW w:w="1180" w:type="dxa"/>
            <w:vAlign w:val="bottom"/>
          </w:tcPr>
          <w:p>
            <w:pPr>
              <w:jc w:val="right"/>
              <w:spacing w:after="0"/>
              <w:rPr>
                <w:sz w:val="20"/>
                <w:szCs w:val="20"/>
                <w:color w:val="auto"/>
              </w:rPr>
            </w:pPr>
            <w:r>
              <w:rPr>
                <w:rFonts w:ascii="Arial" w:cs="Arial" w:eastAsia="Arial" w:hAnsi="Arial"/>
                <w:sz w:val="18"/>
                <w:szCs w:val="18"/>
                <w:color w:val="auto"/>
              </w:rPr>
              <w:t>59,634</w:t>
            </w:r>
          </w:p>
        </w:tc>
      </w:tr>
      <w:tr>
        <w:trPr>
          <w:trHeight w:val="419"/>
        </w:trPr>
        <w:tc>
          <w:tcPr>
            <w:tcW w:w="6540" w:type="dxa"/>
            <w:vAlign w:val="bottom"/>
          </w:tcPr>
          <w:p>
            <w:pPr>
              <w:ind w:left="80"/>
              <w:spacing w:after="0"/>
              <w:rPr>
                <w:sz w:val="20"/>
                <w:szCs w:val="20"/>
                <w:color w:val="auto"/>
              </w:rPr>
            </w:pPr>
            <w:r>
              <w:rPr>
                <w:rFonts w:ascii="Arial" w:cs="Arial" w:eastAsia="Arial" w:hAnsi="Arial"/>
                <w:sz w:val="18"/>
                <w:szCs w:val="18"/>
                <w:color w:val="auto"/>
              </w:rPr>
              <w:t>Prepaid expenses and deposits</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10,999</w:t>
            </w:r>
          </w:p>
        </w:tc>
        <w:tc>
          <w:tcPr>
            <w:tcW w:w="1180" w:type="dxa"/>
            <w:vAlign w:val="bottom"/>
          </w:tcPr>
          <w:p>
            <w:pPr>
              <w:jc w:val="right"/>
              <w:spacing w:after="0"/>
              <w:rPr>
                <w:sz w:val="20"/>
                <w:szCs w:val="20"/>
                <w:color w:val="auto"/>
              </w:rPr>
            </w:pPr>
            <w:r>
              <w:rPr>
                <w:rFonts w:ascii="Arial" w:cs="Arial" w:eastAsia="Arial" w:hAnsi="Arial"/>
                <w:sz w:val="18"/>
                <w:szCs w:val="18"/>
                <w:color w:val="auto"/>
              </w:rPr>
              <w:t>35,313</w:t>
            </w:r>
          </w:p>
        </w:tc>
      </w:tr>
      <w:tr>
        <w:trPr>
          <w:trHeight w:val="205"/>
        </w:trPr>
        <w:tc>
          <w:tcPr>
            <w:tcW w:w="65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437"/>
        </w:trPr>
        <w:tc>
          <w:tcPr>
            <w:tcW w:w="6540" w:type="dxa"/>
            <w:vAlign w:val="bottom"/>
          </w:tcPr>
          <w:p>
            <w:pPr>
              <w:spacing w:after="0"/>
              <w:rPr>
                <w:sz w:val="24"/>
                <w:szCs w:val="24"/>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73,431</w:t>
            </w:r>
          </w:p>
        </w:tc>
        <w:tc>
          <w:tcPr>
            <w:tcW w:w="1180" w:type="dxa"/>
            <w:vAlign w:val="bottom"/>
          </w:tcPr>
          <w:p>
            <w:pPr>
              <w:jc w:val="right"/>
              <w:spacing w:after="0"/>
              <w:rPr>
                <w:sz w:val="20"/>
                <w:szCs w:val="20"/>
                <w:color w:val="auto"/>
              </w:rPr>
            </w:pPr>
            <w:r>
              <w:rPr>
                <w:rFonts w:ascii="Arial" w:cs="Arial" w:eastAsia="Arial" w:hAnsi="Arial"/>
                <w:sz w:val="18"/>
                <w:szCs w:val="18"/>
                <w:color w:val="auto"/>
              </w:rPr>
              <w:t>262,486</w:t>
            </w:r>
          </w:p>
        </w:tc>
      </w:tr>
      <w:tr>
        <w:trPr>
          <w:trHeight w:val="419"/>
        </w:trPr>
        <w:tc>
          <w:tcPr>
            <w:tcW w:w="6540" w:type="dxa"/>
            <w:vAlign w:val="bottom"/>
          </w:tcPr>
          <w:p>
            <w:pPr>
              <w:spacing w:after="0"/>
              <w:rPr>
                <w:sz w:val="20"/>
                <w:szCs w:val="20"/>
                <w:color w:val="auto"/>
              </w:rPr>
            </w:pPr>
            <w:r>
              <w:rPr>
                <w:rFonts w:ascii="Arial" w:cs="Arial" w:eastAsia="Arial" w:hAnsi="Arial"/>
                <w:sz w:val="18"/>
                <w:szCs w:val="18"/>
                <w:b w:val="1"/>
                <w:bCs w:val="1"/>
                <w:color w:val="auto"/>
              </w:rPr>
              <w:t>Furniture and Equipment</w:t>
            </w:r>
            <w:r>
              <w:rPr>
                <w:rFonts w:ascii="Arial" w:cs="Arial" w:eastAsia="Arial" w:hAnsi="Arial"/>
                <w:sz w:val="18"/>
                <w:szCs w:val="18"/>
                <w:color w:val="auto"/>
              </w:rPr>
              <w:t>, net (Note 3)</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11,011</w:t>
            </w:r>
          </w:p>
        </w:tc>
        <w:tc>
          <w:tcPr>
            <w:tcW w:w="1180" w:type="dxa"/>
            <w:vAlign w:val="bottom"/>
          </w:tcPr>
          <w:p>
            <w:pPr>
              <w:jc w:val="right"/>
              <w:spacing w:after="0"/>
              <w:rPr>
                <w:sz w:val="20"/>
                <w:szCs w:val="20"/>
                <w:color w:val="auto"/>
              </w:rPr>
            </w:pPr>
            <w:r>
              <w:rPr>
                <w:rFonts w:ascii="Arial" w:cs="Arial" w:eastAsia="Arial" w:hAnsi="Arial"/>
                <w:sz w:val="18"/>
                <w:szCs w:val="18"/>
                <w:color w:val="auto"/>
              </w:rPr>
              <w:t>16,621</w:t>
            </w:r>
          </w:p>
        </w:tc>
      </w:tr>
      <w:tr>
        <w:trPr>
          <w:trHeight w:val="205"/>
        </w:trPr>
        <w:tc>
          <w:tcPr>
            <w:tcW w:w="65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437"/>
        </w:trPr>
        <w:tc>
          <w:tcPr>
            <w:tcW w:w="6540" w:type="dxa"/>
            <w:vAlign w:val="bottom"/>
          </w:tcPr>
          <w:p>
            <w:pPr>
              <w:spacing w:after="0"/>
              <w:rPr>
                <w:sz w:val="24"/>
                <w:szCs w:val="24"/>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$ 84,442</w:t>
            </w:r>
          </w:p>
        </w:tc>
        <w:tc>
          <w:tcPr>
            <w:tcW w:w="1180" w:type="dxa"/>
            <w:vAlign w:val="bottom"/>
          </w:tcPr>
          <w:p>
            <w:pPr>
              <w:jc w:val="right"/>
              <w:spacing w:after="0"/>
              <w:rPr>
                <w:sz w:val="20"/>
                <w:szCs w:val="20"/>
                <w:color w:val="auto"/>
              </w:rPr>
            </w:pPr>
            <w:r>
              <w:rPr>
                <w:rFonts w:ascii="Arial" w:cs="Arial" w:eastAsia="Arial" w:hAnsi="Arial"/>
                <w:sz w:val="18"/>
                <w:szCs w:val="18"/>
                <w:color w:val="auto"/>
              </w:rPr>
              <w:t>$ 279,107</w:t>
            </w:r>
          </w:p>
        </w:tc>
      </w:tr>
      <w:tr>
        <w:trPr>
          <w:trHeight w:val="212"/>
        </w:trPr>
        <w:tc>
          <w:tcPr>
            <w:tcW w:w="6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417"/>
        </w:trPr>
        <w:tc>
          <w:tcPr>
            <w:tcW w:w="6540" w:type="dxa"/>
            <w:vAlign w:val="bottom"/>
          </w:tcPr>
          <w:p>
            <w:pPr>
              <w:ind w:left="2620"/>
              <w:spacing w:after="0"/>
              <w:rPr>
                <w:sz w:val="20"/>
                <w:szCs w:val="20"/>
                <w:color w:val="auto"/>
              </w:rPr>
            </w:pPr>
            <w:r>
              <w:rPr>
                <w:rFonts w:ascii="Arial" w:cs="Arial" w:eastAsia="Arial" w:hAnsi="Arial"/>
                <w:sz w:val="18"/>
                <w:szCs w:val="18"/>
                <w:b w:val="1"/>
                <w:bCs w:val="1"/>
                <w:color w:val="auto"/>
              </w:rPr>
              <w:t>LIABILITIES AND STOCKHOLDERS' DEFICIT</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46"/>
        </w:trPr>
        <w:tc>
          <w:tcPr>
            <w:tcW w:w="65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9"/>
        </w:trPr>
        <w:tc>
          <w:tcPr>
            <w:tcW w:w="6540" w:type="dxa"/>
            <w:vAlign w:val="bottom"/>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$ 1,400,498</w:t>
            </w:r>
          </w:p>
        </w:tc>
        <w:tc>
          <w:tcPr>
            <w:tcW w:w="1180" w:type="dxa"/>
            <w:vAlign w:val="bottom"/>
          </w:tcPr>
          <w:p>
            <w:pPr>
              <w:jc w:val="right"/>
              <w:spacing w:after="0"/>
              <w:rPr>
                <w:sz w:val="20"/>
                <w:szCs w:val="20"/>
                <w:color w:val="auto"/>
              </w:rPr>
            </w:pPr>
            <w:r>
              <w:rPr>
                <w:rFonts w:ascii="Arial" w:cs="Arial" w:eastAsia="Arial" w:hAnsi="Arial"/>
                <w:sz w:val="18"/>
                <w:szCs w:val="18"/>
                <w:color w:val="auto"/>
              </w:rPr>
              <w:t>$ 1,103,263</w:t>
            </w:r>
          </w:p>
        </w:tc>
      </w:tr>
      <w:tr>
        <w:trPr>
          <w:trHeight w:val="419"/>
        </w:trPr>
        <w:tc>
          <w:tcPr>
            <w:tcW w:w="6540" w:type="dxa"/>
            <w:vAlign w:val="bottom"/>
          </w:tcPr>
          <w:p>
            <w:pPr>
              <w:ind w:left="80"/>
              <w:spacing w:after="0"/>
              <w:rPr>
                <w:sz w:val="20"/>
                <w:szCs w:val="20"/>
                <w:color w:val="auto"/>
              </w:rPr>
            </w:pPr>
            <w:r>
              <w:rPr>
                <w:rFonts w:ascii="Arial" w:cs="Arial" w:eastAsia="Arial" w:hAnsi="Arial"/>
                <w:sz w:val="18"/>
                <w:szCs w:val="18"/>
                <w:color w:val="auto"/>
              </w:rPr>
              <w:t>Research agreement obligations (Note 4)</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154,164</w:t>
            </w:r>
          </w:p>
        </w:tc>
        <w:tc>
          <w:tcPr>
            <w:tcW w:w="1180" w:type="dxa"/>
            <w:vAlign w:val="bottom"/>
          </w:tcPr>
          <w:p>
            <w:pPr>
              <w:jc w:val="right"/>
              <w:spacing w:after="0"/>
              <w:rPr>
                <w:sz w:val="20"/>
                <w:szCs w:val="20"/>
                <w:color w:val="auto"/>
              </w:rPr>
            </w:pPr>
            <w:r>
              <w:rPr>
                <w:rFonts w:ascii="Arial" w:cs="Arial" w:eastAsia="Arial" w:hAnsi="Arial"/>
                <w:sz w:val="18"/>
                <w:szCs w:val="18"/>
                <w:color w:val="auto"/>
              </w:rPr>
              <w:t>199,766</w:t>
            </w:r>
          </w:p>
        </w:tc>
      </w:tr>
      <w:tr>
        <w:trPr>
          <w:trHeight w:val="419"/>
        </w:trPr>
        <w:tc>
          <w:tcPr>
            <w:tcW w:w="6540" w:type="dxa"/>
            <w:vAlign w:val="bottom"/>
          </w:tcPr>
          <w:p>
            <w:pPr>
              <w:ind w:left="80"/>
              <w:spacing w:after="0"/>
              <w:rPr>
                <w:sz w:val="20"/>
                <w:szCs w:val="20"/>
                <w:color w:val="auto"/>
              </w:rPr>
            </w:pPr>
            <w:r>
              <w:rPr>
                <w:rFonts w:ascii="Arial" w:cs="Arial" w:eastAsia="Arial" w:hAnsi="Arial"/>
                <w:sz w:val="18"/>
                <w:szCs w:val="18"/>
                <w:color w:val="auto"/>
              </w:rPr>
              <w:t>Convertible notes payable (Note 5(i))</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56,633</w:t>
            </w:r>
          </w:p>
        </w:tc>
        <w:tc>
          <w:tcPr>
            <w:tcW w:w="1180" w:type="dxa"/>
            <w:vAlign w:val="bottom"/>
          </w:tcPr>
          <w:p>
            <w:pPr>
              <w:jc w:val="right"/>
              <w:spacing w:after="0"/>
              <w:rPr>
                <w:sz w:val="20"/>
                <w:szCs w:val="20"/>
                <w:color w:val="auto"/>
              </w:rPr>
            </w:pPr>
            <w:r>
              <w:rPr>
                <w:rFonts w:ascii="Arial" w:cs="Arial" w:eastAsia="Arial" w:hAnsi="Arial"/>
                <w:sz w:val="18"/>
                <w:szCs w:val="18"/>
                <w:color w:val="auto"/>
              </w:rPr>
              <w:t>66,633</w:t>
            </w:r>
          </w:p>
        </w:tc>
      </w:tr>
      <w:tr>
        <w:trPr>
          <w:trHeight w:val="419"/>
        </w:trPr>
        <w:tc>
          <w:tcPr>
            <w:tcW w:w="6540" w:type="dxa"/>
            <w:vAlign w:val="bottom"/>
          </w:tcPr>
          <w:p>
            <w:pPr>
              <w:ind w:left="80"/>
              <w:spacing w:after="0"/>
              <w:rPr>
                <w:sz w:val="20"/>
                <w:szCs w:val="20"/>
                <w:color w:val="auto"/>
              </w:rPr>
            </w:pPr>
            <w:r>
              <w:rPr>
                <w:rFonts w:ascii="Arial" w:cs="Arial" w:eastAsia="Arial" w:hAnsi="Arial"/>
                <w:sz w:val="18"/>
                <w:szCs w:val="18"/>
                <w:color w:val="auto"/>
              </w:rPr>
              <w:t>Convertible note subscriptions received (Note 5(v))</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200,000</w:t>
            </w:r>
          </w:p>
        </w:tc>
        <w:tc>
          <w:tcPr>
            <w:tcW w:w="118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419"/>
        </w:trPr>
        <w:tc>
          <w:tcPr>
            <w:tcW w:w="6540" w:type="dxa"/>
            <w:vAlign w:val="bottom"/>
          </w:tcPr>
          <w:p>
            <w:pPr>
              <w:ind w:left="80"/>
              <w:spacing w:after="0"/>
              <w:rPr>
                <w:sz w:val="20"/>
                <w:szCs w:val="20"/>
                <w:color w:val="auto"/>
              </w:rPr>
            </w:pPr>
            <w:r>
              <w:rPr>
                <w:rFonts w:ascii="Arial" w:cs="Arial" w:eastAsia="Arial" w:hAnsi="Arial"/>
                <w:sz w:val="18"/>
                <w:szCs w:val="18"/>
                <w:color w:val="auto"/>
              </w:rPr>
              <w:t>Notes payable (Notes 5(iv) to (ix))</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692,000</w:t>
            </w:r>
          </w:p>
        </w:tc>
        <w:tc>
          <w:tcPr>
            <w:tcW w:w="1180" w:type="dxa"/>
            <w:vAlign w:val="bottom"/>
          </w:tcPr>
          <w:p>
            <w:pPr>
              <w:jc w:val="right"/>
              <w:spacing w:after="0"/>
              <w:rPr>
                <w:sz w:val="20"/>
                <w:szCs w:val="20"/>
                <w:color w:val="auto"/>
              </w:rPr>
            </w:pPr>
            <w:r>
              <w:rPr>
                <w:rFonts w:ascii="Arial" w:cs="Arial" w:eastAsia="Arial" w:hAnsi="Arial"/>
                <w:sz w:val="18"/>
                <w:szCs w:val="18"/>
                <w:color w:val="auto"/>
              </w:rPr>
              <w:t>229,952</w:t>
            </w:r>
          </w:p>
        </w:tc>
      </w:tr>
      <w:tr>
        <w:trPr>
          <w:trHeight w:val="419"/>
        </w:trPr>
        <w:tc>
          <w:tcPr>
            <w:tcW w:w="6540" w:type="dxa"/>
            <w:vAlign w:val="bottom"/>
          </w:tcPr>
          <w:p>
            <w:pPr>
              <w:ind w:left="80"/>
              <w:spacing w:after="0"/>
              <w:rPr>
                <w:sz w:val="20"/>
                <w:szCs w:val="20"/>
                <w:color w:val="auto"/>
              </w:rPr>
            </w:pPr>
            <w:r>
              <w:rPr>
                <w:rFonts w:ascii="Arial" w:cs="Arial" w:eastAsia="Arial" w:hAnsi="Arial"/>
                <w:sz w:val="18"/>
                <w:szCs w:val="18"/>
                <w:color w:val="auto"/>
              </w:rPr>
              <w:t>Due to related parties (Note 6)</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371,867</w:t>
            </w:r>
          </w:p>
        </w:tc>
        <w:tc>
          <w:tcPr>
            <w:tcW w:w="1180" w:type="dxa"/>
            <w:vAlign w:val="bottom"/>
          </w:tcPr>
          <w:p>
            <w:pPr>
              <w:jc w:val="right"/>
              <w:spacing w:after="0"/>
              <w:rPr>
                <w:sz w:val="20"/>
                <w:szCs w:val="20"/>
                <w:color w:val="auto"/>
              </w:rPr>
            </w:pPr>
            <w:r>
              <w:rPr>
                <w:rFonts w:ascii="Arial" w:cs="Arial" w:eastAsia="Arial" w:hAnsi="Arial"/>
                <w:sz w:val="18"/>
                <w:szCs w:val="18"/>
                <w:color w:val="auto"/>
              </w:rPr>
              <w:t>154,265</w:t>
            </w:r>
          </w:p>
        </w:tc>
      </w:tr>
      <w:tr>
        <w:trPr>
          <w:trHeight w:val="205"/>
        </w:trPr>
        <w:tc>
          <w:tcPr>
            <w:tcW w:w="65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437"/>
        </w:trPr>
        <w:tc>
          <w:tcPr>
            <w:tcW w:w="6540" w:type="dxa"/>
            <w:vAlign w:val="bottom"/>
          </w:tcPr>
          <w:p>
            <w:pPr>
              <w:spacing w:after="0"/>
              <w:rPr>
                <w:sz w:val="24"/>
                <w:szCs w:val="24"/>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2,875,162</w:t>
            </w:r>
          </w:p>
        </w:tc>
        <w:tc>
          <w:tcPr>
            <w:tcW w:w="1180" w:type="dxa"/>
            <w:vAlign w:val="bottom"/>
          </w:tcPr>
          <w:p>
            <w:pPr>
              <w:jc w:val="right"/>
              <w:spacing w:after="0"/>
              <w:rPr>
                <w:sz w:val="20"/>
                <w:szCs w:val="20"/>
                <w:color w:val="auto"/>
              </w:rPr>
            </w:pPr>
            <w:r>
              <w:rPr>
                <w:rFonts w:ascii="Arial" w:cs="Arial" w:eastAsia="Arial" w:hAnsi="Arial"/>
                <w:sz w:val="18"/>
                <w:szCs w:val="18"/>
                <w:color w:val="auto"/>
              </w:rPr>
              <w:t>1,953,879</w:t>
            </w:r>
          </w:p>
        </w:tc>
      </w:tr>
      <w:tr>
        <w:trPr>
          <w:trHeight w:val="205"/>
        </w:trPr>
        <w:tc>
          <w:tcPr>
            <w:tcW w:w="65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437"/>
        </w:trPr>
        <w:tc>
          <w:tcPr>
            <w:tcW w:w="6540" w:type="dxa"/>
            <w:vAlign w:val="bottom"/>
          </w:tcPr>
          <w:p>
            <w:pPr>
              <w:spacing w:after="0"/>
              <w:rPr>
                <w:sz w:val="20"/>
                <w:szCs w:val="20"/>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(Notes 1, 4, 5 and 7)</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46"/>
        </w:trPr>
        <w:tc>
          <w:tcPr>
            <w:tcW w:w="654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2"/>
        </w:trPr>
        <w:tc>
          <w:tcPr>
            <w:tcW w:w="6540" w:type="dxa"/>
            <w:vAlign w:val="bottom"/>
          </w:tcPr>
          <w:p>
            <w:pPr>
              <w:ind w:left="80"/>
              <w:spacing w:after="0"/>
              <w:rPr>
                <w:sz w:val="20"/>
                <w:szCs w:val="20"/>
                <w:color w:val="auto"/>
              </w:rPr>
            </w:pPr>
            <w:r>
              <w:rPr>
                <w:rFonts w:ascii="Arial" w:cs="Arial" w:eastAsia="Arial" w:hAnsi="Arial"/>
                <w:sz w:val="18"/>
                <w:szCs w:val="18"/>
                <w:color w:val="auto"/>
              </w:rPr>
              <w:t>Capital stock (Note 7)</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Common stock, $0.001 par value, 80,000,000 shares authorized</w:t>
            </w: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6540" w:type="dxa"/>
            <w:vAlign w:val="bottom"/>
          </w:tcPr>
          <w:p>
            <w:pPr>
              <w:ind w:left="260"/>
              <w:spacing w:after="0"/>
              <w:rPr>
                <w:sz w:val="20"/>
                <w:szCs w:val="20"/>
                <w:color w:val="auto"/>
              </w:rPr>
            </w:pPr>
            <w:r>
              <w:rPr>
                <w:rFonts w:ascii="Arial" w:cs="Arial" w:eastAsia="Arial" w:hAnsi="Arial"/>
                <w:sz w:val="18"/>
                <w:szCs w:val="18"/>
                <w:color w:val="auto"/>
              </w:rPr>
              <w:t>24,149,827 shares issued and outstanding (2007 - 23,502,681)</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24,150</w:t>
            </w:r>
          </w:p>
        </w:tc>
        <w:tc>
          <w:tcPr>
            <w:tcW w:w="1180" w:type="dxa"/>
            <w:vAlign w:val="bottom"/>
          </w:tcPr>
          <w:p>
            <w:pPr>
              <w:jc w:val="right"/>
              <w:spacing w:after="0"/>
              <w:rPr>
                <w:sz w:val="20"/>
                <w:szCs w:val="20"/>
                <w:color w:val="auto"/>
              </w:rPr>
            </w:pPr>
            <w:r>
              <w:rPr>
                <w:rFonts w:ascii="Arial" w:cs="Arial" w:eastAsia="Arial" w:hAnsi="Arial"/>
                <w:sz w:val="18"/>
                <w:szCs w:val="18"/>
                <w:color w:val="auto"/>
              </w:rPr>
              <w:t>23,503</w:t>
            </w:r>
          </w:p>
        </w:tc>
      </w:tr>
      <w:tr>
        <w:trPr>
          <w:trHeight w:val="419"/>
        </w:trPr>
        <w:tc>
          <w:tcPr>
            <w:tcW w:w="654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17,487,391</w:t>
            </w:r>
          </w:p>
        </w:tc>
        <w:tc>
          <w:tcPr>
            <w:tcW w:w="1180" w:type="dxa"/>
            <w:vAlign w:val="bottom"/>
          </w:tcPr>
          <w:p>
            <w:pPr>
              <w:jc w:val="right"/>
              <w:spacing w:after="0"/>
              <w:rPr>
                <w:sz w:val="20"/>
                <w:szCs w:val="20"/>
                <w:color w:val="auto"/>
              </w:rPr>
            </w:pPr>
            <w:r>
              <w:rPr>
                <w:rFonts w:ascii="Arial" w:cs="Arial" w:eastAsia="Arial" w:hAnsi="Arial"/>
                <w:sz w:val="18"/>
                <w:szCs w:val="18"/>
                <w:color w:val="auto"/>
              </w:rPr>
              <w:t>16,910,218</w:t>
            </w:r>
          </w:p>
        </w:tc>
      </w:tr>
      <w:tr>
        <w:trPr>
          <w:trHeight w:val="419"/>
        </w:trPr>
        <w:tc>
          <w:tcPr>
            <w:tcW w:w="6540" w:type="dxa"/>
            <w:vAlign w:val="bottom"/>
          </w:tcPr>
          <w:p>
            <w:pPr>
              <w:ind w:left="80"/>
              <w:spacing w:after="0"/>
              <w:rPr>
                <w:sz w:val="20"/>
                <w:szCs w:val="20"/>
                <w:color w:val="auto"/>
              </w:rPr>
            </w:pPr>
            <w:r>
              <w:rPr>
                <w:rFonts w:ascii="Arial" w:cs="Arial" w:eastAsia="Arial" w:hAnsi="Arial"/>
                <w:sz w:val="18"/>
                <w:szCs w:val="18"/>
                <w:color w:val="auto"/>
              </w:rPr>
              <w:t>Shares and warrants to be issued (Notes 5(ii),and 7)</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67,400</w:t>
            </w:r>
          </w:p>
        </w:tc>
        <w:tc>
          <w:tcPr>
            <w:tcW w:w="1180" w:type="dxa"/>
            <w:vAlign w:val="bottom"/>
          </w:tcPr>
          <w:p>
            <w:pPr>
              <w:jc w:val="right"/>
              <w:spacing w:after="0"/>
              <w:rPr>
                <w:sz w:val="20"/>
                <w:szCs w:val="20"/>
                <w:color w:val="auto"/>
              </w:rPr>
            </w:pPr>
            <w:r>
              <w:rPr>
                <w:rFonts w:ascii="Arial" w:cs="Arial" w:eastAsia="Arial" w:hAnsi="Arial"/>
                <w:sz w:val="18"/>
                <w:szCs w:val="18"/>
                <w:color w:val="auto"/>
              </w:rPr>
              <w:t>67,400</w:t>
            </w:r>
          </w:p>
        </w:tc>
      </w:tr>
      <w:tr>
        <w:trPr>
          <w:trHeight w:val="419"/>
        </w:trPr>
        <w:tc>
          <w:tcPr>
            <w:tcW w:w="6540" w:type="dxa"/>
            <w:vAlign w:val="bottom"/>
          </w:tcPr>
          <w:p>
            <w:pPr>
              <w:ind w:left="80"/>
              <w:spacing w:after="0"/>
              <w:rPr>
                <w:sz w:val="20"/>
                <w:szCs w:val="20"/>
                <w:color w:val="auto"/>
              </w:rPr>
            </w:pPr>
            <w:r>
              <w:rPr>
                <w:rFonts w:ascii="Arial" w:cs="Arial" w:eastAsia="Arial" w:hAnsi="Arial"/>
                <w:sz w:val="18"/>
                <w:szCs w:val="18"/>
                <w:color w:val="auto"/>
              </w:rPr>
              <w:t>Deficit accumulated during the development stage</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(20,320,712)</w:t>
            </w:r>
          </w:p>
        </w:tc>
        <w:tc>
          <w:tcPr>
            <w:tcW w:w="1180" w:type="dxa"/>
            <w:vAlign w:val="bottom"/>
          </w:tcPr>
          <w:p>
            <w:pPr>
              <w:jc w:val="right"/>
              <w:spacing w:after="0"/>
              <w:rPr>
                <w:sz w:val="20"/>
                <w:szCs w:val="20"/>
                <w:color w:val="auto"/>
              </w:rPr>
            </w:pPr>
            <w:r>
              <w:rPr>
                <w:rFonts w:ascii="Arial" w:cs="Arial" w:eastAsia="Arial" w:hAnsi="Arial"/>
                <w:sz w:val="18"/>
                <w:szCs w:val="18"/>
                <w:color w:val="auto"/>
              </w:rPr>
              <w:t>(18,616,167)</w:t>
            </w:r>
          </w:p>
        </w:tc>
      </w:tr>
      <w:tr>
        <w:trPr>
          <w:trHeight w:val="419"/>
        </w:trPr>
        <w:tc>
          <w:tcPr>
            <w:tcW w:w="6540" w:type="dxa"/>
            <w:vAlign w:val="bottom"/>
          </w:tcPr>
          <w:p>
            <w:pPr>
              <w:ind w:left="80"/>
              <w:spacing w:after="0"/>
              <w:rPr>
                <w:sz w:val="20"/>
                <w:szCs w:val="20"/>
                <w:color w:val="auto"/>
              </w:rPr>
            </w:pPr>
            <w:r>
              <w:rPr>
                <w:rFonts w:ascii="Arial" w:cs="Arial" w:eastAsia="Arial" w:hAnsi="Arial"/>
                <w:sz w:val="18"/>
                <w:szCs w:val="18"/>
                <w:color w:val="auto"/>
              </w:rPr>
              <w:t>Accumulated other comprehensive loss</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(48,949)</w:t>
            </w:r>
          </w:p>
        </w:tc>
        <w:tc>
          <w:tcPr>
            <w:tcW w:w="1180" w:type="dxa"/>
            <w:vAlign w:val="bottom"/>
          </w:tcPr>
          <w:p>
            <w:pPr>
              <w:jc w:val="right"/>
              <w:spacing w:after="0"/>
              <w:rPr>
                <w:sz w:val="20"/>
                <w:szCs w:val="20"/>
                <w:color w:val="auto"/>
              </w:rPr>
            </w:pPr>
            <w:r>
              <w:rPr>
                <w:rFonts w:ascii="Arial" w:cs="Arial" w:eastAsia="Arial" w:hAnsi="Arial"/>
                <w:sz w:val="18"/>
                <w:szCs w:val="18"/>
                <w:color w:val="auto"/>
              </w:rPr>
              <w:t>(59,726)</w:t>
            </w:r>
          </w:p>
        </w:tc>
      </w:tr>
      <w:tr>
        <w:trPr>
          <w:trHeight w:val="205"/>
        </w:trPr>
        <w:tc>
          <w:tcPr>
            <w:tcW w:w="65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437"/>
        </w:trPr>
        <w:tc>
          <w:tcPr>
            <w:tcW w:w="6540" w:type="dxa"/>
            <w:vAlign w:val="bottom"/>
          </w:tcPr>
          <w:p>
            <w:pPr>
              <w:spacing w:after="0"/>
              <w:rPr>
                <w:sz w:val="24"/>
                <w:szCs w:val="24"/>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(2,790,720)</w:t>
            </w:r>
          </w:p>
        </w:tc>
        <w:tc>
          <w:tcPr>
            <w:tcW w:w="1180" w:type="dxa"/>
            <w:vAlign w:val="bottom"/>
          </w:tcPr>
          <w:p>
            <w:pPr>
              <w:jc w:val="right"/>
              <w:spacing w:after="0"/>
              <w:rPr>
                <w:sz w:val="20"/>
                <w:szCs w:val="20"/>
                <w:color w:val="auto"/>
              </w:rPr>
            </w:pPr>
            <w:r>
              <w:rPr>
                <w:rFonts w:ascii="Arial" w:cs="Arial" w:eastAsia="Arial" w:hAnsi="Arial"/>
                <w:sz w:val="18"/>
                <w:szCs w:val="18"/>
                <w:color w:val="auto"/>
              </w:rPr>
              <w:t>(1,674,772)</w:t>
            </w:r>
          </w:p>
        </w:tc>
      </w:tr>
      <w:tr>
        <w:trPr>
          <w:trHeight w:val="205"/>
        </w:trPr>
        <w:tc>
          <w:tcPr>
            <w:tcW w:w="65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437"/>
        </w:trPr>
        <w:tc>
          <w:tcPr>
            <w:tcW w:w="6540" w:type="dxa"/>
            <w:vAlign w:val="bottom"/>
          </w:tcPr>
          <w:p>
            <w:pPr>
              <w:spacing w:after="0"/>
              <w:rPr>
                <w:sz w:val="24"/>
                <w:szCs w:val="24"/>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$ 84,442</w:t>
            </w:r>
          </w:p>
        </w:tc>
        <w:tc>
          <w:tcPr>
            <w:tcW w:w="1180" w:type="dxa"/>
            <w:vAlign w:val="bottom"/>
          </w:tcPr>
          <w:p>
            <w:pPr>
              <w:jc w:val="right"/>
              <w:spacing w:after="0"/>
              <w:rPr>
                <w:sz w:val="20"/>
                <w:szCs w:val="20"/>
                <w:color w:val="auto"/>
              </w:rPr>
            </w:pPr>
            <w:r>
              <w:rPr>
                <w:rFonts w:ascii="Arial" w:cs="Arial" w:eastAsia="Arial" w:hAnsi="Arial"/>
                <w:sz w:val="18"/>
                <w:szCs w:val="18"/>
                <w:color w:val="auto"/>
              </w:rPr>
              <w:t>$ 279,107</w:t>
            </w:r>
          </w:p>
        </w:tc>
      </w:tr>
      <w:tr>
        <w:trPr>
          <w:trHeight w:val="212"/>
        </w:trPr>
        <w:tc>
          <w:tcPr>
            <w:tcW w:w="6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120650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75"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TAPIMMUNE INC.</w:t>
      </w:r>
    </w:p>
    <w:p>
      <w:pPr>
        <w:spacing w:after="0" w:line="21"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(A Development Stage Company)</w:t>
      </w:r>
    </w:p>
    <w:p>
      <w:pPr>
        <w:spacing w:after="0" w:line="172"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0099"/>
          </w:cols>
          <w:pgMar w:left="360" w:top="307"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July 27, 1999</w:t>
            </w:r>
          </w:p>
        </w:tc>
      </w:tr>
      <w:tr>
        <w:trPr>
          <w:trHeight w:val="216"/>
        </w:trPr>
        <w:tc>
          <w:tcPr>
            <w:tcW w:w="2720" w:type="dxa"/>
            <w:vAlign w:val="bottom"/>
          </w:tcPr>
          <w:p>
            <w:pPr>
              <w:spacing w:after="0"/>
              <w:rPr>
                <w:sz w:val="18"/>
                <w:szCs w:val="18"/>
                <w:color w:val="auto"/>
              </w:rPr>
            </w:pPr>
          </w:p>
        </w:tc>
        <w:tc>
          <w:tcPr>
            <w:tcW w:w="2800" w:type="dxa"/>
            <w:vAlign w:val="bottom"/>
            <w:gridSpan w:val="2"/>
          </w:tcPr>
          <w:p>
            <w:pPr>
              <w:jc w:val="right"/>
              <w:ind w:right="552"/>
              <w:spacing w:after="0"/>
              <w:rPr>
                <w:sz w:val="20"/>
                <w:szCs w:val="20"/>
                <w:color w:val="auto"/>
              </w:rPr>
            </w:pPr>
            <w:r>
              <w:rPr>
                <w:rFonts w:ascii="Arial" w:cs="Arial" w:eastAsia="Arial" w:hAnsi="Arial"/>
                <w:sz w:val="18"/>
                <w:szCs w:val="18"/>
                <w:color w:val="auto"/>
              </w:rPr>
              <w:t>Three Months Ended</w:t>
            </w:r>
          </w:p>
        </w:tc>
        <w:tc>
          <w:tcPr>
            <w:tcW w:w="2600" w:type="dxa"/>
            <w:vAlign w:val="bottom"/>
            <w:gridSpan w:val="3"/>
          </w:tcPr>
          <w:p>
            <w:pPr>
              <w:jc w:val="right"/>
              <w:ind w:right="640"/>
              <w:spacing w:after="0"/>
              <w:rPr>
                <w:sz w:val="20"/>
                <w:szCs w:val="20"/>
                <w:color w:val="auto"/>
              </w:rPr>
            </w:pPr>
            <w:r>
              <w:rPr>
                <w:rFonts w:ascii="Arial" w:cs="Arial" w:eastAsia="Arial" w:hAnsi="Arial"/>
                <w:sz w:val="18"/>
                <w:szCs w:val="18"/>
                <w:color w:val="auto"/>
              </w:rPr>
              <w:t>Nine Months Ended</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(inception) to</w:t>
            </w:r>
          </w:p>
        </w:tc>
      </w:tr>
      <w:tr>
        <w:trPr>
          <w:trHeight w:val="222"/>
        </w:trPr>
        <w:tc>
          <w:tcPr>
            <w:tcW w:w="2720" w:type="dxa"/>
            <w:vAlign w:val="bottom"/>
          </w:tcPr>
          <w:p>
            <w:pPr>
              <w:spacing w:after="0"/>
              <w:rPr>
                <w:sz w:val="19"/>
                <w:szCs w:val="19"/>
                <w:color w:val="auto"/>
              </w:rPr>
            </w:pPr>
          </w:p>
        </w:tc>
        <w:tc>
          <w:tcPr>
            <w:tcW w:w="2800" w:type="dxa"/>
            <w:vAlign w:val="bottom"/>
            <w:gridSpan w:val="2"/>
          </w:tcPr>
          <w:p>
            <w:pPr>
              <w:jc w:val="right"/>
              <w:ind w:right="792"/>
              <w:spacing w:after="0"/>
              <w:rPr>
                <w:sz w:val="20"/>
                <w:szCs w:val="20"/>
                <w:color w:val="auto"/>
              </w:rPr>
            </w:pPr>
            <w:r>
              <w:rPr>
                <w:rFonts w:ascii="Arial" w:cs="Arial" w:eastAsia="Arial" w:hAnsi="Arial"/>
                <w:sz w:val="18"/>
                <w:szCs w:val="18"/>
                <w:color w:val="auto"/>
              </w:rPr>
              <w:t>September 30,</w:t>
            </w:r>
          </w:p>
        </w:tc>
        <w:tc>
          <w:tcPr>
            <w:tcW w:w="2600" w:type="dxa"/>
            <w:vAlign w:val="bottom"/>
            <w:gridSpan w:val="3"/>
          </w:tcPr>
          <w:p>
            <w:pPr>
              <w:jc w:val="right"/>
              <w:ind w:right="840"/>
              <w:spacing w:after="0"/>
              <w:rPr>
                <w:sz w:val="20"/>
                <w:szCs w:val="20"/>
                <w:color w:val="auto"/>
              </w:rPr>
            </w:pPr>
            <w:r>
              <w:rPr>
                <w:rFonts w:ascii="Arial" w:cs="Arial" w:eastAsia="Arial" w:hAnsi="Arial"/>
                <w:sz w:val="18"/>
                <w:szCs w:val="18"/>
                <w:color w:val="auto"/>
              </w:rPr>
              <w:t>September 30,</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September 30,</w:t>
            </w:r>
          </w:p>
        </w:tc>
      </w:tr>
      <w:tr>
        <w:trPr>
          <w:trHeight w:val="446"/>
        </w:trPr>
        <w:tc>
          <w:tcPr>
            <w:tcW w:w="2720" w:type="dxa"/>
            <w:vAlign w:val="bottom"/>
          </w:tcPr>
          <w:p>
            <w:pPr>
              <w:spacing w:after="0"/>
              <w:rPr>
                <w:sz w:val="24"/>
                <w:szCs w:val="24"/>
                <w:color w:val="auto"/>
              </w:rPr>
            </w:pP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2008</w:t>
            </w:r>
          </w:p>
        </w:tc>
        <w:tc>
          <w:tcPr>
            <w:tcW w:w="1320" w:type="dxa"/>
            <w:vAlign w:val="bottom"/>
          </w:tcPr>
          <w:p>
            <w:pPr>
              <w:jc w:val="right"/>
              <w:ind w:right="452"/>
              <w:spacing w:after="0"/>
              <w:rPr>
                <w:sz w:val="20"/>
                <w:szCs w:val="20"/>
                <w:color w:val="auto"/>
              </w:rPr>
            </w:pPr>
            <w:r>
              <w:rPr>
                <w:rFonts w:ascii="Arial" w:cs="Arial" w:eastAsia="Arial" w:hAnsi="Arial"/>
                <w:sz w:val="18"/>
                <w:szCs w:val="18"/>
                <w:color w:val="auto"/>
              </w:rPr>
              <w:t>2007</w:t>
            </w:r>
          </w:p>
        </w:tc>
        <w:tc>
          <w:tcPr>
            <w:tcW w:w="1320" w:type="dxa"/>
            <w:vAlign w:val="bottom"/>
          </w:tcPr>
          <w:p>
            <w:pPr>
              <w:jc w:val="right"/>
              <w:ind w:right="452"/>
              <w:spacing w:after="0"/>
              <w:rPr>
                <w:sz w:val="20"/>
                <w:szCs w:val="20"/>
                <w:color w:val="auto"/>
              </w:rPr>
            </w:pPr>
            <w:r>
              <w:rPr>
                <w:rFonts w:ascii="Arial" w:cs="Arial" w:eastAsia="Arial" w:hAnsi="Arial"/>
                <w:sz w:val="18"/>
                <w:szCs w:val="18"/>
                <w:color w:val="auto"/>
              </w:rPr>
              <w:t>2008</w:t>
            </w:r>
          </w:p>
        </w:tc>
        <w:tc>
          <w:tcPr>
            <w:tcW w:w="1040" w:type="dxa"/>
            <w:vAlign w:val="bottom"/>
          </w:tcPr>
          <w:p>
            <w:pPr>
              <w:ind w:left="420"/>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2008</w:t>
            </w:r>
          </w:p>
        </w:tc>
      </w:tr>
      <w:tr>
        <w:trPr>
          <w:trHeight w:val="205"/>
        </w:trPr>
        <w:tc>
          <w:tcPr>
            <w:tcW w:w="27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410"/>
        </w:trPr>
        <w:tc>
          <w:tcPr>
            <w:tcW w:w="272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 -</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 -</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$ 30,530</w:t>
            </w:r>
          </w:p>
        </w:tc>
      </w:tr>
      <w:tr>
        <w:trPr>
          <w:trHeight w:val="205"/>
        </w:trPr>
        <w:tc>
          <w:tcPr>
            <w:tcW w:w="27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398"/>
        </w:trPr>
        <w:tc>
          <w:tcPr>
            <w:tcW w:w="272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2720" w:type="dxa"/>
            <w:vAlign w:val="bottom"/>
          </w:tcPr>
          <w:p>
            <w:pPr>
              <w:ind w:left="80"/>
              <w:spacing w:after="0"/>
              <w:rPr>
                <w:sz w:val="20"/>
                <w:szCs w:val="20"/>
                <w:color w:val="auto"/>
              </w:rPr>
            </w:pPr>
            <w:r>
              <w:rPr>
                <w:rFonts w:ascii="Arial" w:cs="Arial" w:eastAsia="Arial" w:hAnsi="Arial"/>
                <w:sz w:val="18"/>
                <w:szCs w:val="18"/>
                <w:b w:val="1"/>
                <w:bCs w:val="1"/>
                <w:color w:val="auto"/>
              </w:rPr>
              <w:t>Expenses</w:t>
            </w:r>
          </w:p>
        </w:tc>
        <w:tc>
          <w:tcPr>
            <w:tcW w:w="1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9"/>
        </w:trPr>
        <w:tc>
          <w:tcPr>
            <w:tcW w:w="2720" w:type="dxa"/>
            <w:vAlign w:val="bottom"/>
          </w:tcPr>
          <w:p>
            <w:pPr>
              <w:ind w:left="80"/>
              <w:spacing w:after="0"/>
              <w:rPr>
                <w:sz w:val="20"/>
                <w:szCs w:val="20"/>
                <w:color w:val="auto"/>
              </w:rPr>
            </w:pPr>
            <w:r>
              <w:rPr>
                <w:rFonts w:ascii="Arial" w:cs="Arial" w:eastAsia="Arial" w:hAnsi="Arial"/>
                <w:sz w:val="18"/>
                <w:szCs w:val="18"/>
                <w:color w:val="auto"/>
              </w:rPr>
              <w:t>Consulting fees</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14,194</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7,322</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162,796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66,629</w:t>
            </w:r>
          </w:p>
        </w:tc>
        <w:tc>
          <w:tcPr>
            <w:tcW w:w="1140" w:type="dxa"/>
            <w:vAlign w:val="bottom"/>
          </w:tcPr>
          <w:p>
            <w:pPr>
              <w:jc w:val="right"/>
              <w:spacing w:after="0"/>
              <w:rPr>
                <w:sz w:val="20"/>
                <w:szCs w:val="20"/>
                <w:color w:val="auto"/>
              </w:rPr>
            </w:pPr>
            <w:r>
              <w:rPr>
                <w:rFonts w:ascii="Arial" w:cs="Arial" w:eastAsia="Arial" w:hAnsi="Arial"/>
                <w:sz w:val="18"/>
                <w:szCs w:val="18"/>
                <w:color w:val="auto"/>
              </w:rPr>
              <w:t>1,148,380</w:t>
            </w:r>
          </w:p>
        </w:tc>
      </w:tr>
      <w:tr>
        <w:trPr>
          <w:trHeight w:val="412"/>
        </w:trPr>
        <w:tc>
          <w:tcPr>
            <w:tcW w:w="2720" w:type="dxa"/>
            <w:vAlign w:val="bottom"/>
          </w:tcPr>
          <w:p>
            <w:pPr>
              <w:ind w:left="80"/>
              <w:spacing w:after="0"/>
              <w:rPr>
                <w:sz w:val="20"/>
                <w:szCs w:val="20"/>
                <w:color w:val="auto"/>
              </w:rPr>
            </w:pPr>
            <w:r>
              <w:rPr>
                <w:rFonts w:ascii="Arial" w:cs="Arial" w:eastAsia="Arial" w:hAnsi="Arial"/>
                <w:sz w:val="18"/>
                <w:szCs w:val="18"/>
                <w:color w:val="auto"/>
              </w:rPr>
              <w:t>Consulting fees</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2720" w:type="dxa"/>
            <w:vAlign w:val="bottom"/>
          </w:tcPr>
          <w:p>
            <w:pPr>
              <w:ind w:left="260"/>
              <w:spacing w:after="0"/>
              <w:rPr>
                <w:sz w:val="20"/>
                <w:szCs w:val="20"/>
                <w:color w:val="auto"/>
              </w:rPr>
            </w:pPr>
            <w:r>
              <w:rPr>
                <w:rFonts w:ascii="Arial" w:cs="Arial" w:eastAsia="Arial" w:hAnsi="Arial"/>
                <w:sz w:val="18"/>
                <w:szCs w:val="18"/>
                <w:color w:val="auto"/>
              </w:rPr>
              <w:t>- stock-based (Note 7)</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36,000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151,500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1140" w:type="dxa"/>
            <w:vAlign w:val="bottom"/>
          </w:tcPr>
          <w:p>
            <w:pPr>
              <w:jc w:val="right"/>
              <w:spacing w:after="0"/>
              <w:rPr>
                <w:sz w:val="20"/>
                <w:szCs w:val="20"/>
                <w:color w:val="auto"/>
              </w:rPr>
            </w:pPr>
            <w:r>
              <w:rPr>
                <w:rFonts w:ascii="Arial" w:cs="Arial" w:eastAsia="Arial" w:hAnsi="Arial"/>
                <w:sz w:val="18"/>
                <w:szCs w:val="18"/>
                <w:color w:val="auto"/>
              </w:rPr>
              <w:t>3,285,775</w:t>
            </w:r>
          </w:p>
        </w:tc>
      </w:tr>
      <w:tr>
        <w:trPr>
          <w:trHeight w:val="419"/>
        </w:trPr>
        <w:tc>
          <w:tcPr>
            <w:tcW w:w="2720" w:type="dxa"/>
            <w:vAlign w:val="bottom"/>
          </w:tcPr>
          <w:p>
            <w:pPr>
              <w:ind w:left="80"/>
              <w:spacing w:after="0"/>
              <w:rPr>
                <w:sz w:val="20"/>
                <w:szCs w:val="20"/>
                <w:color w:val="auto"/>
              </w:rPr>
            </w:pPr>
            <w:r>
              <w:rPr>
                <w:rFonts w:ascii="Arial" w:cs="Arial" w:eastAsia="Arial" w:hAnsi="Arial"/>
                <w:sz w:val="18"/>
                <w:szCs w:val="18"/>
                <w:color w:val="auto"/>
              </w:rPr>
              <w:t>Depreciation</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1,871</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2,557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5,610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4,099</w:t>
            </w:r>
          </w:p>
        </w:tc>
        <w:tc>
          <w:tcPr>
            <w:tcW w:w="1140" w:type="dxa"/>
            <w:vAlign w:val="bottom"/>
          </w:tcPr>
          <w:p>
            <w:pPr>
              <w:jc w:val="right"/>
              <w:spacing w:after="0"/>
              <w:rPr>
                <w:sz w:val="20"/>
                <w:szCs w:val="20"/>
                <w:color w:val="auto"/>
              </w:rPr>
            </w:pPr>
            <w:r>
              <w:rPr>
                <w:rFonts w:ascii="Arial" w:cs="Arial" w:eastAsia="Arial" w:hAnsi="Arial"/>
                <w:sz w:val="18"/>
                <w:szCs w:val="18"/>
                <w:color w:val="auto"/>
              </w:rPr>
              <w:t>207,614</w:t>
            </w:r>
          </w:p>
        </w:tc>
      </w:tr>
      <w:tr>
        <w:trPr>
          <w:trHeight w:val="419"/>
        </w:trPr>
        <w:tc>
          <w:tcPr>
            <w:tcW w:w="2720" w:type="dxa"/>
            <w:vAlign w:val="bottom"/>
          </w:tcPr>
          <w:p>
            <w:pPr>
              <w:ind w:left="80"/>
              <w:spacing w:after="0"/>
              <w:rPr>
                <w:sz w:val="20"/>
                <w:szCs w:val="20"/>
                <w:color w:val="auto"/>
              </w:rPr>
            </w:pPr>
            <w:r>
              <w:rPr>
                <w:rFonts w:ascii="Arial" w:cs="Arial" w:eastAsia="Arial" w:hAnsi="Arial"/>
                <w:sz w:val="18"/>
                <w:szCs w:val="18"/>
                <w:color w:val="auto"/>
              </w:rPr>
              <w:t>Gain on settlement of debts</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(173,010)</w:t>
            </w:r>
          </w:p>
        </w:tc>
      </w:tr>
      <w:tr>
        <w:trPr>
          <w:trHeight w:val="419"/>
        </w:trPr>
        <w:tc>
          <w:tcPr>
            <w:tcW w:w="2720" w:type="dxa"/>
            <w:vAlign w:val="bottom"/>
          </w:tcPr>
          <w:p>
            <w:pPr>
              <w:ind w:left="80"/>
              <w:spacing w:after="0"/>
              <w:rPr>
                <w:sz w:val="20"/>
                <w:szCs w:val="20"/>
                <w:color w:val="auto"/>
              </w:rPr>
            </w:pPr>
            <w:r>
              <w:rPr>
                <w:rFonts w:ascii="Arial" w:cs="Arial" w:eastAsia="Arial" w:hAnsi="Arial"/>
                <w:sz w:val="18"/>
                <w:szCs w:val="18"/>
                <w:color w:val="auto"/>
              </w:rPr>
              <w:t>General and administrative</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12,633</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91,488</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61,037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123,250</w:t>
            </w:r>
          </w:p>
        </w:tc>
        <w:tc>
          <w:tcPr>
            <w:tcW w:w="1140" w:type="dxa"/>
            <w:vAlign w:val="bottom"/>
          </w:tcPr>
          <w:p>
            <w:pPr>
              <w:jc w:val="right"/>
              <w:spacing w:after="0"/>
              <w:rPr>
                <w:sz w:val="20"/>
                <w:szCs w:val="20"/>
                <w:color w:val="auto"/>
              </w:rPr>
            </w:pPr>
            <w:r>
              <w:rPr>
                <w:rFonts w:ascii="Arial" w:cs="Arial" w:eastAsia="Arial" w:hAnsi="Arial"/>
                <w:sz w:val="18"/>
                <w:szCs w:val="18"/>
                <w:color w:val="auto"/>
              </w:rPr>
              <w:t>2,268,654</w:t>
            </w:r>
          </w:p>
        </w:tc>
      </w:tr>
      <w:tr>
        <w:trPr>
          <w:trHeight w:val="412"/>
        </w:trPr>
        <w:tc>
          <w:tcPr>
            <w:tcW w:w="2720" w:type="dxa"/>
            <w:vAlign w:val="bottom"/>
          </w:tcPr>
          <w:p>
            <w:pPr>
              <w:ind w:left="80"/>
              <w:spacing w:after="0"/>
              <w:rPr>
                <w:sz w:val="20"/>
                <w:szCs w:val="20"/>
                <w:color w:val="auto"/>
              </w:rPr>
            </w:pPr>
            <w:r>
              <w:rPr>
                <w:rFonts w:ascii="Arial" w:cs="Arial" w:eastAsia="Arial" w:hAnsi="Arial"/>
                <w:sz w:val="18"/>
                <w:szCs w:val="18"/>
                <w:color w:val="auto"/>
              </w:rPr>
              <w:t>Interest and finance</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2720" w:type="dxa"/>
            <w:vAlign w:val="bottom"/>
          </w:tcPr>
          <w:p>
            <w:pPr>
              <w:ind w:left="220"/>
              <w:spacing w:after="0"/>
              <w:rPr>
                <w:sz w:val="20"/>
                <w:szCs w:val="20"/>
                <w:color w:val="auto"/>
              </w:rPr>
            </w:pPr>
            <w:r>
              <w:rPr>
                <w:rFonts w:ascii="Arial" w:cs="Arial" w:eastAsia="Arial" w:hAnsi="Arial"/>
                <w:sz w:val="18"/>
                <w:szCs w:val="18"/>
                <w:color w:val="auto"/>
              </w:rPr>
              <w:t>charges (Note 5)</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134,290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48,359</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618,740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1,149,754</w:t>
            </w:r>
          </w:p>
        </w:tc>
        <w:tc>
          <w:tcPr>
            <w:tcW w:w="1140" w:type="dxa"/>
            <w:vAlign w:val="bottom"/>
          </w:tcPr>
          <w:p>
            <w:pPr>
              <w:jc w:val="right"/>
              <w:spacing w:after="0"/>
              <w:rPr>
                <w:sz w:val="20"/>
                <w:szCs w:val="20"/>
                <w:color w:val="auto"/>
              </w:rPr>
            </w:pPr>
            <w:r>
              <w:rPr>
                <w:rFonts w:ascii="Arial" w:cs="Arial" w:eastAsia="Arial" w:hAnsi="Arial"/>
                <w:sz w:val="18"/>
                <w:szCs w:val="18"/>
                <w:color w:val="auto"/>
              </w:rPr>
              <w:t>2,562,230</w:t>
            </w:r>
          </w:p>
        </w:tc>
      </w:tr>
      <w:tr>
        <w:trPr>
          <w:trHeight w:val="419"/>
        </w:trPr>
        <w:tc>
          <w:tcPr>
            <w:tcW w:w="2720" w:type="dxa"/>
            <w:vAlign w:val="bottom"/>
          </w:tcPr>
          <w:p>
            <w:pPr>
              <w:ind w:left="80"/>
              <w:spacing w:after="0"/>
              <w:rPr>
                <w:sz w:val="20"/>
                <w:szCs w:val="20"/>
                <w:color w:val="auto"/>
              </w:rPr>
            </w:pPr>
            <w:r>
              <w:rPr>
                <w:rFonts w:ascii="Arial" w:cs="Arial" w:eastAsia="Arial" w:hAnsi="Arial"/>
                <w:sz w:val="18"/>
                <w:szCs w:val="18"/>
                <w:color w:val="auto"/>
              </w:rPr>
              <w:t>Management fees (Note 6)</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77,139</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63,611</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232,239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177,487</w:t>
            </w:r>
          </w:p>
        </w:tc>
        <w:tc>
          <w:tcPr>
            <w:tcW w:w="1140" w:type="dxa"/>
            <w:vAlign w:val="bottom"/>
          </w:tcPr>
          <w:p>
            <w:pPr>
              <w:jc w:val="right"/>
              <w:spacing w:after="0"/>
              <w:rPr>
                <w:sz w:val="20"/>
                <w:szCs w:val="20"/>
                <w:color w:val="auto"/>
              </w:rPr>
            </w:pPr>
            <w:r>
              <w:rPr>
                <w:rFonts w:ascii="Arial" w:cs="Arial" w:eastAsia="Arial" w:hAnsi="Arial"/>
                <w:sz w:val="18"/>
                <w:szCs w:val="18"/>
                <w:color w:val="auto"/>
              </w:rPr>
              <w:t>1,813,312</w:t>
            </w:r>
          </w:p>
        </w:tc>
      </w:tr>
      <w:tr>
        <w:trPr>
          <w:trHeight w:val="412"/>
        </w:trPr>
        <w:tc>
          <w:tcPr>
            <w:tcW w:w="2720" w:type="dxa"/>
            <w:vAlign w:val="bottom"/>
          </w:tcPr>
          <w:p>
            <w:pPr>
              <w:ind w:left="80"/>
              <w:spacing w:after="0"/>
              <w:rPr>
                <w:sz w:val="20"/>
                <w:szCs w:val="20"/>
                <w:color w:val="auto"/>
              </w:rPr>
            </w:pPr>
            <w:r>
              <w:rPr>
                <w:rFonts w:ascii="Arial" w:cs="Arial" w:eastAsia="Arial" w:hAnsi="Arial"/>
                <w:sz w:val="18"/>
                <w:szCs w:val="18"/>
                <w:color w:val="auto"/>
              </w:rPr>
              <w:t>Management fees</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2720" w:type="dxa"/>
            <w:vAlign w:val="bottom"/>
          </w:tcPr>
          <w:p>
            <w:pPr>
              <w:ind w:left="260"/>
              <w:spacing w:after="0"/>
              <w:rPr>
                <w:sz w:val="20"/>
                <w:szCs w:val="20"/>
                <w:color w:val="auto"/>
              </w:rPr>
            </w:pPr>
            <w:r>
              <w:rPr>
                <w:rFonts w:ascii="Arial" w:cs="Arial" w:eastAsia="Arial" w:hAnsi="Arial"/>
                <w:sz w:val="18"/>
                <w:szCs w:val="18"/>
                <w:color w:val="auto"/>
              </w:rPr>
              <w:t>- stock-based (Note 7)</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13,167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159,501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456,014</w:t>
            </w:r>
          </w:p>
        </w:tc>
        <w:tc>
          <w:tcPr>
            <w:tcW w:w="1140" w:type="dxa"/>
            <w:vAlign w:val="bottom"/>
          </w:tcPr>
          <w:p>
            <w:pPr>
              <w:jc w:val="right"/>
              <w:spacing w:after="0"/>
              <w:rPr>
                <w:sz w:val="20"/>
                <w:szCs w:val="20"/>
                <w:color w:val="auto"/>
              </w:rPr>
            </w:pPr>
            <w:r>
              <w:rPr>
                <w:rFonts w:ascii="Arial" w:cs="Arial" w:eastAsia="Arial" w:hAnsi="Arial"/>
                <w:sz w:val="18"/>
                <w:szCs w:val="18"/>
                <w:color w:val="auto"/>
              </w:rPr>
              <w:t>814,223</w:t>
            </w:r>
          </w:p>
        </w:tc>
      </w:tr>
      <w:tr>
        <w:trPr>
          <w:trHeight w:val="419"/>
        </w:trPr>
        <w:tc>
          <w:tcPr>
            <w:tcW w:w="2720" w:type="dxa"/>
            <w:vAlign w:val="bottom"/>
          </w:tcPr>
          <w:p>
            <w:pPr>
              <w:ind w:left="80"/>
              <w:spacing w:after="0"/>
              <w:rPr>
                <w:sz w:val="20"/>
                <w:szCs w:val="20"/>
                <w:color w:val="auto"/>
              </w:rPr>
            </w:pPr>
            <w:r>
              <w:rPr>
                <w:rFonts w:ascii="Arial" w:cs="Arial" w:eastAsia="Arial" w:hAnsi="Arial"/>
                <w:sz w:val="18"/>
                <w:szCs w:val="18"/>
                <w:color w:val="auto"/>
              </w:rPr>
              <w:t>Professional fees</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12,963</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125,863</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241,629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281,197</w:t>
            </w:r>
          </w:p>
        </w:tc>
        <w:tc>
          <w:tcPr>
            <w:tcW w:w="1140" w:type="dxa"/>
            <w:vAlign w:val="bottom"/>
          </w:tcPr>
          <w:p>
            <w:pPr>
              <w:jc w:val="right"/>
              <w:spacing w:after="0"/>
              <w:rPr>
                <w:sz w:val="20"/>
                <w:szCs w:val="20"/>
                <w:color w:val="auto"/>
              </w:rPr>
            </w:pPr>
            <w:r>
              <w:rPr>
                <w:rFonts w:ascii="Arial" w:cs="Arial" w:eastAsia="Arial" w:hAnsi="Arial"/>
                <w:sz w:val="18"/>
                <w:szCs w:val="18"/>
                <w:color w:val="auto"/>
              </w:rPr>
              <w:t>2,598,564</w:t>
            </w:r>
          </w:p>
        </w:tc>
      </w:tr>
      <w:tr>
        <w:trPr>
          <w:trHeight w:val="412"/>
        </w:trPr>
        <w:tc>
          <w:tcPr>
            <w:tcW w:w="272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2720" w:type="dxa"/>
            <w:vAlign w:val="bottom"/>
          </w:tcPr>
          <w:p>
            <w:pPr>
              <w:ind w:left="220"/>
              <w:spacing w:after="0"/>
              <w:rPr>
                <w:sz w:val="20"/>
                <w:szCs w:val="20"/>
                <w:color w:val="auto"/>
              </w:rPr>
            </w:pPr>
            <w:r>
              <w:rPr>
                <w:rFonts w:ascii="Arial" w:cs="Arial" w:eastAsia="Arial" w:hAnsi="Arial"/>
                <w:sz w:val="18"/>
                <w:szCs w:val="18"/>
                <w:color w:val="auto"/>
              </w:rPr>
              <w:t>(Note 6)</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865</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175,539</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71,493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321,998</w:t>
            </w:r>
          </w:p>
        </w:tc>
        <w:tc>
          <w:tcPr>
            <w:tcW w:w="1140" w:type="dxa"/>
            <w:vAlign w:val="bottom"/>
          </w:tcPr>
          <w:p>
            <w:pPr>
              <w:jc w:val="right"/>
              <w:spacing w:after="0"/>
              <w:rPr>
                <w:sz w:val="20"/>
                <w:szCs w:val="20"/>
                <w:color w:val="auto"/>
              </w:rPr>
            </w:pPr>
            <w:r>
              <w:rPr>
                <w:rFonts w:ascii="Arial" w:cs="Arial" w:eastAsia="Arial" w:hAnsi="Arial"/>
                <w:sz w:val="18"/>
                <w:szCs w:val="18"/>
                <w:color w:val="auto"/>
              </w:rPr>
              <w:t>5,213,501</w:t>
            </w:r>
          </w:p>
        </w:tc>
      </w:tr>
      <w:tr>
        <w:trPr>
          <w:trHeight w:val="412"/>
        </w:trPr>
        <w:tc>
          <w:tcPr>
            <w:tcW w:w="272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2720" w:type="dxa"/>
            <w:vAlign w:val="bottom"/>
          </w:tcPr>
          <w:p>
            <w:pPr>
              <w:ind w:left="220"/>
              <w:spacing w:after="0"/>
              <w:rPr>
                <w:sz w:val="20"/>
                <w:szCs w:val="20"/>
                <w:color w:val="auto"/>
              </w:rPr>
            </w:pPr>
            <w:r>
              <w:rPr>
                <w:rFonts w:ascii="Arial" w:cs="Arial" w:eastAsia="Arial" w:hAnsi="Arial"/>
                <w:sz w:val="18"/>
                <w:szCs w:val="18"/>
                <w:color w:val="auto"/>
              </w:rPr>
              <w:t>- stock-based</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612,000</w:t>
            </w:r>
          </w:p>
        </w:tc>
      </w:tr>
      <w:tr>
        <w:trPr>
          <w:trHeight w:val="205"/>
        </w:trPr>
        <w:tc>
          <w:tcPr>
            <w:tcW w:w="27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437"/>
        </w:trPr>
        <w:tc>
          <w:tcPr>
            <w:tcW w:w="2720" w:type="dxa"/>
            <w:vAlign w:val="bottom"/>
          </w:tcPr>
          <w:p>
            <w:pPr>
              <w:spacing w:after="0"/>
              <w:rPr>
                <w:sz w:val="24"/>
                <w:szCs w:val="24"/>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267,120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550,739</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1,704,545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2,780,428</w:t>
            </w:r>
          </w:p>
        </w:tc>
        <w:tc>
          <w:tcPr>
            <w:tcW w:w="1140" w:type="dxa"/>
            <w:vAlign w:val="bottom"/>
          </w:tcPr>
          <w:p>
            <w:pPr>
              <w:jc w:val="right"/>
              <w:spacing w:after="0"/>
              <w:rPr>
                <w:sz w:val="20"/>
                <w:szCs w:val="20"/>
                <w:color w:val="auto"/>
              </w:rPr>
            </w:pPr>
            <w:r>
              <w:rPr>
                <w:rFonts w:ascii="Arial" w:cs="Arial" w:eastAsia="Arial" w:hAnsi="Arial"/>
                <w:sz w:val="18"/>
                <w:szCs w:val="18"/>
                <w:color w:val="auto"/>
              </w:rPr>
              <w:t>20,351,242</w:t>
            </w:r>
          </w:p>
        </w:tc>
      </w:tr>
      <w:tr>
        <w:trPr>
          <w:trHeight w:val="205"/>
        </w:trPr>
        <w:tc>
          <w:tcPr>
            <w:tcW w:w="27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410"/>
        </w:trPr>
        <w:tc>
          <w:tcPr>
            <w:tcW w:w="2720" w:type="dxa"/>
            <w:vAlign w:val="bottom"/>
          </w:tcPr>
          <w:p>
            <w:pPr>
              <w:spacing w:after="0"/>
              <w:rPr>
                <w:sz w:val="20"/>
                <w:szCs w:val="20"/>
                <w:color w:val="auto"/>
              </w:rPr>
            </w:pPr>
            <w:r>
              <w:rPr>
                <w:rFonts w:ascii="Arial" w:cs="Arial" w:eastAsia="Arial" w:hAnsi="Arial"/>
                <w:sz w:val="18"/>
                <w:szCs w:val="18"/>
                <w:b w:val="1"/>
                <w:bCs w:val="1"/>
                <w:color w:val="auto"/>
              </w:rPr>
              <w:t>Net Loss for the Period</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(267,120)</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(550,739)</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(1,704,545)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(2,780,428)</w:t>
            </w:r>
          </w:p>
        </w:tc>
        <w:tc>
          <w:tcPr>
            <w:tcW w:w="1140" w:type="dxa"/>
            <w:vAlign w:val="bottom"/>
          </w:tcPr>
          <w:p>
            <w:pPr>
              <w:jc w:val="right"/>
              <w:spacing w:after="0"/>
              <w:rPr>
                <w:sz w:val="20"/>
                <w:szCs w:val="20"/>
                <w:color w:val="auto"/>
              </w:rPr>
            </w:pPr>
            <w:r>
              <w:rPr>
                <w:rFonts w:ascii="Arial" w:cs="Arial" w:eastAsia="Arial" w:hAnsi="Arial"/>
                <w:sz w:val="18"/>
                <w:szCs w:val="18"/>
                <w:color w:val="auto"/>
              </w:rPr>
              <w:t>(20,320,712)</w:t>
            </w:r>
          </w:p>
        </w:tc>
      </w:tr>
      <w:tr>
        <w:trPr>
          <w:trHeight w:val="406"/>
        </w:trPr>
        <w:tc>
          <w:tcPr>
            <w:tcW w:w="2720" w:type="dxa"/>
            <w:vAlign w:val="bottom"/>
          </w:tcPr>
          <w:p>
            <w:pPr>
              <w:spacing w:after="0"/>
              <w:rPr>
                <w:sz w:val="20"/>
                <w:szCs w:val="20"/>
                <w:color w:val="auto"/>
              </w:rPr>
            </w:pPr>
            <w:r>
              <w:rPr>
                <w:rFonts w:ascii="Arial" w:cs="Arial" w:eastAsia="Arial" w:hAnsi="Arial"/>
                <w:sz w:val="18"/>
                <w:szCs w:val="18"/>
                <w:b w:val="1"/>
                <w:bCs w:val="1"/>
                <w:color w:val="auto"/>
              </w:rPr>
              <w:t>Deficit Accumulated During the</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b w:val="1"/>
                <w:bCs w:val="1"/>
                <w:color w:val="auto"/>
                <w:w w:val="99"/>
              </w:rPr>
              <w:t>Development Stage, beginning</w:t>
            </w: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2720" w:type="dxa"/>
            <w:vAlign w:val="bottom"/>
          </w:tcPr>
          <w:p>
            <w:pPr>
              <w:ind w:left="80"/>
              <w:spacing w:after="0"/>
              <w:rPr>
                <w:sz w:val="20"/>
                <w:szCs w:val="20"/>
                <w:color w:val="auto"/>
              </w:rPr>
            </w:pPr>
            <w:r>
              <w:rPr>
                <w:rFonts w:ascii="Arial" w:cs="Arial" w:eastAsia="Arial" w:hAnsi="Arial"/>
                <w:sz w:val="18"/>
                <w:szCs w:val="18"/>
                <w:b w:val="1"/>
                <w:bCs w:val="1"/>
                <w:color w:val="auto"/>
              </w:rPr>
              <w:t>of period</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(20,053,592)</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(16,954,445)</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(18,616,167)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(14,724,756)</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5"/>
        </w:trPr>
        <w:tc>
          <w:tcPr>
            <w:tcW w:w="27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398"/>
        </w:trPr>
        <w:tc>
          <w:tcPr>
            <w:tcW w:w="2720" w:type="dxa"/>
            <w:vAlign w:val="bottom"/>
          </w:tcPr>
          <w:p>
            <w:pPr>
              <w:spacing w:after="0"/>
              <w:rPr>
                <w:sz w:val="20"/>
                <w:szCs w:val="20"/>
                <w:color w:val="auto"/>
              </w:rPr>
            </w:pPr>
            <w:r>
              <w:rPr>
                <w:rFonts w:ascii="Arial" w:cs="Arial" w:eastAsia="Arial" w:hAnsi="Arial"/>
                <w:sz w:val="18"/>
                <w:szCs w:val="18"/>
                <w:b w:val="1"/>
                <w:bCs w:val="1"/>
                <w:color w:val="auto"/>
              </w:rPr>
              <w:t>Deficit Accumulated During the</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b w:val="1"/>
                <w:bCs w:val="1"/>
                <w:color w:val="auto"/>
              </w:rPr>
              <w:t>Development Stage, end</w:t>
            </w: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2720" w:type="dxa"/>
            <w:vAlign w:val="bottom"/>
          </w:tcPr>
          <w:p>
            <w:pPr>
              <w:ind w:left="80"/>
              <w:spacing w:after="0"/>
              <w:rPr>
                <w:sz w:val="20"/>
                <w:szCs w:val="20"/>
                <w:color w:val="auto"/>
              </w:rPr>
            </w:pPr>
            <w:r>
              <w:rPr>
                <w:rFonts w:ascii="Arial" w:cs="Arial" w:eastAsia="Arial" w:hAnsi="Arial"/>
                <w:sz w:val="18"/>
                <w:szCs w:val="18"/>
                <w:b w:val="1"/>
                <w:bCs w:val="1"/>
                <w:color w:val="auto"/>
              </w:rPr>
              <w:t>of period</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$(20,320,712)</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$(17,505,184)</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$(20,320,712)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$(17,505,184)</w:t>
            </w:r>
          </w:p>
        </w:tc>
        <w:tc>
          <w:tcPr>
            <w:tcW w:w="1140" w:type="dxa"/>
            <w:vAlign w:val="bottom"/>
          </w:tcPr>
          <w:p>
            <w:pPr>
              <w:jc w:val="right"/>
              <w:spacing w:after="0"/>
              <w:rPr>
                <w:sz w:val="20"/>
                <w:szCs w:val="20"/>
                <w:color w:val="auto"/>
              </w:rPr>
            </w:pPr>
            <w:r>
              <w:rPr>
                <w:rFonts w:ascii="Arial" w:cs="Arial" w:eastAsia="Arial" w:hAnsi="Arial"/>
                <w:sz w:val="18"/>
                <w:szCs w:val="18"/>
                <w:color w:val="auto"/>
                <w:w w:val="98"/>
              </w:rPr>
              <w:t>$(20,320,712)</w:t>
            </w:r>
          </w:p>
        </w:tc>
      </w:tr>
      <w:tr>
        <w:trPr>
          <w:trHeight w:val="212"/>
        </w:trPr>
        <w:tc>
          <w:tcPr>
            <w:tcW w:w="2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593"/>
        </w:trPr>
        <w:tc>
          <w:tcPr>
            <w:tcW w:w="2720" w:type="dxa"/>
            <w:vAlign w:val="bottom"/>
          </w:tcPr>
          <w:p>
            <w:pPr>
              <w:spacing w:after="0"/>
              <w:rPr>
                <w:sz w:val="20"/>
                <w:szCs w:val="20"/>
                <w:color w:val="auto"/>
              </w:rPr>
            </w:pPr>
            <w:r>
              <w:rPr>
                <w:rFonts w:ascii="Arial" w:cs="Arial" w:eastAsia="Arial" w:hAnsi="Arial"/>
                <w:sz w:val="18"/>
                <w:szCs w:val="18"/>
                <w:b w:val="1"/>
                <w:bCs w:val="1"/>
                <w:color w:val="auto"/>
              </w:rPr>
              <w:t>Basic and Diluted</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2720" w:type="dxa"/>
            <w:vAlign w:val="bottom"/>
          </w:tcPr>
          <w:p>
            <w:pPr>
              <w:ind w:left="80"/>
              <w:spacing w:after="0"/>
              <w:rPr>
                <w:sz w:val="20"/>
                <w:szCs w:val="20"/>
                <w:color w:val="auto"/>
              </w:rPr>
            </w:pPr>
            <w:r>
              <w:rPr>
                <w:rFonts w:ascii="Arial" w:cs="Arial" w:eastAsia="Arial" w:hAnsi="Arial"/>
                <w:sz w:val="18"/>
                <w:szCs w:val="18"/>
                <w:b w:val="1"/>
                <w:bCs w:val="1"/>
                <w:color w:val="auto"/>
              </w:rPr>
              <w:t>Net Loss per Share</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 (0.01)</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 (0.02)</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 (0.07)</w:t>
            </w:r>
          </w:p>
        </w:tc>
        <w:tc>
          <w:tcPr>
            <w:tcW w:w="1040" w:type="dxa"/>
            <w:vAlign w:val="bottom"/>
          </w:tcPr>
          <w:p>
            <w:pPr>
              <w:ind w:left="440"/>
              <w:spacing w:after="0"/>
              <w:rPr>
                <w:sz w:val="20"/>
                <w:szCs w:val="20"/>
                <w:color w:val="auto"/>
              </w:rPr>
            </w:pPr>
            <w:r>
              <w:rPr>
                <w:rFonts w:ascii="Arial" w:cs="Arial" w:eastAsia="Arial" w:hAnsi="Arial"/>
                <w:sz w:val="18"/>
                <w:szCs w:val="18"/>
                <w:color w:val="auto"/>
                <w:w w:val="93"/>
              </w:rPr>
              <w:t>$ (0.14)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2"/>
        </w:trPr>
        <w:tc>
          <w:tcPr>
            <w:tcW w:w="2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04"/>
        </w:trPr>
        <w:tc>
          <w:tcPr>
            <w:tcW w:w="2720" w:type="dxa"/>
            <w:vAlign w:val="bottom"/>
          </w:tcPr>
          <w:p>
            <w:pPr>
              <w:spacing w:after="0"/>
              <w:rPr>
                <w:sz w:val="20"/>
                <w:szCs w:val="20"/>
                <w:color w:val="auto"/>
              </w:rPr>
            </w:pPr>
            <w:r>
              <w:rPr>
                <w:rFonts w:ascii="Arial" w:cs="Arial" w:eastAsia="Arial" w:hAnsi="Arial"/>
                <w:sz w:val="18"/>
                <w:szCs w:val="18"/>
                <w:b w:val="1"/>
                <w:bCs w:val="1"/>
                <w:color w:val="auto"/>
              </w:rPr>
              <w:t>Weighted Average Number of</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2720" w:type="dxa"/>
            <w:vAlign w:val="bottom"/>
          </w:tcPr>
          <w:p>
            <w:pPr>
              <w:ind w:left="80"/>
              <w:spacing w:after="0"/>
              <w:rPr>
                <w:sz w:val="20"/>
                <w:szCs w:val="20"/>
                <w:color w:val="auto"/>
              </w:rPr>
            </w:pPr>
            <w:r>
              <w:rPr>
                <w:rFonts w:ascii="Arial" w:cs="Arial" w:eastAsia="Arial" w:hAnsi="Arial"/>
                <w:sz w:val="18"/>
                <w:szCs w:val="18"/>
                <w:b w:val="1"/>
                <w:bCs w:val="1"/>
                <w:color w:val="auto"/>
              </w:rPr>
              <w:t>Common Shares Outstanding</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24,102,653</w:t>
            </w: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23,402,681</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23,815,785</w:t>
            </w:r>
          </w:p>
        </w:tc>
        <w:tc>
          <w:tcPr>
            <w:tcW w:w="1040" w:type="dxa"/>
            <w:vAlign w:val="bottom"/>
          </w:tcPr>
          <w:p>
            <w:pPr>
              <w:jc w:val="right"/>
              <w:spacing w:after="0"/>
              <w:rPr>
                <w:sz w:val="20"/>
                <w:szCs w:val="20"/>
                <w:color w:val="auto"/>
              </w:rPr>
            </w:pPr>
            <w:r>
              <w:rPr>
                <w:rFonts w:ascii="Arial" w:cs="Arial" w:eastAsia="Arial" w:hAnsi="Arial"/>
                <w:sz w:val="18"/>
                <w:szCs w:val="18"/>
                <w:color w:val="auto"/>
              </w:rPr>
              <w:t>19,943,326</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2"/>
        </w:trPr>
        <w:tc>
          <w:tcPr>
            <w:tcW w:w="2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120650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75"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TAPIMMUNE INC.</w:t>
      </w:r>
    </w:p>
    <w:p>
      <w:pPr>
        <w:spacing w:after="0" w:line="21"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(A Development Stage Company)</w:t>
      </w:r>
    </w:p>
    <w:p>
      <w:pPr>
        <w:sectPr>
          <w:pgSz w:w="11900" w:h="16838" w:orient="portrait"/>
          <w:cols w:equalWidth="0" w:num="1">
            <w:col w:w="10099"/>
          </w:cols>
          <w:pgMar w:left="360" w:top="239"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7860" w:type="dxa"/>
            <w:vAlign w:val="bottom"/>
            <w:gridSpan w:val="3"/>
          </w:tcPr>
          <w:p>
            <w:pPr>
              <w:ind w:left="3540"/>
              <w:spacing w:after="0"/>
              <w:rPr>
                <w:sz w:val="20"/>
                <w:szCs w:val="20"/>
                <w:color w:val="auto"/>
              </w:rPr>
            </w:pPr>
            <w:r>
              <w:rPr>
                <w:rFonts w:ascii="Arial" w:cs="Arial" w:eastAsia="Arial" w:hAnsi="Arial"/>
                <w:sz w:val="18"/>
                <w:szCs w:val="18"/>
                <w:b w:val="1"/>
                <w:bCs w:val="1"/>
                <w:color w:val="auto"/>
              </w:rPr>
              <w:t>CONSOLIDATED STATEMENTS OF CASH FLOWS</w:t>
            </w:r>
          </w:p>
        </w:tc>
        <w:tc>
          <w:tcPr>
            <w:tcW w:w="1260" w:type="dxa"/>
            <w:vAlign w:val="bottom"/>
          </w:tcPr>
          <w:p>
            <w:pPr>
              <w:spacing w:after="0"/>
              <w:rPr>
                <w:sz w:val="18"/>
                <w:szCs w:val="18"/>
                <w:color w:val="auto"/>
              </w:rPr>
            </w:pPr>
          </w:p>
        </w:tc>
      </w:tr>
      <w:tr>
        <w:trPr>
          <w:trHeight w:val="228"/>
        </w:trPr>
        <w:tc>
          <w:tcPr>
            <w:tcW w:w="4500" w:type="dxa"/>
            <w:vAlign w:val="bottom"/>
          </w:tcPr>
          <w:p>
            <w:pPr>
              <w:spacing w:after="0"/>
              <w:rPr>
                <w:sz w:val="19"/>
                <w:szCs w:val="19"/>
                <w:color w:val="auto"/>
              </w:rPr>
            </w:pPr>
          </w:p>
        </w:tc>
        <w:tc>
          <w:tcPr>
            <w:tcW w:w="1960" w:type="dxa"/>
            <w:vAlign w:val="bottom"/>
          </w:tcPr>
          <w:p>
            <w:pPr>
              <w:jc w:val="right"/>
              <w:ind w:right="332"/>
              <w:spacing w:after="0"/>
              <w:rPr>
                <w:sz w:val="20"/>
                <w:szCs w:val="20"/>
                <w:color w:val="auto"/>
              </w:rPr>
            </w:pPr>
            <w:r>
              <w:rPr>
                <w:rFonts w:ascii="Arial" w:cs="Arial" w:eastAsia="Arial" w:hAnsi="Arial"/>
                <w:sz w:val="18"/>
                <w:szCs w:val="18"/>
                <w:b w:val="1"/>
                <w:bCs w:val="1"/>
                <w:color w:val="auto"/>
              </w:rPr>
              <w:t>(Unaudited)</w:t>
            </w:r>
          </w:p>
        </w:tc>
        <w:tc>
          <w:tcPr>
            <w:tcW w:w="1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93"/>
        </w:trPr>
        <w:tc>
          <w:tcPr>
            <w:tcW w:w="4500" w:type="dxa"/>
            <w:vAlign w:val="bottom"/>
          </w:tcPr>
          <w:p>
            <w:pPr>
              <w:spacing w:after="0"/>
              <w:rPr>
                <w:sz w:val="24"/>
                <w:szCs w:val="24"/>
                <w:color w:val="auto"/>
              </w:rPr>
            </w:pPr>
          </w:p>
        </w:tc>
        <w:tc>
          <w:tcPr>
            <w:tcW w:w="1960" w:type="dxa"/>
            <w:vAlign w:val="bottom"/>
          </w:tcPr>
          <w:p>
            <w:pPr>
              <w:jc w:val="center"/>
              <w:ind w:left="272"/>
              <w:spacing w:after="0"/>
              <w:rPr>
                <w:sz w:val="20"/>
                <w:szCs w:val="20"/>
                <w:color w:val="auto"/>
              </w:rPr>
            </w:pPr>
            <w:r>
              <w:rPr>
                <w:rFonts w:ascii="Arial" w:cs="Arial" w:eastAsia="Arial" w:hAnsi="Arial"/>
                <w:sz w:val="18"/>
                <w:szCs w:val="18"/>
                <w:color w:val="auto"/>
                <w:w w:val="91"/>
              </w:rPr>
              <w:t>Nine Months</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Nine Months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July 27, 1999</w:t>
            </w:r>
          </w:p>
        </w:tc>
      </w:tr>
      <w:tr>
        <w:trPr>
          <w:trHeight w:val="216"/>
        </w:trPr>
        <w:tc>
          <w:tcPr>
            <w:tcW w:w="4500" w:type="dxa"/>
            <w:vAlign w:val="bottom"/>
          </w:tcPr>
          <w:p>
            <w:pPr>
              <w:spacing w:after="0"/>
              <w:rPr>
                <w:sz w:val="18"/>
                <w:szCs w:val="18"/>
                <w:color w:val="auto"/>
              </w:rPr>
            </w:pPr>
          </w:p>
        </w:tc>
        <w:tc>
          <w:tcPr>
            <w:tcW w:w="1960" w:type="dxa"/>
            <w:vAlign w:val="bottom"/>
          </w:tcPr>
          <w:p>
            <w:pPr>
              <w:jc w:val="center"/>
              <w:ind w:left="292"/>
              <w:spacing w:after="0"/>
              <w:rPr>
                <w:sz w:val="20"/>
                <w:szCs w:val="20"/>
                <w:color w:val="auto"/>
              </w:rPr>
            </w:pPr>
            <w:r>
              <w:rPr>
                <w:rFonts w:ascii="Arial" w:cs="Arial" w:eastAsia="Arial" w:hAnsi="Arial"/>
                <w:sz w:val="18"/>
                <w:szCs w:val="18"/>
                <w:color w:val="auto"/>
                <w:w w:val="88"/>
              </w:rPr>
              <w:t>Ended</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Ended</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(inception) to</w:t>
            </w:r>
          </w:p>
        </w:tc>
      </w:tr>
      <w:tr>
        <w:trPr>
          <w:trHeight w:val="216"/>
        </w:trPr>
        <w:tc>
          <w:tcPr>
            <w:tcW w:w="4500" w:type="dxa"/>
            <w:vAlign w:val="bottom"/>
          </w:tcPr>
          <w:p>
            <w:pPr>
              <w:spacing w:after="0"/>
              <w:rPr>
                <w:sz w:val="18"/>
                <w:szCs w:val="18"/>
                <w:color w:val="auto"/>
              </w:rPr>
            </w:pPr>
          </w:p>
        </w:tc>
        <w:tc>
          <w:tcPr>
            <w:tcW w:w="1960" w:type="dxa"/>
            <w:vAlign w:val="bottom"/>
          </w:tcPr>
          <w:p>
            <w:pPr>
              <w:jc w:val="center"/>
              <w:ind w:left="292"/>
              <w:spacing w:after="0"/>
              <w:rPr>
                <w:sz w:val="20"/>
                <w:szCs w:val="20"/>
                <w:color w:val="auto"/>
              </w:rPr>
            </w:pPr>
            <w:r>
              <w:rPr>
                <w:rFonts w:ascii="Arial" w:cs="Arial" w:eastAsia="Arial" w:hAnsi="Arial"/>
                <w:sz w:val="18"/>
                <w:szCs w:val="18"/>
                <w:color w:val="auto"/>
                <w:w w:val="86"/>
              </w:rPr>
              <w:t>September 30,</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September 30,</w:t>
            </w: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September 30,</w:t>
            </w:r>
          </w:p>
        </w:tc>
      </w:tr>
      <w:tr>
        <w:trPr>
          <w:trHeight w:val="222"/>
        </w:trPr>
        <w:tc>
          <w:tcPr>
            <w:tcW w:w="4500" w:type="dxa"/>
            <w:vAlign w:val="bottom"/>
          </w:tcPr>
          <w:p>
            <w:pPr>
              <w:spacing w:after="0"/>
              <w:rPr>
                <w:sz w:val="19"/>
                <w:szCs w:val="19"/>
                <w:color w:val="auto"/>
              </w:rPr>
            </w:pPr>
          </w:p>
        </w:tc>
        <w:tc>
          <w:tcPr>
            <w:tcW w:w="1960" w:type="dxa"/>
            <w:vAlign w:val="bottom"/>
          </w:tcPr>
          <w:p>
            <w:pPr>
              <w:jc w:val="center"/>
              <w:ind w:left="292"/>
              <w:spacing w:after="0"/>
              <w:rPr>
                <w:sz w:val="20"/>
                <w:szCs w:val="20"/>
                <w:color w:val="auto"/>
              </w:rPr>
            </w:pPr>
            <w:r>
              <w:rPr>
                <w:rFonts w:ascii="Arial" w:cs="Arial" w:eastAsia="Arial" w:hAnsi="Arial"/>
                <w:sz w:val="18"/>
                <w:szCs w:val="18"/>
                <w:color w:val="auto"/>
                <w:w w:val="84"/>
              </w:rPr>
              <w:t>2008</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2008</w:t>
            </w:r>
          </w:p>
        </w:tc>
      </w:tr>
      <w:tr>
        <w:trPr>
          <w:trHeight w:val="205"/>
        </w:trPr>
        <w:tc>
          <w:tcPr>
            <w:tcW w:w="45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437"/>
        </w:trPr>
        <w:tc>
          <w:tcPr>
            <w:tcW w:w="45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9"/>
        </w:trPr>
        <w:tc>
          <w:tcPr>
            <w:tcW w:w="4500" w:type="dxa"/>
            <w:vAlign w:val="bottom"/>
          </w:tcPr>
          <w:p>
            <w:pPr>
              <w:spacing w:after="0"/>
              <w:rPr>
                <w:sz w:val="20"/>
                <w:szCs w:val="20"/>
                <w:color w:val="auto"/>
              </w:rPr>
            </w:pPr>
            <w:r>
              <w:rPr>
                <w:rFonts w:ascii="Arial" w:cs="Arial" w:eastAsia="Arial" w:hAnsi="Arial"/>
                <w:sz w:val="18"/>
                <w:szCs w:val="18"/>
                <w:color w:val="auto"/>
              </w:rPr>
              <w:t>Net loss</w:t>
            </w:r>
          </w:p>
        </w:tc>
        <w:tc>
          <w:tcPr>
            <w:tcW w:w="1960" w:type="dxa"/>
            <w:vAlign w:val="bottom"/>
          </w:tcPr>
          <w:p>
            <w:pPr>
              <w:jc w:val="right"/>
              <w:ind w:right="52"/>
              <w:spacing w:after="0"/>
              <w:rPr>
                <w:sz w:val="20"/>
                <w:szCs w:val="20"/>
                <w:color w:val="auto"/>
              </w:rPr>
            </w:pPr>
            <w:r>
              <w:rPr>
                <w:rFonts w:ascii="Arial" w:cs="Arial" w:eastAsia="Arial" w:hAnsi="Arial"/>
                <w:sz w:val="18"/>
                <w:szCs w:val="18"/>
                <w:color w:val="auto"/>
              </w:rPr>
              <w:t>$ (1,704,545)</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 (2,780,428)</w:t>
            </w:r>
          </w:p>
        </w:tc>
        <w:tc>
          <w:tcPr>
            <w:tcW w:w="1260" w:type="dxa"/>
            <w:vAlign w:val="bottom"/>
          </w:tcPr>
          <w:p>
            <w:pPr>
              <w:jc w:val="right"/>
              <w:spacing w:after="0"/>
              <w:rPr>
                <w:sz w:val="20"/>
                <w:szCs w:val="20"/>
                <w:color w:val="auto"/>
              </w:rPr>
            </w:pPr>
            <w:r>
              <w:rPr>
                <w:rFonts w:ascii="Arial" w:cs="Arial" w:eastAsia="Arial" w:hAnsi="Arial"/>
                <w:sz w:val="18"/>
                <w:szCs w:val="18"/>
                <w:color w:val="auto"/>
              </w:rPr>
              <w:t>$ (20,320,712)</w:t>
            </w:r>
          </w:p>
        </w:tc>
      </w:tr>
      <w:tr>
        <w:trPr>
          <w:trHeight w:val="412"/>
        </w:trPr>
        <w:tc>
          <w:tcPr>
            <w:tcW w:w="4500" w:type="dxa"/>
            <w:vAlign w:val="bottom"/>
          </w:tcPr>
          <w:p>
            <w:pPr>
              <w:spacing w:after="0"/>
              <w:rPr>
                <w:sz w:val="20"/>
                <w:szCs w:val="20"/>
                <w:color w:val="auto"/>
              </w:rPr>
            </w:pPr>
            <w:r>
              <w:rPr>
                <w:rFonts w:ascii="Arial" w:cs="Arial" w:eastAsia="Arial" w:hAnsi="Arial"/>
                <w:sz w:val="18"/>
                <w:szCs w:val="18"/>
                <w:color w:val="auto"/>
              </w:rPr>
              <w:t>Adjustments to reconcile net loss to net</w:t>
            </w: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cash used in operating activities:</w:t>
            </w:r>
          </w:p>
        </w:tc>
        <w:tc>
          <w:tcPr>
            <w:tcW w:w="19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9"/>
        </w:trPr>
        <w:tc>
          <w:tcPr>
            <w:tcW w:w="4500" w:type="dxa"/>
            <w:vAlign w:val="bottom"/>
          </w:tcPr>
          <w:p>
            <w:pPr>
              <w:ind w:left="80"/>
              <w:spacing w:after="0"/>
              <w:rPr>
                <w:sz w:val="20"/>
                <w:szCs w:val="20"/>
                <w:color w:val="auto"/>
              </w:rPr>
            </w:pPr>
            <w:r>
              <w:rPr>
                <w:rFonts w:ascii="Arial" w:cs="Arial" w:eastAsia="Arial" w:hAnsi="Arial"/>
                <w:sz w:val="18"/>
                <w:szCs w:val="18"/>
                <w:color w:val="auto"/>
              </w:rPr>
              <w:t>Convertible debenture costs</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51,817</w:t>
            </w:r>
          </w:p>
        </w:tc>
      </w:tr>
      <w:tr>
        <w:trPr>
          <w:trHeight w:val="419"/>
        </w:trPr>
        <w:tc>
          <w:tcPr>
            <w:tcW w:w="4500" w:type="dxa"/>
            <w:vAlign w:val="bottom"/>
          </w:tcPr>
          <w:p>
            <w:pPr>
              <w:ind w:left="80"/>
              <w:spacing w:after="0"/>
              <w:rPr>
                <w:sz w:val="20"/>
                <w:szCs w:val="20"/>
                <w:color w:val="auto"/>
              </w:rPr>
            </w:pPr>
            <w:r>
              <w:rPr>
                <w:rFonts w:ascii="Arial" w:cs="Arial" w:eastAsia="Arial" w:hAnsi="Arial"/>
                <w:sz w:val="18"/>
                <w:szCs w:val="18"/>
                <w:color w:val="auto"/>
              </w:rPr>
              <w:t>Depreciation</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5,610</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4,100</w:t>
            </w:r>
          </w:p>
        </w:tc>
        <w:tc>
          <w:tcPr>
            <w:tcW w:w="1260" w:type="dxa"/>
            <w:vAlign w:val="bottom"/>
          </w:tcPr>
          <w:p>
            <w:pPr>
              <w:jc w:val="right"/>
              <w:spacing w:after="0"/>
              <w:rPr>
                <w:sz w:val="20"/>
                <w:szCs w:val="20"/>
                <w:color w:val="auto"/>
              </w:rPr>
            </w:pPr>
            <w:r>
              <w:rPr>
                <w:rFonts w:ascii="Arial" w:cs="Arial" w:eastAsia="Arial" w:hAnsi="Arial"/>
                <w:sz w:val="18"/>
                <w:szCs w:val="18"/>
                <w:color w:val="auto"/>
              </w:rPr>
              <w:t>207,615</w:t>
            </w:r>
          </w:p>
        </w:tc>
      </w:tr>
      <w:tr>
        <w:trPr>
          <w:trHeight w:val="419"/>
        </w:trPr>
        <w:tc>
          <w:tcPr>
            <w:tcW w:w="4500" w:type="dxa"/>
            <w:vAlign w:val="bottom"/>
          </w:tcPr>
          <w:p>
            <w:pPr>
              <w:ind w:left="80"/>
              <w:spacing w:after="0"/>
              <w:rPr>
                <w:sz w:val="20"/>
                <w:szCs w:val="20"/>
                <w:color w:val="auto"/>
              </w:rPr>
            </w:pPr>
            <w:r>
              <w:rPr>
                <w:rFonts w:ascii="Arial" w:cs="Arial" w:eastAsia="Arial" w:hAnsi="Arial"/>
                <w:sz w:val="18"/>
                <w:szCs w:val="18"/>
                <w:color w:val="auto"/>
              </w:rPr>
              <w:t>Gain on settlement of debts</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(173,010)</w:t>
            </w:r>
          </w:p>
        </w:tc>
      </w:tr>
      <w:tr>
        <w:trPr>
          <w:trHeight w:val="419"/>
        </w:trPr>
        <w:tc>
          <w:tcPr>
            <w:tcW w:w="4500" w:type="dxa"/>
            <w:vAlign w:val="bottom"/>
          </w:tcPr>
          <w:p>
            <w:pPr>
              <w:ind w:left="80"/>
              <w:spacing w:after="0"/>
              <w:rPr>
                <w:sz w:val="20"/>
                <w:szCs w:val="20"/>
                <w:color w:val="auto"/>
              </w:rPr>
            </w:pPr>
            <w:r>
              <w:rPr>
                <w:rFonts w:ascii="Arial" w:cs="Arial" w:eastAsia="Arial" w:hAnsi="Arial"/>
                <w:sz w:val="18"/>
                <w:szCs w:val="18"/>
                <w:color w:val="auto"/>
              </w:rPr>
              <w:t>Non-cash interest and finance fees</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546,868</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1,169,262</w:t>
            </w:r>
          </w:p>
        </w:tc>
        <w:tc>
          <w:tcPr>
            <w:tcW w:w="1260" w:type="dxa"/>
            <w:vAlign w:val="bottom"/>
          </w:tcPr>
          <w:p>
            <w:pPr>
              <w:jc w:val="right"/>
              <w:spacing w:after="0"/>
              <w:rPr>
                <w:sz w:val="20"/>
                <w:szCs w:val="20"/>
                <w:color w:val="auto"/>
              </w:rPr>
            </w:pPr>
            <w:r>
              <w:rPr>
                <w:rFonts w:ascii="Arial" w:cs="Arial" w:eastAsia="Arial" w:hAnsi="Arial"/>
                <w:sz w:val="18"/>
                <w:szCs w:val="18"/>
                <w:color w:val="auto"/>
              </w:rPr>
              <w:t>2,357,157</w:t>
            </w:r>
          </w:p>
        </w:tc>
      </w:tr>
      <w:tr>
        <w:trPr>
          <w:trHeight w:val="419"/>
        </w:trPr>
        <w:tc>
          <w:tcPr>
            <w:tcW w:w="4500" w:type="dxa"/>
            <w:vAlign w:val="bottom"/>
          </w:tcPr>
          <w:p>
            <w:pPr>
              <w:ind w:left="80"/>
              <w:spacing w:after="0"/>
              <w:rPr>
                <w:sz w:val="20"/>
                <w:szCs w:val="20"/>
                <w:color w:val="auto"/>
              </w:rPr>
            </w:pPr>
            <w:r>
              <w:rPr>
                <w:rFonts w:ascii="Arial" w:cs="Arial" w:eastAsia="Arial" w:hAnsi="Arial"/>
                <w:sz w:val="18"/>
                <w:szCs w:val="18"/>
                <w:color w:val="auto"/>
              </w:rPr>
              <w:t>Non-cash consulting and license fees</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90,000</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106,250</w:t>
            </w:r>
          </w:p>
        </w:tc>
      </w:tr>
      <w:tr>
        <w:trPr>
          <w:trHeight w:val="419"/>
        </w:trPr>
        <w:tc>
          <w:tcPr>
            <w:tcW w:w="4500" w:type="dxa"/>
            <w:vAlign w:val="bottom"/>
          </w:tcPr>
          <w:p>
            <w:pPr>
              <w:ind w:left="80"/>
              <w:spacing w:after="0"/>
              <w:rPr>
                <w:sz w:val="20"/>
                <w:szCs w:val="20"/>
                <w:color w:val="auto"/>
              </w:rPr>
            </w:pPr>
            <w:r>
              <w:rPr>
                <w:rFonts w:ascii="Arial" w:cs="Arial" w:eastAsia="Arial" w:hAnsi="Arial"/>
                <w:sz w:val="18"/>
                <w:szCs w:val="18"/>
                <w:color w:val="auto"/>
              </w:rPr>
              <w:t>Stock-based compensation</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221,000</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656,014</w:t>
            </w:r>
          </w:p>
        </w:tc>
        <w:tc>
          <w:tcPr>
            <w:tcW w:w="1260" w:type="dxa"/>
            <w:vAlign w:val="bottom"/>
          </w:tcPr>
          <w:p>
            <w:pPr>
              <w:jc w:val="right"/>
              <w:spacing w:after="0"/>
              <w:rPr>
                <w:sz w:val="20"/>
                <w:szCs w:val="20"/>
                <w:color w:val="auto"/>
              </w:rPr>
            </w:pPr>
            <w:r>
              <w:rPr>
                <w:rFonts w:ascii="Arial" w:cs="Arial" w:eastAsia="Arial" w:hAnsi="Arial"/>
                <w:sz w:val="18"/>
                <w:szCs w:val="18"/>
                <w:color w:val="auto"/>
              </w:rPr>
              <w:t>4,621,997</w:t>
            </w:r>
          </w:p>
        </w:tc>
      </w:tr>
      <w:tr>
        <w:trPr>
          <w:trHeight w:val="419"/>
        </w:trPr>
        <w:tc>
          <w:tcPr>
            <w:tcW w:w="4500" w:type="dxa"/>
            <w:vAlign w:val="bottom"/>
          </w:tcPr>
          <w:p>
            <w:pPr>
              <w:ind w:left="80"/>
              <w:spacing w:after="0"/>
              <w:rPr>
                <w:sz w:val="20"/>
                <w:szCs w:val="20"/>
                <w:color w:val="auto"/>
              </w:rPr>
            </w:pPr>
            <w:r>
              <w:rPr>
                <w:rFonts w:ascii="Arial" w:cs="Arial" w:eastAsia="Arial" w:hAnsi="Arial"/>
                <w:sz w:val="18"/>
                <w:szCs w:val="18"/>
                <w:color w:val="auto"/>
              </w:rPr>
              <w:t>Changes in operating assets and liabilities:</w:t>
            </w: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9"/>
        </w:trPr>
        <w:tc>
          <w:tcPr>
            <w:tcW w:w="4500" w:type="dxa"/>
            <w:vAlign w:val="bottom"/>
          </w:tcPr>
          <w:p>
            <w:pPr>
              <w:ind w:left="220"/>
              <w:spacing w:after="0"/>
              <w:rPr>
                <w:sz w:val="20"/>
                <w:szCs w:val="20"/>
                <w:color w:val="auto"/>
              </w:rPr>
            </w:pPr>
            <w:r>
              <w:rPr>
                <w:rFonts w:ascii="Arial" w:cs="Arial" w:eastAsia="Arial" w:hAnsi="Arial"/>
                <w:sz w:val="18"/>
                <w:szCs w:val="18"/>
                <w:color w:val="auto"/>
              </w:rPr>
              <w:t>Due from government agency</w:t>
            </w:r>
          </w:p>
        </w:tc>
        <w:tc>
          <w:tcPr>
            <w:tcW w:w="1960" w:type="dxa"/>
            <w:vAlign w:val="bottom"/>
          </w:tcPr>
          <w:p>
            <w:pPr>
              <w:jc w:val="right"/>
              <w:ind w:right="52"/>
              <w:spacing w:after="0"/>
              <w:rPr>
                <w:sz w:val="20"/>
                <w:szCs w:val="20"/>
                <w:color w:val="auto"/>
              </w:rPr>
            </w:pPr>
            <w:r>
              <w:rPr>
                <w:rFonts w:ascii="Arial" w:cs="Arial" w:eastAsia="Arial" w:hAnsi="Arial"/>
                <w:sz w:val="18"/>
                <w:szCs w:val="18"/>
                <w:color w:val="auto"/>
              </w:rPr>
              <w:t>(400)</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(60,034)</w:t>
            </w:r>
          </w:p>
        </w:tc>
      </w:tr>
      <w:tr>
        <w:trPr>
          <w:trHeight w:val="419"/>
        </w:trPr>
        <w:tc>
          <w:tcPr>
            <w:tcW w:w="4500" w:type="dxa"/>
            <w:vAlign w:val="bottom"/>
          </w:tcPr>
          <w:p>
            <w:pPr>
              <w:ind w:left="220"/>
              <w:spacing w:after="0"/>
              <w:rPr>
                <w:sz w:val="20"/>
                <w:szCs w:val="20"/>
                <w:color w:val="auto"/>
              </w:rPr>
            </w:pPr>
            <w:r>
              <w:rPr>
                <w:rFonts w:ascii="Arial" w:cs="Arial" w:eastAsia="Arial" w:hAnsi="Arial"/>
                <w:sz w:val="18"/>
                <w:szCs w:val="18"/>
                <w:color w:val="auto"/>
              </w:rPr>
              <w:t>Prepaid expenses and receivables</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24,314</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(39,429)</w:t>
            </w:r>
          </w:p>
        </w:tc>
        <w:tc>
          <w:tcPr>
            <w:tcW w:w="1260" w:type="dxa"/>
            <w:vAlign w:val="bottom"/>
          </w:tcPr>
          <w:p>
            <w:pPr>
              <w:jc w:val="right"/>
              <w:spacing w:after="0"/>
              <w:rPr>
                <w:sz w:val="20"/>
                <w:szCs w:val="20"/>
                <w:color w:val="auto"/>
              </w:rPr>
            </w:pPr>
            <w:r>
              <w:rPr>
                <w:rFonts w:ascii="Arial" w:cs="Arial" w:eastAsia="Arial" w:hAnsi="Arial"/>
                <w:sz w:val="18"/>
                <w:szCs w:val="18"/>
                <w:color w:val="auto"/>
              </w:rPr>
              <w:t>(4,999)</w:t>
            </w:r>
          </w:p>
        </w:tc>
      </w:tr>
      <w:tr>
        <w:trPr>
          <w:trHeight w:val="419"/>
        </w:trPr>
        <w:tc>
          <w:tcPr>
            <w:tcW w:w="450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297,235</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151,820</w:t>
            </w:r>
          </w:p>
        </w:tc>
        <w:tc>
          <w:tcPr>
            <w:tcW w:w="1260" w:type="dxa"/>
            <w:vAlign w:val="bottom"/>
          </w:tcPr>
          <w:p>
            <w:pPr>
              <w:jc w:val="right"/>
              <w:spacing w:after="0"/>
              <w:rPr>
                <w:sz w:val="20"/>
                <w:szCs w:val="20"/>
                <w:color w:val="auto"/>
              </w:rPr>
            </w:pPr>
            <w:r>
              <w:rPr>
                <w:rFonts w:ascii="Arial" w:cs="Arial" w:eastAsia="Arial" w:hAnsi="Arial"/>
                <w:sz w:val="18"/>
                <w:szCs w:val="18"/>
                <w:color w:val="auto"/>
              </w:rPr>
              <w:t>1,822,407</w:t>
            </w:r>
          </w:p>
        </w:tc>
      </w:tr>
      <w:tr>
        <w:trPr>
          <w:trHeight w:val="419"/>
        </w:trPr>
        <w:tc>
          <w:tcPr>
            <w:tcW w:w="4500" w:type="dxa"/>
            <w:vAlign w:val="bottom"/>
          </w:tcPr>
          <w:p>
            <w:pPr>
              <w:ind w:left="220"/>
              <w:spacing w:after="0"/>
              <w:rPr>
                <w:sz w:val="20"/>
                <w:szCs w:val="20"/>
                <w:color w:val="auto"/>
              </w:rPr>
            </w:pPr>
            <w:r>
              <w:rPr>
                <w:rFonts w:ascii="Arial" w:cs="Arial" w:eastAsia="Arial" w:hAnsi="Arial"/>
                <w:sz w:val="18"/>
                <w:szCs w:val="18"/>
                <w:color w:val="auto"/>
              </w:rPr>
              <w:t>Research agreement obligations</w:t>
            </w:r>
          </w:p>
        </w:tc>
        <w:tc>
          <w:tcPr>
            <w:tcW w:w="1960" w:type="dxa"/>
            <w:vAlign w:val="bottom"/>
          </w:tcPr>
          <w:p>
            <w:pPr>
              <w:jc w:val="right"/>
              <w:ind w:right="52"/>
              <w:spacing w:after="0"/>
              <w:rPr>
                <w:sz w:val="20"/>
                <w:szCs w:val="20"/>
                <w:color w:val="auto"/>
              </w:rPr>
            </w:pPr>
            <w:r>
              <w:rPr>
                <w:rFonts w:ascii="Arial" w:cs="Arial" w:eastAsia="Arial" w:hAnsi="Arial"/>
                <w:sz w:val="18"/>
                <w:szCs w:val="18"/>
                <w:color w:val="auto"/>
              </w:rPr>
              <w:t>(45,602)</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43,450</w:t>
            </w:r>
          </w:p>
        </w:tc>
        <w:tc>
          <w:tcPr>
            <w:tcW w:w="1260" w:type="dxa"/>
            <w:vAlign w:val="bottom"/>
          </w:tcPr>
          <w:p>
            <w:pPr>
              <w:jc w:val="right"/>
              <w:spacing w:after="0"/>
              <w:rPr>
                <w:sz w:val="20"/>
                <w:szCs w:val="20"/>
                <w:color w:val="auto"/>
              </w:rPr>
            </w:pPr>
            <w:r>
              <w:rPr>
                <w:rFonts w:ascii="Arial" w:cs="Arial" w:eastAsia="Arial" w:hAnsi="Arial"/>
                <w:sz w:val="18"/>
                <w:szCs w:val="18"/>
                <w:color w:val="auto"/>
              </w:rPr>
              <w:t>154,164</w:t>
            </w:r>
          </w:p>
        </w:tc>
      </w:tr>
      <w:tr>
        <w:trPr>
          <w:trHeight w:val="205"/>
        </w:trPr>
        <w:tc>
          <w:tcPr>
            <w:tcW w:w="45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410"/>
        </w:trPr>
        <w:tc>
          <w:tcPr>
            <w:tcW w:w="450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960" w:type="dxa"/>
            <w:vAlign w:val="bottom"/>
          </w:tcPr>
          <w:p>
            <w:pPr>
              <w:jc w:val="right"/>
              <w:ind w:right="52"/>
              <w:spacing w:after="0"/>
              <w:rPr>
                <w:sz w:val="20"/>
                <w:szCs w:val="20"/>
                <w:color w:val="auto"/>
              </w:rPr>
            </w:pPr>
            <w:r>
              <w:rPr>
                <w:rFonts w:ascii="Arial" w:cs="Arial" w:eastAsia="Arial" w:hAnsi="Arial"/>
                <w:sz w:val="18"/>
                <w:szCs w:val="18"/>
                <w:color w:val="auto"/>
              </w:rPr>
              <w:t>(565,520)</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(795,211)</w:t>
            </w:r>
          </w:p>
        </w:tc>
        <w:tc>
          <w:tcPr>
            <w:tcW w:w="1260" w:type="dxa"/>
            <w:vAlign w:val="bottom"/>
          </w:tcPr>
          <w:p>
            <w:pPr>
              <w:jc w:val="right"/>
              <w:spacing w:after="0"/>
              <w:rPr>
                <w:sz w:val="20"/>
                <w:szCs w:val="20"/>
                <w:color w:val="auto"/>
              </w:rPr>
            </w:pPr>
            <w:r>
              <w:rPr>
                <w:rFonts w:ascii="Arial" w:cs="Arial" w:eastAsia="Arial" w:hAnsi="Arial"/>
                <w:sz w:val="18"/>
                <w:szCs w:val="18"/>
                <w:color w:val="auto"/>
              </w:rPr>
              <w:t>(11,237,348)</w:t>
            </w:r>
          </w:p>
        </w:tc>
      </w:tr>
      <w:tr>
        <w:trPr>
          <w:trHeight w:val="205"/>
        </w:trPr>
        <w:tc>
          <w:tcPr>
            <w:tcW w:w="45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437"/>
        </w:trPr>
        <w:tc>
          <w:tcPr>
            <w:tcW w:w="45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9"/>
        </w:trPr>
        <w:tc>
          <w:tcPr>
            <w:tcW w:w="4500" w:type="dxa"/>
            <w:vAlign w:val="bottom"/>
          </w:tcPr>
          <w:p>
            <w:pPr>
              <w:ind w:left="80"/>
              <w:spacing w:after="0"/>
              <w:rPr>
                <w:sz w:val="20"/>
                <w:szCs w:val="20"/>
                <w:color w:val="auto"/>
              </w:rPr>
            </w:pPr>
            <w:r>
              <w:rPr>
                <w:rFonts w:ascii="Arial" w:cs="Arial" w:eastAsia="Arial" w:hAnsi="Arial"/>
                <w:sz w:val="18"/>
                <w:szCs w:val="18"/>
                <w:color w:val="auto"/>
              </w:rPr>
              <w:t>Purchase of furniture and equipment</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(22,426)</w:t>
            </w:r>
          </w:p>
        </w:tc>
        <w:tc>
          <w:tcPr>
            <w:tcW w:w="1260" w:type="dxa"/>
            <w:vAlign w:val="bottom"/>
          </w:tcPr>
          <w:p>
            <w:pPr>
              <w:jc w:val="right"/>
              <w:spacing w:after="0"/>
              <w:rPr>
                <w:sz w:val="20"/>
                <w:szCs w:val="20"/>
                <w:color w:val="auto"/>
              </w:rPr>
            </w:pPr>
            <w:r>
              <w:rPr>
                <w:rFonts w:ascii="Arial" w:cs="Arial" w:eastAsia="Arial" w:hAnsi="Arial"/>
                <w:sz w:val="18"/>
                <w:szCs w:val="18"/>
                <w:color w:val="auto"/>
              </w:rPr>
              <w:t>(218,626)</w:t>
            </w:r>
          </w:p>
        </w:tc>
      </w:tr>
      <w:tr>
        <w:trPr>
          <w:trHeight w:val="419"/>
        </w:trPr>
        <w:tc>
          <w:tcPr>
            <w:tcW w:w="4500" w:type="dxa"/>
            <w:vAlign w:val="bottom"/>
          </w:tcPr>
          <w:p>
            <w:pPr>
              <w:ind w:left="80"/>
              <w:spacing w:after="0"/>
              <w:rPr>
                <w:sz w:val="20"/>
                <w:szCs w:val="20"/>
                <w:color w:val="auto"/>
              </w:rPr>
            </w:pPr>
            <w:r>
              <w:rPr>
                <w:rFonts w:ascii="Arial" w:cs="Arial" w:eastAsia="Arial" w:hAnsi="Arial"/>
                <w:sz w:val="18"/>
                <w:szCs w:val="18"/>
                <w:color w:val="auto"/>
              </w:rPr>
              <w:t>Cash acquired on reverse acquisition</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423,373</w:t>
            </w:r>
          </w:p>
        </w:tc>
      </w:tr>
      <w:tr>
        <w:trPr>
          <w:trHeight w:val="205"/>
        </w:trPr>
        <w:tc>
          <w:tcPr>
            <w:tcW w:w="45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410"/>
        </w:trPr>
        <w:tc>
          <w:tcPr>
            <w:tcW w:w="4500" w:type="dxa"/>
            <w:vAlign w:val="bottom"/>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(22,426)</w:t>
            </w:r>
          </w:p>
        </w:tc>
        <w:tc>
          <w:tcPr>
            <w:tcW w:w="1260" w:type="dxa"/>
            <w:vAlign w:val="bottom"/>
          </w:tcPr>
          <w:p>
            <w:pPr>
              <w:jc w:val="right"/>
              <w:spacing w:after="0"/>
              <w:rPr>
                <w:sz w:val="20"/>
                <w:szCs w:val="20"/>
                <w:color w:val="auto"/>
              </w:rPr>
            </w:pPr>
            <w:r>
              <w:rPr>
                <w:rFonts w:ascii="Arial" w:cs="Arial" w:eastAsia="Arial" w:hAnsi="Arial"/>
                <w:sz w:val="18"/>
                <w:szCs w:val="18"/>
                <w:color w:val="auto"/>
              </w:rPr>
              <w:t>204,747</w:t>
            </w:r>
          </w:p>
        </w:tc>
      </w:tr>
      <w:tr>
        <w:trPr>
          <w:trHeight w:val="205"/>
        </w:trPr>
        <w:tc>
          <w:tcPr>
            <w:tcW w:w="45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437"/>
        </w:trPr>
        <w:tc>
          <w:tcPr>
            <w:tcW w:w="45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9"/>
        </w:trPr>
        <w:tc>
          <w:tcPr>
            <w:tcW w:w="4500" w:type="dxa"/>
            <w:vAlign w:val="bottom"/>
          </w:tcPr>
          <w:p>
            <w:pPr>
              <w:ind w:left="80"/>
              <w:spacing w:after="0"/>
              <w:rPr>
                <w:sz w:val="20"/>
                <w:szCs w:val="20"/>
                <w:color w:val="auto"/>
              </w:rPr>
            </w:pPr>
            <w:r>
              <w:rPr>
                <w:rFonts w:ascii="Arial" w:cs="Arial" w:eastAsia="Arial" w:hAnsi="Arial"/>
                <w:sz w:val="18"/>
                <w:szCs w:val="18"/>
                <w:color w:val="auto"/>
              </w:rPr>
              <w:t>Proceeds from the issuance of common stock</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60,000</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475,001</w:t>
            </w:r>
          </w:p>
        </w:tc>
        <w:tc>
          <w:tcPr>
            <w:tcW w:w="1260" w:type="dxa"/>
            <w:vAlign w:val="bottom"/>
          </w:tcPr>
          <w:p>
            <w:pPr>
              <w:jc w:val="right"/>
              <w:spacing w:after="0"/>
              <w:rPr>
                <w:sz w:val="20"/>
                <w:szCs w:val="20"/>
                <w:color w:val="auto"/>
              </w:rPr>
            </w:pPr>
            <w:r>
              <w:rPr>
                <w:rFonts w:ascii="Arial" w:cs="Arial" w:eastAsia="Arial" w:hAnsi="Arial"/>
                <w:sz w:val="18"/>
                <w:szCs w:val="18"/>
                <w:color w:val="auto"/>
              </w:rPr>
              <w:t>9,171,106</w:t>
            </w:r>
          </w:p>
        </w:tc>
      </w:tr>
      <w:tr>
        <w:trPr>
          <w:trHeight w:val="419"/>
        </w:trPr>
        <w:tc>
          <w:tcPr>
            <w:tcW w:w="4500" w:type="dxa"/>
            <w:vAlign w:val="bottom"/>
          </w:tcPr>
          <w:p>
            <w:pPr>
              <w:ind w:left="80"/>
              <w:spacing w:after="0"/>
              <w:rPr>
                <w:sz w:val="20"/>
                <w:szCs w:val="20"/>
                <w:color w:val="auto"/>
              </w:rPr>
            </w:pPr>
            <w:r>
              <w:rPr>
                <w:rFonts w:ascii="Arial" w:cs="Arial" w:eastAsia="Arial" w:hAnsi="Arial"/>
                <w:sz w:val="18"/>
                <w:szCs w:val="18"/>
                <w:color w:val="auto"/>
              </w:rPr>
              <w:t>Finance charges</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(17,500)</w:t>
            </w:r>
          </w:p>
        </w:tc>
        <w:tc>
          <w:tcPr>
            <w:tcW w:w="1260" w:type="dxa"/>
            <w:vAlign w:val="bottom"/>
          </w:tcPr>
          <w:p>
            <w:pPr>
              <w:jc w:val="right"/>
              <w:spacing w:after="0"/>
              <w:rPr>
                <w:sz w:val="20"/>
                <w:szCs w:val="20"/>
                <w:color w:val="auto"/>
              </w:rPr>
            </w:pPr>
            <w:r>
              <w:rPr>
                <w:rFonts w:ascii="Arial" w:cs="Arial" w:eastAsia="Arial" w:hAnsi="Arial"/>
                <w:sz w:val="18"/>
                <w:szCs w:val="18"/>
                <w:color w:val="auto"/>
              </w:rPr>
              <w:t>(248,981)</w:t>
            </w:r>
          </w:p>
        </w:tc>
      </w:tr>
      <w:tr>
        <w:trPr>
          <w:trHeight w:val="419"/>
        </w:trPr>
        <w:tc>
          <w:tcPr>
            <w:tcW w:w="4500" w:type="dxa"/>
            <w:vAlign w:val="bottom"/>
          </w:tcPr>
          <w:p>
            <w:pPr>
              <w:ind w:left="80"/>
              <w:spacing w:after="0"/>
              <w:rPr>
                <w:sz w:val="20"/>
                <w:szCs w:val="20"/>
                <w:color w:val="auto"/>
              </w:rPr>
            </w:pPr>
            <w:r>
              <w:rPr>
                <w:rFonts w:ascii="Arial" w:cs="Arial" w:eastAsia="Arial" w:hAnsi="Arial"/>
                <w:sz w:val="18"/>
                <w:szCs w:val="18"/>
                <w:color w:val="auto"/>
              </w:rPr>
              <w:t>(Repayment of) proceeds from convertible notes</w:t>
            </w:r>
          </w:p>
        </w:tc>
        <w:tc>
          <w:tcPr>
            <w:tcW w:w="1960" w:type="dxa"/>
            <w:vAlign w:val="bottom"/>
          </w:tcPr>
          <w:p>
            <w:pPr>
              <w:jc w:val="right"/>
              <w:ind w:right="52"/>
              <w:spacing w:after="0"/>
              <w:rPr>
                <w:sz w:val="20"/>
                <w:szCs w:val="20"/>
                <w:color w:val="auto"/>
              </w:rPr>
            </w:pPr>
            <w:r>
              <w:rPr>
                <w:rFonts w:ascii="Arial" w:cs="Arial" w:eastAsia="Arial" w:hAnsi="Arial"/>
                <w:sz w:val="18"/>
                <w:szCs w:val="18"/>
                <w:color w:val="auto"/>
              </w:rPr>
              <w:t>(10,000)</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66,633</w:t>
            </w:r>
          </w:p>
        </w:tc>
        <w:tc>
          <w:tcPr>
            <w:tcW w:w="1260" w:type="dxa"/>
            <w:vAlign w:val="bottom"/>
          </w:tcPr>
          <w:p>
            <w:pPr>
              <w:jc w:val="right"/>
              <w:spacing w:after="0"/>
              <w:rPr>
                <w:sz w:val="20"/>
                <w:szCs w:val="20"/>
                <w:color w:val="auto"/>
              </w:rPr>
            </w:pPr>
            <w:r>
              <w:rPr>
                <w:rFonts w:ascii="Arial" w:cs="Arial" w:eastAsia="Arial" w:hAnsi="Arial"/>
                <w:sz w:val="18"/>
                <w:szCs w:val="18"/>
                <w:color w:val="auto"/>
              </w:rPr>
              <w:t>256,633</w:t>
            </w:r>
          </w:p>
        </w:tc>
      </w:tr>
      <w:tr>
        <w:trPr>
          <w:trHeight w:val="419"/>
        </w:trPr>
        <w:tc>
          <w:tcPr>
            <w:tcW w:w="4500" w:type="dxa"/>
            <w:vAlign w:val="bottom"/>
          </w:tcPr>
          <w:p>
            <w:pPr>
              <w:ind w:left="80"/>
              <w:spacing w:after="0"/>
              <w:rPr>
                <w:sz w:val="20"/>
                <w:szCs w:val="20"/>
                <w:color w:val="auto"/>
              </w:rPr>
            </w:pPr>
            <w:r>
              <w:rPr>
                <w:rFonts w:ascii="Arial" w:cs="Arial" w:eastAsia="Arial" w:hAnsi="Arial"/>
                <w:sz w:val="18"/>
                <w:szCs w:val="18"/>
                <w:color w:val="auto"/>
              </w:rPr>
              <w:t>Proceeds from notes and loans payable</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122,000</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125,000</w:t>
            </w:r>
          </w:p>
        </w:tc>
        <w:tc>
          <w:tcPr>
            <w:tcW w:w="1260" w:type="dxa"/>
            <w:vAlign w:val="bottom"/>
          </w:tcPr>
          <w:p>
            <w:pPr>
              <w:jc w:val="right"/>
              <w:spacing w:after="0"/>
              <w:rPr>
                <w:sz w:val="20"/>
                <w:szCs w:val="20"/>
                <w:color w:val="auto"/>
              </w:rPr>
            </w:pPr>
            <w:r>
              <w:rPr>
                <w:rFonts w:ascii="Arial" w:cs="Arial" w:eastAsia="Arial" w:hAnsi="Arial"/>
                <w:sz w:val="18"/>
                <w:szCs w:val="18"/>
                <w:color w:val="auto"/>
              </w:rPr>
              <w:t>774,845</w:t>
            </w:r>
          </w:p>
        </w:tc>
      </w:tr>
      <w:tr>
        <w:trPr>
          <w:trHeight w:val="419"/>
        </w:trPr>
        <w:tc>
          <w:tcPr>
            <w:tcW w:w="4500" w:type="dxa"/>
            <w:vAlign w:val="bottom"/>
          </w:tcPr>
          <w:p>
            <w:pPr>
              <w:ind w:left="80"/>
              <w:spacing w:after="0"/>
              <w:rPr>
                <w:sz w:val="20"/>
                <w:szCs w:val="20"/>
                <w:color w:val="auto"/>
              </w:rPr>
            </w:pPr>
            <w:r>
              <w:rPr>
                <w:rFonts w:ascii="Arial" w:cs="Arial" w:eastAsia="Arial" w:hAnsi="Arial"/>
                <w:sz w:val="18"/>
                <w:szCs w:val="18"/>
                <w:color w:val="auto"/>
              </w:rPr>
              <w:t>Advances from related parties</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217,602</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200,467</w:t>
            </w:r>
          </w:p>
        </w:tc>
        <w:tc>
          <w:tcPr>
            <w:tcW w:w="1260" w:type="dxa"/>
            <w:vAlign w:val="bottom"/>
          </w:tcPr>
          <w:p>
            <w:pPr>
              <w:jc w:val="right"/>
              <w:spacing w:after="0"/>
              <w:rPr>
                <w:sz w:val="20"/>
                <w:szCs w:val="20"/>
                <w:color w:val="auto"/>
              </w:rPr>
            </w:pPr>
            <w:r>
              <w:rPr>
                <w:rFonts w:ascii="Arial" w:cs="Arial" w:eastAsia="Arial" w:hAnsi="Arial"/>
                <w:sz w:val="18"/>
                <w:szCs w:val="18"/>
                <w:color w:val="auto"/>
              </w:rPr>
              <w:t>1,130,345</w:t>
            </w:r>
          </w:p>
        </w:tc>
      </w:tr>
      <w:tr>
        <w:trPr>
          <w:trHeight w:val="205"/>
        </w:trPr>
        <w:tc>
          <w:tcPr>
            <w:tcW w:w="45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410"/>
        </w:trPr>
        <w:tc>
          <w:tcPr>
            <w:tcW w:w="450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389,602</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849,601</w:t>
            </w:r>
          </w:p>
        </w:tc>
        <w:tc>
          <w:tcPr>
            <w:tcW w:w="1260" w:type="dxa"/>
            <w:vAlign w:val="bottom"/>
          </w:tcPr>
          <w:p>
            <w:pPr>
              <w:jc w:val="right"/>
              <w:spacing w:after="0"/>
              <w:rPr>
                <w:sz w:val="20"/>
                <w:szCs w:val="20"/>
                <w:color w:val="auto"/>
              </w:rPr>
            </w:pPr>
            <w:r>
              <w:rPr>
                <w:rFonts w:ascii="Arial" w:cs="Arial" w:eastAsia="Arial" w:hAnsi="Arial"/>
                <w:sz w:val="18"/>
                <w:szCs w:val="18"/>
                <w:color w:val="auto"/>
              </w:rPr>
              <w:t>11,083,948</w:t>
            </w:r>
          </w:p>
        </w:tc>
      </w:tr>
      <w:tr>
        <w:trPr>
          <w:trHeight w:val="205"/>
        </w:trPr>
        <w:tc>
          <w:tcPr>
            <w:tcW w:w="45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410"/>
        </w:trPr>
        <w:tc>
          <w:tcPr>
            <w:tcW w:w="4500" w:type="dxa"/>
            <w:vAlign w:val="bottom"/>
          </w:tcPr>
          <w:p>
            <w:pPr>
              <w:spacing w:after="0"/>
              <w:rPr>
                <w:sz w:val="20"/>
                <w:szCs w:val="20"/>
                <w:color w:val="auto"/>
              </w:rPr>
            </w:pPr>
            <w:r>
              <w:rPr>
                <w:rFonts w:ascii="Arial" w:cs="Arial" w:eastAsia="Arial" w:hAnsi="Arial"/>
                <w:sz w:val="18"/>
                <w:szCs w:val="18"/>
                <w:b w:val="1"/>
                <w:bCs w:val="1"/>
                <w:color w:val="auto"/>
              </w:rPr>
              <w:t>Effect of Exchange Rate Changes</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10,777</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(20,347)</w:t>
            </w:r>
          </w:p>
        </w:tc>
        <w:tc>
          <w:tcPr>
            <w:tcW w:w="1260" w:type="dxa"/>
            <w:vAlign w:val="bottom"/>
          </w:tcPr>
          <w:p>
            <w:pPr>
              <w:jc w:val="right"/>
              <w:spacing w:after="0"/>
              <w:rPr>
                <w:sz w:val="20"/>
                <w:szCs w:val="20"/>
                <w:color w:val="auto"/>
              </w:rPr>
            </w:pPr>
            <w:r>
              <w:rPr>
                <w:rFonts w:ascii="Arial" w:cs="Arial" w:eastAsia="Arial" w:hAnsi="Arial"/>
                <w:sz w:val="18"/>
                <w:szCs w:val="18"/>
                <w:color w:val="auto"/>
              </w:rPr>
              <w:t>(48,949)</w:t>
            </w:r>
          </w:p>
        </w:tc>
      </w:tr>
      <w:tr>
        <w:trPr>
          <w:trHeight w:val="205"/>
        </w:trPr>
        <w:tc>
          <w:tcPr>
            <w:tcW w:w="45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410"/>
        </w:trPr>
        <w:tc>
          <w:tcPr>
            <w:tcW w:w="4500" w:type="dxa"/>
            <w:vAlign w:val="bottom"/>
          </w:tcPr>
          <w:p>
            <w:pPr>
              <w:spacing w:after="0"/>
              <w:rPr>
                <w:sz w:val="20"/>
                <w:szCs w:val="20"/>
                <w:color w:val="auto"/>
              </w:rPr>
            </w:pPr>
            <w:r>
              <w:rPr>
                <w:rFonts w:ascii="Arial" w:cs="Arial" w:eastAsia="Arial" w:hAnsi="Arial"/>
                <w:sz w:val="18"/>
                <w:szCs w:val="18"/>
                <w:b w:val="1"/>
                <w:bCs w:val="1"/>
                <w:color w:val="auto"/>
              </w:rPr>
              <w:t>Net (Decrease) Increase in Cash</w:t>
            </w:r>
          </w:p>
        </w:tc>
        <w:tc>
          <w:tcPr>
            <w:tcW w:w="1960" w:type="dxa"/>
            <w:vAlign w:val="bottom"/>
          </w:tcPr>
          <w:p>
            <w:pPr>
              <w:jc w:val="right"/>
              <w:ind w:right="52"/>
              <w:spacing w:after="0"/>
              <w:rPr>
                <w:sz w:val="20"/>
                <w:szCs w:val="20"/>
                <w:color w:val="auto"/>
              </w:rPr>
            </w:pPr>
            <w:r>
              <w:rPr>
                <w:rFonts w:ascii="Arial" w:cs="Arial" w:eastAsia="Arial" w:hAnsi="Arial"/>
                <w:sz w:val="18"/>
                <w:szCs w:val="18"/>
                <w:color w:val="auto"/>
              </w:rPr>
              <w:t>(165,141)</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11,617</w:t>
            </w:r>
          </w:p>
        </w:tc>
        <w:tc>
          <w:tcPr>
            <w:tcW w:w="1260" w:type="dxa"/>
            <w:vAlign w:val="bottom"/>
          </w:tcPr>
          <w:p>
            <w:pPr>
              <w:jc w:val="right"/>
              <w:spacing w:after="0"/>
              <w:rPr>
                <w:sz w:val="20"/>
                <w:szCs w:val="20"/>
                <w:color w:val="auto"/>
              </w:rPr>
            </w:pPr>
            <w:r>
              <w:rPr>
                <w:rFonts w:ascii="Arial" w:cs="Arial" w:eastAsia="Arial" w:hAnsi="Arial"/>
                <w:sz w:val="18"/>
                <w:szCs w:val="18"/>
                <w:color w:val="auto"/>
              </w:rPr>
              <w:t>2,398</w:t>
            </w:r>
          </w:p>
        </w:tc>
      </w:tr>
      <w:tr>
        <w:trPr>
          <w:trHeight w:val="419"/>
        </w:trPr>
        <w:tc>
          <w:tcPr>
            <w:tcW w:w="4500" w:type="dxa"/>
            <w:vAlign w:val="bottom"/>
          </w:tcPr>
          <w:p>
            <w:pPr>
              <w:spacing w:after="0"/>
              <w:rPr>
                <w:sz w:val="20"/>
                <w:szCs w:val="20"/>
                <w:color w:val="auto"/>
              </w:rPr>
            </w:pPr>
            <w:r>
              <w:rPr>
                <w:rFonts w:ascii="Arial" w:cs="Arial" w:eastAsia="Arial" w:hAnsi="Arial"/>
                <w:sz w:val="18"/>
                <w:szCs w:val="18"/>
                <w:b w:val="1"/>
                <w:bCs w:val="1"/>
                <w:color w:val="auto"/>
              </w:rPr>
              <w:t>Cash, Beginning of Period</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167,539</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120,436</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5797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ectPr>
          <w:pgSz w:w="11900" w:h="16838" w:orient="portrait"/>
          <w:cols w:equalWidth="0" w:num="1">
            <w:col w:w="10099"/>
          </w:cols>
          <w:pgMar w:left="360" w:top="125" w:right="1440" w:bottom="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tabs>
          <w:tab w:leader="none" w:pos="5680" w:val="left"/>
          <w:tab w:leader="none" w:pos="6920" w:val="left"/>
          <w:tab w:leader="none" w:pos="8480" w:val="left"/>
        </w:tabs>
        <w:rPr>
          <w:sz w:val="20"/>
          <w:szCs w:val="20"/>
          <w:color w:val="auto"/>
        </w:rPr>
      </w:pPr>
      <w:r>
        <w:rPr>
          <w:rFonts w:ascii="Arial" w:cs="Arial" w:eastAsia="Arial" w:hAnsi="Arial"/>
          <w:sz w:val="18"/>
          <w:szCs w:val="18"/>
          <w:b w:val="1"/>
          <w:bCs w:val="1"/>
          <w:color w:val="auto"/>
        </w:rPr>
        <w:t>Cash, End of Period</w:t>
      </w:r>
      <w:r>
        <w:rPr>
          <w:sz w:val="20"/>
          <w:szCs w:val="20"/>
          <w:color w:val="auto"/>
        </w:rPr>
        <w:tab/>
      </w:r>
      <w:r>
        <w:rPr>
          <w:rFonts w:ascii="Arial" w:cs="Arial" w:eastAsia="Arial" w:hAnsi="Arial"/>
          <w:sz w:val="18"/>
          <w:szCs w:val="18"/>
          <w:color w:val="auto"/>
        </w:rPr>
        <w:t>$ 2,398</w:t>
      </w:r>
      <w:r>
        <w:rPr>
          <w:sz w:val="20"/>
          <w:szCs w:val="20"/>
          <w:color w:val="auto"/>
        </w:rPr>
        <w:tab/>
      </w:r>
      <w:r>
        <w:rPr>
          <w:rFonts w:ascii="Arial" w:cs="Arial" w:eastAsia="Arial" w:hAnsi="Arial"/>
          <w:sz w:val="18"/>
          <w:szCs w:val="18"/>
          <w:color w:val="auto"/>
        </w:rPr>
        <w:t>$ 132,053</w:t>
      </w:r>
      <w:r>
        <w:rPr>
          <w:sz w:val="20"/>
          <w:szCs w:val="20"/>
          <w:color w:val="auto"/>
        </w:rPr>
        <w:tab/>
      </w:r>
      <w:r>
        <w:rPr>
          <w:rFonts w:ascii="Arial" w:cs="Arial" w:eastAsia="Arial" w:hAnsi="Arial"/>
          <w:sz w:val="16"/>
          <w:szCs w:val="16"/>
          <w:color w:val="auto"/>
        </w:rPr>
        <w:t>$ 2,398</w:t>
      </w:r>
    </w:p>
    <w:p>
      <w:pPr>
        <w:sectPr>
          <w:pgSz w:w="11900" w:h="16838" w:orient="portrait"/>
          <w:cols w:equalWidth="0" w:num="1">
            <w:col w:w="10099"/>
          </w:cols>
          <w:pgMar w:left="360" w:top="125" w:right="1440" w:bottom="0" w:gutter="0" w:footer="0" w:header="0"/>
          <w:type w:val="continuous"/>
        </w:sectPr>
      </w:pPr>
    </w:p>
    <w:bookmarkStart w:id="4" w:name="page5"/>
    <w:bookmarkEnd w:id="4"/>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97790</wp:posOffset>
            </wp:positionV>
            <wp:extent cx="57975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Supplemental cash flow information and non-cash investing</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and financing activities: </w:t>
      </w:r>
      <w:r>
        <w:rPr>
          <w:rFonts w:ascii="Arial" w:cs="Arial" w:eastAsia="Arial" w:hAnsi="Arial"/>
          <w:sz w:val="18"/>
          <w:szCs w:val="18"/>
          <w:color w:val="auto"/>
        </w:rPr>
        <w:t>(refer to Note 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Nature of Operations</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May 9, 2002, TapImmune Inc. ("TPIM" or the "Company"), a Nevada corporation entered into a letter of intent to acquire 100% of the issued and outstanding common shares of GeneMax Pharmaceuticals Inc. (a development stage company) ("GPI"). GPI is a private Delaware company incorporated July 27, 1999 which has a wholly-owned subsidiary, GeneMax Pharmaceuticals Canada Inc. ("GPC"), a private British Columbia company incorporated May 12, 2000. GPI is a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spacing w:after="0" w:line="1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June 28, 2007, the Company approved a name change to TapImmune Inc. and completed a reverse stock split by the issuance of one (1) new share for each two and one-half (2.5) outstanding shares of the Company's common stock. Unless specifically noted, all amounts have been retroactively restated to recognize the reverse stock split (Note 7).</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2000, GPI and the University of British Columbia ("UBC") entered into a worldwide license agreement providing GPI the exclusive license rights to certain patented and unpatented technologies originally invented and developed by UBC. Also during 2000, GPI and UBC entered into a Collaborative Research Agreement ("CRA") appointing UBC to carry out further development of the licensed technology and providing GPI the option to acquire the rights to commercialize any additional technologies developed within the CRA in consideration for certain funding commitments (refer to Note 4). The lead product resulting from these licenses is a immunotherapy vaccine, on which the Company has been completing pre-clinical work in anticipation of clinical trials. Specifically the Company has moved the technology through issuance of a U.S. patent, tested various viral vectors needed to deliver the gene that forms the basis for the vaccine, licensed a preferred viral vector and contracted out productio n of clinical grade vaccine (refer to Note 4). The Company plans to continue development of the lead product vaccine through clinical trials. The other technologies licensed include assays, which the Company plans to use for generation of a pipeline of immune-modulation products. The assay technology acquired has received patent protection.</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These consolidated financial statements have been prepared on the basis of a going concern which contemplates the realization of assets and the satisfaction of liabilities in the normal course of business. As at September 30, 2008, the Company has a working capital deficiency of $2,801,731, a capital deficiency of $2,790,720 and has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Internally generated cash flow will not fund developm ent and commercialization of the Company's products. The Company is dependant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3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to raise capital through private placements, related party loans and other sources to meet immediate working capital requirements. Management expects to be able to complete restructuring plans and expand programs including entering clinical trials for its lead TAP (Transporters of Antigen Processing) vaccine and infectious disease adjuvant. These measures, if successful, should contribute to reducing the risk of going concern uncertainties for the Company over the next twelve months.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is no certainty that the company will be able to raise sufficient funding to satisfy current debt obligations or to continue development of products to marketability.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Unaudited Consolidated Financial Statements for an Interim Period</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These unaudited financial statements of the Company have been prepared in accordance with generally accepted accounting principles for interim financial information and the rules and regulations of the securities and exchange commission. They do not include all information and footnotes required by United States generally accepted accounting principles for complete financial statements. However, except as disclosed herein, there has been no material changes in the information disclosed in the notes to the financial statements for the year ended December 31, 2007 included in the Company's Annual Report on Form 10-KSB filed with the Securities and Exchange Commission. These unaudited financial statements should be read in conjunction with those financial statements included in Form 10-KSB. In the opinion of management, all adjustments considered necessary for fair presentation, consisting solely of normal recurring adjustments, have been made. Operating results for the nine mont hs ended September 30, 2008 are not necessarily indicative of the results that may be expected for the year ending December 31, 2008.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("SFAS 161"). SFAS 161 is intended to improve financial reporting about derivative instruments and hedging activities by requiring enhanced disclosures to enable investors to better understand their</w:t>
      </w:r>
    </w:p>
    <w:p>
      <w:pPr>
        <w:sectPr>
          <w:pgSz w:w="11900" w:h="16925" w:orient="portrait"/>
          <w:cols w:equalWidth="0" w:num="1">
            <w:col w:w="11420"/>
          </w:cols>
          <w:pgMar w:left="240" w:top="368" w:right="239" w:bottom="0" w:gutter="0" w:footer="0" w:header="0"/>
        </w:sectPr>
      </w:pPr>
    </w:p>
    <w:bookmarkStart w:id="5" w:name="page6"/>
    <w:bookmarkEnd w:id="5"/>
    <w:p>
      <w:pPr>
        <w:jc w:val="both"/>
        <w:spacing w:after="0" w:line="254" w:lineRule="auto"/>
        <w:rPr>
          <w:sz w:val="20"/>
          <w:szCs w:val="20"/>
          <w:color w:val="auto"/>
        </w:rPr>
      </w:pPr>
      <w:r>
        <w:rPr>
          <w:rFonts w:ascii="Arial" w:cs="Arial" w:eastAsia="Arial" w:hAnsi="Arial"/>
          <w:sz w:val="18"/>
          <w:szCs w:val="18"/>
          <w:color w:val="auto"/>
        </w:rPr>
        <w:t>effects on an entity's financial position, financial performance, and cash flows. SFAS 161 achieves these improvements by requiring disclosure of the fair values of derivative instruments and their gains and losses in a tabular format. It also provides more information about an entity's liquidity by requiring disclosure of derivative features that are credit risk-related. Finally, it requires cross-referencing within footnotes to enable financial statement users to locate important information about derivative instruments. SFAS 161 will be effective for financial statements issued for fiscal years and interim periods beginning after November 15, 2008, and will be adopted by us be ginning in the first quarter of 2009. We do not expect there to be any significant impact of adopting SFAS 161 on our financial position, cash flows and results of operations.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2008, the FASB issued SFAS No. 162, The Hierarchy of Generally Accepted Accounting Principles ("SFAS No.162"). SFAS No. 162 is intended to improve financial reporting by identifying a consistent framework, or hierarchy, for selecting accounting principles to be used in preparing financial statements that are presented in conformity with US generally accepted accounting principles (GAAP) for nongovernmental entities. SFAS No. 162 is effective 60 days following the SEC's approval of the Public Company Accounting Oversight Board Auditing amendments to AU Section 411, </w:t>
      </w:r>
      <w:r>
        <w:rPr>
          <w:rFonts w:ascii="Arial" w:cs="Arial" w:eastAsia="Arial" w:hAnsi="Arial"/>
          <w:sz w:val="18"/>
          <w:szCs w:val="18"/>
          <w:i w:val="1"/>
          <w:iCs w:val="1"/>
          <w:color w:val="auto"/>
        </w:rPr>
        <w:t>The Meaning of</w:t>
      </w:r>
      <w:r>
        <w:rPr>
          <w:rFonts w:ascii="Arial" w:cs="Arial" w:eastAsia="Arial" w:hAnsi="Arial"/>
          <w:sz w:val="18"/>
          <w:szCs w:val="18"/>
          <w:color w:val="auto"/>
        </w:rPr>
        <w:t xml:space="preserve"> Present Fairly in Conformity with Generally Accepted Accounting Principles.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Furniture and Equipment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Furniture and equipment consisted of the following at:</w:t>
      </w:r>
    </w:p>
    <w:p>
      <w:pPr>
        <w:spacing w:after="0" w:line="34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920" w:type="dxa"/>
            <w:vAlign w:val="bottom"/>
          </w:tcPr>
          <w:p>
            <w:pPr>
              <w:jc w:val="center"/>
              <w:ind w:left="1212"/>
              <w:spacing w:after="0"/>
              <w:rPr>
                <w:sz w:val="20"/>
                <w:szCs w:val="20"/>
                <w:color w:val="auto"/>
              </w:rPr>
            </w:pPr>
            <w:r>
              <w:rPr>
                <w:rFonts w:ascii="Arial" w:cs="Arial" w:eastAsia="Arial" w:hAnsi="Arial"/>
                <w:sz w:val="18"/>
                <w:szCs w:val="18"/>
                <w:color w:val="auto"/>
                <w:w w:val="86"/>
              </w:rPr>
              <w:t>September 30,</w:t>
            </w:r>
          </w:p>
        </w:tc>
        <w:tc>
          <w:tcPr>
            <w:tcW w:w="1360" w:type="dxa"/>
            <w:vAlign w:val="bottom"/>
            <w:gridSpan w:val="2"/>
          </w:tcPr>
          <w:p>
            <w:pPr>
              <w:jc w:val="right"/>
              <w:ind w:right="92"/>
              <w:spacing w:after="0"/>
              <w:rPr>
                <w:sz w:val="20"/>
                <w:szCs w:val="20"/>
                <w:color w:val="auto"/>
              </w:rPr>
            </w:pPr>
            <w:r>
              <w:rPr>
                <w:rFonts w:ascii="Arial" w:cs="Arial" w:eastAsia="Arial" w:hAnsi="Arial"/>
                <w:sz w:val="18"/>
                <w:szCs w:val="18"/>
                <w:color w:val="auto"/>
              </w:rPr>
              <w:t>December 31,</w:t>
            </w:r>
          </w:p>
        </w:tc>
      </w:tr>
      <w:tr>
        <w:trPr>
          <w:trHeight w:val="216"/>
        </w:trPr>
        <w:tc>
          <w:tcPr>
            <w:tcW w:w="3840" w:type="dxa"/>
            <w:vAlign w:val="bottom"/>
          </w:tcPr>
          <w:p>
            <w:pPr>
              <w:spacing w:after="0"/>
              <w:rPr>
                <w:sz w:val="18"/>
                <w:szCs w:val="18"/>
                <w:color w:val="auto"/>
              </w:rPr>
            </w:pPr>
          </w:p>
        </w:tc>
        <w:tc>
          <w:tcPr>
            <w:tcW w:w="2920" w:type="dxa"/>
            <w:vAlign w:val="bottom"/>
          </w:tcPr>
          <w:p>
            <w:pPr>
              <w:jc w:val="center"/>
              <w:ind w:left="1192"/>
              <w:spacing w:after="0"/>
              <w:rPr>
                <w:sz w:val="20"/>
                <w:szCs w:val="20"/>
                <w:color w:val="auto"/>
              </w:rPr>
            </w:pPr>
            <w:r>
              <w:rPr>
                <w:rFonts w:ascii="Arial" w:cs="Arial" w:eastAsia="Arial" w:hAnsi="Arial"/>
                <w:sz w:val="18"/>
                <w:szCs w:val="18"/>
                <w:color w:val="auto"/>
                <w:w w:val="89"/>
              </w:rPr>
              <w:t>2008</w:t>
            </w:r>
          </w:p>
        </w:tc>
        <w:tc>
          <w:tcPr>
            <w:tcW w:w="1360" w:type="dxa"/>
            <w:vAlign w:val="bottom"/>
            <w:gridSpan w:val="2"/>
          </w:tcPr>
          <w:p>
            <w:pPr>
              <w:jc w:val="right"/>
              <w:ind w:right="412"/>
              <w:spacing w:after="0"/>
              <w:rPr>
                <w:sz w:val="20"/>
                <w:szCs w:val="20"/>
                <w:color w:val="auto"/>
              </w:rPr>
            </w:pPr>
            <w:r>
              <w:rPr>
                <w:rFonts w:ascii="Arial" w:cs="Arial" w:eastAsia="Arial" w:hAnsi="Arial"/>
                <w:sz w:val="18"/>
                <w:szCs w:val="18"/>
                <w:color w:val="auto"/>
              </w:rPr>
              <w:t>2007</w:t>
            </w:r>
          </w:p>
        </w:tc>
      </w:tr>
      <w:tr>
        <w:trPr>
          <w:trHeight w:val="222"/>
        </w:trPr>
        <w:tc>
          <w:tcPr>
            <w:tcW w:w="3840" w:type="dxa"/>
            <w:vAlign w:val="bottom"/>
          </w:tcPr>
          <w:p>
            <w:pPr>
              <w:spacing w:after="0"/>
              <w:rPr>
                <w:sz w:val="19"/>
                <w:szCs w:val="19"/>
                <w:color w:val="auto"/>
              </w:rPr>
            </w:pPr>
          </w:p>
        </w:tc>
        <w:tc>
          <w:tcPr>
            <w:tcW w:w="2920" w:type="dxa"/>
            <w:vAlign w:val="bottom"/>
          </w:tcPr>
          <w:p>
            <w:pPr>
              <w:jc w:val="center"/>
              <w:ind w:left="1192"/>
              <w:spacing w:after="0"/>
              <w:rPr>
                <w:sz w:val="20"/>
                <w:szCs w:val="20"/>
                <w:color w:val="auto"/>
              </w:rPr>
            </w:pPr>
            <w:r>
              <w:rPr>
                <w:rFonts w:ascii="Arial" w:cs="Arial" w:eastAsia="Arial" w:hAnsi="Arial"/>
                <w:sz w:val="18"/>
                <w:szCs w:val="18"/>
                <w:color w:val="auto"/>
                <w:w w:val="89"/>
              </w:rPr>
              <w:t>(Unaudited)</w:t>
            </w: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8"/>
        </w:trPr>
        <w:tc>
          <w:tcPr>
            <w:tcW w:w="38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424"/>
        </w:trPr>
        <w:tc>
          <w:tcPr>
            <w:tcW w:w="3840" w:type="dxa"/>
            <w:vAlign w:val="bottom"/>
          </w:tcPr>
          <w:p>
            <w:pPr>
              <w:spacing w:after="0"/>
              <w:rPr>
                <w:sz w:val="20"/>
                <w:szCs w:val="20"/>
                <w:color w:val="auto"/>
              </w:rPr>
            </w:pPr>
            <w:r>
              <w:rPr>
                <w:rFonts w:ascii="Arial" w:cs="Arial" w:eastAsia="Arial" w:hAnsi="Arial"/>
                <w:sz w:val="18"/>
                <w:szCs w:val="18"/>
                <w:color w:val="auto"/>
              </w:rPr>
              <w:t>Computer equipment</w:t>
            </w:r>
          </w:p>
        </w:tc>
        <w:tc>
          <w:tcPr>
            <w:tcW w:w="2920" w:type="dxa"/>
            <w:vAlign w:val="bottom"/>
          </w:tcPr>
          <w:p>
            <w:pPr>
              <w:jc w:val="right"/>
              <w:ind w:right="132"/>
              <w:spacing w:after="0"/>
              <w:rPr>
                <w:sz w:val="20"/>
                <w:szCs w:val="20"/>
                <w:color w:val="auto"/>
              </w:rPr>
            </w:pPr>
            <w:r>
              <w:rPr>
                <w:rFonts w:ascii="Arial" w:cs="Arial" w:eastAsia="Arial" w:hAnsi="Arial"/>
                <w:sz w:val="18"/>
                <w:szCs w:val="18"/>
                <w:color w:val="auto"/>
              </w:rPr>
              <w:t>$ 4,533</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4,533</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Laboratory equipment</w:t>
            </w:r>
          </w:p>
        </w:tc>
        <w:tc>
          <w:tcPr>
            <w:tcW w:w="2920" w:type="dxa"/>
            <w:vAlign w:val="bottom"/>
          </w:tcPr>
          <w:p>
            <w:pPr>
              <w:jc w:val="right"/>
              <w:ind w:right="132"/>
              <w:spacing w:after="0"/>
              <w:rPr>
                <w:sz w:val="20"/>
                <w:szCs w:val="20"/>
                <w:color w:val="auto"/>
              </w:rPr>
            </w:pPr>
            <w:r>
              <w:rPr>
                <w:rFonts w:ascii="Arial" w:cs="Arial" w:eastAsia="Arial" w:hAnsi="Arial"/>
                <w:sz w:val="18"/>
                <w:szCs w:val="18"/>
                <w:color w:val="auto"/>
              </w:rPr>
              <w:t>16,704</w:t>
            </w:r>
          </w:p>
        </w:tc>
        <w:tc>
          <w:tcPr>
            <w:tcW w:w="7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16,704</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920" w:type="dxa"/>
            <w:vAlign w:val="bottom"/>
          </w:tcPr>
          <w:p>
            <w:pPr>
              <w:jc w:val="right"/>
              <w:ind w:right="132"/>
              <w:spacing w:after="0"/>
              <w:rPr>
                <w:sz w:val="20"/>
                <w:szCs w:val="20"/>
                <w:color w:val="auto"/>
              </w:rPr>
            </w:pPr>
            <w:r>
              <w:rPr>
                <w:rFonts w:ascii="Arial" w:cs="Arial" w:eastAsia="Arial" w:hAnsi="Arial"/>
                <w:sz w:val="18"/>
                <w:szCs w:val="18"/>
                <w:color w:val="auto"/>
              </w:rPr>
              <w:t>3,161</w:t>
            </w:r>
          </w:p>
        </w:tc>
        <w:tc>
          <w:tcPr>
            <w:tcW w:w="7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3,161</w:t>
            </w:r>
          </w:p>
        </w:tc>
      </w:tr>
      <w:tr>
        <w:trPr>
          <w:trHeight w:val="218"/>
        </w:trPr>
        <w:tc>
          <w:tcPr>
            <w:tcW w:w="38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451"/>
        </w:trPr>
        <w:tc>
          <w:tcPr>
            <w:tcW w:w="3840" w:type="dxa"/>
            <w:vAlign w:val="bottom"/>
          </w:tcPr>
          <w:p>
            <w:pPr>
              <w:spacing w:after="0"/>
              <w:rPr>
                <w:sz w:val="24"/>
                <w:szCs w:val="24"/>
                <w:color w:val="auto"/>
              </w:rPr>
            </w:pPr>
          </w:p>
        </w:tc>
        <w:tc>
          <w:tcPr>
            <w:tcW w:w="2920" w:type="dxa"/>
            <w:vAlign w:val="bottom"/>
          </w:tcPr>
          <w:p>
            <w:pPr>
              <w:jc w:val="right"/>
              <w:ind w:right="132"/>
              <w:spacing w:after="0"/>
              <w:rPr>
                <w:sz w:val="20"/>
                <w:szCs w:val="20"/>
                <w:color w:val="auto"/>
              </w:rPr>
            </w:pPr>
            <w:r>
              <w:rPr>
                <w:rFonts w:ascii="Arial" w:cs="Arial" w:eastAsia="Arial" w:hAnsi="Arial"/>
                <w:sz w:val="18"/>
                <w:szCs w:val="18"/>
                <w:color w:val="auto"/>
              </w:rPr>
              <w:t>24,398</w:t>
            </w:r>
          </w:p>
        </w:tc>
        <w:tc>
          <w:tcPr>
            <w:tcW w:w="7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24,398</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920" w:type="dxa"/>
            <w:vAlign w:val="bottom"/>
          </w:tcPr>
          <w:p>
            <w:pPr>
              <w:jc w:val="right"/>
              <w:ind w:right="92"/>
              <w:spacing w:after="0"/>
              <w:rPr>
                <w:sz w:val="20"/>
                <w:szCs w:val="20"/>
                <w:color w:val="auto"/>
              </w:rPr>
            </w:pPr>
            <w:r>
              <w:rPr>
                <w:rFonts w:ascii="Arial" w:cs="Arial" w:eastAsia="Arial" w:hAnsi="Arial"/>
                <w:sz w:val="18"/>
                <w:szCs w:val="18"/>
                <w:color w:val="auto"/>
              </w:rPr>
              <w:t>(13,387)</w:t>
            </w:r>
          </w:p>
        </w:tc>
        <w:tc>
          <w:tcPr>
            <w:tcW w:w="7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(7,777)</w:t>
            </w:r>
          </w:p>
        </w:tc>
      </w:tr>
      <w:tr>
        <w:trPr>
          <w:trHeight w:val="218"/>
        </w:trPr>
        <w:tc>
          <w:tcPr>
            <w:tcW w:w="38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451"/>
        </w:trPr>
        <w:tc>
          <w:tcPr>
            <w:tcW w:w="3840" w:type="dxa"/>
            <w:vAlign w:val="bottom"/>
          </w:tcPr>
          <w:p>
            <w:pPr>
              <w:spacing w:after="0"/>
              <w:rPr>
                <w:sz w:val="24"/>
                <w:szCs w:val="24"/>
                <w:color w:val="auto"/>
              </w:rPr>
            </w:pPr>
          </w:p>
        </w:tc>
        <w:tc>
          <w:tcPr>
            <w:tcW w:w="2920" w:type="dxa"/>
            <w:vAlign w:val="bottom"/>
          </w:tcPr>
          <w:p>
            <w:pPr>
              <w:jc w:val="right"/>
              <w:ind w:right="132"/>
              <w:spacing w:after="0"/>
              <w:rPr>
                <w:sz w:val="20"/>
                <w:szCs w:val="20"/>
                <w:color w:val="auto"/>
              </w:rPr>
            </w:pPr>
            <w:r>
              <w:rPr>
                <w:rFonts w:ascii="Arial" w:cs="Arial" w:eastAsia="Arial" w:hAnsi="Arial"/>
                <w:sz w:val="18"/>
                <w:szCs w:val="18"/>
                <w:color w:val="auto"/>
              </w:rPr>
              <w:t>$ 11,011</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16,621</w:t>
            </w:r>
          </w:p>
        </w:tc>
      </w:tr>
      <w:tr>
        <w:trPr>
          <w:trHeight w:val="225"/>
        </w:trPr>
        <w:tc>
          <w:tcPr>
            <w:tcW w:w="38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Research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Crucell Holland B.V. ("Crucell") - Research License and Option Agreement</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August 7, 2003, Crucell and GPI entered into a five-year research license and option agreement whereby Crucell granted to GPI a non-exclusive worldwide license for the research use of its adenovirus technology. The Company was required to make certain payments over the five-year term totaling Euro €450,000 (approximately $510,100).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Effective June 6, 2005, Crucell gave the Company notice of default whereby the Company had six months to remedy the unpaid option maintenance payments of $236,880 (€200,000) owing as at December 31, 2005. On November 16, 2005, Crucell provided notice of termination by default due the Company's failure to remedy the default within the required six month period. In May 2006, the Company negotiated a reinstatement of the original research and license option agreement with Crucell and paid Crucell on April 20, 2006 €123,590 ($151,521) in connection with the reinstatement. Under the revised terms of the agreement, the Company would pay Crucell twelve monthly payments of €10,300 starting May 2006 (paid to October 31, 2006, as of June 30, 2008) and a €75,000 annual license fee (outstanding at September 30, 2008, adjusted for CPI) to maintain the reinstated agreement in good standing. In January, 2008 the Company paid €27,316 ($40,000) towards the outstanding balance a nd at September 30, 2008, €109,484 ($154,164) has been included in research agreement obligations for the Crucell agreement and is outstanding under the terms of the agreement. The agreement is currently in default and management is attempting to negotiate a revised payment schedule for the remaining balance.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SAFC Pharma Inc (formerly Molecular Medicine BioServices, Inc.) ("SAFC Pharma") - Production Service Agreement</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March 18, 2003, SAFC Pharma and GPC entered into a production service agreement ("PSA"), as amended on August 29, 2003, whereby SAFC Pharma will produce the clinical vector for delivery of the TAP gene used in the Company's cancer immunotherapy product. The product will incorporate the Crucell vector and the Company's TAP1 gene. Total obligations under the contract are $232,000 payable to SAFC Pharma plus an estimated $110,000 to $145,000 in third-party testing costs. The Company was in breach of its contractual obligations with SAFC Pharma in respect of payment of $15,000 for Phase I of the project. The parties have agreed that advance payments that had been made for subsequent phases could be allocated to the Phase I deficiency so that all payments that were due under the PSA have now been paid in full and the Company has a non-refundable credit of approximately $78,000 available until the end of 2008 with SAFC Pharma to be applied towards future vaccine production. Th e non-refundable credit has not been recognized as an asset due to uncertainty over realization.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w:t>
      </w:r>
    </w:p>
    <w:p>
      <w:pPr>
        <w:spacing w:after="0" w:line="19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March 2007, the Company entered into a laboratory lease that expires in February 2012. The terms of the operating lease agreement require the Company to make minimum monthly payments of approximately $2,490 (CAN $2,520).</w:t>
      </w:r>
    </w:p>
    <w:p>
      <w:pPr>
        <w:sectPr>
          <w:pgSz w:w="11900" w:h="16838" w:orient="portrait"/>
          <w:cols w:equalWidth="0" w:num="1">
            <w:col w:w="11420"/>
          </w:cols>
          <w:pgMar w:left="240" w:top="131"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Combined Research and Operating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obligations under various agreements that expire through February 2012. The aggregate minimum annual payments for the years ending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are as follows:</w:t>
      </w:r>
    </w:p>
    <w:p>
      <w:pPr>
        <w:spacing w:after="0" w:line="313" w:lineRule="exact"/>
        <w:rPr>
          <w:sz w:val="20"/>
          <w:szCs w:val="20"/>
          <w:color w:val="auto"/>
        </w:rPr>
      </w:pPr>
    </w:p>
    <w:tbl>
      <w:tblPr>
        <w:tblLayout w:type="fixed"/>
        <w:tblInd w:w="4400" w:type="dxa"/>
        <w:tblCellMar>
          <w:top w:w="0" w:type="dxa"/>
          <w:left w:w="0" w:type="dxa"/>
          <w:bottom w:w="0" w:type="dxa"/>
          <w:right w:w="0" w:type="dxa"/>
        </w:tblCellMar>
      </w:tblPr>
      <w:tr>
        <w:trPr>
          <w:trHeight w:val="216"/>
        </w:trPr>
        <w:tc>
          <w:tcPr>
            <w:tcW w:w="1800" w:type="dxa"/>
            <w:vAlign w:val="bottom"/>
          </w:tcPr>
          <w:p>
            <w:pPr>
              <w:jc w:val="right"/>
              <w:ind w:right="1372"/>
              <w:spacing w:after="0"/>
              <w:rPr>
                <w:sz w:val="20"/>
                <w:szCs w:val="20"/>
                <w:color w:val="auto"/>
              </w:rPr>
            </w:pPr>
            <w:r>
              <w:rPr>
                <w:rFonts w:ascii="Arial" w:cs="Arial" w:eastAsia="Arial" w:hAnsi="Arial"/>
                <w:sz w:val="18"/>
                <w:szCs w:val="18"/>
                <w:color w:val="auto"/>
                <w:w w:val="79"/>
              </w:rPr>
              <w:t>2009</w:t>
            </w: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   31,294</w:t>
            </w:r>
          </w:p>
        </w:tc>
      </w:tr>
      <w:tr>
        <w:trPr>
          <w:trHeight w:val="216"/>
        </w:trPr>
        <w:tc>
          <w:tcPr>
            <w:tcW w:w="1800" w:type="dxa"/>
            <w:vAlign w:val="bottom"/>
          </w:tcPr>
          <w:p>
            <w:pPr>
              <w:jc w:val="right"/>
              <w:ind w:right="1372"/>
              <w:spacing w:after="0"/>
              <w:rPr>
                <w:sz w:val="20"/>
                <w:szCs w:val="20"/>
                <w:color w:val="auto"/>
              </w:rPr>
            </w:pPr>
            <w:r>
              <w:rPr>
                <w:rFonts w:ascii="Arial" w:cs="Arial" w:eastAsia="Arial" w:hAnsi="Arial"/>
                <w:sz w:val="18"/>
                <w:szCs w:val="18"/>
                <w:color w:val="auto"/>
                <w:w w:val="79"/>
              </w:rPr>
              <w:t>2010</w:t>
            </w: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32,304</w:t>
            </w:r>
          </w:p>
        </w:tc>
      </w:tr>
      <w:tr>
        <w:trPr>
          <w:trHeight w:val="216"/>
        </w:trPr>
        <w:tc>
          <w:tcPr>
            <w:tcW w:w="1800" w:type="dxa"/>
            <w:vAlign w:val="bottom"/>
          </w:tcPr>
          <w:p>
            <w:pPr>
              <w:jc w:val="right"/>
              <w:ind w:right="1372"/>
              <w:spacing w:after="0"/>
              <w:rPr>
                <w:sz w:val="20"/>
                <w:szCs w:val="20"/>
                <w:color w:val="auto"/>
              </w:rPr>
            </w:pPr>
            <w:r>
              <w:rPr>
                <w:rFonts w:ascii="Arial" w:cs="Arial" w:eastAsia="Arial" w:hAnsi="Arial"/>
                <w:sz w:val="18"/>
                <w:szCs w:val="18"/>
                <w:color w:val="auto"/>
                <w:w w:val="79"/>
              </w:rPr>
              <w:t>2011</w:t>
            </w: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32,304</w:t>
            </w:r>
          </w:p>
        </w:tc>
      </w:tr>
      <w:tr>
        <w:trPr>
          <w:trHeight w:val="184"/>
        </w:trPr>
        <w:tc>
          <w:tcPr>
            <w:tcW w:w="1800" w:type="dxa"/>
            <w:vAlign w:val="bottom"/>
          </w:tcPr>
          <w:p>
            <w:pPr>
              <w:jc w:val="right"/>
              <w:ind w:right="1372"/>
              <w:spacing w:after="0" w:line="184" w:lineRule="exact"/>
              <w:rPr>
                <w:sz w:val="20"/>
                <w:szCs w:val="20"/>
                <w:color w:val="auto"/>
              </w:rPr>
            </w:pPr>
            <w:r>
              <w:rPr>
                <w:rFonts w:ascii="Arial" w:cs="Arial" w:eastAsia="Arial" w:hAnsi="Arial"/>
                <w:sz w:val="18"/>
                <w:szCs w:val="18"/>
                <w:color w:val="auto"/>
                <w:w w:val="79"/>
              </w:rPr>
              <w:t>2012</w:t>
            </w: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rPr>
              <w:t>13,460</w:t>
            </w:r>
          </w:p>
        </w:tc>
      </w:tr>
      <w:tr>
        <w:trPr>
          <w:trHeight w:val="235"/>
        </w:trPr>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109,362</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Convertible Debt and Promissory Notes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2004 Convertible Notes and Debenture Financing</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2004, the Company issued two unsecured convertible promissory notes in the principal amount of $500,000, that included interest at 8% per annum and were due twelve months from the date of issue.</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2006, the Company repaid $300,000 towards the convertible notes, in addition to all interest accrued to the date of the final payment on October 31, 2006. In 2007, the Company repaid $133,367 towards the convertible note principal. On July 3, 2007 the Company entered into a letter agreement extending the term of the warrants originally issued with the outstanding convertible note for a period of two years or 18 months after effective registration of the warrants (not completed to date), and reduced the conversion price from $1.25 to $0.25. The incremental increase in the fair value of the warrants resulting from the repricing was determined by management to be $40,000 and was recorded as interest and finance charges. The fair value was estimated using the Black-Scholes option pricing model with an expected life of 2 years, a risk free interest rate of 5.28%, a dividend yield of 0%, and an expected volatility of 86%. In 2008, the Company repaid $10,000 towards the convertible note p rincipal.</w:t>
      </w:r>
    </w:p>
    <w:p>
      <w:pPr>
        <w:spacing w:after="0" w:line="13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At September 30, 2008 the principal amount of $56,633 was outstanding for the convertible notes, and interest expense of $3,517 (2007 - $9,022) has been accrued for the nine month period.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2007 Promissory Note</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13, 2007 the Company issued an unsecured promissory note to a company related through a family member of a director of the Company (Note 6) in the principal amount of $100,000. The promissory note was revised on August 31, 2007 to $125,000. The promissory note matured on September 28, 2007 and bears interest at 12% per annum. As partial consideration for the promissory note, on October 31, 2007 the Company issued to the Lender, as fully paid and non-assessable, 125,000 non-transferable and registerable share purchase warrants (each a "Warrant"), to acquire an equivalent number of common shares of the Company (each a "Warrant Share"), at an exercise price of $0.30 per Warrant Share for an exercise period of up to one year from the issuance date. The fair value of the warrants was determined by management at $18,104 recorded as interest and finance charges. The fair value was estimated using the Black-Scholes option pricing model with an expected lif e of 1 year, a risk free interest rate of 5.27%, a dividend yield of 0%, and an expected volatility of 125%.</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18, 2007 the Company signed an agreement to extend the terms of the 2007 Promissory Note through February 28, 2008. As consideration for the extension, the Company agreed to issue to the Lender, as fully paid and non-assessable, 400,000 non-transferable and registerable share purchase warrants (each a "Warrant"), to acquire an equivalent number of common shares of the Company (each a "Warrant Share"), at an exercise price of $0.25 per Warrant Share and for an exercise period of up to three years from the issuance date. The fair value of the warrants was determined by management at $44,000 recorded as a warrant issuance obligation and expensed as interest and finance charges. The fair value was estimated using the Black-Scholes option pricing model with an expected life of 3 years, a risk free interest rate of 4.21%, a dividend yield of 0%, and an expected volatility of 106%.</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2008 no repayment has been made to the principal amount or the interest of $11,260 (2007 - $2,844) accrued on the promissory note.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2007 Convertible Promissory Note</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August 31, 2007 the Company issued a convertible promissory note to a company related through a family member of a director of the Company (Note 6) in the principal amount of $200,000. The note bears interest at 12% per annum and is due on demand. Upon completion of the conversion terms, the unpaid amount of principal and accrued interest may be converted at any time at the holder's option into shares of the Company's common stock. The conversion price will be determined by the purchase price of the Company's next stock offering or convertible debt financing. When the price is established, management will determine whether any beneficial conversion feature exists and may require adjustment to the stated value.</w:t>
      </w:r>
    </w:p>
    <w:p>
      <w:pPr>
        <w:spacing w:after="0" w:line="12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At September 30, 2008 no repayment has been made to the principal amount or the interest of $18,016 (2007 - $1,973) accrued on the convertible promissory note.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2007 Loan and Security Agreement</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November 30, 2007 the Company entered into a Loan and Security Agreement with an unrelated company, whereby the Company issued 12% secured promissory notes in the principal amount of $445,000, with interest paid in advance resulting in net proceeds of $391,600, with the discount being amortized to interest and finance charges over the term of the notes. The promissory notes matured on May 31, 2008. Additionally, the Company issued to the Lenders, as fully paid and non-assessable, 1,780,000 non-transferable and registerable share purchase warrants (each a "Warrant"), to acquire an equivalent number of common shares of the Company (each a "Warrant Share"), at an exercise price of $0.25 per Warrant Share and for an exercise period of up to five years from the issuance date. The Company allocated the proceeds of issuance between the secured promissory notes and the detachable warrants based on their relative fair values as determined by management. Accordingly, the Company recognize d the relative fair value of the warrants of $356,000 as a component of stockholders' deficit. Interest paid in advance was amortized by $44,354 (2007 - $9,046) to interest expense for the nine months ended September 30, 2008 increasing the net carrying value of the secured promissory notes. Additionally, the fair value of the warrants was accreted to interest expense by $295,694 (2007 - $60,306) for the nine months ended September 30, 2008 increasing the carrying value of the secured promissory notes to $445,000. The fair value of the warrants was estimated using the Black-Scholes option pricing model with an expected life of five years, a risk free interest rate of 4.55%, a dividend yield of 0%, and an expected volatility of 106%. On May 31, 2008 the notes were paid in full.</w:t>
      </w:r>
    </w:p>
    <w:p>
      <w:pPr>
        <w:sectPr>
          <w:pgSz w:w="11900" w:h="16838" w:orient="portrait"/>
          <w:cols w:equalWidth="0" w:num="1">
            <w:col w:w="11420"/>
          </w:cols>
          <w:pgMar w:left="240" w:top="125" w:right="239" w:bottom="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Pursuant to the Loan and Security agreement, the Company paid $54,195 including reimbursement of legal fees as finders' fees which has been expensed as interest and finance charges. Additionally, the Company issued as finders' fees 178,000 warrants under the same terms as the Lender's warrants. The fair value of the warrants was estimated to be $35,600 using the Black-Scholes option pricing model with an expected life of five years, a risk free interest rate of 4.55%, a dividend yield of 0%, and an expected volatility of 106%, and has been recorded as interest and finance charges. The warrants issued as finders fees and described were exercised during the current fiscal year.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2008 Promissory Note</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10, 2008 the Company issued an unsecured promissory note in the principal amount of $65,000 to an unrelated party that bears interest at 18% per annum, due ninety (90) days from the date of issuance. Additionally, the Company issued to the Lender, as fully paid and non-assessable, 130,000 non-transferable and registerable share purchase warrants (each a "Warrant"), to acquire an equivalent number of common shares of the Company (each a "Warrant Share"), at an exercise price of $0.25 per Warrant Share and for an exercise period of up to five years from the issuance date. The Company allocated the proceeds of issuance between the promissory note and the detachable warrants based on their relative fair values as determined by management. Accordingly, the Company recognized the relative fair value of the warrants of $22,100 as a component of stockholders' deficit. The fair value of the warrants was accreted to interest expense by $22,100 for the nine months ended September 30, 2008 adjusting the carrying value of the promissory note to $65,000. The fair value of the warrants was estimated using the Black-Scholes option pricing model with an expected life of five years, a risk free interest rate of 2.34%, a dividend yield of 0%, and an expected volatility of 110%.</w:t>
      </w:r>
    </w:p>
    <w:p>
      <w:pPr>
        <w:spacing w:after="0" w:line="13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At September 30, 2008 no repayment has been made to the principal amount or the interest of $5,545 (2007 - $Nil) accrued on the promissory note. This note is currently in default.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2008 Promissory Note</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5, 2008 the Company issued an unsecured promissory note to a company controlled by a director of the Company (Note 6) in the principal amount of $27,000 that bears interest at 18% per annum, due ninety (90) days from the date of issuance. Additionally, the Company issued to the Lender, as fully paid and non-assessable, 54,000 non-transferable and registerable share purchase warrants (each a "Warrant"), to acquire an equivalent number of common shares of the Company (each a "Warrant Share"), at an exercise price of $0.25 per Warrant Share and for an exercise period of up to five years from the issuance date. The Company allocated the proceeds of issuance between the promissory note and the detachable warrants based on their relative fair values as determined by management. Accordingly, the Company recognized the relative fair value of the warrants of $9,720 as a component of stockholders' deficit. The fair value of the warrants was accreted to interest expense by $9,720 for t he nine months ended September 30, 2008 adjusting the carrying value of the promissory note to $27,000. The fair value of the warrants was estimated using the Black-Scholes option pricing model with an expected life of five years, a risk free interest rate of 1.94%, a dividend yield of 0%, and an expected volatility of 117%.</w:t>
      </w:r>
    </w:p>
    <w:p>
      <w:pPr>
        <w:spacing w:after="0" w:line="13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At September 30, 2008 no repayment has been made to the principal amount or the interest of $1,971 (2007 - $Nil) accrued on the promissory note. This note is currently in default.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2008 Promissory Note</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14, 2008 the Company issued an unsecured promissory note to a company related through a family member of an officer of the Company (Note 6) in the principal amount of $200,000 that bears interest at 18% per annum, due ninety (90) days from the date of issuance. Additionally, the Company issued to the Lender, as fully paid and non-assessable, 400,000 non-transferable and registerable share purchase warrants (each a "Warrant"), to acquire an equivalent number of common shares of the Company (each a "Warrant Share"), at an exercise price of $0.25 per Warrant Share and for an exercise period of up to five years from the issuance date. The Company allocated the proceeds of issuance between the promissory note and the detachable warrants based on their relative fair values as determined by management. Accordingly, the Company recognized the relative fair value of the warrants of $76,000 as a component of stockholders' deficit. The fair value of the warrants was accreted to interes t expense by $76,000 for the nine months ended September 30, 2008 adjusting the carrying value of the promissory note to $200,000. The fair value of the warrants was estimated using the Black-Scholes option pricing model with an expected life of five years, a risk free interest rate of 1.96%, a dividend yield of 0%, and an expected volatility of 117%.</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September 30, 2008 no repayment has been made to the principal amount or the interest of $13,710 (2007 - $Nil) accrued on the promissory note. This note is currently in default.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2008 Promissory Note</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15, 2008 the Company issued an unsecured promissory note to an officer of TapImmune (Note 6) in the principal amount of $25,000 that bears interest at 18% per annum, due ninety (90) days from the date of issuance. Additionally, the Company issued to the Lender, as fully paid and non-assessable, 50,000 non-transferable and registerable share purchase warrants (each a "Warrant"), to acquire an equivalent number of common shares of the Company (each a "Warrant Share"), at an exercise price of $0.25 per Warrant Share and for an exercise period of up to five years from the issuance date. The Company allocated the proceeds of issuance between the promissory note and the detachable warrants based on their relative fair values as determined by management. Accordingly, the Company recognized the relative fair value of the warrants of $9,000 as a component of stockholders' deficit. The fair value of the warrants was accreted to interest expense by $9,000 for the nine months ended Sept ember 30, 2008 adjusting the carrying value of the promissory note to $25,000. The fair value of the warrants was estimated using the Black-Scholes option pricing model with an expected life of five years, a risk free interest rate of 1.96%, a dividend yield of 0%, and an expected volatility of 117%.</w:t>
      </w:r>
    </w:p>
    <w:p>
      <w:pPr>
        <w:spacing w:after="0" w:line="13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At September 30, 2008 no repayment has been made to the principal amount or the interest of $1,701 (2007 - $Nil) accrued on the promissory note. This note is currently in default.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2008 Promissory Note</w:t>
      </w:r>
    </w:p>
    <w:p>
      <w:pPr>
        <w:spacing w:after="0" w:line="19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On May 22, 2008 the Company issued an unsecured promissory note to a company related through a family member of an officer of TapImmune (Note 6) in the principal amount of $250,000 that bears interest at 18% per annum, due ninety (90) days from the date of issuance. Additionally, the Company issued to the Lender, as fully paid and non-assessable, 500,000 non-transferable and registerable share purchase warrants (each a "Warrant"), to acquire an equivalent number of common shares of the Company (each a "Warrant Share"), at an exercise price of $0.25 per Warrant Share and for an exercise period of up to five years from the issuance date. The Company allocated the proceeds of issuance between the promissory note and the detachable warrants based on their relative fair values as</w:t>
      </w:r>
    </w:p>
    <w:p>
      <w:pPr>
        <w:sectPr>
          <w:pgSz w:w="11900" w:h="16838" w:orient="portrait"/>
          <w:cols w:equalWidth="0" w:num="1">
            <w:col w:w="11420"/>
          </w:cols>
          <w:pgMar w:left="240" w:top="131" w:right="239" w:bottom="0" w:gutter="0" w:footer="0" w:header="0"/>
        </w:sectPr>
      </w:pPr>
    </w:p>
    <w:bookmarkStart w:id="8" w:name="page9"/>
    <w:bookmarkEnd w:id="8"/>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determined by management. Accordingly, the Company recognized the relative fair value of the warrants of $90,000 as a component of stockholders' deficit. The fair value of the warrants was accreted to interest expense by $90,000 for the nine months ended September 30, 2008 adjusting the carrying value of the promissory note to $250,000. The fair value of the warrants was estimated using the Black-Scholes option pricing model with an expected life of five years, a risk free interest rate of 2.07%, a dividend yield of 0%, and an expected volatility of 117%.</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September 30, 2008 no repayment has been made to the principal amount or the interest of $16,151 (2007 - $Nil) accrued on the promissory note. This note is currently in default.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Related Party Transactions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2008 the Company entered into transactions with certain officers and directors of the Company as follows:</w:t>
      </w:r>
    </w:p>
    <w:p>
      <w:pPr>
        <w:spacing w:after="0" w:line="208" w:lineRule="exact"/>
        <w:rPr>
          <w:sz w:val="20"/>
          <w:szCs w:val="20"/>
          <w:color w:val="auto"/>
        </w:rPr>
      </w:pPr>
    </w:p>
    <w:p>
      <w:pPr>
        <w:ind w:left="540" w:right="340" w:hanging="161"/>
        <w:spacing w:after="0" w:line="268" w:lineRule="auto"/>
        <w:rPr>
          <w:sz w:val="20"/>
          <w:szCs w:val="20"/>
          <w:color w:val="auto"/>
        </w:rPr>
      </w:pPr>
      <w:r>
        <w:rPr>
          <w:rFonts w:ascii="Arial" w:cs="Arial" w:eastAsia="Arial" w:hAnsi="Arial"/>
          <w:sz w:val="18"/>
          <w:szCs w:val="18"/>
          <w:color w:val="auto"/>
        </w:rPr>
        <w:t>a. incurred $232,239 (2007 - $177,487) in management fees, and recorded $159,501 (2007 - $456,014) in stock based compensation for the fair value of options granted to management that were granted and or vested during the period;</w:t>
      </w:r>
    </w:p>
    <w:p>
      <w:pPr>
        <w:spacing w:after="0" w:line="145" w:lineRule="exact"/>
        <w:rPr>
          <w:sz w:val="20"/>
          <w:szCs w:val="20"/>
          <w:color w:val="auto"/>
        </w:rPr>
      </w:pPr>
    </w:p>
    <w:p>
      <w:pPr>
        <w:ind w:left="540" w:right="500" w:hanging="175"/>
        <w:spacing w:after="0" w:line="332" w:lineRule="auto"/>
        <w:rPr>
          <w:sz w:val="20"/>
          <w:szCs w:val="20"/>
          <w:color w:val="auto"/>
        </w:rPr>
      </w:pPr>
      <w:r>
        <w:rPr>
          <w:rFonts w:ascii="Arial" w:cs="Arial" w:eastAsia="Arial" w:hAnsi="Arial"/>
          <w:sz w:val="16"/>
          <w:szCs w:val="16"/>
          <w:color w:val="auto"/>
        </w:rPr>
        <w:t>b. incurred $54,267 (2007 - $108,629) in research and development fees to related parties, of which $29,452 (2007 - $81,961) was to the former Chief Science Officer (CSO) and $24,815 (2007 - $26,668) was paid or payable to a direct family member of a current officer;</w:t>
      </w:r>
    </w:p>
    <w:p>
      <w:pPr>
        <w:spacing w:after="0" w:line="99" w:lineRule="exact"/>
        <w:rPr>
          <w:sz w:val="20"/>
          <w:szCs w:val="20"/>
          <w:color w:val="auto"/>
        </w:rPr>
      </w:pPr>
    </w:p>
    <w:p>
      <w:pPr>
        <w:ind w:left="540" w:right="60" w:hanging="161"/>
        <w:spacing w:after="0" w:line="268" w:lineRule="auto"/>
        <w:rPr>
          <w:sz w:val="20"/>
          <w:szCs w:val="20"/>
          <w:color w:val="auto"/>
        </w:rPr>
      </w:pPr>
      <w:r>
        <w:rPr>
          <w:rFonts w:ascii="Arial" w:cs="Arial" w:eastAsia="Arial" w:hAnsi="Arial"/>
          <w:sz w:val="18"/>
          <w:szCs w:val="18"/>
          <w:color w:val="auto"/>
        </w:rPr>
        <w:t>c. incurred $11,260 (2007 - $2,844) in interest and finance charges on a $125,000 promissory note due to a company related through a direct family member of a current director (refer to Note 5(ii));</w:t>
      </w:r>
    </w:p>
    <w:p>
      <w:pPr>
        <w:spacing w:after="0" w:line="145" w:lineRule="exact"/>
        <w:rPr>
          <w:sz w:val="20"/>
          <w:szCs w:val="20"/>
          <w:color w:val="auto"/>
        </w:rPr>
      </w:pPr>
    </w:p>
    <w:p>
      <w:pPr>
        <w:ind w:left="540" w:right="340" w:hanging="175"/>
        <w:spacing w:after="0" w:line="268" w:lineRule="auto"/>
        <w:rPr>
          <w:sz w:val="20"/>
          <w:szCs w:val="20"/>
          <w:color w:val="auto"/>
        </w:rPr>
      </w:pPr>
      <w:r>
        <w:rPr>
          <w:rFonts w:ascii="Arial" w:cs="Arial" w:eastAsia="Arial" w:hAnsi="Arial"/>
          <w:sz w:val="18"/>
          <w:szCs w:val="18"/>
          <w:color w:val="auto"/>
        </w:rPr>
        <w:t>d. incurred $18,016 (2007 - $1,973) in interest and finance charges on a $200,000 convertible promissory note due to a company related through a direct family member of a current director (refer to Note 5(iii));</w:t>
      </w:r>
    </w:p>
    <w:p>
      <w:pPr>
        <w:spacing w:after="0" w:line="145" w:lineRule="exact"/>
        <w:rPr>
          <w:sz w:val="20"/>
          <w:szCs w:val="20"/>
          <w:color w:val="auto"/>
        </w:rPr>
      </w:pPr>
    </w:p>
    <w:p>
      <w:pPr>
        <w:ind w:left="540" w:right="80" w:hanging="161"/>
        <w:spacing w:after="0" w:line="306" w:lineRule="auto"/>
        <w:rPr>
          <w:sz w:val="20"/>
          <w:szCs w:val="20"/>
          <w:color w:val="auto"/>
        </w:rPr>
      </w:pPr>
      <w:r>
        <w:rPr>
          <w:rFonts w:ascii="Arial" w:cs="Arial" w:eastAsia="Arial" w:hAnsi="Arial"/>
          <w:sz w:val="16"/>
          <w:szCs w:val="16"/>
          <w:color w:val="auto"/>
        </w:rPr>
        <w:t>e. issued a $27,000 promissory note bearing interest at 18% per annum and including 54,000 non-transferable and registerable share purchase warrants with an exercise price of $0.25 per share for an exercise period of up to five years from the issuance date to a company controlled by a director of the Company, and incurred $1,971 (2007 - $Nil) in interest and finance charges on the $27,000 promissory note (refer to Note 5(vi));</w:t>
      </w:r>
    </w:p>
    <w:p>
      <w:pPr>
        <w:spacing w:after="0" w:line="120" w:lineRule="exact"/>
        <w:rPr>
          <w:sz w:val="20"/>
          <w:szCs w:val="20"/>
          <w:color w:val="auto"/>
        </w:rPr>
      </w:pPr>
    </w:p>
    <w:p>
      <w:pPr>
        <w:ind w:left="540" w:right="160" w:hanging="148"/>
        <w:spacing w:after="0" w:line="335" w:lineRule="auto"/>
        <w:rPr>
          <w:sz w:val="20"/>
          <w:szCs w:val="20"/>
          <w:color w:val="auto"/>
        </w:rPr>
      </w:pPr>
      <w:r>
        <w:rPr>
          <w:rFonts w:ascii="Arial" w:cs="Arial" w:eastAsia="Arial" w:hAnsi="Arial"/>
          <w:sz w:val="15"/>
          <w:szCs w:val="15"/>
          <w:color w:val="auto"/>
        </w:rPr>
        <w:t>f. issued a $200,000 promissory note bearing interest at 18% per annum and including 400,000 non-transferable and registerable share purchase warrants with an exercise price of $0.25 per share for an exercise period of up to five years from the issuance date to a company related through a family member of an officer of the Company, and incurred $13,710 (2007 - $Nil) in interest and finance charges on the $200,000 promissory note (refer to Note 5(vii));</w:t>
      </w:r>
    </w:p>
    <w:p>
      <w:pPr>
        <w:spacing w:after="0" w:line="102"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120650</wp:posOffset>
            </wp:positionV>
            <wp:extent cx="69246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4675" cy="29845"/>
                    </a:xfrm>
                    <a:prstGeom prst="rect">
                      <a:avLst/>
                    </a:prstGeom>
                    <a:noFill/>
                  </pic:spPr>
                </pic:pic>
              </a:graphicData>
            </a:graphic>
          </wp:anchor>
        </w:drawing>
      </w:r>
    </w:p>
    <w:p>
      <w:pPr>
        <w:spacing w:after="0" w:line="381" w:lineRule="exact"/>
        <w:rPr>
          <w:sz w:val="20"/>
          <w:szCs w:val="20"/>
          <w:color w:val="auto"/>
        </w:rPr>
      </w:pPr>
    </w:p>
    <w:p>
      <w:pPr>
        <w:ind w:left="540" w:right="80" w:hanging="175"/>
        <w:spacing w:after="0" w:line="306" w:lineRule="auto"/>
        <w:rPr>
          <w:sz w:val="20"/>
          <w:szCs w:val="20"/>
          <w:color w:val="auto"/>
        </w:rPr>
      </w:pPr>
      <w:r>
        <w:rPr>
          <w:rFonts w:ascii="Arial" w:cs="Arial" w:eastAsia="Arial" w:hAnsi="Arial"/>
          <w:sz w:val="16"/>
          <w:szCs w:val="16"/>
          <w:color w:val="auto"/>
        </w:rPr>
        <w:t>g. issued a $25,000 promissory note bearing interest at 18% per annum and including 50,000 non-transferable and registerable share purchase warrants with an exercise price of $0.25 per share for an exercise period of up to five years from the issuance date to an officer of the Company, and incurred $1,701 (2007 - $Nil) in interest and finance charges on the $25,000 promissory note (refer to Note 5(viii)); and</w:t>
      </w:r>
    </w:p>
    <w:p>
      <w:pPr>
        <w:spacing w:after="0" w:line="120" w:lineRule="exact"/>
        <w:rPr>
          <w:sz w:val="20"/>
          <w:szCs w:val="20"/>
          <w:color w:val="auto"/>
        </w:rPr>
      </w:pPr>
    </w:p>
    <w:p>
      <w:pPr>
        <w:ind w:left="540" w:right="160" w:hanging="175"/>
        <w:spacing w:after="0" w:line="335" w:lineRule="auto"/>
        <w:rPr>
          <w:sz w:val="20"/>
          <w:szCs w:val="20"/>
          <w:color w:val="auto"/>
        </w:rPr>
      </w:pPr>
      <w:r>
        <w:rPr>
          <w:rFonts w:ascii="Arial" w:cs="Arial" w:eastAsia="Arial" w:hAnsi="Arial"/>
          <w:sz w:val="15"/>
          <w:szCs w:val="15"/>
          <w:color w:val="auto"/>
        </w:rPr>
        <w:t>h. issued a $250,000 promissory note bearing interest at 18% per annum and including 500,000 non-transferable and registerable share purchase warrants with an exercise price of $0.25 per share for an exercise period of up to five years from the issuance date to a company related through a family member of an officer of the Company, and incurred $16,151 (2007 - $Nil) in interest and finance charges on the $250,000 promissory note (refer to Note 5(ix)).</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related party transactions (other than stock based consideration) involving provision of services were recorded at the exchange amount, which is the amount established and agreed to by the related parties as representing fair value.</w:t>
      </w:r>
    </w:p>
    <w:p>
      <w:pPr>
        <w:spacing w:after="0" w:line="14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At September 30, 2008 the Company had amounts owing to directors and officers of $304,267 (December 31, 2007 - $111,593), a direct relative of an officer of $7,500 (December 31, 2007 - $3,000), and the former CSO of $60,100 (December 31, 2007 - $39,672). These amounts were in the normal course of operations. Amounts due to related parties are unsecured, non-interest bearing and have no specific terms of repayment, except as described above.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Capital Stock</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authorized capital of the Company consists of 80,000,000 common shares with $0.001 par value and 5,000,000 non-voting preferred shares with $0.001 par value. On March 27, 2007, the Company's Articles of Incorporation were amended to increase the authorized capital from 50,000,000 shares of common stock to 200,000,000 shares of common stock.</w:t>
      </w:r>
    </w:p>
    <w:p>
      <w:pPr>
        <w:spacing w:after="0" w:line="15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All prior period share transactions included in the company's stock transactions and balances have been retroactively restated to give effect to a 2.5 to 1 reverse stock split that occurred June 28, 2007.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Capital Transactions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19, 2007 the Company agreed to issue 120,000 shares of restricted common stock with an estimated fair value of $0.195 per share, pursuant to a consulting services agreement. As of September 30, 2008 the $23,400 fair value of the shares to be issued has been recorded as an obligation to issue shares and warrants.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Capital Transactions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April 8, 2008 the Company issued 300,000 shares of restricted common stock with an estimated fair value of $0.30 per share, pursuant to a consulting services agreement. The $90,000 fair value of the issued shares has been recorded as stock-based consulting fees. Additionally, pursuant to the consulting services agreement the Company has committed to issue options to acquire 200,000 shares of the Company's common stock at an exercise price of $0.25 per share. The vesting and expiry terms are to be determined at the time of grant.</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31, 2008, with an effective date of June 30, 2008, the Company completed a private placement in the amount of 140,000 Units at a subscription price of $0.25 for gross proceeds to the Company of $35,000. Each Unit is comprised of one common share and one-half of one non-transferable share purchase warrant of the Company. Each whole warrant entitles the holder to purchase an additional common share of the Company at an exercise price of $0.30 per share for a period which is the earlier of (i) two years from the date of issuance, or (ii) 18 months from the effective date of registration. The Company estimated the total fair market value of the warrants to be $21,000 at the date of grant, using the Black-Scholes pricing model using an expected life of 18 months, a risk-free interest rate of 2.60% and an expected volatility of 202%. The fair value of the warrants has been included in capital stock.</w:t>
      </w:r>
    </w:p>
    <w:p>
      <w:pPr>
        <w:spacing w:after="0" w:line="134"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During the nine months ended September 30, 2008 the Company issued 207,146 shares of restricted common stock pursuant to the exercise of 358,000 warrants, for total proceeds of $25,000. Of the 358,000 warrants exercised, 258,000 were exercised for $Nil proceeds resulting in the issuance of 107,146 shares of</w:t>
      </w:r>
    </w:p>
    <w:p>
      <w:pPr>
        <w:sectPr>
          <w:pgSz w:w="11900" w:h="17002" w:orient="portrait"/>
          <w:cols w:equalWidth="0" w:num="1">
            <w:col w:w="11420"/>
          </w:cols>
          <w:pgMar w:left="240" w:top="131"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restricted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Stock Incentive Plan</w:t>
      </w:r>
    </w:p>
    <w:p>
      <w:pPr>
        <w:spacing w:after="0" w:line="19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June 8, 2007, the Board of Directors of the Company approved the adoption of a stock option plan (the "2007 Plan") allowing for the granting of up to 6,400,000 options to directors, officers, employees and consultants of the Company and its subsidiaries. Options granted under the Plan shall be at prices and for terms as determined by the Board of Directors. Options granted under the Plan may have vesting requirements as determined by the Board of Directors.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8, 2007, a total of 6,320,000 stock options were granted (1,640,000 to consultants and 4,680,000 to officers and directors) at an exercise price of $0.25 per share. The term of these options is ten years. Of the 6,320,000 options granted, 3,100,000 vested upon grant, 2,420,000 vest in one year, 400,000 vest in two years and 400,000 vest in three years. The aggregate fair value of these options was estimated at $1,179,600, or $0.19 per option, using the Black-Scholes option pricing model with a risk free interest rate of 5.26%, a dividend yield of 0%, an expected volatility of 83%, and expected life of 5 years for the options vesting immediately, 4 years for the options vesting in one year, 3 years for the options vesting in two years, and 2 years for the options vesting in three years. The earned portion of the value of these options during the nine months ended September 30, 2008 was $221,000 (2007 - $620,015) of which $61,500 (2007 - $164,000) was recorded as stock based cons ulting and $159,500 (2007 - $456,054) was recorded as stock based management fees. A balance of $41,333 of unvested stock option compensation value will be expensed over the remaining vesting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2008 80,000 stock options remain available under the 2007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 option activity during the period was as follows:</w:t>
      </w:r>
    </w:p>
    <w:p>
      <w:pPr>
        <w:spacing w:after="0" w:line="34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640" w:type="dxa"/>
            <w:vAlign w:val="bottom"/>
          </w:tcPr>
          <w:p>
            <w:pPr>
              <w:jc w:val="right"/>
              <w:ind w:right="272"/>
              <w:spacing w:after="0"/>
              <w:rPr>
                <w:sz w:val="20"/>
                <w:szCs w:val="20"/>
                <w:color w:val="auto"/>
              </w:rPr>
            </w:pPr>
            <w:r>
              <w:rPr>
                <w:rFonts w:ascii="Arial" w:cs="Arial" w:eastAsia="Arial" w:hAnsi="Arial"/>
                <w:sz w:val="18"/>
                <w:szCs w:val="18"/>
                <w:color w:val="auto"/>
              </w:rPr>
              <w:t>Number of</w:t>
            </w:r>
          </w:p>
        </w:tc>
        <w:tc>
          <w:tcPr>
            <w:tcW w:w="1580" w:type="dxa"/>
            <w:vAlign w:val="bottom"/>
            <w:gridSpan w:val="2"/>
          </w:tcPr>
          <w:p>
            <w:pPr>
              <w:jc w:val="right"/>
              <w:ind w:right="72"/>
              <w:spacing w:after="0"/>
              <w:rPr>
                <w:sz w:val="20"/>
                <w:szCs w:val="20"/>
                <w:color w:val="auto"/>
              </w:rPr>
            </w:pPr>
            <w:r>
              <w:rPr>
                <w:rFonts w:ascii="Arial" w:cs="Arial" w:eastAsia="Arial" w:hAnsi="Arial"/>
                <w:sz w:val="18"/>
                <w:szCs w:val="18"/>
                <w:color w:val="auto"/>
                <w:w w:val="94"/>
              </w:rPr>
              <w:t>Weighted Average</w:t>
            </w:r>
          </w:p>
        </w:tc>
        <w:tc>
          <w:tcPr>
            <w:tcW w:w="1480" w:type="dxa"/>
            <w:vAlign w:val="bottom"/>
          </w:tcPr>
          <w:p>
            <w:pPr>
              <w:jc w:val="right"/>
              <w:spacing w:after="0"/>
              <w:rPr>
                <w:sz w:val="20"/>
                <w:szCs w:val="20"/>
                <w:color w:val="auto"/>
              </w:rPr>
            </w:pPr>
            <w:r>
              <w:rPr>
                <w:rFonts w:ascii="Arial" w:cs="Arial" w:eastAsia="Arial" w:hAnsi="Arial"/>
                <w:sz w:val="18"/>
                <w:szCs w:val="18"/>
                <w:color w:val="auto"/>
                <w:w w:val="94"/>
              </w:rPr>
              <w:t>Weighted Average</w:t>
            </w:r>
          </w:p>
        </w:tc>
      </w:tr>
      <w:tr>
        <w:trPr>
          <w:trHeight w:val="222"/>
        </w:trPr>
        <w:tc>
          <w:tcPr>
            <w:tcW w:w="3460" w:type="dxa"/>
            <w:vAlign w:val="bottom"/>
          </w:tcPr>
          <w:p>
            <w:pPr>
              <w:spacing w:after="0"/>
              <w:rPr>
                <w:sz w:val="19"/>
                <w:szCs w:val="19"/>
                <w:color w:val="auto"/>
              </w:rPr>
            </w:pP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Options</w:t>
            </w:r>
          </w:p>
        </w:tc>
        <w:tc>
          <w:tcPr>
            <w:tcW w:w="1580" w:type="dxa"/>
            <w:vAlign w:val="bottom"/>
            <w:gridSpan w:val="2"/>
          </w:tcPr>
          <w:p>
            <w:pPr>
              <w:jc w:val="right"/>
              <w:ind w:right="212"/>
              <w:spacing w:after="0"/>
              <w:rPr>
                <w:sz w:val="20"/>
                <w:szCs w:val="20"/>
                <w:color w:val="auto"/>
              </w:rPr>
            </w:pPr>
            <w:r>
              <w:rPr>
                <w:rFonts w:ascii="Arial" w:cs="Arial" w:eastAsia="Arial" w:hAnsi="Arial"/>
                <w:sz w:val="18"/>
                <w:szCs w:val="18"/>
                <w:color w:val="auto"/>
              </w:rPr>
              <w:t>Exercise Price</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Remaining Life</w:t>
            </w:r>
          </w:p>
        </w:tc>
      </w:tr>
      <w:tr>
        <w:trPr>
          <w:trHeight w:val="218"/>
        </w:trPr>
        <w:tc>
          <w:tcPr>
            <w:tcW w:w="34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424"/>
        </w:trPr>
        <w:tc>
          <w:tcPr>
            <w:tcW w:w="3460" w:type="dxa"/>
            <w:vAlign w:val="bottom"/>
          </w:tcPr>
          <w:p>
            <w:pPr>
              <w:spacing w:after="0"/>
              <w:rPr>
                <w:sz w:val="20"/>
                <w:szCs w:val="20"/>
                <w:color w:val="auto"/>
              </w:rPr>
            </w:pPr>
            <w:r>
              <w:rPr>
                <w:rFonts w:ascii="Arial" w:cs="Arial" w:eastAsia="Arial" w:hAnsi="Arial"/>
                <w:sz w:val="18"/>
                <w:szCs w:val="18"/>
                <w:color w:val="auto"/>
              </w:rPr>
              <w:t>Balance, December 31, 2007</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6,320,000</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w w:val="96"/>
              </w:rPr>
              <w:t>0.25</w:t>
            </w:r>
          </w:p>
        </w:tc>
        <w:tc>
          <w:tcPr>
            <w:tcW w:w="1480" w:type="dxa"/>
            <w:vAlign w:val="bottom"/>
          </w:tcPr>
          <w:p>
            <w:pPr>
              <w:jc w:val="right"/>
              <w:spacing w:after="0"/>
              <w:rPr>
                <w:sz w:val="20"/>
                <w:szCs w:val="20"/>
                <w:color w:val="auto"/>
              </w:rPr>
            </w:pPr>
            <w:r>
              <w:rPr>
                <w:rFonts w:ascii="Arial" w:cs="Arial" w:eastAsia="Arial" w:hAnsi="Arial"/>
                <w:sz w:val="18"/>
                <w:szCs w:val="18"/>
                <w:color w:val="auto"/>
              </w:rPr>
              <w:t>9.44</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Cancelled, exercised or expired</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34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424"/>
        </w:trPr>
        <w:tc>
          <w:tcPr>
            <w:tcW w:w="3460" w:type="dxa"/>
            <w:vAlign w:val="bottom"/>
          </w:tcPr>
          <w:p>
            <w:pPr>
              <w:spacing w:after="0"/>
              <w:rPr>
                <w:sz w:val="20"/>
                <w:szCs w:val="20"/>
                <w:color w:val="auto"/>
              </w:rPr>
            </w:pPr>
            <w:r>
              <w:rPr>
                <w:rFonts w:ascii="Arial" w:cs="Arial" w:eastAsia="Arial" w:hAnsi="Arial"/>
                <w:sz w:val="18"/>
                <w:szCs w:val="18"/>
                <w:color w:val="auto"/>
              </w:rPr>
              <w:t>Balance, September 30, 2008 (Unaudited)</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6,320,000</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w w:val="96"/>
              </w:rPr>
              <w:t>0.25</w:t>
            </w:r>
          </w:p>
        </w:tc>
        <w:tc>
          <w:tcPr>
            <w:tcW w:w="148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25"/>
        </w:trPr>
        <w:tc>
          <w:tcPr>
            <w:tcW w:w="34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18, 2007 the Company signed an agreement to extend the terms of the 2007 Promissory Note through February 28, 2008 (refer to Note 5(ii)). As consideration for the extension, the Company agreed to issue to the Lender, as fully paid and non-assessable, 400,000 non-transferable and registerable share purchase warrants (each a "Warrant"), to acquire an equivalent number of common shares of the Company (each a "Warrant Share"), at an exercise price of $0.25 per Warrant Share and for an exercise period of up to three years from the issuance date. The fair value of the warrants was determined by Management at $44,000 recorded as a warrant issuance obligation.</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April 8, 2008 the Company issued 300,000 shares of restricted common stock with an estimated fair value of $0.30 per share, pursuant to a consulting services agreement. The $90,000 fair value of the issued shares has been recorded as stock-based consulting fees. Additionally, pursuant to the consulting services agreement, the Company has commited to issue options to acquire 200,000 shares of the Company's common stock at an exercise price of $0.25 per share. The vesting and expiry terms are to be determined at the time of grant.</w:t>
      </w:r>
    </w:p>
    <w:p>
      <w:pPr>
        <w:spacing w:after="0" w:line="15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nine months ended September 30, 2008 the Company issued, as fully paid and non-assessable, 1,134,000 non-transferable and registerable share purchase warrants, for the acquisition an equivalent number of common shares of the Company at an exercise price of $0.25 per share for a period of up to five years from the date of issuance. The warrants were issued as part of promissory note agreements (refer to Note 5 ((v) to (ix)).</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2008 the Company issued 207,146 shares of restricted common stock pursuant to the exercise of 358,000 warrants, for total proceeds of $25,000. Of the 358,000 warrants exercised, 258,000 were exercised for $Nil proceeds resulting in the issuance of 107,146 shares of restricted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 purchase warrant activity during the period was as follows:</w:t>
      </w:r>
    </w:p>
    <w:p>
      <w:pPr>
        <w:spacing w:after="0" w:line="34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100" w:type="dxa"/>
            <w:vAlign w:val="bottom"/>
          </w:tcPr>
          <w:p>
            <w:pPr>
              <w:jc w:val="right"/>
              <w:ind w:right="272"/>
              <w:spacing w:after="0"/>
              <w:rPr>
                <w:sz w:val="20"/>
                <w:szCs w:val="20"/>
                <w:color w:val="auto"/>
              </w:rPr>
            </w:pPr>
            <w:r>
              <w:rPr>
                <w:rFonts w:ascii="Arial" w:cs="Arial" w:eastAsia="Arial" w:hAnsi="Arial"/>
                <w:sz w:val="18"/>
                <w:szCs w:val="18"/>
                <w:color w:val="auto"/>
              </w:rPr>
              <w:t>Number of</w:t>
            </w:r>
          </w:p>
        </w:tc>
        <w:tc>
          <w:tcPr>
            <w:tcW w:w="1580" w:type="dxa"/>
            <w:vAlign w:val="bottom"/>
          </w:tcPr>
          <w:p>
            <w:pPr>
              <w:jc w:val="right"/>
              <w:ind w:right="72"/>
              <w:spacing w:after="0"/>
              <w:rPr>
                <w:sz w:val="20"/>
                <w:szCs w:val="20"/>
                <w:color w:val="auto"/>
              </w:rPr>
            </w:pPr>
            <w:r>
              <w:rPr>
                <w:rFonts w:ascii="Arial" w:cs="Arial" w:eastAsia="Arial" w:hAnsi="Arial"/>
                <w:sz w:val="18"/>
                <w:szCs w:val="18"/>
                <w:color w:val="auto"/>
                <w:w w:val="94"/>
              </w:rPr>
              <w:t>Weighted Average</w:t>
            </w:r>
          </w:p>
        </w:tc>
        <w:tc>
          <w:tcPr>
            <w:tcW w:w="1500" w:type="dxa"/>
            <w:vAlign w:val="bottom"/>
          </w:tcPr>
          <w:p>
            <w:pPr>
              <w:jc w:val="right"/>
              <w:spacing w:after="0"/>
              <w:rPr>
                <w:sz w:val="20"/>
                <w:szCs w:val="20"/>
                <w:color w:val="auto"/>
              </w:rPr>
            </w:pPr>
            <w:r>
              <w:rPr>
                <w:rFonts w:ascii="Arial" w:cs="Arial" w:eastAsia="Arial" w:hAnsi="Arial"/>
                <w:sz w:val="18"/>
                <w:szCs w:val="18"/>
                <w:color w:val="auto"/>
                <w:w w:val="95"/>
              </w:rPr>
              <w:t>Weighted Average</w:t>
            </w:r>
          </w:p>
        </w:tc>
      </w:tr>
      <w:tr>
        <w:trPr>
          <w:trHeight w:val="222"/>
        </w:trPr>
        <w:tc>
          <w:tcPr>
            <w:tcW w:w="3000" w:type="dxa"/>
            <w:vAlign w:val="bottom"/>
          </w:tcPr>
          <w:p>
            <w:pPr>
              <w:spacing w:after="0"/>
              <w:rPr>
                <w:sz w:val="19"/>
                <w:szCs w:val="19"/>
                <w:color w:val="auto"/>
              </w:rPr>
            </w:pPr>
          </w:p>
        </w:tc>
        <w:tc>
          <w:tcPr>
            <w:tcW w:w="2100" w:type="dxa"/>
            <w:vAlign w:val="bottom"/>
          </w:tcPr>
          <w:p>
            <w:pPr>
              <w:jc w:val="right"/>
              <w:ind w:right="332"/>
              <w:spacing w:after="0"/>
              <w:rPr>
                <w:sz w:val="20"/>
                <w:szCs w:val="20"/>
                <w:color w:val="auto"/>
              </w:rPr>
            </w:pPr>
            <w:r>
              <w:rPr>
                <w:rFonts w:ascii="Arial" w:cs="Arial" w:eastAsia="Arial" w:hAnsi="Arial"/>
                <w:sz w:val="18"/>
                <w:szCs w:val="18"/>
                <w:color w:val="auto"/>
              </w:rPr>
              <w:t>Warrants</w:t>
            </w:r>
          </w:p>
        </w:tc>
        <w:tc>
          <w:tcPr>
            <w:tcW w:w="1580" w:type="dxa"/>
            <w:vAlign w:val="bottom"/>
          </w:tcPr>
          <w:p>
            <w:pPr>
              <w:jc w:val="right"/>
              <w:ind w:right="212"/>
              <w:spacing w:after="0"/>
              <w:rPr>
                <w:sz w:val="20"/>
                <w:szCs w:val="20"/>
                <w:color w:val="auto"/>
              </w:rPr>
            </w:pPr>
            <w:r>
              <w:rPr>
                <w:rFonts w:ascii="Arial" w:cs="Arial" w:eastAsia="Arial" w:hAnsi="Arial"/>
                <w:sz w:val="18"/>
                <w:szCs w:val="18"/>
                <w:color w:val="auto"/>
              </w:rPr>
              <w:t>Exercise Price</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Remaining Life</w:t>
            </w:r>
          </w:p>
        </w:tc>
      </w:tr>
      <w:tr>
        <w:trPr>
          <w:trHeight w:val="218"/>
        </w:trPr>
        <w:tc>
          <w:tcPr>
            <w:tcW w:w="30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424"/>
        </w:trPr>
        <w:tc>
          <w:tcPr>
            <w:tcW w:w="3000" w:type="dxa"/>
            <w:vAlign w:val="bottom"/>
          </w:tcPr>
          <w:p>
            <w:pPr>
              <w:spacing w:after="0"/>
              <w:rPr>
                <w:sz w:val="20"/>
                <w:szCs w:val="20"/>
                <w:color w:val="auto"/>
              </w:rPr>
            </w:pPr>
            <w:r>
              <w:rPr>
                <w:rFonts w:ascii="Arial" w:cs="Arial" w:eastAsia="Arial" w:hAnsi="Arial"/>
                <w:sz w:val="18"/>
                <w:szCs w:val="18"/>
                <w:color w:val="auto"/>
              </w:rPr>
              <w:t>Balance, December 31, 2007</w:t>
            </w:r>
          </w:p>
        </w:tc>
        <w:tc>
          <w:tcPr>
            <w:tcW w:w="2100" w:type="dxa"/>
            <w:vAlign w:val="bottom"/>
          </w:tcPr>
          <w:p>
            <w:pPr>
              <w:jc w:val="right"/>
              <w:ind w:right="52"/>
              <w:spacing w:after="0"/>
              <w:rPr>
                <w:sz w:val="20"/>
                <w:szCs w:val="20"/>
                <w:color w:val="auto"/>
              </w:rPr>
            </w:pPr>
            <w:r>
              <w:rPr>
                <w:rFonts w:ascii="Arial" w:cs="Arial" w:eastAsia="Arial" w:hAnsi="Arial"/>
                <w:sz w:val="18"/>
                <w:szCs w:val="18"/>
                <w:color w:val="auto"/>
              </w:rPr>
              <w:t>11,071,667</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$ 0.25</w:t>
            </w:r>
          </w:p>
        </w:tc>
        <w:tc>
          <w:tcPr>
            <w:tcW w:w="150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Issued</w:t>
            </w:r>
          </w:p>
        </w:tc>
        <w:tc>
          <w:tcPr>
            <w:tcW w:w="2100" w:type="dxa"/>
            <w:vAlign w:val="bottom"/>
          </w:tcPr>
          <w:p>
            <w:pPr>
              <w:jc w:val="right"/>
              <w:ind w:right="52"/>
              <w:spacing w:after="0"/>
              <w:rPr>
                <w:sz w:val="20"/>
                <w:szCs w:val="20"/>
                <w:color w:val="auto"/>
              </w:rPr>
            </w:pPr>
            <w:r>
              <w:rPr>
                <w:rFonts w:ascii="Arial" w:cs="Arial" w:eastAsia="Arial" w:hAnsi="Arial"/>
                <w:sz w:val="18"/>
                <w:szCs w:val="18"/>
                <w:color w:val="auto"/>
              </w:rPr>
              <w:t>1,204,000</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0.25</w:t>
            </w: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Exercised</w:t>
            </w:r>
          </w:p>
        </w:tc>
        <w:tc>
          <w:tcPr>
            <w:tcW w:w="2100" w:type="dxa"/>
            <w:vAlign w:val="bottom"/>
          </w:tcPr>
          <w:p>
            <w:pPr>
              <w:jc w:val="right"/>
              <w:ind w:right="52"/>
              <w:spacing w:after="0"/>
              <w:rPr>
                <w:sz w:val="20"/>
                <w:szCs w:val="20"/>
                <w:color w:val="auto"/>
              </w:rPr>
            </w:pPr>
            <w:r>
              <w:rPr>
                <w:rFonts w:ascii="Arial" w:cs="Arial" w:eastAsia="Arial" w:hAnsi="Arial"/>
                <w:sz w:val="18"/>
                <w:szCs w:val="18"/>
                <w:color w:val="auto"/>
              </w:rPr>
              <w:t>(358,000)</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0.25</w:t>
            </w:r>
          </w:p>
        </w:tc>
        <w:tc>
          <w:tcPr>
            <w:tcW w:w="150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Cancelled or expired</w:t>
            </w:r>
          </w:p>
        </w:tc>
        <w:tc>
          <w:tcPr>
            <w:tcW w:w="21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138430</wp:posOffset>
            </wp:positionV>
            <wp:extent cx="5188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39" w:lineRule="exact"/>
        <w:rPr>
          <w:sz w:val="20"/>
          <w:szCs w:val="20"/>
          <w:color w:val="auto"/>
        </w:rPr>
      </w:pPr>
    </w:p>
    <w:p>
      <w:pPr>
        <w:ind w:left="120"/>
        <w:spacing w:after="0"/>
        <w:tabs>
          <w:tab w:leader="none" w:pos="4280" w:val="left"/>
          <w:tab w:leader="none" w:pos="6180" w:val="left"/>
          <w:tab w:leader="none" w:pos="7940" w:val="left"/>
        </w:tabs>
        <w:rPr>
          <w:sz w:val="20"/>
          <w:szCs w:val="20"/>
          <w:color w:val="auto"/>
        </w:rPr>
      </w:pPr>
      <w:r>
        <w:rPr>
          <w:rFonts w:ascii="Arial" w:cs="Arial" w:eastAsia="Arial" w:hAnsi="Arial"/>
          <w:sz w:val="18"/>
          <w:szCs w:val="18"/>
          <w:color w:val="auto"/>
        </w:rPr>
        <w:t xml:space="preserve">Balance, </w:t>
      </w:r>
      <w:r>
        <w:rPr>
          <w:rFonts w:ascii="Arial" w:cs="Arial" w:eastAsia="Arial" w:hAnsi="Arial"/>
          <w:sz w:val="13"/>
          <w:szCs w:val="13"/>
          <w:color w:val="auto"/>
        </w:rPr>
        <w:t>September</w:t>
      </w:r>
      <w:r>
        <w:rPr>
          <w:rFonts w:ascii="Arial" w:cs="Arial" w:eastAsia="Arial" w:hAnsi="Arial"/>
          <w:sz w:val="18"/>
          <w:szCs w:val="18"/>
          <w:color w:val="auto"/>
        </w:rPr>
        <w:t xml:space="preserve"> 30, 2008 (Unaudited)</w:t>
      </w:r>
      <w:r>
        <w:rPr>
          <w:sz w:val="20"/>
          <w:szCs w:val="20"/>
          <w:color w:val="auto"/>
        </w:rPr>
        <w:tab/>
      </w:r>
      <w:r>
        <w:rPr>
          <w:rFonts w:ascii="Arial" w:cs="Arial" w:eastAsia="Arial" w:hAnsi="Arial"/>
          <w:sz w:val="18"/>
          <w:szCs w:val="18"/>
          <w:color w:val="auto"/>
        </w:rPr>
        <w:t>11,917,667</w:t>
      </w:r>
      <w:r>
        <w:rPr>
          <w:sz w:val="20"/>
          <w:szCs w:val="20"/>
          <w:color w:val="auto"/>
        </w:rPr>
        <w:tab/>
      </w:r>
      <w:r>
        <w:rPr>
          <w:rFonts w:ascii="Arial" w:cs="Arial" w:eastAsia="Arial" w:hAnsi="Arial"/>
          <w:sz w:val="18"/>
          <w:szCs w:val="18"/>
          <w:color w:val="auto"/>
        </w:rPr>
        <w:t>$ 0.25</w:t>
      </w:r>
      <w:r>
        <w:rPr>
          <w:sz w:val="20"/>
          <w:szCs w:val="20"/>
          <w:color w:val="auto"/>
        </w:rPr>
        <w:tab/>
      </w:r>
      <w:r>
        <w:rPr>
          <w:rFonts w:ascii="Arial" w:cs="Arial" w:eastAsia="Arial" w:hAnsi="Arial"/>
          <w:sz w:val="16"/>
          <w:szCs w:val="16"/>
          <w:color w:val="auto"/>
        </w:rPr>
        <w:t>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148590</wp:posOffset>
            </wp:positionV>
            <wp:extent cx="518858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88585" cy="171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Note 8: Supplemental Cash Flow Information and Non-Cash Investing and Financing Activities</w:t>
      </w: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7840" w:type="dxa"/>
            <w:vAlign w:val="bottom"/>
            <w:gridSpan w:val="3"/>
          </w:tcPr>
          <w:p>
            <w:pPr>
              <w:jc w:val="right"/>
              <w:spacing w:after="0"/>
              <w:rPr>
                <w:sz w:val="20"/>
                <w:szCs w:val="20"/>
                <w:color w:val="auto"/>
              </w:rPr>
            </w:pPr>
            <w:r>
              <w:rPr>
                <w:rFonts w:ascii="Arial" w:cs="Arial" w:eastAsia="Arial" w:hAnsi="Arial"/>
                <w:sz w:val="18"/>
                <w:szCs w:val="18"/>
                <w:color w:val="auto"/>
              </w:rPr>
              <w:t>Nine Months Ended September 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2"/>
        </w:trPr>
        <w:tc>
          <w:tcPr>
            <w:tcW w:w="6060" w:type="dxa"/>
            <w:vAlign w:val="bottom"/>
          </w:tcPr>
          <w:p>
            <w:pPr>
              <w:jc w:val="right"/>
              <w:ind w:right="72"/>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24"/>
                <w:szCs w:val="24"/>
                <w:color w:val="auto"/>
              </w:rPr>
            </w:pPr>
          </w:p>
        </w:tc>
        <w:tc>
          <w:tcPr>
            <w:tcW w:w="1500" w:type="dxa"/>
            <w:vAlign w:val="bottom"/>
          </w:tcPr>
          <w:p>
            <w:pPr>
              <w:jc w:val="right"/>
              <w:ind w:right="172"/>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6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r>
        <w:trPr>
          <w:trHeight w:val="424"/>
        </w:trPr>
        <w:tc>
          <w:tcPr>
            <w:tcW w:w="6060" w:type="dxa"/>
            <w:vAlign w:val="bottom"/>
          </w:tcPr>
          <w:p>
            <w:pPr>
              <w:spacing w:after="0"/>
              <w:rPr>
                <w:sz w:val="20"/>
                <w:szCs w:val="20"/>
                <w:color w:val="auto"/>
              </w:rPr>
            </w:pPr>
            <w:r>
              <w:rPr>
                <w:rFonts w:ascii="Arial" w:cs="Arial" w:eastAsia="Arial" w:hAnsi="Arial"/>
                <w:sz w:val="18"/>
                <w:szCs w:val="18"/>
                <w:color w:val="auto"/>
              </w:rPr>
              <w:t>Interest paid</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9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430"/>
        </w:trPr>
        <w:tc>
          <w:tcPr>
            <w:tcW w:w="6060" w:type="dxa"/>
            <w:vAlign w:val="bottom"/>
          </w:tcPr>
          <w:p>
            <w:pPr>
              <w:spacing w:after="0"/>
              <w:rPr>
                <w:sz w:val="20"/>
                <w:szCs w:val="20"/>
                <w:color w:val="auto"/>
              </w:rPr>
            </w:pPr>
            <w:r>
              <w:rPr>
                <w:rFonts w:ascii="Arial" w:cs="Arial" w:eastAsia="Arial" w:hAnsi="Arial"/>
                <w:sz w:val="18"/>
                <w:szCs w:val="18"/>
                <w:color w:val="auto"/>
              </w:rPr>
              <w:t>Income taxes paid</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9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Contingency</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not filed income tax returns for several years for the consolidated group of companies in the United States and Canada. Both taxing authorities prescribe penalties for failing to file certain tax returns and supplemental disclosures. Upon filing there could be penalties and interest assessed. Such penalties vary by jurisdiction and by assessing practices and authorities. As the Company has incurred losses since inception there would be no known or anticipated exposure to penalties for income tax liability. However, certain jurisdictions may assess penalties for failing to file returns and other disclosures and for failing to file other supplementary information associated with foreign ownership, debt and equity positions. Inherent uncertainties arise over tax positions taken, or expected to be taken, with respect to transfer pricing, inter-company charges and allocations, financing charges, fees, related party transactions, tax credits, tax based incentives an d stock based transactions.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has considered the likelihood and significance of possible penalties associated with its current and intended filing positions and has determined, based on their assessment, that such penalties, if any, would not be expected to be material.</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Disclosure concerning certain carry-forward tax pools, temporary and permanent timing differences in tax basis versus reported amounts may be impacted by assessing practices and tax code regulations when income tax returns are filed up to date. As a 100% valuation allowance has been provided against deferred tax assets as reported in the Company's annual consolidated financial statements, there would be no significant net impact expected to the current and deferred income tax disclosures or reconciliations reported.</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not currently able to assess the likelihood of the imposition of penalties or interest arising from delinquent filings. Nor can a reasonable or reliable estimate of such liability, if any, be made at this time. Management intends to bring all of the Company's tax filings and compliance requirements up to date as resources permit.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including those discussed in Item 1A of this report under the heading "Risk Factors", and the risks discussed in our other filings with the Securities and Exchange Commission. Readers are cautioned not to place undue reliance on these forward-looking statements, which reflect management's analysis, judgmen t, belief or expectation only as the date hereof. We assume no obligation to update these forward-looking statements to reflect events or circumstance that arise after the date hereof.</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2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discussion of our plan of operations, results of operations and financial condition as at and for the nine months ended September 30, 2008 should be read in conjunction with our unaudited consolidated interim financial statements and related notes for the nine months ended September 30, 2008 included in this quarterly report, as well as our Annual Report on Form 10-KSB for the year ended December 31, 2007.</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focused on developing innovative therapeutics to treat serious disorders, primarily for cancer and infectious diseases. Since our inception we have devoted substantially all of our resources to research and development activities, primarily with early stage research in the field of gene therapy. We have conducted a number of preclinical studies using our TAP gene technology in combination with adeno virus, with the aim of completing our preclinical trials and filing an Investigational Drug Application for cancer in 12-15 months. We are also pursuing vaccine developments for infectious diseases using our TAP gene technology and an in-licensed Modified Vaccinia Ankora virus and other potential targeted vaccine candidates with the aim of establishing licensing and partnering relationships to generate revenue and advance our pipeline closer to commercial products.</w:t>
      </w:r>
    </w:p>
    <w:p>
      <w:pPr>
        <w:spacing w:after="0" w:line="134"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We are a development stage company and have primarily supported the financial needs of our research and development activities since our inception through public offerings and private placements of our equity securities. We have not received any revenue from the sale of our products in development, and we do not anticipate generating revenue from the sale of products in the foreseeable future. In order to carry out our corporate operational plan and to support the anticipated future needs of our research and development activities, we expect that we will have cash requirements of approximately $5,000,000 over the next 24 months, which we expect to obtain through additional equity financings. The funding that, if obtained, would be used to support our activities surrounding our proposed clinical grade production of our lead TAP vaccine product, commencement of human clinical studies, advance the development of our prophylactic vaccine.</w:t>
      </w:r>
    </w:p>
    <w:p>
      <w:pPr>
        <w:sectPr>
          <w:pgSz w:w="11900" w:h="16838" w:orient="portrait"/>
          <w:cols w:equalWidth="0" w:num="1">
            <w:col w:w="11420"/>
          </w:cols>
          <w:pgMar w:left="240" w:top="125" w:right="239" w:bottom="0" w:gutter="0" w:footer="0" w:header="0"/>
        </w:sectPr>
      </w:pPr>
    </w:p>
    <w:bookmarkStart w:id="11" w:name="page12"/>
    <w:bookmarkEnd w:id="11"/>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incurred losses since our inception and expect to incur losses over the next several years. Bringing medical products to commercialization is a lengthy process requiring many years of development and clinical trials during which there are no definable sources of revenue. There can be no assurance that we will successfully acquire, develop, commercialize, manufacture, or market our product candidates or ever achieve or sustain product revenues or profitability. The current market conditions for our industry sector make it more challenging to raise additional capital with reasonable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British Columbia Agreement</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had conducted our research and development at the University of British Columbia ("UBC") under a Collaborative Research Agreement ("CRA"), however, as a consequence of our Option and Settlement Agreement with UBC, we presently plan to conduct our own research and development and continue to contract out clinical grade production of our TAP based vaccines. In addition, we in-license our adeno and MVA vectors and receive technical assistance from our licensing partners. Under the terms of the agreement with UBC, we assumed responsibility for the management, maintenance and protection of all patents and patent applications filed in connection with the technology. As of May 31, 2007 we completed our obligation with UBC and the technology assignment and transfer was completed during the 2007 fiscal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SAFC Pharma (Molecular Medicine)</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had a Production Services Agreement with Molecular Medicine for the production of a chemical grade of our TAP adeno based vaccine for pre-clinical toxicology analysis. However, in August of 2004 we ceased production of our clinical grade vaccine due to technical difficulties related to the yields of vaccine. Despite the technical difficulties we anticipate a clinical grade TAP based vaccine to be produced utilizing the adeno vector virus vector to allow us to meet its milestones for completing toxicology analysis by the end of 2008. We anticipate commencing clinical grade production of our oncology vaccine in 2008 or early 2009, assuming funding is in place. Failing the required funding we will postpone production until such time as funding is in place.</w:t>
      </w:r>
    </w:p>
    <w:p>
      <w:pPr>
        <w:spacing w:after="0" w:line="12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2005, we were in breach of our contractual obligations with SAFC Pharma in respect of payments due for Phase I of the project. The parties have agreed that advance payments that had been made for subsequent phases could be allocated to the Phase I deficiency so that all payments that were due under the PSA have now been paid in full and we have a non-refundable credit of approximately $78,000 with SAFC Pharma to be applied towards future vaccine production. This credit will expire at the end of December 2008 and will only be applied as a part of larger clinical commitment.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Crucell Agreement</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the Research License and Option Agreement Crucell granted us a non-exclusive, worldwide license for Crucell's adenovirus technology and an option for a non-exclusive, worldwide commercial license to manufacture, use, offer for sale, sell and import products using the licensed technology in the therapy of human subjects by administering a modified and proprietary adeno virus vector (used to package our TAP gene technology and deliver it to the target cancer cell in the patient) including, but not limited to, therapeutic gene sequence(s). Total obligations under this agreement were €450,000. In May 2006 we negotiated a reinstatement of the original Research and License Option Agreement with Crucell and paid Crucell €123,590 ($151,521) in connection with the reinstatement. Under the revised terms of the agreement, we will pay Crucell twelve monthly payments of €10,300 starting May 2006 (paid to October 31, 2006) and a €75,000 annual license fee (adju sted for CPI) in order to keep the reinstated agreement in good standing. In January, 2008 the Company paid €27,316 ($40,000) towards the outstanding balance and at September 30, 2008 €109,484 ($154,164) has been included in research agreement obligations for the Crucell agreement. Management are in discussions with Crucell to resolve contractual issues and allow further use of the Crucell cell lines.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 of Health Agreement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 License Agreement with the National Institute of Health (USA) for the use of the Modified Vaccinia Ankora (MVA) virus for the development of vaccines. We will continue to license this technology for the development of prophylactic vaccines against infectious diseases. Under the terms of this agreement we are required to pay a royalty of $2,500 per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Application No. 10/046,542</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attempting to broaden our U.S. patent coverage to extend to other procedures of utilizing the TAP gene immune response technology in destroying tumor cells, and to treatment of viral infections, through additional patent application filings (continuations). We have applied for additional U.S. patents, most importantly, U.S. Pat. Appln. No. 10/046,542 that describes a method refining and expanding the process patented in U.S. Patent 6,361,770, above. U.S. Pat. Appln 10/046,542 is considered a key patent application for us, as it describes a preferable delivery method for the TAP gene sequences and serves as the basis for further expansion of our technology.</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2007 fiscal year, there was an inadvertent lapse in one of our patent applications to cause it to become "unintentionally abandoned". This was due to an administrative docketing error. Significant professional fees were incurred by us in the reapplication and filing of actions to renew these patent claims. The patent in question was successfully and completely re-instated and the patent has been granted. Some claims under the patent have been separated out for additional patent applications.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next 12 months we anticipate that we will not generate any revenue. We had cash of $2,398 and a working capital deficit of $2,801,732 at September 30, 2008. We will require significant additional financial resources and will be dependant on future financings to fund our ongoing research and development as well as other working capital requirements.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 and Funding</w:t>
      </w:r>
    </w:p>
    <w:p>
      <w:pPr>
        <w:spacing w:after="0" w:line="19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Management believes that an estimated $5,000,000 is required over the next two years for expenses associated with the balance of pre-clinical development on various technologies, anticipated toxicology, Phase I clinical trials for the TAP Cancer Vaccine, and for various operating expenses.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have not generated any revenue based cash flow to fund our operations and activities due primarily to the nature of lengthy product development cycles that are normal to the biotech industry. Therefore, we must raise additional funds in the future to continue operations. We intend to finance our operating expenses with further issuances of common stock. Management believes that anticipated future private placements of equity capital and debt financing, if successful, may be adequate to fund our operations over the next twenty-four months. Management expects we will need to raise additional capital to meet long-term operating requirements. Capital raising is expected to occur on an on-going basis and in anticipation of various phases of our development plan. We anticipate needing $1.5</w:t>
      </w:r>
    </w:p>
    <w:p>
      <w:pPr>
        <w:sectPr>
          <w:pgSz w:w="11900" w:h="16911" w:orient="portrait"/>
          <w:cols w:equalWidth="0" w:num="1">
            <w:col w:w="11420"/>
          </w:cols>
          <w:pgMar w:left="240" w:top="131" w:right="239" w:bottom="0" w:gutter="0" w:footer="0" w:header="0"/>
        </w:sectPr>
      </w:pPr>
    </w:p>
    <w:bookmarkStart w:id="12" w:name="page13"/>
    <w:bookmarkEnd w:id="12"/>
    <w:p>
      <w:pPr>
        <w:spacing w:after="0" w:line="10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million in the next 9 months and $3.5 million over the course of the next 12 months. Our future success and viability are dependent on our ability to raise additional capital through further private offerings of its stock or loans from private investors. Additional financing may not be available upon acceptable terms, or at all. If adequate funds are not available or are not available on acceptable terms, we may not be able to conduct our proposed business operations successfully which could significantly and materially restrict or delay our overall business operations.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current economic climate and lack of available capital in the financial markets due to the US recession and financial market collapse presents numerous challenges for an early stage company trying to raise cash. We are continuously looking for additional sources of funding and partnerships and are committed to bringing our technologies forward. We cannot however guarantee that we will be able to secure the funding we need and this will affect our ability to continue as a going concern.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2008 Compared to Three Months Ended September 30, 2007</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did not earn any interest or other revenues during the three months ended September 30, 2008 or over the same period ended September 30, 2007. We did not maintain any interest bearing deposits during the current fiscal year.</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Our general and administrative expenses decreased to $267,120 during the three months ended September 30, 2008 from $550,739 over the same period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2007. Significant changes in operating expenses are outlined as follows:</w:t>
      </w:r>
    </w:p>
    <w:p>
      <w:pPr>
        <w:spacing w:after="0" w:line="17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Consulting fees increased to $14,194 during the three months ended September 30, 2008 from $7,322 over the same period ended September 30, 2007 due primarily to investor relations and corporate development services not in effect during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540" w:right="780"/>
        <w:spacing w:after="0" w:line="332" w:lineRule="auto"/>
        <w:rPr>
          <w:sz w:val="20"/>
          <w:szCs w:val="20"/>
          <w:color w:val="auto"/>
        </w:rPr>
      </w:pPr>
      <w:r>
        <w:rPr>
          <w:rFonts w:ascii="Arial" w:cs="Arial" w:eastAsia="Arial" w:hAnsi="Arial"/>
          <w:sz w:val="16"/>
          <w:szCs w:val="16"/>
          <w:color w:val="auto"/>
        </w:rPr>
        <w:t>Consulting fees - stock-based decreased to $Nil during the three months ended September 30, 2008 from $36,000 during the same period ended September 30, 2007. We recorded stock based compensation for 2007 option grants earned during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-278765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9"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General and administrative expenses decreased to $12,633 during the three months ended September 30, 2008 from $91,488 during the same period ended September 30, 2007 due to reduced operations including travel expenditures related to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Interest and finance charges increased to $134,290 during the three months ended September 30, 2008 from $48,359 during the same period ended September 30, 2007. Current period interest charges are primarily accretion of interest and the fair value of warrants issued with promissory notes (refer to Note 5 (iv) to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-381000</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4"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Management fees increased to $77,139 during the three months ended September 30, 2008 from $63,611 during the same period ended September 30, 2007 due to increases in executive compensation over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540" w:right="660"/>
        <w:spacing w:after="0" w:line="332" w:lineRule="auto"/>
        <w:rPr>
          <w:sz w:val="20"/>
          <w:szCs w:val="20"/>
          <w:color w:val="auto"/>
        </w:rPr>
      </w:pPr>
      <w:r>
        <w:rPr>
          <w:rFonts w:ascii="Arial" w:cs="Arial" w:eastAsia="Arial" w:hAnsi="Arial"/>
          <w:sz w:val="16"/>
          <w:szCs w:val="16"/>
          <w:color w:val="auto"/>
        </w:rPr>
        <w:t>Management fees - stock-based increased to $13,167 during the three months ended September 30, 2008 from $Nil during the same period ended September 30, 2007. We recorded stock based compensation for 2007 option grants earned during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-278765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9" w:lineRule="exact"/>
        <w:rPr>
          <w:sz w:val="20"/>
          <w:szCs w:val="20"/>
          <w:color w:val="auto"/>
        </w:rPr>
      </w:pPr>
    </w:p>
    <w:p>
      <w:pPr>
        <w:ind w:left="540" w:right="220"/>
        <w:spacing w:after="0" w:line="256" w:lineRule="auto"/>
        <w:rPr>
          <w:sz w:val="20"/>
          <w:szCs w:val="20"/>
          <w:color w:val="auto"/>
        </w:rPr>
      </w:pPr>
      <w:r>
        <w:rPr>
          <w:rFonts w:ascii="Arial" w:cs="Arial" w:eastAsia="Arial" w:hAnsi="Arial"/>
          <w:sz w:val="18"/>
          <w:szCs w:val="18"/>
          <w:color w:val="auto"/>
        </w:rPr>
        <w:t>Professional fees decreased to $12,963 during the three months ended September 30, 2008 from $125,863 during the same period ended September 30, 2007 due to significant activity relating to the reapplication and filing of our patent applications, and analysis of any damages resulting from the inadvertent lapse in one of our patent applications during the prior year. Prior period professional fees included charges related to debt restructuring and corporate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-516255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7" w:lineRule="exact"/>
        <w:rPr>
          <w:sz w:val="20"/>
          <w:szCs w:val="20"/>
          <w:color w:val="auto"/>
        </w:rPr>
      </w:pPr>
    </w:p>
    <w:p>
      <w:pPr>
        <w:ind w:left="540" w:right="40"/>
        <w:spacing w:after="0" w:line="332" w:lineRule="auto"/>
        <w:rPr>
          <w:sz w:val="20"/>
          <w:szCs w:val="20"/>
          <w:color w:val="auto"/>
        </w:rPr>
      </w:pPr>
      <w:r>
        <w:rPr>
          <w:rFonts w:ascii="Arial" w:cs="Arial" w:eastAsia="Arial" w:hAnsi="Arial"/>
          <w:sz w:val="16"/>
          <w:szCs w:val="16"/>
          <w:color w:val="auto"/>
        </w:rPr>
        <w:t>Research and development decreased to $865 during the three months ended September 30, 2008 from $175,539 during the same period ended September 30, 2007. Monthly obligations related to research and compensation agreements were not in effect during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-278765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net loss decreased to $267,120 during the three months ended September 30, 2008 from $550,739 over the same period ended September 30, 2007. The decrease resulted from changes in general and administrative expenses discussed in the preceding paragraph.</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2008 Compared to Nine Months Ended September 30, 2007</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did not earn any interest or other revenues during the nine months ended September 30, 2008 or over the same period ended September 30, 2007. We did not maintain any interest bearing deposits during the current fiscal year.</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Our general and administrative expenses decreased to $1,704,545 during the nine months ended September 30, 2008 from $2,780,428 over the same period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2007. Significant changes in operating expenses are outlined as follows:</w:t>
      </w:r>
    </w:p>
    <w:p>
      <w:pPr>
        <w:spacing w:after="0" w:line="178"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Consulting fees increased to $162,796 during the nine months ended September 30, 2008 from $66,629 over the same period ended September 30, 2007 due primarily to investor relations and corporate development services not in effect during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540" w:right="380"/>
        <w:spacing w:after="0" w:line="335" w:lineRule="auto"/>
        <w:rPr>
          <w:sz w:val="20"/>
          <w:szCs w:val="20"/>
          <w:color w:val="auto"/>
        </w:rPr>
      </w:pPr>
      <w:r>
        <w:rPr>
          <w:rFonts w:ascii="Arial" w:cs="Arial" w:eastAsia="Arial" w:hAnsi="Arial"/>
          <w:sz w:val="15"/>
          <w:szCs w:val="15"/>
          <w:color w:val="auto"/>
        </w:rPr>
        <w:t>Consulting fees - stock-based decreased to $151,500 during the nine months ended September 30, 2008 from $200,000 during the same period ended September 30, 2007. We recorded stock based compensation for 2007 option grants earned during the current and prior periods. Additionally, in the current period we recorded an expense of $90,000 on the issuance of 300,000 restricted shares of our common stock pursuant to a 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-414020</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82" w:lineRule="exact"/>
        <w:rPr>
          <w:sz w:val="20"/>
          <w:szCs w:val="20"/>
          <w:color w:val="auto"/>
        </w:rPr>
      </w:pPr>
    </w:p>
    <w:p>
      <w:pPr>
        <w:ind w:left="540" w:right="440"/>
        <w:spacing w:after="0" w:line="332" w:lineRule="auto"/>
        <w:rPr>
          <w:sz w:val="20"/>
          <w:szCs w:val="20"/>
          <w:color w:val="auto"/>
        </w:rPr>
      </w:pPr>
      <w:r>
        <w:rPr>
          <w:rFonts w:ascii="Arial" w:cs="Arial" w:eastAsia="Arial" w:hAnsi="Arial"/>
          <w:sz w:val="16"/>
          <w:szCs w:val="16"/>
          <w:color w:val="auto"/>
        </w:rPr>
        <w:t>General and administrative expenses decreased to $61,037 during the nine months ended September 30, 2008 from $123,250 during the same period ended September 30, 2007 due to decreases in operations including travel expenditures related to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-278765</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9"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Interest and finance charges decreased to $618,740 during the nine months ended September 30, 2008 from $1,149,754 during the same period ended September 30, 2007. Current period interest charges are primarily accretion of interest and the fair value of warrants issued with promissory notes (refer to Note 5 (iv) to (ix)). Prior period interest charges included accretion of the discount on 2006 convertible debt, amortization of the fair value of warrants on 2006 convertible debt, and $1,016,000 in costs classified as interest charges resulting from conversion of the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-535305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6"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Management fees increased to $232,239 during the nine months ended September 30, 2008 from $177,487 during the same period ended September 30, 2007 due to increases in executive compensation over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-248920</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540" w:right="240"/>
        <w:spacing w:after="0" w:line="332" w:lineRule="auto"/>
        <w:rPr>
          <w:sz w:val="20"/>
          <w:szCs w:val="20"/>
          <w:color w:val="auto"/>
        </w:rPr>
      </w:pPr>
      <w:r>
        <w:rPr>
          <w:rFonts w:ascii="Arial" w:cs="Arial" w:eastAsia="Arial" w:hAnsi="Arial"/>
          <w:sz w:val="16"/>
          <w:szCs w:val="16"/>
          <w:color w:val="auto"/>
        </w:rPr>
        <w:t>Management fees - stock-based decreased to $159,501 during the nine months ended September 30, 2008 from $456,014 during the same period ended September 30, 2007. We recorded stock based compensation for 2007 option grants earned during the current and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-278765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939" w:orient="portrait"/>
          <w:cols w:equalWidth="0" w:num="1">
            <w:col w:w="11420"/>
          </w:cols>
          <w:pgMar w:left="240" w:top="131" w:right="239" w:bottom="0" w:gutter="0" w:footer="0" w:header="0"/>
        </w:sectPr>
      </w:pPr>
    </w:p>
    <w:bookmarkStart w:id="13" w:name="page14"/>
    <w:bookmarkEnd w:id="13"/>
    <w:p>
      <w:pPr>
        <w:ind w:left="540" w:right="200"/>
        <w:spacing w:after="0" w:line="256" w:lineRule="auto"/>
        <w:rPr>
          <w:sz w:val="20"/>
          <w:szCs w:val="20"/>
          <w:color w:val="auto"/>
        </w:rPr>
      </w:pPr>
      <w:r>
        <w:rPr>
          <w:rFonts w:ascii="Arial" w:cs="Arial" w:eastAsia="Arial" w:hAnsi="Arial"/>
          <w:sz w:val="18"/>
          <w:szCs w:val="18"/>
          <w:color w:val="auto"/>
        </w:rPr>
        <w:t>Professional fees decreased to $241,629 during the nine months ended September 30, 2008 from $281,197 during the same period ended September 30, 2007 due to more significant activity relating to the reapplication and filing of our patent applications, and analysis of any damages resulting from the inadvertent lapse in one of our patent applications throughout the prior year. Prior period professional fees included charges related to debt restructuring and corporate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-516255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7" w:lineRule="exact"/>
        <w:rPr>
          <w:sz w:val="20"/>
          <w:szCs w:val="20"/>
          <w:color w:val="auto"/>
        </w:rPr>
      </w:pPr>
    </w:p>
    <w:p>
      <w:pPr>
        <w:ind w:left="540" w:right="660"/>
        <w:spacing w:after="0" w:line="370" w:lineRule="auto"/>
        <w:rPr>
          <w:sz w:val="20"/>
          <w:szCs w:val="20"/>
          <w:color w:val="auto"/>
        </w:rPr>
      </w:pPr>
      <w:r>
        <w:rPr>
          <w:rFonts w:ascii="Arial" w:cs="Arial" w:eastAsia="Arial" w:hAnsi="Arial"/>
          <w:sz w:val="15"/>
          <w:szCs w:val="15"/>
          <w:color w:val="auto"/>
        </w:rPr>
        <w:t>Research and development decreased to $71,493 during the nine months ended September 30, 2008 from $321,998 during the same period ended September 30, 2007. Monthly obligations related to research and compensation agreements were not in effect during all of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-292735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net loss decreased to $1,704,545 during the nine months ended September 30, 2008 from $2,780,428 over the same period ended September 30, 2007. The decrease resulted from changes in general and administrative expenses discussed in the preceding paragraph.</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2008 we had $2,398 in cash. Generally, we have financed our operations through the proceeds from convertible notes and the private placement of equity securities as noted in Financing Activities below. We spent $165,141 net cash during the nine months ended September 30, 2008 compared to an increase of $11,617 during the same period ended September 30, 2007.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cash used in operating activities during the nine months ended September 30, 2008 was $565,520 compared to $795,211 during the same period ended September 30, 2007.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Net cash used in investing activities during the nine months ended September 30, 2008 was $Nil compared to $22,426 during the same period ended September 30, 2007. Investing activities in the prior period consisted of furniture and equipment acquisitions for the new lab and office facilities.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cash provided by financing activities during the nine months ended September 30, 2008 was $389,602 compared to $849,601 during the same period ended September 30, 2007. Current period financing consisted of private placement subscriptions, proceeds from promissory notes, warrant exercises and advances from related parties which was partially offset by a principal payment against outstanding convertible notes and the repayment of the secured promissory notes. Prior period financing included net proceeds of $457,501 related to private placement financings and advances from related parties.</w:t>
      </w:r>
    </w:p>
    <w:p>
      <w:pPr>
        <w:spacing w:after="0" w:line="1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At September 30, 2008 we had 6,320,000 stock options and 11,917,667 share purchase warrants outstanding. The outstanding stock options and warrants had a weighted average exercise price of $0.25 per share. Accordingly, as of September 30, 2008 the outstanding options and warrants represented a total of 18,237,667 shares issuable for proceeds of approximately $4,559,417 if these options and warrants were exercised in full. The exercise of these options and warrants is completely at the discretion of the holders. There is no assurance that any of these options or warrants will be exercised.</w:t>
      </w:r>
    </w:p>
    <w:p>
      <w:pPr>
        <w:spacing w:after="0" w:line="12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September 30, 2008 we anticipate that we will need significant financing to enable us to meet our anticipated expenditures for the next 24 months, which are expected to be in the range of $5,000,000 assuming a single Phase 1 clinical trial.</w:t>
      </w:r>
    </w:p>
    <w:p>
      <w:pPr>
        <w:spacing w:after="0" w:line="1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not generated any cash flow to fund our operations and activities due primarily to the nature of lengthy product development cycles that are normal to the biotech industry. Therefore, we must raise additional funds in the future to continue operations. We intend to finance our operating expenses with further issuances of common stock. We believe that anticipated future private placements of equity capital and debt financing, if successful, may be adequate to fund our operations over the next twenty-four months. Thereafter, we expect we will need to raise additional capital to meet long-term operating requirements. Our future success and viability are dependent on our ability to raise additional capital through further private offerings of our stock or loans from private investors. Additional financing may not be available upon acceptable terms, or at all. If adequate funds are not available on acceptable terms, we may not be able to conduct our proposed business operations s uccessfully. This could significantly and materially restrict or delay our overall business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ability to continue as a going concern is dependent upon our ability to obtain the necessary financing to meet our obligations and pay our liabilities arising from our business operations when they come due. We intend to finance our anticipated operating expenses with further issuances of common stock through private placement offerings or loans from private investors. Management believes that the company will be able to continue limited operations with accomodations from debt holders and additional temporary short term funding over the next twelve months. Due to capital market conditions, funding continues to be challenging. It is unlikely the company will be able to continue as a going concern past a twelve month horizon if significant equity funding is not raised within this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as disclosed in the financial statements, we have no significant off-balance sheet arrangements that have or are reasonably likely to have a material current or future effect on our financial condition, changes in financial condition, revenues or expenses, results of operations, liquidity, capital expenditures or capital resources that is material to stockholders.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sectPr>
          <w:pgSz w:w="11900" w:h="16838" w:orient="portrait"/>
          <w:cols w:equalWidth="0" w:num="1">
            <w:col w:w="11420"/>
          </w:cols>
          <w:pgMar w:left="240" w:top="131" w:right="239" w:bottom="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Preparation of our financial statements in conformity with accounting principles generally accepted in the United States of America requires management to make estimates and assumptions that affect certain reported amounts and disclosures. Accordingly, actual results could differ from those estimates. Significant areas requiring management's estimates and assumptions are determining the fair value of stock-based compensation, the fair value of the components of the convertible notes payable, future income tax pools and balances and the useful life of depreciable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disclosure of the estimated fair value of financial instruments is made in accordance with the requirements of Statement of Financial Accounting Standards ("SFAS") No. 107. "Disclosures about Fair Value of Financial Instruments." Our company has determined the estimated fair value amounts by using available market information and appropriate valuation methodologies. The fair value of financial instruments classified as current assets or liabilities, including cash and cash equivalents, other receivables, accounts payable and accrued liabilities and due to related parties are approximately equal to their carrying value due to the short-term maturity of the instruments.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follow the liability method of accounting for income taxes. Under this method, deferred income tax assets and liabilities are recognized for the estimated tax consequences attributable to differences between the financial statement carrying values and their respective income tax basis (temporary differences). The effect on deferred income tax assets and liabilities of a change in tax rates is recognized in income in the period that includes the enactment date.</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adopted the provisions of FIBS Interpretation No. 48, Accounting for Uncertainty in Income Taxes ("FIN 48"), on January 1, 2007. Previously, we had accounted for tax contingencies in accordance with SFAS No. 5, Accounting for Contingencies. As required by Interpretation 48, which clarifies SFAS No. 109, Accounting for Income Taxes, we recognize the financial statement benefit of a tax position only after determining that the relevant tax authority would more likely than not sustain the position following an audit. For tax positions meeting this standard, the amount recognized in the financial statements is the largest benefit that has a greater than 50 percent likelihood of being realized upon ultimate settlement with the relevant tax authority. At the adoption date, we applied Interpretation 48 to all tax positions for which the statute of limitations remained open.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2006, we adopted SFAS No. 123 (revised 2004) ("SFAS No. 123R"), "Share-Based Payment", and elected to adopt the modified prospective transition method. The modified prospective transition method requires that stock-based compensation expense be recorded for all new and unvested stock options, restricted stock, restricted stock units, and employee stock purchase plan shares that are ultimately expected to vest as the requisite service is rendered beginning on January 1, 2006 the first day of our 2006 fiscal year. Stock-based compensation expense for awards granted prior to January 1, 2006 was based on the grant date fair-value as determined under the pro-forma provisions of SFAS No. 123.</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recorded $221,001 in stock-based compensation valued using the Black-Scholes option pricing model during the nine months ended September 30, 2008 as opposed to $620,015 during the nine months ended September 30, 2007.</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This Statement permits entities to choose to measure many financial assets and financial liabilities at fair value. Unrealized gains and losses on items for which the fair value option has been elected are reported in earnings. We adopted SFAS 159 as of January 1, 2008. The adoption of SFAS 159 did not have an impact on our financial position, cash flows and results of operations.</w:t>
      </w:r>
    </w:p>
    <w:p>
      <w:pPr>
        <w:spacing w:after="0" w:line="15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 an Amendment of ARB No. 51." This statement requires that noncontrolling or minority interests in subsidiaries be presented in the consolidated statement of financial position within equity, but separate from the parents' equity, and that the amount of the consolidated net income attributable to the parent and to the noncontrolling interest be clearly identified and presented on the face of the consolidated statement of income. SFAS No. 160 is effective for the fiscal years beginning on or after December 15, 2008. Currently we do not anticipate that this statement will have an impact on our financial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2007, the FASB issued SFAS No. 141 (Revised) "Business Combinations". SFAS 141 (Revised)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statements to evaluate the nature and financial effects of the business combination. The guidance will become effective for the fiscal year beginning after December 15, 2008. Management is in the process of evaluating the impact, if any, SFAS 141 (Revised) will have on our financial statements upon adoption.</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21, 2007, the Securities and Exchange Commission issued Staff Accounting Bulletin No. 110, ("SAB 110). SAB 110 provides guidance to issuers on the method allowed in developing estimates of expected term of "plain vanilla" share options in accordance with SFAS No. 123(R), "Share-Based Payment". The staff will continue to accept, under certain circumstances, the use of a simplified method beyond December 31, 2007 which amends question 6 of Section D.2 as included in SAB 107, "Valuation of Share-Based Payment Arrangements for Public Companies", which stated that the simplified method could not be used beyond December 31, 2007. SAB 110 is effective January 1, 2008. We are currently evaluating the potential impact, if any, that the adoption of SAB 110 will have on our financial statements.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("SFAS 161"). SFAS 161 is intended to improve financial reporting about derivative instruments and hedging activities by requiring enhanced disclosures to enable investors to better understand their effects on an entity's financial position, financial performance, and cash flows. SFAS 161 achieves these improvements by requiring disclosure of the fair values of derivative instruments and their gains and losses in a tabular format. It also provides more information about an entity's liquidity by requiring disclosure of derivative features that are credit risk-related. Finally, it requires cross-referencing within footnotes to enable financial statement users to locate important information about derivative instruments. SFAS 161 will be effective for financial statements issued for fiscal years and interim periods beginning after</w:t>
      </w:r>
    </w:p>
    <w:p>
      <w:pPr>
        <w:sectPr>
          <w:pgSz w:w="11900" w:h="16838" w:orient="portrait"/>
          <w:cols w:equalWidth="0" w:num="1">
            <w:col w:w="11420"/>
          </w:cols>
          <w:pgMar w:left="240" w:top="131" w:right="239" w:bottom="0" w:gutter="0" w:footer="0" w:header="0"/>
        </w:sectPr>
      </w:pPr>
    </w:p>
    <w:bookmarkStart w:id="15" w:name="page16"/>
    <w:bookmarkEnd w:id="15"/>
    <w:p>
      <w:pPr>
        <w:jc w:val="both"/>
        <w:spacing w:after="0" w:line="268" w:lineRule="auto"/>
        <w:rPr>
          <w:sz w:val="20"/>
          <w:szCs w:val="20"/>
          <w:color w:val="auto"/>
        </w:rPr>
      </w:pPr>
      <w:r>
        <w:rPr>
          <w:rFonts w:ascii="Arial" w:cs="Arial" w:eastAsia="Arial" w:hAnsi="Arial"/>
          <w:sz w:val="18"/>
          <w:szCs w:val="18"/>
          <w:color w:val="auto"/>
        </w:rPr>
        <w:t>November 15, 2008, and will be adopted by us beginn ing in the first quarter of 2009. We do not expect there to be any significant impact of adopting SFAS 161 on our financial position, cash flows and results of operations.</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2008, the FASB issued SFAS No. 162, The Hierarchy of Generally Accepted Accounting Principles ("SFAS No.162"). SFAS No. 162 is intended to improve financial reporting by identifying a consistent framework, or hierarchy, for selecting accounting principles to be used in preparing financial statements that are presented in conformity with US generally accepted accounting principles (GAAP) for nongovernmental entities. SFAS No. 162 is effective 60 days following the SEC's approval of the Public Company Accounting Oversight Board Auditing amendments to AU Section 411, </w:t>
      </w:r>
      <w:r>
        <w:rPr>
          <w:rFonts w:ascii="Arial" w:cs="Arial" w:eastAsia="Arial" w:hAnsi="Arial"/>
          <w:sz w:val="18"/>
          <w:szCs w:val="18"/>
          <w:i w:val="1"/>
          <w:iCs w:val="1"/>
          <w:color w:val="auto"/>
        </w:rPr>
        <w:t>The Meaning of</w:t>
      </w:r>
      <w:r>
        <w:rPr>
          <w:rFonts w:ascii="Arial" w:cs="Arial" w:eastAsia="Arial" w:hAnsi="Arial"/>
          <w:sz w:val="18"/>
          <w:szCs w:val="18"/>
          <w:color w:val="auto"/>
        </w:rPr>
        <w:t xml:space="preserve"> Present Fairly in Conformity with Generally Accepted Accounting Principles.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because we are a smaller reporting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Denis Corin, our Chief Executive Officer and Patrick McGowan, our Chief Financial Officer, have evaluated the effectiveness of our disclosure controls and procedures (as defined in Rule 13a-15(e) of the Securities Exchange Act of 1934) as of the end of the period covered by this report, and in their opinion our disclosure controls and procedures were effective.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not required in this report on Form 10-Q, we note that, as set forth in our annual report for the year ended December 31, 2007, our management concluded that for our year ended December 31, 2007, our internal controls and procedures were not effective to detect the inappropriate application of US GAAP rules, as more fully described in such annual report.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were no changes to our internal control over financial reporting that occurred during the three months ended September 30, 2008 that have materially affected, or are reasonably likely to materially affect, our internal control over financial reporting.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Not required to be included in this quarterly report because we are a smaller reporting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April 7, 2008 we entered into a consulting services agreement with Derrick Townsend Consulting OA 0805655 B.C. Limited (the "Townsend Agreement"). In accordance with the terms and provisions of the Townsend Agreement, on April 8, 2008 we issued 300,000 shares of our restricted common stock at a deemed issuance price of $0.30 per share. This issuance was exempt from the registration requirements of the U.S. Securities Act pursuant to Section 4(2) thereof and Regulation 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31, 2008 we issued 140,000 units (each unit consisting of one share of our restricted common stock and one-half of one non-transferable share purchase warrant) at $0.25 per unit to three subscribers for total proceeds of $35,000 pursuant to private placement agreements with an effective date of June 30, 2008. Each whole warrant entitles the holder to purchase an additional common share of our common stock at an exercise price of $0.30 per share for a period which is the earlier of (i) two years from the date of issuance, or (ii) 18 months from the effective date of registration. The issuance of these units was exempt from the registration requirements of the U.S. Securities Act pursuant to Regulation S with respect to two of the subscribers and pursuant to Rule 506 with respect to the remaining subscriber.</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nine months ended September 30, 2008 we issued 207,146 shares of restricted common stock pursuant to the exercise of 358,000 warrants by two warrantholders, for total proceeds of $25,000. Of the 358,000 warrants exercised, 258,000 were exercised for $Nil proceeds resulting in the issuance of 107,146 shares of restricted common stock. The issuances of these shares upon exercise of these warrants were exempt from the registration requirements of the U.S. Securities Act pursuant to Regulation 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Submission of Matters to a Vote of Security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73" w:lineRule="exact"/>
        <w:rPr>
          <w:sz w:val="20"/>
          <w:szCs w:val="20"/>
          <w:color w:val="auto"/>
        </w:rPr>
      </w:pPr>
    </w:p>
    <w:p>
      <w:pPr>
        <w:ind w:left="420"/>
        <w:spacing w:after="0"/>
        <w:tabs>
          <w:tab w:leader="none" w:pos="1960" w:val="left"/>
        </w:tabs>
        <w:rPr>
          <w:sz w:val="20"/>
          <w:szCs w:val="20"/>
          <w:color w:val="auto"/>
        </w:rPr>
      </w:pPr>
      <w:r>
        <w:rPr>
          <w:rFonts w:ascii="Arial" w:cs="Arial" w:eastAsia="Arial" w:hAnsi="Arial"/>
          <w:sz w:val="18"/>
          <w:szCs w:val="18"/>
          <w:b w:val="1"/>
          <w:bCs w:val="1"/>
          <w:u w:val="single" w:color="auto"/>
          <w:color w:val="auto"/>
        </w:rPr>
        <w:t>Exhibit Number</w:t>
      </w:r>
      <w:r>
        <w:rPr>
          <w:sz w:val="20"/>
          <w:szCs w:val="20"/>
          <w:color w:val="auto"/>
        </w:rPr>
        <w:tab/>
      </w:r>
      <w:r>
        <w:rPr>
          <w:rFonts w:ascii="Arial" w:cs="Arial" w:eastAsia="Arial" w:hAnsi="Arial"/>
          <w:sz w:val="16"/>
          <w:szCs w:val="16"/>
          <w:b w:val="1"/>
          <w:bCs w:val="1"/>
          <w:u w:val="single" w:color="auto"/>
          <w:color w:val="auto"/>
        </w:rPr>
        <w:t>Description of Exhibit</w:t>
      </w:r>
    </w:p>
    <w:p>
      <w:pPr>
        <w:sectPr>
          <w:pgSz w:w="11900" w:h="16838" w:orient="portrait"/>
          <w:cols w:equalWidth="0" w:num="1">
            <w:col w:w="11420"/>
          </w:cols>
          <w:pgMar w:left="240" w:top="131" w:right="239" w:bottom="0" w:gutter="0" w:footer="0" w:header="0"/>
        </w:sectPr>
      </w:pPr>
    </w:p>
    <w:bookmarkStart w:id="16" w:name="page17"/>
    <w:bookmarkEnd w:id="16"/>
    <w:tbl>
      <w:tblPr>
        <w:tblLayout w:type="fixed"/>
        <w:tblInd w:w="940" w:type="dxa"/>
        <w:tblCellMar>
          <w:top w:w="0" w:type="dxa"/>
          <w:left w:w="0" w:type="dxa"/>
          <w:bottom w:w="0" w:type="dxa"/>
          <w:right w:w="0" w:type="dxa"/>
        </w:tblCellMar>
      </w:tblPr>
      <w:tr>
        <w:trPr>
          <w:trHeight w:val="216"/>
        </w:trPr>
        <w:tc>
          <w:tcPr>
            <w:tcW w:w="660" w:type="dxa"/>
            <w:vAlign w:val="bottom"/>
          </w:tcPr>
          <w:p>
            <w:pPr>
              <w:jc w:val="right"/>
              <w:ind w:right="272"/>
              <w:spacing w:after="0"/>
              <w:rPr>
                <w:sz w:val="20"/>
                <w:szCs w:val="20"/>
                <w:color w:val="auto"/>
              </w:rPr>
            </w:pPr>
            <w:r>
              <w:rPr>
                <w:rFonts w:ascii="Arial" w:cs="Arial" w:eastAsia="Arial" w:hAnsi="Arial"/>
                <w:sz w:val="18"/>
                <w:szCs w:val="18"/>
                <w:color w:val="auto"/>
                <w:w w:val="79"/>
              </w:rPr>
              <w:t>31.1</w:t>
            </w:r>
          </w:p>
        </w:tc>
        <w:tc>
          <w:tcPr>
            <w:tcW w:w="6820" w:type="dxa"/>
            <w:vAlign w:val="bottom"/>
          </w:tcPr>
          <w:p>
            <w:pPr>
              <w:ind w:left="360"/>
              <w:spacing w:after="0"/>
              <w:rPr>
                <w:sz w:val="20"/>
                <w:szCs w:val="20"/>
                <w:color w:val="auto"/>
              </w:rPr>
            </w:pPr>
            <w:r>
              <w:rPr>
                <w:rFonts w:ascii="Arial" w:cs="Arial" w:eastAsia="Arial" w:hAnsi="Arial"/>
                <w:sz w:val="18"/>
                <w:szCs w:val="18"/>
                <w:color w:val="auto"/>
                <w:w w:val="94"/>
              </w:rPr>
              <w:t>Certification of Chief Executive Officer Pursuant to Rule 13a-14(a) or 15d-14(a) of the</w:t>
            </w:r>
          </w:p>
        </w:tc>
      </w:tr>
      <w:tr>
        <w:trPr>
          <w:trHeight w:val="222"/>
        </w:trPr>
        <w:tc>
          <w:tcPr>
            <w:tcW w:w="660" w:type="dxa"/>
            <w:vAlign w:val="bottom"/>
          </w:tcPr>
          <w:p>
            <w:pPr>
              <w:spacing w:after="0"/>
              <w:rPr>
                <w:sz w:val="19"/>
                <w:szCs w:val="19"/>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Securities Exchange Act of 1933, as amended.</w:t>
            </w:r>
          </w:p>
        </w:tc>
      </w:tr>
      <w:tr>
        <w:trPr>
          <w:trHeight w:val="399"/>
        </w:trPr>
        <w:tc>
          <w:tcPr>
            <w:tcW w:w="660" w:type="dxa"/>
            <w:vAlign w:val="bottom"/>
          </w:tcPr>
          <w:p>
            <w:pPr>
              <w:jc w:val="right"/>
              <w:ind w:right="272"/>
              <w:spacing w:after="0"/>
              <w:rPr>
                <w:sz w:val="20"/>
                <w:szCs w:val="20"/>
                <w:color w:val="auto"/>
              </w:rPr>
            </w:pPr>
            <w:r>
              <w:rPr>
                <w:rFonts w:ascii="Arial" w:cs="Arial" w:eastAsia="Arial" w:hAnsi="Arial"/>
                <w:sz w:val="18"/>
                <w:szCs w:val="18"/>
                <w:color w:val="auto"/>
                <w:w w:val="79"/>
              </w:rPr>
              <w:t>31.2</w:t>
            </w:r>
          </w:p>
        </w:tc>
        <w:tc>
          <w:tcPr>
            <w:tcW w:w="6820" w:type="dxa"/>
            <w:vAlign w:val="bottom"/>
          </w:tcPr>
          <w:p>
            <w:pPr>
              <w:ind w:left="360"/>
              <w:spacing w:after="0"/>
              <w:rPr>
                <w:sz w:val="20"/>
                <w:szCs w:val="20"/>
                <w:color w:val="auto"/>
              </w:rPr>
            </w:pPr>
            <w:r>
              <w:rPr>
                <w:rFonts w:ascii="Arial" w:cs="Arial" w:eastAsia="Arial" w:hAnsi="Arial"/>
                <w:sz w:val="18"/>
                <w:szCs w:val="18"/>
                <w:color w:val="auto"/>
                <w:w w:val="95"/>
              </w:rPr>
              <w:t>Certification of Chief Financial Officer Pursuant to Rule 13a-14(a) or 15d-14(a) of the</w:t>
            </w:r>
          </w:p>
        </w:tc>
      </w:tr>
      <w:tr>
        <w:trPr>
          <w:trHeight w:val="222"/>
        </w:trPr>
        <w:tc>
          <w:tcPr>
            <w:tcW w:w="660" w:type="dxa"/>
            <w:vAlign w:val="bottom"/>
          </w:tcPr>
          <w:p>
            <w:pPr>
              <w:spacing w:after="0"/>
              <w:rPr>
                <w:sz w:val="19"/>
                <w:szCs w:val="19"/>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Securities Exchange Act of 1933, as amended.</w:t>
            </w:r>
          </w:p>
        </w:tc>
      </w:tr>
      <w:tr>
        <w:trPr>
          <w:trHeight w:val="399"/>
        </w:trPr>
        <w:tc>
          <w:tcPr>
            <w:tcW w:w="660" w:type="dxa"/>
            <w:vAlign w:val="bottom"/>
          </w:tcPr>
          <w:p>
            <w:pPr>
              <w:jc w:val="right"/>
              <w:ind w:right="272"/>
              <w:spacing w:after="0"/>
              <w:rPr>
                <w:sz w:val="20"/>
                <w:szCs w:val="20"/>
                <w:color w:val="auto"/>
              </w:rPr>
            </w:pPr>
            <w:r>
              <w:rPr>
                <w:rFonts w:ascii="Arial" w:cs="Arial" w:eastAsia="Arial" w:hAnsi="Arial"/>
                <w:sz w:val="18"/>
                <w:szCs w:val="18"/>
                <w:color w:val="auto"/>
                <w:w w:val="79"/>
              </w:rPr>
              <w:t>32.1</w:t>
            </w:r>
          </w:p>
        </w:tc>
        <w:tc>
          <w:tcPr>
            <w:tcW w:w="6820" w:type="dxa"/>
            <w:vAlign w:val="bottom"/>
          </w:tcPr>
          <w:p>
            <w:pPr>
              <w:ind w:left="360"/>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w:t>
            </w:r>
          </w:p>
        </w:tc>
      </w:tr>
      <w:tr>
        <w:trPr>
          <w:trHeight w:val="222"/>
        </w:trPr>
        <w:tc>
          <w:tcPr>
            <w:tcW w:w="660" w:type="dxa"/>
            <w:vAlign w:val="bottom"/>
          </w:tcPr>
          <w:p>
            <w:pPr>
              <w:spacing w:after="0"/>
              <w:rPr>
                <w:sz w:val="19"/>
                <w:szCs w:val="19"/>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1350 as adopted pursuant to Section 906 of the Sarbanes-Oxley Act of 2002.</w:t>
            </w:r>
          </w:p>
        </w:tc>
      </w:tr>
      <w:tr>
        <w:trPr>
          <w:trHeight w:val="486"/>
        </w:trPr>
        <w:tc>
          <w:tcPr>
            <w:tcW w:w="660" w:type="dxa"/>
            <w:vAlign w:val="bottom"/>
          </w:tcPr>
          <w:p>
            <w:pPr>
              <w:spacing w:after="0"/>
              <w:rPr>
                <w:sz w:val="24"/>
                <w:szCs w:val="24"/>
                <w:color w:val="auto"/>
              </w:rPr>
            </w:pPr>
          </w:p>
        </w:tc>
        <w:tc>
          <w:tcPr>
            <w:tcW w:w="6820" w:type="dxa"/>
            <w:vAlign w:val="bottom"/>
          </w:tcPr>
          <w:p>
            <w:pPr>
              <w:ind w:left="3960"/>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Denis Corin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2388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Denis Corin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2008.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Patrick A. McGowan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4122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22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Patrick A. McGowan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 Treasurer, Chief Financial Officer, Principal Accounting Officer and a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2008.</w:t>
      </w:r>
    </w:p>
    <w:p>
      <w:pPr>
        <w:spacing w:after="0" w:line="17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__________</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99" w:right="259" w:bottom="1440" w:gutter="0" w:footer="0" w:header="0"/>
        </w:sectPr>
      </w:pPr>
    </w:p>
    <w:bookmarkStart w:id="17" w:name="page18"/>
    <w:bookmarkEnd w:id="17"/>
    <w:p>
      <w:pPr>
        <w:ind w:left="9760"/>
        <w:spacing w:after="0"/>
        <w:rPr>
          <w:sz w:val="20"/>
          <w:szCs w:val="20"/>
          <w:color w:val="auto"/>
        </w:rPr>
      </w:pPr>
      <w:r>
        <w:rPr>
          <w:rFonts w:ascii="Arial" w:cs="Arial" w:eastAsia="Arial" w:hAnsi="Arial"/>
          <w:sz w:val="22"/>
          <w:szCs w:val="22"/>
          <w:b w:val="1"/>
          <w:bCs w:val="1"/>
          <w:color w:val="auto"/>
        </w:rPr>
        <w:t>Exhibit 31.1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Denis Corin, certify that:</w:t>
      </w:r>
    </w:p>
    <w:p>
      <w:pPr>
        <w:spacing w:after="0" w:line="185" w:lineRule="exact"/>
        <w:rPr>
          <w:sz w:val="20"/>
          <w:szCs w:val="20"/>
          <w:color w:val="auto"/>
        </w:rPr>
      </w:pPr>
    </w:p>
    <w:p>
      <w:pPr>
        <w:ind w:left="1340" w:hanging="252"/>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September 30, 2008 of TapImmune Inc.;</w:t>
      </w:r>
    </w:p>
    <w:p>
      <w:pPr>
        <w:spacing w:after="0" w:line="184" w:lineRule="exact"/>
        <w:rPr>
          <w:rFonts w:ascii="Arial" w:cs="Arial" w:eastAsia="Arial" w:hAnsi="Arial"/>
          <w:sz w:val="18"/>
          <w:szCs w:val="18"/>
          <w:color w:val="auto"/>
        </w:rPr>
      </w:pPr>
    </w:p>
    <w:p>
      <w:pPr>
        <w:jc w:val="both"/>
        <w:ind w:left="1080" w:firstLine="8"/>
        <w:spacing w:after="0" w:line="259" w:lineRule="auto"/>
        <w:tabs>
          <w:tab w:leader="none" w:pos="1331"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8"/>
          <w:szCs w:val="18"/>
          <w:color w:val="auto"/>
        </w:rPr>
      </w:pPr>
    </w:p>
    <w:p>
      <w:pPr>
        <w:ind w:left="1080" w:firstLine="8"/>
        <w:spacing w:after="0" w:line="332" w:lineRule="auto"/>
        <w:tabs>
          <w:tab w:leader="none" w:pos="133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jc w:val="both"/>
        <w:ind w:left="1080" w:firstLine="8"/>
        <w:spacing w:after="0" w:line="286" w:lineRule="auto"/>
        <w:tabs>
          <w:tab w:leader="none" w:pos="1332"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80"/>
        <w:spacing w:after="0"/>
        <w:rPr>
          <w:rFonts w:ascii="Arial" w:cs="Arial" w:eastAsia="Arial" w:hAnsi="Arial"/>
          <w:sz w:val="16"/>
          <w:szCs w:val="16"/>
          <w:color w:val="auto"/>
        </w:rPr>
      </w:pPr>
      <w:r>
        <w:rPr>
          <w:rFonts w:ascii="Arial" w:cs="Arial" w:eastAsia="Arial" w:hAnsi="Arial"/>
          <w:sz w:val="18"/>
          <w:szCs w:val="18"/>
          <w:color w:val="auto"/>
        </w:rPr>
        <w:t>15d-15(f))for the registrant and have:</w:t>
      </w:r>
    </w:p>
    <w:p>
      <w:pPr>
        <w:spacing w:after="0" w:line="178" w:lineRule="exact"/>
        <w:rPr>
          <w:rFonts w:ascii="Arial" w:cs="Arial" w:eastAsia="Arial" w:hAnsi="Arial"/>
          <w:sz w:val="16"/>
          <w:szCs w:val="16"/>
          <w:color w:val="auto"/>
        </w:rPr>
      </w:pPr>
    </w:p>
    <w:p>
      <w:pPr>
        <w:jc w:val="both"/>
        <w:ind w:left="1620" w:firstLine="9"/>
        <w:spacing w:after="0" w:line="259" w:lineRule="auto"/>
        <w:tabs>
          <w:tab w:leader="none" w:pos="1896"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1620" w:firstLine="9"/>
        <w:spacing w:after="0" w:line="259" w:lineRule="auto"/>
        <w:tabs>
          <w:tab w:leader="none" w:pos="1881"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1620" w:right="20" w:firstLine="9"/>
        <w:spacing w:after="0" w:line="370" w:lineRule="auto"/>
        <w:tabs>
          <w:tab w:leader="none" w:pos="1864" w:val="left"/>
        </w:tabs>
        <w:numPr>
          <w:ilvl w:val="1"/>
          <w:numId w:val="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5"/>
          <w:szCs w:val="15"/>
          <w:color w:val="auto"/>
        </w:rPr>
      </w:pPr>
    </w:p>
    <w:p>
      <w:pPr>
        <w:jc w:val="both"/>
        <w:ind w:left="1620" w:firstLine="9"/>
        <w:spacing w:after="0" w:line="259" w:lineRule="auto"/>
        <w:tabs>
          <w:tab w:leader="none" w:pos="1869"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jc w:val="both"/>
        <w:ind w:left="1080" w:firstLine="8"/>
        <w:spacing w:after="0" w:line="370" w:lineRule="auto"/>
        <w:tabs>
          <w:tab w:leader="none" w:pos="1352"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5"/>
          <w:szCs w:val="15"/>
          <w:color w:val="auto"/>
        </w:rPr>
      </w:pPr>
    </w:p>
    <w:p>
      <w:pPr>
        <w:ind w:left="1620" w:firstLine="9"/>
        <w:spacing w:after="0" w:line="332" w:lineRule="auto"/>
        <w:tabs>
          <w:tab w:leader="none" w:pos="1874"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6"/>
          <w:szCs w:val="16"/>
          <w:color w:val="auto"/>
        </w:rPr>
      </w:pPr>
    </w:p>
    <w:p>
      <w:pPr>
        <w:ind w:left="1620" w:firstLine="9"/>
        <w:spacing w:after="0" w:line="268" w:lineRule="auto"/>
        <w:tabs>
          <w:tab w:leader="none" w:pos="1869"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2008.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Denis Corin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5455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55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Denis Corin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ectPr>
          <w:pgSz w:w="11900" w:h="16838" w:orient="portrait"/>
          <w:cols w:equalWidth="0" w:num="1">
            <w:col w:w="11420"/>
          </w:cols>
          <w:pgMar w:left="240" w:top="112" w:right="239" w:bottom="1440" w:gutter="0" w:footer="0" w:header="0"/>
        </w:sectPr>
      </w:pPr>
    </w:p>
    <w:bookmarkStart w:id="18" w:name="page19"/>
    <w:bookmarkEnd w:id="18"/>
    <w:p>
      <w:pPr>
        <w:ind w:left="9760"/>
        <w:spacing w:after="0"/>
        <w:rPr>
          <w:sz w:val="20"/>
          <w:szCs w:val="20"/>
          <w:color w:val="auto"/>
        </w:rPr>
      </w:pPr>
      <w:r>
        <w:rPr>
          <w:rFonts w:ascii="Arial" w:cs="Arial" w:eastAsia="Arial" w:hAnsi="Arial"/>
          <w:sz w:val="22"/>
          <w:szCs w:val="22"/>
          <w:b w:val="1"/>
          <w:bCs w:val="1"/>
          <w:color w:val="auto"/>
        </w:rPr>
        <w:t>Exhibit 31.2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Patrick A. McGowan, certify that:</w:t>
      </w:r>
    </w:p>
    <w:p>
      <w:pPr>
        <w:spacing w:after="0" w:line="185" w:lineRule="exact"/>
        <w:rPr>
          <w:sz w:val="20"/>
          <w:szCs w:val="20"/>
          <w:color w:val="auto"/>
        </w:rPr>
      </w:pPr>
    </w:p>
    <w:p>
      <w:pPr>
        <w:ind w:left="1340" w:hanging="252"/>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September 30, 2008 of TapImmune Inc.;</w:t>
      </w:r>
    </w:p>
    <w:p>
      <w:pPr>
        <w:spacing w:after="0" w:line="184" w:lineRule="exact"/>
        <w:rPr>
          <w:rFonts w:ascii="Arial" w:cs="Arial" w:eastAsia="Arial" w:hAnsi="Arial"/>
          <w:sz w:val="18"/>
          <w:szCs w:val="18"/>
          <w:color w:val="auto"/>
        </w:rPr>
      </w:pPr>
    </w:p>
    <w:p>
      <w:pPr>
        <w:jc w:val="both"/>
        <w:ind w:left="1080" w:firstLine="8"/>
        <w:spacing w:after="0" w:line="259" w:lineRule="auto"/>
        <w:tabs>
          <w:tab w:leader="none" w:pos="133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8"/>
          <w:szCs w:val="18"/>
          <w:color w:val="auto"/>
        </w:rPr>
      </w:pPr>
    </w:p>
    <w:p>
      <w:pPr>
        <w:ind w:left="1080" w:firstLine="8"/>
        <w:spacing w:after="0" w:line="332" w:lineRule="auto"/>
        <w:tabs>
          <w:tab w:leader="none" w:pos="133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jc w:val="both"/>
        <w:ind w:left="1080" w:firstLine="8"/>
        <w:spacing w:after="0" w:line="286" w:lineRule="auto"/>
        <w:tabs>
          <w:tab w:leader="none" w:pos="133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80"/>
        <w:spacing w:after="0"/>
        <w:rPr>
          <w:rFonts w:ascii="Arial" w:cs="Arial" w:eastAsia="Arial" w:hAnsi="Arial"/>
          <w:sz w:val="16"/>
          <w:szCs w:val="16"/>
          <w:color w:val="auto"/>
        </w:rPr>
      </w:pPr>
      <w:r>
        <w:rPr>
          <w:rFonts w:ascii="Arial" w:cs="Arial" w:eastAsia="Arial" w:hAnsi="Arial"/>
          <w:sz w:val="18"/>
          <w:szCs w:val="18"/>
          <w:color w:val="auto"/>
        </w:rPr>
        <w:t>15d-15(f))for the registrant and have:</w:t>
      </w:r>
    </w:p>
    <w:p>
      <w:pPr>
        <w:spacing w:after="0" w:line="178" w:lineRule="exact"/>
        <w:rPr>
          <w:rFonts w:ascii="Arial" w:cs="Arial" w:eastAsia="Arial" w:hAnsi="Arial"/>
          <w:sz w:val="16"/>
          <w:szCs w:val="16"/>
          <w:color w:val="auto"/>
        </w:rPr>
      </w:pPr>
    </w:p>
    <w:p>
      <w:pPr>
        <w:jc w:val="both"/>
        <w:ind w:left="1620" w:firstLine="9"/>
        <w:spacing w:after="0" w:line="259" w:lineRule="auto"/>
        <w:tabs>
          <w:tab w:leader="none" w:pos="1896"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1620" w:firstLine="9"/>
        <w:spacing w:after="0" w:line="259" w:lineRule="auto"/>
        <w:tabs>
          <w:tab w:leader="none" w:pos="1881"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1620" w:right="20" w:firstLine="9"/>
        <w:spacing w:after="0" w:line="370" w:lineRule="auto"/>
        <w:tabs>
          <w:tab w:leader="none" w:pos="1864" w:val="left"/>
        </w:tabs>
        <w:numPr>
          <w:ilvl w:val="1"/>
          <w:numId w:val="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5"/>
          <w:szCs w:val="15"/>
          <w:color w:val="auto"/>
        </w:rPr>
      </w:pPr>
    </w:p>
    <w:p>
      <w:pPr>
        <w:jc w:val="both"/>
        <w:ind w:left="1620" w:firstLine="9"/>
        <w:spacing w:after="0" w:line="259" w:lineRule="auto"/>
        <w:tabs>
          <w:tab w:leader="none" w:pos="1869"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jc w:val="both"/>
        <w:ind w:left="1080" w:firstLine="8"/>
        <w:spacing w:after="0" w:line="370" w:lineRule="auto"/>
        <w:tabs>
          <w:tab w:leader="none" w:pos="1352"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5"/>
          <w:szCs w:val="15"/>
          <w:color w:val="auto"/>
        </w:rPr>
      </w:pPr>
    </w:p>
    <w:p>
      <w:pPr>
        <w:ind w:left="1620" w:firstLine="9"/>
        <w:spacing w:after="0" w:line="332" w:lineRule="auto"/>
        <w:tabs>
          <w:tab w:leader="none" w:pos="1874"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6"/>
          <w:szCs w:val="16"/>
          <w:color w:val="auto"/>
        </w:rPr>
      </w:pPr>
    </w:p>
    <w:p>
      <w:pPr>
        <w:ind w:left="1620" w:firstLine="9"/>
        <w:spacing w:after="0" w:line="268" w:lineRule="auto"/>
        <w:tabs>
          <w:tab w:leader="none" w:pos="1869"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2008.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Patrick A. McGowan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5297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297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Patrick A. McGowan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ectPr>
          <w:pgSz w:w="11900" w:h="16838" w:orient="portrait"/>
          <w:cols w:equalWidth="0" w:num="1">
            <w:col w:w="11420"/>
          </w:cols>
          <w:pgMar w:left="240" w:top="112" w:right="239" w:bottom="1440" w:gutter="0" w:footer="0" w:header="0"/>
        </w:sectPr>
      </w:pPr>
    </w:p>
    <w:bookmarkStart w:id="19" w:name="page20"/>
    <w:bookmarkEnd w:id="19"/>
    <w:p>
      <w:pPr>
        <w:ind w:left="9760"/>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 CHIEF FINANCIAL OFFICER</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undersigned, Denis Corin, the Chief Executive Officer of TapImmune Inc., and Patrick A. McGowan, the Chief Financial Officer of TapImmune Inc., each hereby certifies, pursuant to 18 U.S.C. Section 1350, as adopted pursuant to Section 906 of the Sarbanes-Oxley Act of 2002, that, to their knowledge, the Report on Form 10-Q of TapImmune Inc., for the quarterly period ended September 30, 2008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2008.</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Denis Corin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-13970</wp:posOffset>
            </wp:positionV>
            <wp:extent cx="14338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3383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Denis Corin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Patrick A. McGowan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-13970</wp:posOffset>
            </wp:positionV>
            <wp:extent cx="13563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Patrick A. McGowan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TapImmune Inc. and will be retained by TapImmune Inc. and furnished to the Securities and Exchange Commission or its staff upon request.</w:t>
      </w:r>
    </w:p>
    <w:p>
      <w:pPr>
        <w:spacing w:after="0" w:line="200" w:lineRule="exact"/>
        <w:rPr>
          <w:sz w:val="20"/>
          <w:szCs w:val="20"/>
          <w:color w:val="auto"/>
        </w:rPr>
      </w:pPr>
    </w:p>
    <w:p>
      <w:pPr>
        <w:spacing w:after="0" w:line="3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__________</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2020-02-01T06:29:43Z</dcterms:created>
  <dcterms:modified xsi:type="dcterms:W3CDTF">2020-02-01T06:29:43Z</dcterms:modified>
</cp:coreProperties>
</file>