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260350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u w:val="single" w:color="auto"/>
          <w:color w:val="auto"/>
        </w:rPr>
        <w:t>FORM 8-K</w:t>
      </w:r>
    </w:p>
    <w:p>
      <w:pPr>
        <w:spacing w:after="0" w:line="1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u w:val="single" w:color="auto"/>
          <w:color w:val="auto"/>
        </w:rPr>
        <w:t>CURRENT REPORT</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u w:val="single" w:color="auto"/>
          <w:color w:val="auto"/>
        </w:rPr>
        <w:t>January 8, 2024</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Date of Report (Date of earliest event reported)</w:t>
      </w:r>
    </w:p>
    <w:p>
      <w:pPr>
        <w:spacing w:after="0" w:line="13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u w:val="single" w:color="auto"/>
          <w:color w:val="auto"/>
        </w:rPr>
        <w:t>MARKER THERAPEUTICS, INC.</w:t>
      </w:r>
    </w:p>
    <w:p>
      <w:pPr>
        <w:spacing w:after="0" w:line="2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28" w:lineRule="exact"/>
        <w:rPr>
          <w:sz w:val="24"/>
          <w:szCs w:val="24"/>
          <w:color w:val="auto"/>
        </w:rPr>
      </w:pPr>
    </w:p>
    <w:tbl>
      <w:tblPr>
        <w:tblLayout w:type="fixed"/>
        <w:tblInd w:w="808" w:type="dxa"/>
        <w:tblCellMar>
          <w:top w:w="0" w:type="dxa"/>
          <w:left w:w="0" w:type="dxa"/>
          <w:bottom w:w="0" w:type="dxa"/>
          <w:right w:w="0" w:type="dxa"/>
        </w:tblCellMar>
      </w:tblPr>
      <w:tr>
        <w:trPr>
          <w:trHeight w:val="138"/>
        </w:trPr>
        <w:tc>
          <w:tcPr>
            <w:tcW w:w="820" w:type="dxa"/>
            <w:vAlign w:val="bottom"/>
          </w:tcPr>
          <w:p>
            <w:pPr>
              <w:spacing w:after="0"/>
              <w:rPr>
                <w:sz w:val="12"/>
                <w:szCs w:val="12"/>
                <w:color w:val="auto"/>
              </w:rPr>
            </w:pPr>
          </w:p>
        </w:tc>
        <w:tc>
          <w:tcPr>
            <w:tcW w:w="3240" w:type="dxa"/>
            <w:vAlign w:val="bottom"/>
            <w:gridSpan w:val="2"/>
          </w:tcPr>
          <w:p>
            <w:pPr>
              <w:jc w:val="center"/>
              <w:ind w:right="270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2600" w:type="dxa"/>
            <w:vAlign w:val="bottom"/>
            <w:gridSpan w:val="3"/>
          </w:tcPr>
          <w:p>
            <w:pPr>
              <w:jc w:val="right"/>
              <w:ind w:right="1560"/>
              <w:spacing w:after="0"/>
              <w:rPr>
                <w:sz w:val="20"/>
                <w:szCs w:val="20"/>
                <w:color w:val="auto"/>
              </w:rPr>
            </w:pPr>
            <w:r>
              <w:rPr>
                <w:rFonts w:ascii="Times New Roman" w:cs="Times New Roman" w:eastAsia="Times New Roman" w:hAnsi="Times New Roman"/>
                <w:sz w:val="12"/>
                <w:szCs w:val="12"/>
                <w:b w:val="1"/>
                <w:bCs w:val="1"/>
                <w:color w:val="auto"/>
              </w:rPr>
              <w:t>001-37939</w:t>
            </w:r>
          </w:p>
        </w:tc>
        <w:tc>
          <w:tcPr>
            <w:tcW w:w="2800" w:type="dxa"/>
            <w:vAlign w:val="bottom"/>
            <w:gridSpan w:val="5"/>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45-4497941</w:t>
            </w:r>
          </w:p>
        </w:tc>
      </w:tr>
      <w:tr>
        <w:trPr>
          <w:trHeight w:val="20"/>
        </w:trPr>
        <w:tc>
          <w:tcPr>
            <w:tcW w:w="8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51"/>
        </w:trPr>
        <w:tc>
          <w:tcPr>
            <w:tcW w:w="4060" w:type="dxa"/>
            <w:vAlign w:val="bottom"/>
            <w:gridSpan w:val="3"/>
          </w:tcPr>
          <w:p>
            <w:pPr>
              <w:jc w:val="center"/>
              <w:ind w:right="1880"/>
              <w:spacing w:after="0"/>
              <w:rPr>
                <w:sz w:val="20"/>
                <w:szCs w:val="20"/>
                <w:color w:val="auto"/>
              </w:rPr>
            </w:pPr>
            <w:r>
              <w:rPr>
                <w:rFonts w:ascii="Times New Roman" w:cs="Times New Roman" w:eastAsia="Times New Roman" w:hAnsi="Times New Roman"/>
                <w:sz w:val="12"/>
                <w:szCs w:val="12"/>
                <w:color w:val="auto"/>
              </w:rPr>
              <w:t>(State or other jurisdiction of incorporation)</w:t>
            </w:r>
          </w:p>
        </w:tc>
        <w:tc>
          <w:tcPr>
            <w:tcW w:w="2600" w:type="dxa"/>
            <w:vAlign w:val="bottom"/>
            <w:gridSpan w:val="3"/>
          </w:tcPr>
          <w:p>
            <w:pPr>
              <w:jc w:val="center"/>
              <w:ind w:right="1020"/>
              <w:spacing w:after="0"/>
              <w:rPr>
                <w:sz w:val="20"/>
                <w:szCs w:val="20"/>
                <w:color w:val="auto"/>
              </w:rPr>
            </w:pPr>
            <w:r>
              <w:rPr>
                <w:rFonts w:ascii="Times New Roman" w:cs="Times New Roman" w:eastAsia="Times New Roman" w:hAnsi="Times New Roman"/>
                <w:sz w:val="12"/>
                <w:szCs w:val="12"/>
                <w:color w:val="auto"/>
              </w:rPr>
              <w:t>(Commission File Number)</w:t>
            </w:r>
          </w:p>
        </w:tc>
        <w:tc>
          <w:tcPr>
            <w:tcW w:w="2800" w:type="dxa"/>
            <w:vAlign w:val="bottom"/>
            <w:gridSpan w:val="5"/>
          </w:tcPr>
          <w:p>
            <w:pPr>
              <w:jc w:val="center"/>
              <w:ind w:left="1080"/>
              <w:spacing w:after="0"/>
              <w:rPr>
                <w:sz w:val="20"/>
                <w:szCs w:val="20"/>
                <w:color w:val="auto"/>
              </w:rPr>
            </w:pPr>
            <w:r>
              <w:rPr>
                <w:rFonts w:ascii="Times New Roman" w:cs="Times New Roman" w:eastAsia="Times New Roman" w:hAnsi="Times New Roman"/>
                <w:sz w:val="12"/>
                <w:szCs w:val="12"/>
                <w:color w:val="auto"/>
              </w:rPr>
              <w:t>(IRS Employer Identification No.)</w:t>
            </w:r>
          </w:p>
        </w:tc>
      </w:tr>
      <w:tr>
        <w:trPr>
          <w:trHeight w:val="273"/>
        </w:trPr>
        <w:tc>
          <w:tcPr>
            <w:tcW w:w="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760" w:type="dxa"/>
            <w:vAlign w:val="bottom"/>
          </w:tcPr>
          <w:p>
            <w:pPr>
              <w:jc w:val="center"/>
              <w:ind w:left="540"/>
              <w:spacing w:after="0"/>
              <w:rPr>
                <w:sz w:val="20"/>
                <w:szCs w:val="20"/>
                <w:color w:val="auto"/>
              </w:rPr>
            </w:pPr>
            <w:r>
              <w:rPr>
                <w:rFonts w:ascii="Times New Roman" w:cs="Times New Roman" w:eastAsia="Times New Roman" w:hAnsi="Times New Roman"/>
                <w:sz w:val="12"/>
                <w:szCs w:val="12"/>
                <w:b w:val="1"/>
                <w:bCs w:val="1"/>
                <w:color w:val="auto"/>
              </w:rPr>
              <w:t>9350 Kirby Drive, Suite 300</w:t>
            </w:r>
          </w:p>
        </w:tc>
        <w:tc>
          <w:tcPr>
            <w:tcW w:w="5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141"/>
        </w:trPr>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760" w:type="dxa"/>
            <w:vAlign w:val="bottom"/>
          </w:tcPr>
          <w:p>
            <w:pPr>
              <w:jc w:val="center"/>
              <w:ind w:left="560"/>
              <w:spacing w:after="0" w:line="112" w:lineRule="exact"/>
              <w:rPr>
                <w:sz w:val="20"/>
                <w:szCs w:val="20"/>
                <w:color w:val="auto"/>
              </w:rPr>
            </w:pPr>
            <w:r>
              <w:rPr>
                <w:rFonts w:ascii="Times New Roman" w:cs="Times New Roman" w:eastAsia="Times New Roman" w:hAnsi="Times New Roman"/>
                <w:sz w:val="12"/>
                <w:szCs w:val="12"/>
                <w:b w:val="1"/>
                <w:bCs w:val="1"/>
                <w:color w:val="auto"/>
                <w:w w:val="98"/>
              </w:rPr>
              <w:t>Houston, Texas</w:t>
            </w: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20" w:type="dxa"/>
            <w:vAlign w:val="bottom"/>
            <w:gridSpan w:val="2"/>
          </w:tcPr>
          <w:p>
            <w:pPr>
              <w:spacing w:after="0"/>
              <w:rPr>
                <w:sz w:val="12"/>
                <w:szCs w:val="12"/>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w w:val="93"/>
              </w:rPr>
              <w:t>77054</w:t>
            </w:r>
          </w:p>
        </w:tc>
        <w:tc>
          <w:tcPr>
            <w:tcW w:w="540" w:type="dxa"/>
            <w:vAlign w:val="bottom"/>
          </w:tcPr>
          <w:p>
            <w:pPr>
              <w:spacing w:after="0"/>
              <w:rPr>
                <w:sz w:val="12"/>
                <w:szCs w:val="12"/>
                <w:color w:val="auto"/>
              </w:rPr>
            </w:pPr>
          </w:p>
        </w:tc>
      </w:tr>
      <w:tr>
        <w:trPr>
          <w:trHeight w:val="20"/>
        </w:trPr>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r>
      <w:tr>
        <w:trPr>
          <w:trHeight w:val="160"/>
        </w:trPr>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760" w:type="dxa"/>
            <w:vAlign w:val="bottom"/>
          </w:tcPr>
          <w:p>
            <w:pPr>
              <w:jc w:val="center"/>
              <w:ind w:left="540"/>
              <w:spacing w:after="0"/>
              <w:rPr>
                <w:sz w:val="20"/>
                <w:szCs w:val="20"/>
                <w:color w:val="auto"/>
              </w:rPr>
            </w:pPr>
            <w:r>
              <w:rPr>
                <w:rFonts w:ascii="Times New Roman" w:cs="Times New Roman" w:eastAsia="Times New Roman" w:hAnsi="Times New Roman"/>
                <w:sz w:val="12"/>
                <w:szCs w:val="12"/>
                <w:color w:val="auto"/>
              </w:rPr>
              <w:t>(Address of principal executive offices)</w:t>
            </w: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120" w:type="dxa"/>
            <w:vAlign w:val="bottom"/>
            <w:gridSpan w:val="4"/>
          </w:tcPr>
          <w:p>
            <w:pPr>
              <w:jc w:val="center"/>
              <w:ind w:right="540"/>
              <w:spacing w:after="0"/>
              <w:rPr>
                <w:sz w:val="20"/>
                <w:szCs w:val="20"/>
                <w:color w:val="auto"/>
              </w:rPr>
            </w:pPr>
            <w:r>
              <w:rPr>
                <w:rFonts w:ascii="Times New Roman" w:cs="Times New Roman" w:eastAsia="Times New Roman" w:hAnsi="Times New Roman"/>
                <w:sz w:val="12"/>
                <w:szCs w:val="12"/>
                <w:color w:val="auto"/>
              </w:rPr>
              <w:t>(Zip Code)</w:t>
            </w:r>
          </w:p>
        </w:tc>
      </w:tr>
    </w:tbl>
    <w:p>
      <w:pPr>
        <w:spacing w:after="0" w:line="12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(713) 400-6400</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u w:val="single" w:color="auto"/>
          <w:color w:val="auto"/>
        </w:rPr>
        <w:t>N/A</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39"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is intended to simultaneously satisfy the filing obligation of the registrant under any of the following provisions:</w:t>
      </w:r>
    </w:p>
    <w:p>
      <w:pPr>
        <w:spacing w:after="0" w:line="150" w:lineRule="exact"/>
        <w:rPr>
          <w:sz w:val="24"/>
          <w:szCs w:val="24"/>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8"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38" w:lineRule="exact"/>
        <w:rPr>
          <w:sz w:val="24"/>
          <w:szCs w:val="24"/>
          <w:color w:val="auto"/>
        </w:rPr>
      </w:pPr>
    </w:p>
    <w:tbl>
      <w:tblPr>
        <w:tblLayout w:type="fixed"/>
        <w:tblInd w:w="8" w:type="dxa"/>
        <w:tblCellMar>
          <w:top w:w="0" w:type="dxa"/>
          <w:left w:w="0" w:type="dxa"/>
          <w:bottom w:w="0" w:type="dxa"/>
          <w:right w:w="0" w:type="dxa"/>
        </w:tblCellMar>
      </w:tblPr>
      <w:tr>
        <w:trPr>
          <w:trHeight w:val="155"/>
        </w:trPr>
        <w:tc>
          <w:tcPr>
            <w:tcW w:w="4300" w:type="dxa"/>
            <w:vAlign w:val="bottom"/>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2700" w:type="dxa"/>
            <w:vAlign w:val="bottom"/>
          </w:tcPr>
          <w:p>
            <w:pPr>
              <w:spacing w:after="0"/>
              <w:rPr>
                <w:sz w:val="13"/>
                <w:szCs w:val="13"/>
                <w:color w:val="auto"/>
              </w:rPr>
            </w:pPr>
          </w:p>
        </w:tc>
        <w:tc>
          <w:tcPr>
            <w:tcW w:w="4300" w:type="dxa"/>
            <w:vAlign w:val="bottom"/>
          </w:tcPr>
          <w:p>
            <w:pPr>
              <w:spacing w:after="0"/>
              <w:rPr>
                <w:sz w:val="13"/>
                <w:szCs w:val="13"/>
                <w:color w:val="auto"/>
              </w:rPr>
            </w:pPr>
          </w:p>
        </w:tc>
      </w:tr>
      <w:tr>
        <w:trPr>
          <w:trHeight w:val="277"/>
        </w:trPr>
        <w:tc>
          <w:tcPr>
            <w:tcW w:w="430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Trading</w:t>
            </w:r>
          </w:p>
        </w:tc>
        <w:tc>
          <w:tcPr>
            <w:tcW w:w="4300" w:type="dxa"/>
            <w:vAlign w:val="bottom"/>
          </w:tcPr>
          <w:p>
            <w:pPr>
              <w:spacing w:after="0"/>
              <w:rPr>
                <w:sz w:val="24"/>
                <w:szCs w:val="24"/>
                <w:color w:val="auto"/>
              </w:rPr>
            </w:pPr>
          </w:p>
        </w:tc>
      </w:tr>
      <w:tr>
        <w:trPr>
          <w:trHeight w:val="155"/>
        </w:trPr>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Name of each exchange on which registered</w:t>
            </w:r>
          </w:p>
        </w:tc>
      </w:tr>
      <w:tr>
        <w:trPr>
          <w:trHeight w:val="144"/>
        </w:trPr>
        <w:tc>
          <w:tcPr>
            <w:tcW w:w="43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Common Stock, par value $0.001 per share</w:t>
            </w:r>
          </w:p>
        </w:tc>
        <w:tc>
          <w:tcPr>
            <w:tcW w:w="2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MRKR</w:t>
            </w:r>
          </w:p>
        </w:tc>
        <w:tc>
          <w:tcPr>
            <w:tcW w:w="43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The Nasdaq Stock Market LLC</w:t>
            </w:r>
          </w:p>
        </w:tc>
      </w:tr>
    </w:tbl>
    <w:p>
      <w:pPr>
        <w:spacing w:after="0" w:line="122" w:lineRule="exact"/>
        <w:rPr>
          <w:sz w:val="24"/>
          <w:szCs w:val="24"/>
          <w:color w:val="auto"/>
        </w:rPr>
      </w:pPr>
    </w:p>
    <w:p>
      <w:pPr>
        <w:jc w:val="both"/>
        <w:ind w:left="8" w:right="20"/>
        <w:spacing w:after="0" w:line="257"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ind w:left="9428"/>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42" w:lineRule="exact"/>
        <w:rPr>
          <w:sz w:val="24"/>
          <w:szCs w:val="24"/>
          <w:color w:val="auto"/>
        </w:rPr>
      </w:pPr>
    </w:p>
    <w:p>
      <w:pPr>
        <w:jc w:val="both"/>
        <w:ind w:left="8" w:right="2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97790</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394970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66" w:right="299" w:bottom="1440" w:gutter="0" w:footer="0" w:header="0"/>
        </w:sectPr>
      </w:pPr>
    </w:p>
    <w:bookmarkStart w:id="1" w:name="page2"/>
    <w:bookmarkEnd w:id="1"/>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56"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2"/>
          <w:szCs w:val="12"/>
          <w:color w:val="auto"/>
        </w:rPr>
        <w:t>As previously announced, the Marker Therapeutics, Inc. (the “Company”) management team led by Chief Executive Officer, Juan Vera, plans to participate in the Biotech Showcase and present at the 19</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Annual Non-Dilutive Funding Summit held alongside the 42</w:t>
      </w:r>
      <w:r>
        <w:rPr>
          <w:rFonts w:ascii="Times New Roman" w:cs="Times New Roman" w:eastAsia="Times New Roman" w:hAnsi="Times New Roman"/>
          <w:sz w:val="19"/>
          <w:szCs w:val="19"/>
          <w:color w:val="auto"/>
          <w:vertAlign w:val="superscript"/>
        </w:rPr>
        <w:t>nd</w:t>
      </w:r>
      <w:r>
        <w:rPr>
          <w:rFonts w:ascii="Times New Roman" w:cs="Times New Roman" w:eastAsia="Times New Roman" w:hAnsi="Times New Roman"/>
          <w:sz w:val="12"/>
          <w:szCs w:val="12"/>
          <w:color w:val="auto"/>
        </w:rPr>
        <w:t xml:space="preserve"> Annual J.P. Morgan Healthcare Conference 2024 (J.P. Morgan Week).</w:t>
      </w:r>
    </w:p>
    <w:p>
      <w:pPr>
        <w:spacing w:after="0" w:line="5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On January 8, 2024, the Company issued a press release announcing Clinical Program Updates and Pipeline Prioritization. A copy of the press release is attached hereto as Exhibit 99.1 to this Current Report on Form 8-K and is incorporated herein by reference.</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 addition, on January 8, 2024, the Company updated its corporate presentation for use in meetings with investors, analysts and others during J.P. Morgan Week and thereafter, as well as in connection with the non-dilutive funding summit. The corporate presentation is available through the Company’s website and a copy is attached hereto as Exhibit 99.2 to this Current Report on Form 8-K.</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information in this Item 7.01 of this Current Report on Form 8-K (including Exhibit 99.1 and 99.2) is being furnished and shall not be deemed “filed” for purposes of Section 18 of the Securities Exchange Act of 1934, as amended (the “</w:t>
      </w:r>
      <w:r>
        <w:rPr>
          <w:rFonts w:ascii="Times New Roman" w:cs="Times New Roman" w:eastAsia="Times New Roman" w:hAnsi="Times New Roman"/>
          <w:sz w:val="12"/>
          <w:szCs w:val="12"/>
          <w:b w:val="1"/>
          <w:bCs w:val="1"/>
          <w:i w:val="1"/>
          <w:iCs w:val="1"/>
          <w:color w:val="auto"/>
        </w:rPr>
        <w:t>Exchange Act</w:t>
      </w:r>
      <w:r>
        <w:rPr>
          <w:rFonts w:ascii="Times New Roman" w:cs="Times New Roman" w:eastAsia="Times New Roman" w:hAnsi="Times New Roman"/>
          <w:sz w:val="12"/>
          <w:szCs w:val="12"/>
          <w:color w:val="auto"/>
        </w:rPr>
        <w:t>”), or subject to the liabilities of that section or Sections 11 and 12(a)(2) of the Securities Act of 1933, as amended. The information shall not be deemed incorporated by reference into any filing under the Securities Act of 1933, as amended, or the Exchange Act, except as expressly set forth by specific reference in such a filing.</w:t>
      </w:r>
    </w:p>
    <w:p>
      <w:pPr>
        <w:spacing w:after="0" w:line="11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60" w:type="dxa"/>
            <w:vAlign w:val="bottom"/>
          </w:tcPr>
          <w:p>
            <w:pPr>
              <w:spacing w:after="0"/>
              <w:rPr>
                <w:sz w:val="12"/>
                <w:szCs w:val="12"/>
                <w:color w:val="auto"/>
              </w:rPr>
            </w:pPr>
          </w:p>
        </w:tc>
        <w:tc>
          <w:tcPr>
            <w:tcW w:w="6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b w:val="1"/>
                <w:bCs w:val="1"/>
                <w:color w:val="auto"/>
                <w:w w:val="98"/>
              </w:rPr>
              <w:t>Exhibit No.</w:t>
            </w:r>
          </w:p>
        </w:tc>
        <w:tc>
          <w:tcPr>
            <w:tcW w:w="380" w:type="dxa"/>
            <w:vAlign w:val="bottom"/>
          </w:tcPr>
          <w:p>
            <w:pPr>
              <w:spacing w:after="0"/>
              <w:rPr>
                <w:sz w:val="12"/>
                <w:szCs w:val="12"/>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9440" w:type="dxa"/>
            <w:vAlign w:val="bottom"/>
            <w:gridSpan w:val="3"/>
          </w:tcPr>
          <w:p>
            <w:pPr>
              <w:spacing w:after="0"/>
              <w:rPr>
                <w:sz w:val="12"/>
                <w:szCs w:val="12"/>
                <w:color w:val="auto"/>
              </w:rPr>
            </w:pPr>
          </w:p>
        </w:tc>
      </w:tr>
      <w:tr>
        <w:trPr>
          <w:trHeight w:val="268"/>
        </w:trPr>
        <w:tc>
          <w:tcPr>
            <w:tcW w:w="660" w:type="dxa"/>
            <w:vAlign w:val="bottom"/>
            <w:gridSpan w:val="3"/>
          </w:tcPr>
          <w:p>
            <w:pPr>
              <w:jc w:val="center"/>
              <w:ind w:left="400"/>
              <w:spacing w:after="0"/>
              <w:rPr>
                <w:sz w:val="20"/>
                <w:szCs w:val="20"/>
                <w:color w:val="auto"/>
              </w:rPr>
            </w:pPr>
            <w:r>
              <w:rPr>
                <w:rFonts w:ascii="Times New Roman" w:cs="Times New Roman" w:eastAsia="Times New Roman" w:hAnsi="Times New Roman"/>
                <w:sz w:val="12"/>
                <w:szCs w:val="12"/>
                <w:color w:val="0000EE"/>
                <w:w w:val="94"/>
              </w:rPr>
              <w:t>99.</w:t>
            </w:r>
            <w:r>
              <w:rPr>
                <w:rFonts w:ascii="Times New Roman" w:cs="Times New Roman" w:eastAsia="Times New Roman" w:hAnsi="Times New Roman"/>
                <w:sz w:val="12"/>
                <w:szCs w:val="12"/>
                <w:u w:val="single" w:color="auto"/>
                <w:color w:val="0000EE"/>
                <w:w w:val="94"/>
              </w:rPr>
              <w:t>1</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60" w:type="dxa"/>
            <w:vAlign w:val="bottom"/>
            <w:gridSpan w:val="4"/>
          </w:tcPr>
          <w:p>
            <w:pPr>
              <w:spacing w:after="0"/>
              <w:rPr>
                <w:sz w:val="20"/>
                <w:szCs w:val="20"/>
                <w:color w:val="auto"/>
              </w:rPr>
            </w:pPr>
            <w:r>
              <w:rPr>
                <w:rFonts w:ascii="Times New Roman" w:cs="Times New Roman" w:eastAsia="Times New Roman" w:hAnsi="Times New Roman"/>
                <w:sz w:val="12"/>
                <w:szCs w:val="12"/>
                <w:color w:val="0000EE"/>
              </w:rPr>
              <w:t>Press release, dated January 8, 2024.</w:t>
            </w:r>
          </w:p>
        </w:tc>
      </w:tr>
      <w:tr>
        <w:trPr>
          <w:trHeight w:val="20"/>
        </w:trPr>
        <w:tc>
          <w:tcPr>
            <w:tcW w:w="480" w:type="dxa"/>
            <w:vAlign w:val="bottom"/>
            <w:tcBorders>
              <w:right w:val="single" w:sz="8" w:color="0000EE"/>
            </w:tcBorders>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r>
      <w:tr>
        <w:trPr>
          <w:trHeight w:val="124"/>
        </w:trPr>
        <w:tc>
          <w:tcPr>
            <w:tcW w:w="660" w:type="dxa"/>
            <w:vAlign w:val="bottom"/>
            <w:gridSpan w:val="3"/>
          </w:tcPr>
          <w:p>
            <w:pPr>
              <w:jc w:val="center"/>
              <w:ind w:left="400"/>
              <w:spacing w:after="0" w:line="124" w:lineRule="exact"/>
              <w:rPr>
                <w:sz w:val="20"/>
                <w:szCs w:val="20"/>
                <w:color w:val="auto"/>
              </w:rPr>
            </w:pPr>
            <w:r>
              <w:rPr>
                <w:rFonts w:ascii="Times New Roman" w:cs="Times New Roman" w:eastAsia="Times New Roman" w:hAnsi="Times New Roman"/>
                <w:sz w:val="12"/>
                <w:szCs w:val="12"/>
                <w:color w:val="0000EE"/>
                <w:w w:val="94"/>
              </w:rPr>
              <w:t>99.</w:t>
            </w:r>
            <w:r>
              <w:rPr>
                <w:rFonts w:ascii="Times New Roman" w:cs="Times New Roman" w:eastAsia="Times New Roman" w:hAnsi="Times New Roman"/>
                <w:sz w:val="12"/>
                <w:szCs w:val="12"/>
                <w:u w:val="single" w:color="auto"/>
                <w:color w:val="0000EE"/>
                <w:w w:val="94"/>
              </w:rPr>
              <w:t>2</w:t>
            </w: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60" w:type="dxa"/>
            <w:vAlign w:val="bottom"/>
            <w:gridSpan w:val="4"/>
          </w:tcPr>
          <w:p>
            <w:pPr>
              <w:spacing w:after="0" w:line="124" w:lineRule="exact"/>
              <w:rPr>
                <w:sz w:val="20"/>
                <w:szCs w:val="20"/>
                <w:color w:val="auto"/>
              </w:rPr>
            </w:pPr>
            <w:r>
              <w:rPr>
                <w:rFonts w:ascii="Times New Roman" w:cs="Times New Roman" w:eastAsia="Times New Roman" w:hAnsi="Times New Roman"/>
                <w:sz w:val="12"/>
                <w:szCs w:val="12"/>
                <w:color w:val="0000EE"/>
              </w:rPr>
              <w:t>Corporate Presentation, dated January 2024.</w:t>
            </w:r>
          </w:p>
        </w:tc>
      </w:tr>
      <w:tr>
        <w:trPr>
          <w:trHeight w:val="20"/>
        </w:trPr>
        <w:tc>
          <w:tcPr>
            <w:tcW w:w="4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r>
      <w:tr>
        <w:trPr>
          <w:trHeight w:val="151"/>
        </w:trPr>
        <w:tc>
          <w:tcPr>
            <w:tcW w:w="660" w:type="dxa"/>
            <w:vAlign w:val="bottom"/>
            <w:gridSpan w:val="3"/>
          </w:tcPr>
          <w:p>
            <w:pPr>
              <w:jc w:val="center"/>
              <w:ind w:left="380"/>
              <w:spacing w:after="0"/>
              <w:rPr>
                <w:sz w:val="20"/>
                <w:szCs w:val="20"/>
                <w:color w:val="auto"/>
              </w:rPr>
            </w:pPr>
            <w:r>
              <w:rPr>
                <w:rFonts w:ascii="Times New Roman" w:cs="Times New Roman" w:eastAsia="Times New Roman" w:hAnsi="Times New Roman"/>
                <w:sz w:val="12"/>
                <w:szCs w:val="12"/>
                <w:color w:val="auto"/>
                <w:w w:val="99"/>
              </w:rPr>
              <w:t>104</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450"/>
        </w:trPr>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as amended, the Registrant has duly caused this report to be signed on its behalf by the undersigned hereunto duly authorized.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380" w:type="dxa"/>
            <w:vAlign w:val="bottom"/>
          </w:tcPr>
          <w:p>
            <w:pPr>
              <w:spacing w:after="0"/>
              <w:rPr>
                <w:sz w:val="13"/>
                <w:szCs w:val="13"/>
                <w:color w:val="auto"/>
              </w:rPr>
            </w:pPr>
          </w:p>
        </w:tc>
        <w:tc>
          <w:tcPr>
            <w:tcW w:w="7920" w:type="dxa"/>
            <w:vAlign w:val="bottom"/>
            <w:gridSpan w:val="2"/>
          </w:tcPr>
          <w:p>
            <w:pPr>
              <w:ind w:left="2280"/>
              <w:spacing w:after="0"/>
              <w:rPr>
                <w:sz w:val="20"/>
                <w:szCs w:val="20"/>
                <w:color w:val="auto"/>
              </w:rPr>
            </w:pPr>
            <w:r>
              <w:rPr>
                <w:rFonts w:ascii="Times New Roman" w:cs="Times New Roman" w:eastAsia="Times New Roman" w:hAnsi="Times New Roman"/>
                <w:sz w:val="12"/>
                <w:szCs w:val="12"/>
                <w:b w:val="1"/>
                <w:bCs w:val="1"/>
                <w:color w:val="auto"/>
              </w:rPr>
              <w:t>Marker Therapeutics, Inc.</w:t>
            </w:r>
          </w:p>
        </w:tc>
      </w:tr>
      <w:tr>
        <w:trPr>
          <w:trHeight w:val="288"/>
        </w:trPr>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Dated: January 8, 2024</w:t>
            </w:r>
          </w:p>
        </w:tc>
        <w:tc>
          <w:tcPr>
            <w:tcW w:w="7920" w:type="dxa"/>
            <w:vAlign w:val="bottom"/>
            <w:gridSpan w:val="2"/>
          </w:tcPr>
          <w:p>
            <w:pPr>
              <w:ind w:left="2280"/>
              <w:spacing w:after="0"/>
              <w:rPr>
                <w:sz w:val="20"/>
                <w:szCs w:val="20"/>
                <w:color w:val="auto"/>
              </w:rPr>
            </w:pPr>
            <w:r>
              <w:rPr>
                <w:rFonts w:ascii="Times New Roman" w:cs="Times New Roman" w:eastAsia="Times New Roman" w:hAnsi="Times New Roman"/>
                <w:sz w:val="12"/>
                <w:szCs w:val="12"/>
                <w:color w:val="auto"/>
              </w:rPr>
              <w:t>By:   /s/ Juan Vera</w:t>
            </w:r>
          </w:p>
        </w:tc>
      </w:tr>
      <w:tr>
        <w:trPr>
          <w:trHeight w:val="120"/>
        </w:trPr>
        <w:tc>
          <w:tcPr>
            <w:tcW w:w="338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5320" w:type="dxa"/>
            <w:vAlign w:val="bottom"/>
            <w:tcBorders>
              <w:top w:val="single" w:sz="8" w:color="auto"/>
            </w:tcBorders>
          </w:tcPr>
          <w:p>
            <w:pPr>
              <w:spacing w:after="0" w:line="120" w:lineRule="exact"/>
              <w:rPr>
                <w:sz w:val="20"/>
                <w:szCs w:val="20"/>
                <w:color w:val="auto"/>
              </w:rPr>
            </w:pPr>
            <w:r>
              <w:rPr>
                <w:rFonts w:ascii="Times New Roman" w:cs="Times New Roman" w:eastAsia="Times New Roman" w:hAnsi="Times New Roman"/>
                <w:sz w:val="12"/>
                <w:szCs w:val="12"/>
                <w:color w:val="auto"/>
              </w:rPr>
              <w:t>Juan Vera</w:t>
            </w:r>
          </w:p>
        </w:tc>
      </w:tr>
      <w:tr>
        <w:trPr>
          <w:trHeight w:val="157"/>
        </w:trPr>
        <w:tc>
          <w:tcPr>
            <w:tcW w:w="338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President and Chief Executive Officer</w:t>
            </w:r>
          </w:p>
        </w:tc>
      </w:tr>
      <w:tr>
        <w:trPr>
          <w:trHeight w:val="450"/>
        </w:trPr>
        <w:tc>
          <w:tcPr>
            <w:tcW w:w="33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Marker Therapeutics Announces Clinical Program Updates and Pipeline Prioritization</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Strategic prioritization of clinical programs with focus on MT-601 in patients with lymphoma</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MultiTAA-specific T cell therapies demonstrate clinical safety and positive clinical data across multiple indications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Marker provides updates supporting the clinical benefits of MT-401 in patients with measurable residual disease (MRD)</w:t>
      </w:r>
    </w:p>
    <w:p>
      <w:pPr>
        <w:spacing w:after="0" w:line="14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Houston, TX – January 8, 2024 </w:t>
      </w:r>
      <w:r>
        <w:rPr>
          <w:rFonts w:ascii="Times New Roman" w:cs="Times New Roman" w:eastAsia="Times New Roman" w:hAnsi="Times New Roman"/>
          <w:sz w:val="12"/>
          <w:szCs w:val="12"/>
          <w:color w:val="auto"/>
        </w:rPr>
        <w:t>– Marker Therapeutics, Inc. (Nasdaq: MRKR), a clinical-stage immuno-oncology company focusing on developing next-generation T cell-based immunotherapies for the treatment of hematological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malignancies and solid tumors, today announced a restructuring of its clinical programs and a strategic prioritization of its multi-tumor associated antigen (multiTAA)-specific T cell product pipeline. In addition, the Company reported a clinical update on the Phase 2 ARTEMIS study investigating MT-401, a multiTAA-specific T cell product, for the treatment of patients with acute myeloid leukemia (AML).</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Following the non-dilutive transaction with Cell Ready (</w:t>
      </w:r>
      <w:r>
        <w:rPr>
          <w:rFonts w:ascii="Times New Roman" w:cs="Times New Roman" w:eastAsia="Times New Roman" w:hAnsi="Times New Roman"/>
          <w:sz w:val="12"/>
          <w:szCs w:val="12"/>
          <w:u w:val="single" w:color="auto"/>
          <w:color w:val="auto"/>
        </w:rPr>
        <w:t>Press Release, May 1, 2023</w:t>
      </w:r>
      <w:r>
        <w:rPr>
          <w:rFonts w:ascii="Times New Roman" w:cs="Times New Roman" w:eastAsia="Times New Roman" w:hAnsi="Times New Roman"/>
          <w:sz w:val="12"/>
          <w:szCs w:val="12"/>
          <w:color w:val="auto"/>
        </w:rPr>
        <w:t>), Marker has made significant progress on clinical and corporate restructuring with the objective of accelerating the commercial development of our unique multiTAA technology. The Company today announced the prioritization of MT-601 in chimeric antigen receptor (CAR) relapse patients with lymphoma (APOLLO; clinicaltrials.gov identifier: NCT05798897). This strategic decision was made based on 1) the Company’s promising non-clinical and clinical data using the multiTAA technology in lymphoma, and 2) the lack of an approved treatment for patients who experience relapse after treatment with CD19 CAR T (up to 60% within a year; Chong EA et al, N Engl J Med, 2021), which is a clear unmet medical need and provides an opportunity for accelerated product development.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Highlights from the Lymphoma Study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Clinical Efficacy in Patients with Lymphoma in Previous Clinical Trial</w:t>
      </w:r>
    </w:p>
    <w:p>
      <w:pPr>
        <w:spacing w:after="0" w:line="6"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multiTAA-specific T cell product targeting 5 TAAs was investigated in the TACTAL study, a Phase 1 trial conducted at Baylor College of Medicine.</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TACTAL study enrolled patients with Hodgkin’s and non-Hodgkin’s lymphoma and demonstrated clinical safety and efficacy with durable clinical responses for 6 years (Vasileiou et al, J Clin Oncol, 2021).</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Non-Clinical Proof-of-Concept Data</w:t>
      </w:r>
    </w:p>
    <w:p>
      <w:pPr>
        <w:spacing w:after="0" w:line="19" w:lineRule="exact"/>
        <w:rPr>
          <w:sz w:val="20"/>
          <w:szCs w:val="20"/>
          <w:color w:val="auto"/>
        </w:rPr>
      </w:pPr>
    </w:p>
    <w:p>
      <w:pPr>
        <w:ind w:left="420" w:right="20" w:hanging="212"/>
        <w:spacing w:after="0" w:line="250" w:lineRule="auto"/>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Marker developed a long-term </w:t>
      </w:r>
      <w:r>
        <w:rPr>
          <w:rFonts w:ascii="Times New Roman" w:cs="Times New Roman" w:eastAsia="Times New Roman" w:hAnsi="Times New Roman"/>
          <w:sz w:val="12"/>
          <w:szCs w:val="12"/>
          <w:i w:val="1"/>
          <w:iCs w:val="1"/>
          <w:color w:val="auto"/>
        </w:rPr>
        <w:t>in vitro</w:t>
      </w:r>
      <w:r>
        <w:rPr>
          <w:rFonts w:ascii="Times New Roman" w:cs="Times New Roman" w:eastAsia="Times New Roman" w:hAnsi="Times New Roman"/>
          <w:sz w:val="12"/>
          <w:szCs w:val="12"/>
          <w:color w:val="auto"/>
        </w:rPr>
        <w:t xml:space="preserve"> killing assay 1) to better understand resistance mechanisms following CAR T cell treatment and 2) to determine if a product that is capable of targeting 6 TAAs (MT-601) will be able to kill CAR-resistant lymphoma cells (</w:t>
      </w:r>
      <w:r>
        <w:rPr>
          <w:rFonts w:ascii="Times New Roman" w:cs="Times New Roman" w:eastAsia="Times New Roman" w:hAnsi="Times New Roman"/>
          <w:sz w:val="12"/>
          <w:szCs w:val="12"/>
          <w:u w:val="single" w:color="auto"/>
          <w:color w:val="auto"/>
        </w:rPr>
        <w:t>Press Release, May 31, 2023</w:t>
      </w:r>
      <w:r>
        <w:rPr>
          <w:rFonts w:ascii="Times New Roman" w:cs="Times New Roman" w:eastAsia="Times New Roman" w:hAnsi="Times New Roman"/>
          <w:sz w:val="12"/>
          <w:szCs w:val="12"/>
          <w:color w:val="auto"/>
        </w:rPr>
        <w:t>).</w:t>
      </w:r>
    </w:p>
    <w:p>
      <w:pPr>
        <w:ind w:left="420" w:right="20" w:hanging="212"/>
        <w:spacing w:after="0" w:line="260" w:lineRule="auto"/>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After CD19-targeting CAR T cell treatment, 98% of lymphoma cells were eliminated </w:t>
      </w:r>
      <w:r>
        <w:rPr>
          <w:rFonts w:ascii="Times New Roman" w:cs="Times New Roman" w:eastAsia="Times New Roman" w:hAnsi="Times New Roman"/>
          <w:sz w:val="12"/>
          <w:szCs w:val="12"/>
          <w:i w:val="1"/>
          <w:iCs w:val="1"/>
          <w:color w:val="auto"/>
        </w:rPr>
        <w:t>in vitro</w:t>
      </w:r>
      <w:r>
        <w:rPr>
          <w:rFonts w:ascii="Times New Roman" w:cs="Times New Roman" w:eastAsia="Times New Roman" w:hAnsi="Times New Roman"/>
          <w:sz w:val="12"/>
          <w:szCs w:val="12"/>
          <w:color w:val="auto"/>
        </w:rPr>
        <w:t>. Long-term follow-up (three weeks) demonstrated outgrowth of CD19-negative tumor cells. Additional anti-CD19 CAR T cell treatment failed to inhibit tumor growth due to the lack of target antigen (CD19) expression on the tumor.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290195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1" w:right="299" w:bottom="1440" w:gutter="0" w:footer="0" w:header="0"/>
        </w:sectPr>
      </w:pPr>
    </w:p>
    <w:bookmarkStart w:id="4" w:name="page5"/>
    <w:bookmarkEnd w:id="4"/>
    <w:p>
      <w:pPr>
        <w:spacing w:after="0" w:line="48" w:lineRule="exact"/>
        <w:rPr>
          <w:sz w:val="20"/>
          <w:szCs w:val="20"/>
          <w:color w:val="auto"/>
        </w:rPr>
      </w:pPr>
    </w:p>
    <w:p>
      <w:pPr>
        <w:ind w:left="420" w:right="20" w:hanging="212"/>
        <w:spacing w:after="0" w:line="279" w:lineRule="auto"/>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Treating CAR-resistant lymphoma cells with MT-601 resulted in complete long-term growth inhibition (over three weeks) highlighting that MT-601 has the potential to effectively treat CD19 CAR-resistant tumors (</w:t>
      </w:r>
      <w:r>
        <w:rPr>
          <w:rFonts w:ascii="Times New Roman" w:cs="Times New Roman" w:eastAsia="Times New Roman" w:hAnsi="Times New Roman"/>
          <w:sz w:val="12"/>
          <w:szCs w:val="12"/>
          <w:u w:val="single" w:color="auto"/>
          <w:color w:val="auto"/>
        </w:rPr>
        <w:t>Pre-Clinical Data in Lymphoma, May 31, 2023</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Durable Response in CAR Relapsed Patient with Lymphoma</w:t>
      </w:r>
    </w:p>
    <w:p>
      <w:pPr>
        <w:spacing w:after="0" w:line="19" w:lineRule="exact"/>
        <w:rPr>
          <w:sz w:val="20"/>
          <w:szCs w:val="20"/>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Company-sponsored Phase 1 APOLLO study investigates the safety and efficacy of MT-601 in patients with lymphoma who have failed or are ineligible to receive anti-CD19 CAR T cell therapy.</w:t>
      </w:r>
    </w:p>
    <w:p>
      <w:pPr>
        <w:spacing w:after="0" w:line="6" w:lineRule="exact"/>
        <w:rPr>
          <w:rFonts w:ascii="Times New Roman" w:cs="Times New Roman" w:eastAsia="Times New Roman" w:hAnsi="Times New Roman"/>
          <w:sz w:val="12"/>
          <w:szCs w:val="12"/>
          <w:color w:val="auto"/>
        </w:rPr>
      </w:pPr>
    </w:p>
    <w:p>
      <w:pPr>
        <w:ind w:left="420" w:right="20" w:hanging="212"/>
        <w:spacing w:after="0" w:line="250"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first study participant, a 57-year-old female with diffuse large B cell lymphoma (DLBCL), was enrolled in the Phase 1 dose escalation stage of the trial after failing 4 prior lines of therapy, including anti-CD19 CAR T cell therapy (</w:t>
      </w:r>
      <w:r>
        <w:rPr>
          <w:rFonts w:ascii="Times New Roman" w:cs="Times New Roman" w:eastAsia="Times New Roman" w:hAnsi="Times New Roman"/>
          <w:sz w:val="12"/>
          <w:szCs w:val="12"/>
          <w:u w:val="single" w:color="auto"/>
          <w:color w:val="auto"/>
        </w:rPr>
        <w:t>Press Release, June 12, 2023</w:t>
      </w:r>
      <w:r>
        <w:rPr>
          <w:rFonts w:ascii="Times New Roman" w:cs="Times New Roman" w:eastAsia="Times New Roman" w:hAnsi="Times New Roman"/>
          <w:sz w:val="12"/>
          <w:szCs w:val="12"/>
          <w:color w:val="auto"/>
        </w:rPr>
        <w:t>). The participant relapsed within 90 days of CAR T cell therapy, and was treated with MT-601 without prior lymphodepletion.</w:t>
      </w: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patient tolerated MT-601 well without treatment-related adverse events and achieved a complete response eight weeks after the second infusion of MT-601 (</w:t>
      </w:r>
      <w:r>
        <w:rPr>
          <w:rFonts w:ascii="Times New Roman" w:cs="Times New Roman" w:eastAsia="Times New Roman" w:hAnsi="Times New Roman"/>
          <w:sz w:val="12"/>
          <w:szCs w:val="12"/>
          <w:u w:val="single" w:color="auto"/>
          <w:color w:val="auto"/>
        </w:rPr>
        <w:t>Press Release, Sep 11, 2023</w:t>
      </w:r>
      <w:r>
        <w:rPr>
          <w:rFonts w:ascii="Times New Roman" w:cs="Times New Roman" w:eastAsia="Times New Roman" w:hAnsi="Times New Roman"/>
          <w:sz w:val="12"/>
          <w:szCs w:val="12"/>
          <w:color w:val="auto"/>
        </w:rPr>
        <w:t>).</w:t>
      </w:r>
    </w:p>
    <w:p>
      <w:pPr>
        <w:spacing w:after="0" w:line="6" w:lineRule="exact"/>
        <w:rPr>
          <w:rFonts w:ascii="Times New Roman" w:cs="Times New Roman" w:eastAsia="Times New Roman" w:hAnsi="Times New Roman"/>
          <w:sz w:val="12"/>
          <w:szCs w:val="12"/>
          <w:color w:val="auto"/>
        </w:rPr>
      </w:pPr>
    </w:p>
    <w:p>
      <w:pPr>
        <w:ind w:left="420" w:right="20" w:hanging="212"/>
        <w:spacing w:after="0" w:line="260"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Six months following treatment with MT-601 the study participant has maintained a complete response to treatment suggesting that MT-601 is more durable compared to CAR T cells in this study participant (</w:t>
      </w:r>
      <w:r>
        <w:rPr>
          <w:rFonts w:ascii="Times New Roman" w:cs="Times New Roman" w:eastAsia="Times New Roman" w:hAnsi="Times New Roman"/>
          <w:sz w:val="12"/>
          <w:szCs w:val="12"/>
          <w:u w:val="single" w:color="auto"/>
          <w:color w:val="auto"/>
        </w:rPr>
        <w:t>Press Release,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Dec 11, 2023</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CD19-targeting CAR T cell therapies are associated with severe side effects and toxicities, and up to 60% of patients with DLBCL relapse within a year (Chong EA et al, N Engl J Med, 2021). Additionally, the FDA is investigating CAR T therapies for the potential risk of inducing secondary cancers (</w:t>
      </w:r>
      <w:r>
        <w:rPr>
          <w:rFonts w:ascii="Times New Roman" w:cs="Times New Roman" w:eastAsia="Times New Roman" w:hAnsi="Times New Roman"/>
          <w:sz w:val="12"/>
          <w:szCs w:val="12"/>
          <w:u w:val="single" w:color="auto"/>
          <w:color w:val="auto"/>
        </w:rPr>
        <w:t>U.S. Food and Drug Administration, Nov 28, 2023</w:t>
      </w:r>
      <w:r>
        <w:rPr>
          <w:rFonts w:ascii="Times New Roman" w:cs="Times New Roman" w:eastAsia="Times New Roman" w:hAnsi="Times New Roman"/>
          <w:sz w:val="12"/>
          <w:szCs w:val="12"/>
          <w:color w:val="auto"/>
        </w:rPr>
        <w:t>). To date, multiTAA-specific T cell therapies have been well-tolerated in over 200 patients in clinical trials, and Marker believes that, unlike CAR T cells, multiTAA-specific T cells could represent a safer therapeutic option due to their non-genetically engineered approach that selectively expands tumor-specific T cells from a patient’s/donor’s blood without the risk of mutagenesis.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Promising Clinical Observations and New Directions with MT-401 in Patients with MRD in AML</w:t>
      </w:r>
    </w:p>
    <w:p>
      <w:pPr>
        <w:spacing w:after="0" w:line="2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2"/>
          <w:szCs w:val="12"/>
          <w:color w:val="auto"/>
        </w:rPr>
        <w:t>Today, Marker is providing a clinical update on the Phase 2 ARTEMIS clinical study (clinicaltrials.gov identifier: NCT04511130), and the direction it will pursue. This multicenter study is evaluating the safety and efficacy of MT-401 in patients with AML after allogeneic hematopoietic stem cell transplantation (HSCT).</w:t>
      </w:r>
    </w:p>
    <w:p>
      <w:pPr>
        <w:spacing w:after="0" w:line="12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 total of 8 patients with MRD+ AML after HSCT were enrolled and treated with MT-401. None of the 8 treated patients experienced a drug related adverse event. Of the 8 treated patients, 4 experienced a clinical benefit, with 3 showing a conversion to MRD-negative, and one patient showing a partial response with a logarithmic reduction of MRD levels by PCR. One patient has not yet had the first assessment post treatment. Of the 8 treated patients in the study, only 1 patient had documented disease progression and was taken to a second transplant. The other 3 patients were taken off the study for reasons unrelated to the clinical outcome.</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Obtaining timely consent and re-accessing HSCT donors for apheresis for the manufacture of MT-401 caused delayed patient accrual and patient eligibility issues. Consequently, the rapid progression of disease contributed to some patients to withdraw from the study prior to administration of study product. Therefore, to streamline resources and to reduce time to treatment, Marker intends to focus on a ready for use product from commercially available leukapheresis material and will discontinue the patient-specific part (ARTEMIS) of the AML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5" w:name="page6"/>
    <w:bookmarkEnd w:id="5"/>
    <w:p>
      <w:pPr>
        <w:spacing w:after="0" w:line="1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“We are encouraged by the clinical observations in patients with MRD in our AML study,” said Juan Vera, M.D., President and CEO of Marker Therapeutics. “The data demonstrate the safety of MT-401 and provide evidence that MT-401 could benefit patients with MRD+ AML.”</w:t>
      </w:r>
    </w:p>
    <w:p>
      <w:pPr>
        <w:spacing w:after="0" w:line="1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Dr. Vera continued: “Decreasing the time to treatment is critical when it comes to the treatment of patients that suffer from rapidly progressing cancers, such as patients with MRD in AML, which typically advances rapidly into frank relapse with poor outcomes. We believe using commercial leukapheresis material from healthy donors can bypass the bottleneck associated with donor identification and facilitate large-scale manufacturing. This approach is expected to not only reduce manufacturing costs, but also expedite time to treatment to as little as 72 hours. We are currently working to initiate the clinical study and anticipate that the first patient with AML will be treated with MT-401 manufactured from healthy donors in the second half of 2024.”</w:t>
      </w:r>
    </w:p>
    <w:p>
      <w:pPr>
        <w:spacing w:after="0" w:line="12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 Company previously announced that the FDA has cleared the clinical protocol to investigate a ready for use MT-401 product manufactured from healthy donors in patients with AML, and a cellular inventory has been established with continuous efforts to expand this inventory (</w:t>
      </w:r>
      <w:r>
        <w:rPr>
          <w:rFonts w:ascii="Times New Roman" w:cs="Times New Roman" w:eastAsia="Times New Roman" w:hAnsi="Times New Roman"/>
          <w:sz w:val="12"/>
          <w:szCs w:val="12"/>
          <w:u w:val="single" w:color="auto"/>
          <w:color w:val="auto"/>
        </w:rPr>
        <w:t>Press Release, Aug 7, 2023</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Marker has secured non-dilutive funding to support the clinical investigation of a ready for use MT-401 product in patients with AML. Using these allocated funds will allow the Company to proceed with the ready for use program without affecting the ongoing Phase 1 APOLLO study and the capital runway of the Company into the fourth quarter of 2025.</w:t>
      </w:r>
    </w:p>
    <w:p>
      <w:pPr>
        <w:spacing w:after="0" w:line="111"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In addition, the Company has an Investigational New Drug (IND) application cleared by the U.S. FDA for a Phase 1 trial to investigate MT-601 in patients with pancreatic cancer in combination with first-line chemotherapy. The clinical advancement of this multicenter study will be pending additional funding from non-dilutive sources, including grant activities.</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strategic restructure of our multiTAA pipeline reflects our ongoing commitment to innovate and deliver groundbreaking treatments,” said Dr. Vera. “The decision to shift our focus on MT-601 in patients with lymphoma is based on our promising non-clinical and clinical observations. Lymphoma is a highly competitive landscape with numerous companies striving to compete with CAR T cell therapies. However, our approach differs by targeting multiple antigens and focusing on a unique niche: patients who have experienced CAR T cell relapse or are ineligible for CAR T therapy.”</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Dr. Vera continued: “We believe that MT-601 could address the unmet medical need in this patient population. Developing a product in this patient population is commercially attractive due to the well understood natural history, the unmet medical need, and the lower number of competing trials. Assuming we continue to see promising results in our APOLLO study, this would allow us to accelerate the development of MT-601 in CAR relapse patients with lymphoma.”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6" w:name="page7"/>
    <w:bookmarkEnd w:id="6"/>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multiTAA-specific T cells</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The multi-tumor associated antigen (multiTAA)-specific T cell platform is a novel, non-genetically modified cell therapy approach that selectively expands tumor-specific T cells from a patient's/donor’s blood capable of recognizing a broad range of tumor antigens. Clinical trials that enrolled more than 200 patients with various hematological malignancies and solid tumors showed that autologous and allogeneic multiTAA-specific T cell products were well tolerated and demonstrated durable clinical responses, and consistent epitope spreading. The latter is typically not observed with other T cell therapies and enables the potential contribution to a lasting anti-tumor effect.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Marker Therapeutics, Inc.</w:t>
      </w:r>
    </w:p>
    <w:p>
      <w:pPr>
        <w:spacing w:after="0" w:line="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Marker Therapeutics, Inc. is a clinical-stage immuno-oncology company specializing in the development of next-generation T cell-based immunotherapies for the treatment of hematological malignancies and solid tumor indications. The T cell therapy technology developed by Marker is based on the selective expansion of non-engineered, tumor-specific T cells that recognize tumor associated antigens (i.e., tumor targets) and kill tumor cells expressing those targets. This population of T cells is designed to attack multiple tumor targets following infusion into patients and to activate the patient’s immune system to produce broad spectrum anti-tumor activity. Because Marker does not genetically engineer the T cells, Marker believes that its product candidates will be easier and less expensive to manufacture, with reduced toxicities, compared to current engineered CAR-T and TCR-based approaches, and may provide patients with meaningful clinical benefit. As a result, Marker believes its portfolio of T cell therapies has a compelling product profile, as compared to current gene-modified CAR-T and TCR-based therapies.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To receive future press releases via email, please visit: </w:t>
      </w:r>
      <w:r>
        <w:rPr>
          <w:rFonts w:ascii="Times New Roman" w:cs="Times New Roman" w:eastAsia="Times New Roman" w:hAnsi="Times New Roman"/>
          <w:sz w:val="12"/>
          <w:szCs w:val="12"/>
          <w:u w:val="single" w:color="auto"/>
          <w:color w:val="auto"/>
        </w:rPr>
        <w:t>https://www.markertherapeutics.com/email-alerts</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7" w:name="page8"/>
    <w:bookmarkEnd w:id="7"/>
    <w:p>
      <w:pPr>
        <w:spacing w:after="0" w:line="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21" w:lineRule="exact"/>
        <w:rPr>
          <w:sz w:val="20"/>
          <w:szCs w:val="20"/>
          <w:color w:val="auto"/>
        </w:rPr>
      </w:pPr>
    </w:p>
    <w:p>
      <w:pPr>
        <w:jc w:val="both"/>
        <w:ind w:left="8"/>
        <w:spacing w:after="0" w:line="251" w:lineRule="auto"/>
        <w:rPr>
          <w:sz w:val="20"/>
          <w:szCs w:val="20"/>
          <w:color w:val="auto"/>
        </w:rPr>
      </w:pPr>
      <w:r>
        <w:rPr>
          <w:rFonts w:ascii="Times New Roman" w:cs="Times New Roman" w:eastAsia="Times New Roman" w:hAnsi="Times New Roman"/>
          <w:sz w:val="12"/>
          <w:szCs w:val="12"/>
          <w:color w:val="auto"/>
        </w:rPr>
        <w:t>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multi-tumor antigen specific T cell therapies; the effectiveness of these programs or the possible range of application and potential curative effects and safety in the treatment of diseases; the timing, conduct and success of our clinical trials of our product candidates, including MT-401 for the treatment of patients with AML and MT-601 for the treatment of patients with lymphoma.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WWW.SEC.GOV. The Company assumes no obligation to update its forward-looking statements whether as a result of new information, future events or otherwise, after the date of this press release except as may be required by law.</w:t>
      </w:r>
    </w:p>
    <w:p>
      <w:pPr>
        <w:spacing w:after="0" w:line="1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Contacts</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u w:val="single" w:color="auto"/>
          <w:color w:val="auto"/>
        </w:rPr>
        <w:t>TIBEREND STRATEGIC ADVISORS, INC</w:t>
      </w:r>
      <w:r>
        <w:rPr>
          <w:rFonts w:ascii="Times New Roman" w:cs="Times New Roman" w:eastAsia="Times New Roman" w:hAnsi="Times New Roman"/>
          <w:sz w:val="12"/>
          <w:szCs w:val="12"/>
          <w:color w:val="auto"/>
        </w:rPr>
        <w:t>.</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Investors</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Daniel Kontoh-Boateng</w:t>
      </w:r>
    </w:p>
    <w:p>
      <w:pPr>
        <w:spacing w:after="0" w:line="6" w:lineRule="exact"/>
        <w:rPr>
          <w:sz w:val="20"/>
          <w:szCs w:val="20"/>
          <w:color w:val="auto"/>
        </w:rPr>
      </w:pPr>
    </w:p>
    <w:p>
      <w:pPr>
        <w:ind w:left="8" w:right="10120" w:hanging="8"/>
        <w:spacing w:after="0" w:line="306" w:lineRule="auto"/>
        <w:tabs>
          <w:tab w:leader="none" w:pos="298"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213-1398 </w:t>
      </w:r>
      <w:r>
        <w:rPr>
          <w:rFonts w:ascii="Times New Roman" w:cs="Times New Roman" w:eastAsia="Times New Roman" w:hAnsi="Times New Roman"/>
          <w:sz w:val="11"/>
          <w:szCs w:val="11"/>
          <w:u w:val="single" w:color="auto"/>
          <w:color w:val="auto"/>
        </w:rPr>
        <w:t>dboateng@tiberend.com</w:t>
      </w:r>
    </w:p>
    <w:p>
      <w:pPr>
        <w:spacing w:after="0" w:line="9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Media</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Casey McDonald</w:t>
      </w:r>
    </w:p>
    <w:p>
      <w:pPr>
        <w:spacing w:after="0" w:line="6" w:lineRule="exact"/>
        <w:rPr>
          <w:sz w:val="20"/>
          <w:szCs w:val="20"/>
          <w:color w:val="auto"/>
        </w:rPr>
      </w:pPr>
    </w:p>
    <w:p>
      <w:pPr>
        <w:ind w:left="8" w:right="10040" w:hanging="8"/>
        <w:spacing w:after="0" w:line="306" w:lineRule="auto"/>
        <w:tabs>
          <w:tab w:leader="none" w:pos="298"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577-8520 </w:t>
      </w:r>
      <w:r>
        <w:rPr>
          <w:rFonts w:ascii="Times New Roman" w:cs="Times New Roman" w:eastAsia="Times New Roman" w:hAnsi="Times New Roman"/>
          <w:sz w:val="11"/>
          <w:szCs w:val="11"/>
          <w:u w:val="single" w:color="auto"/>
          <w:color w:val="auto"/>
        </w:rPr>
        <w:t>cmcdonald@tiberend.com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274955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1440" w:right="299" w:bottom="1440" w:gutter="0" w:footer="0" w:header="0"/>
        </w:sectPr>
      </w:pPr>
    </w:p>
    <w:bookmarkStart w:id="8" w:name="page9"/>
    <w:bookmarkEnd w:id="8"/>
    <w:p>
      <w:pPr>
        <w:ind w:left="9540"/>
        <w:spacing w:after="0"/>
        <w:rPr>
          <w:sz w:val="20"/>
          <w:szCs w:val="20"/>
          <w:color w:val="auto"/>
        </w:rPr>
      </w:pPr>
      <w:r>
        <w:rPr>
          <w:rFonts w:ascii="Times New Roman" w:cs="Times New Roman" w:eastAsia="Times New Roman" w:hAnsi="Times New Roman"/>
          <w:sz w:val="11"/>
          <w:szCs w:val="1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111760</wp:posOffset>
            </wp:positionV>
            <wp:extent cx="7172960" cy="45262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0" w:num="1">
            <w:col w:w="10160"/>
          </w:cols>
          <w:pgMar w:left="1440" w:top="269" w:right="29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862"/>
    </w:lvl>
  </w:abstractNum>
  <w:abstractNum w:abstractNumId="6">
    <w:nsid w:val="41B71EFB"/>
    <w:multiLevelType w:val="hybridMultilevel"/>
    <w:lvl w:ilvl="0">
      <w:lvlJc w:val="left"/>
      <w:lvlText w:val="(%1)"/>
      <w:numFmt w:val="decimal"/>
      <w:start w:val="64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2024-01-08T07:42:54Z</dcterms:created>
  <dcterms:modified xsi:type="dcterms:W3CDTF">2024-01-08T07:42:54Z</dcterms:modified>
</cp:coreProperties>
</file>