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8-k.htm"/>
      <w:bookmarkStart w:id="1" w:name="ksform8k"/>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r>
    </w:p>
    <w:p>
      <w:pPr>
        <w:pStyle w:val="TextBody"/>
        <w:spacing w:before="0" w:after="0"/>
        <w:ind w:left="0" w:right="0" w:hanging="0"/>
        <w:jc w:val="right"/>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u w:val="single"/>
        </w:rPr>
      </w:pPr>
      <w:r>
        <w:rPr>
          <w:rFonts w:ascii="Times New Roman" w:hAnsi="Times New Roman"/>
          <w:b/>
          <w:sz w:val="36"/>
          <w:u w:val="single"/>
        </w:rPr>
        <w:t>FORM 8-K</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May 24, 2010 (May 24, 2010)</w:t>
      </w:r>
    </w:p>
    <w:p>
      <w:pPr>
        <w:pStyle w:val="TextBody"/>
        <w:spacing w:before="0" w:after="0"/>
        <w:ind w:left="0" w:right="0" w:hanging="0"/>
        <w:jc w:val="center"/>
        <w:rPr>
          <w:rFonts w:ascii="Times New Roman" w:hAnsi="Times New Roman"/>
          <w:sz w:val="20"/>
        </w:rPr>
      </w:pPr>
      <w:r>
        <w:rPr>
          <w:rFonts w:ascii="Times New Roman" w:hAnsi="Times New Roman"/>
          <w:sz w:val="20"/>
        </w:rPr>
        <w:t>Date of Report (Date of earliest event reported)</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u w:val="single"/>
        </w:rPr>
      </w:pPr>
      <w:r>
        <w:rPr>
          <w:rFonts w:ascii="Times New Roman" w:hAnsi="Times New Roman"/>
          <w:b/>
          <w:sz w:val="36"/>
          <w:u w:val="single"/>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2041"/>
        <w:gridCol w:w="2041"/>
        <w:gridCol w:w="2041"/>
        <w:gridCol w:w="2041"/>
        <w:gridCol w:w="2041"/>
      </w:tblGrid>
      <w:tr>
        <w:trPr/>
        <w:tc>
          <w:tcPr>
            <w:tcW w:w="2041"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Nevada</w:t>
            </w:r>
          </w:p>
        </w:tc>
        <w:tc>
          <w:tcPr>
            <w:tcW w:w="2041" w:type="dxa"/>
            <w:tcBorders/>
            <w:shd w:fill="auto" w:val="clear"/>
            <w:tcMar>
              <w:bottom w:w="0" w:type="dxa"/>
            </w:tcMar>
            <w:vAlign w:val="center"/>
          </w:tcPr>
          <w:p>
            <w:pPr>
              <w:pStyle w:val="TableContents"/>
              <w:spacing w:before="0" w:after="283"/>
              <w:jc w:val="center"/>
              <w:rPr/>
            </w:pPr>
            <w:r>
              <w:rPr/>
              <w:t xml:space="preserve">  </w:t>
            </w:r>
          </w:p>
        </w:tc>
        <w:tc>
          <w:tcPr>
            <w:tcW w:w="2041"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000-27239</w:t>
            </w:r>
          </w:p>
        </w:tc>
        <w:tc>
          <w:tcPr>
            <w:tcW w:w="2041" w:type="dxa"/>
            <w:tcBorders/>
            <w:shd w:fill="auto" w:val="clear"/>
            <w:tcMar>
              <w:bottom w:w="0" w:type="dxa"/>
            </w:tcMar>
            <w:vAlign w:val="center"/>
          </w:tcPr>
          <w:p>
            <w:pPr>
              <w:pStyle w:val="TableContents"/>
              <w:spacing w:before="0" w:after="283"/>
              <w:jc w:val="center"/>
              <w:rPr/>
            </w:pPr>
            <w:r>
              <w:rPr/>
              <w:t xml:space="preserve">  </w:t>
            </w:r>
          </w:p>
        </w:tc>
        <w:tc>
          <w:tcPr>
            <w:tcW w:w="2041"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88-0277072</w:t>
            </w:r>
          </w:p>
        </w:tc>
      </w:tr>
      <w:tr>
        <w:trPr/>
        <w:tc>
          <w:tcPr>
            <w:tcW w:w="204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2041" w:type="dxa"/>
            <w:tcBorders/>
            <w:shd w:fill="auto" w:val="clear"/>
            <w:tcMar>
              <w:bottom w:w="0" w:type="dxa"/>
            </w:tcMar>
            <w:vAlign w:val="center"/>
          </w:tcPr>
          <w:p>
            <w:pPr>
              <w:pStyle w:val="TableContents"/>
              <w:spacing w:before="0" w:after="283"/>
              <w:jc w:val="center"/>
              <w:rPr/>
            </w:pPr>
            <w:r>
              <w:rPr/>
              <w:t xml:space="preserve">  </w:t>
            </w:r>
          </w:p>
        </w:tc>
        <w:tc>
          <w:tcPr>
            <w:tcW w:w="204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2041" w:type="dxa"/>
            <w:tcBorders/>
            <w:shd w:fill="auto" w:val="clear"/>
            <w:tcMar>
              <w:bottom w:w="0" w:type="dxa"/>
            </w:tcMar>
            <w:vAlign w:val="center"/>
          </w:tcPr>
          <w:p>
            <w:pPr>
              <w:pStyle w:val="TableContents"/>
              <w:spacing w:before="0" w:after="283"/>
              <w:jc w:val="center"/>
              <w:rPr/>
            </w:pPr>
            <w:r>
              <w:rPr/>
              <w:t xml:space="preserve">  </w:t>
            </w:r>
          </w:p>
        </w:tc>
        <w:tc>
          <w:tcPr>
            <w:tcW w:w="204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jc w:val="center"/>
        <w:rPr/>
      </w:pPr>
      <w:r>
        <w:rPr/>
      </w:r>
    </w:p>
    <w:tbl>
      <w:tblPr>
        <w:tblW w:w="5000" w:type="pct"/>
        <w:jc w:val="center"/>
        <w:tblInd w:w="0" w:type="dxa"/>
        <w:tblCellMar>
          <w:top w:w="0" w:type="dxa"/>
          <w:left w:w="0" w:type="dxa"/>
          <w:bottom w:w="0" w:type="dxa"/>
          <w:right w:w="0" w:type="dxa"/>
        </w:tblCellMar>
      </w:tblPr>
      <w:tblGrid>
        <w:gridCol w:w="2041"/>
        <w:gridCol w:w="2041"/>
        <w:gridCol w:w="2041"/>
        <w:gridCol w:w="2041"/>
        <w:gridCol w:w="2041"/>
      </w:tblGrid>
      <w:tr>
        <w:trPr/>
        <w:tc>
          <w:tcPr>
            <w:tcW w:w="2041" w:type="dxa"/>
            <w:tcBorders/>
            <w:shd w:fill="auto" w:val="clear"/>
            <w:vAlign w:val="center"/>
          </w:tcPr>
          <w:p>
            <w:pPr>
              <w:pStyle w:val="TableContents"/>
              <w:spacing w:before="0" w:after="283"/>
              <w:jc w:val="center"/>
              <w:rPr/>
            </w:pPr>
            <w:r>
              <w:rPr/>
              <w:t xml:space="preserve">  </w:t>
            </w:r>
          </w:p>
        </w:tc>
        <w:tc>
          <w:tcPr>
            <w:tcW w:w="2041" w:type="dxa"/>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800 Bellevue Way NE, Suite 400</w:t>
            </w:r>
          </w:p>
          <w:p>
            <w:pPr>
              <w:pStyle w:val="TableContents"/>
              <w:spacing w:before="0" w:after="0"/>
              <w:ind w:left="0" w:right="0" w:hanging="0"/>
              <w:jc w:val="center"/>
              <w:rPr>
                <w:rFonts w:ascii="times new roman" w:hAnsi="times new roman"/>
                <w:sz w:val="20"/>
              </w:rPr>
            </w:pPr>
            <w:r>
              <w:rPr>
                <w:rFonts w:ascii="times new roman" w:hAnsi="times new roman"/>
                <w:sz w:val="20"/>
              </w:rPr>
              <w:t>Bellevue, WA 98004</w:t>
            </w:r>
          </w:p>
        </w:tc>
        <w:tc>
          <w:tcPr>
            <w:tcW w:w="2041" w:type="dxa"/>
            <w:tcBorders/>
            <w:shd w:fill="auto" w:val="clear"/>
            <w:vAlign w:val="center"/>
          </w:tcPr>
          <w:p>
            <w:pPr>
              <w:pStyle w:val="TableContents"/>
              <w:spacing w:before="0" w:after="283"/>
              <w:jc w:val="center"/>
              <w:rPr/>
            </w:pPr>
            <w:r>
              <w:rPr/>
              <w:t xml:space="preserve">  </w:t>
            </w:r>
          </w:p>
        </w:tc>
        <w:tc>
          <w:tcPr>
            <w:tcW w:w="2041" w:type="dxa"/>
            <w:tcBorders>
              <w:bottom w:val="single" w:sz="12" w:space="0" w:color="000000"/>
            </w:tcBorders>
            <w:shd w:fill="auto" w:val="clear"/>
            <w:tcMar>
              <w:bottom w:w="28"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V6N 3E6</w:t>
            </w:r>
          </w:p>
        </w:tc>
        <w:tc>
          <w:tcPr>
            <w:tcW w:w="2041" w:type="dxa"/>
            <w:tcBorders/>
            <w:shd w:fill="auto" w:val="clear"/>
            <w:vAlign w:val="center"/>
          </w:tcPr>
          <w:p>
            <w:pPr>
              <w:pStyle w:val="TableContents"/>
              <w:spacing w:before="0" w:after="283"/>
              <w:jc w:val="center"/>
              <w:rPr/>
            </w:pPr>
            <w:r>
              <w:rPr/>
              <w:t xml:space="preserve">  </w:t>
            </w:r>
          </w:p>
        </w:tc>
      </w:tr>
      <w:tr>
        <w:trPr/>
        <w:tc>
          <w:tcPr>
            <w:tcW w:w="2041" w:type="dxa"/>
            <w:tcBorders/>
            <w:shd w:fill="auto" w:val="clear"/>
            <w:vAlign w:val="center"/>
          </w:tcPr>
          <w:p>
            <w:pPr>
              <w:pStyle w:val="TableContents"/>
              <w:spacing w:before="0" w:after="283"/>
              <w:jc w:val="center"/>
              <w:rPr/>
            </w:pPr>
            <w:r>
              <w:rPr/>
              <w:t xml:space="preserve">  </w:t>
            </w:r>
          </w:p>
        </w:tc>
        <w:tc>
          <w:tcPr>
            <w:tcW w:w="204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2041" w:type="dxa"/>
            <w:tcBorders/>
            <w:shd w:fill="auto" w:val="clear"/>
            <w:vAlign w:val="center"/>
          </w:tcPr>
          <w:p>
            <w:pPr>
              <w:pStyle w:val="TableContents"/>
              <w:spacing w:before="0" w:after="283"/>
              <w:jc w:val="center"/>
              <w:rPr/>
            </w:pPr>
            <w:r>
              <w:rPr/>
              <w:t xml:space="preserve">  </w:t>
            </w:r>
          </w:p>
        </w:tc>
        <w:tc>
          <w:tcPr>
            <w:tcW w:w="204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c>
          <w:tcPr>
            <w:tcW w:w="2041" w:type="dxa"/>
            <w:tcBorders/>
            <w:shd w:fill="auto" w:val="clear"/>
            <w:vAlign w:val="center"/>
          </w:tcPr>
          <w:p>
            <w:pPr>
              <w:pStyle w:val="TableContents"/>
              <w:spacing w:before="0" w:after="283"/>
              <w:jc w:val="center"/>
              <w:rPr/>
            </w:pPr>
            <w:r>
              <w:rPr/>
              <w:t xml:space="preserve">  </w:t>
            </w:r>
          </w:p>
        </w:tc>
      </w:tr>
      <w:tr>
        <w:trPr/>
        <w:tc>
          <w:tcPr>
            <w:tcW w:w="2041" w:type="dxa"/>
            <w:tcBorders/>
            <w:shd w:fill="auto" w:val="clear"/>
            <w:vAlign w:val="center"/>
          </w:tcPr>
          <w:p>
            <w:pPr>
              <w:pStyle w:val="TableContents"/>
              <w:spacing w:before="0" w:after="283"/>
              <w:jc w:val="center"/>
              <w:rPr/>
            </w:pPr>
            <w:r>
              <w:rPr/>
              <w:t> </w:t>
            </w:r>
          </w:p>
        </w:tc>
        <w:tc>
          <w:tcPr>
            <w:tcW w:w="2041" w:type="dxa"/>
            <w:tcBorders/>
            <w:shd w:fill="auto" w:val="clear"/>
            <w:vAlign w:val="center"/>
          </w:tcPr>
          <w:p>
            <w:pPr>
              <w:pStyle w:val="TableContents"/>
              <w:spacing w:before="0" w:after="283"/>
              <w:jc w:val="center"/>
              <w:rPr/>
            </w:pPr>
            <w:r>
              <w:rPr/>
              <w:t> </w:t>
            </w:r>
          </w:p>
        </w:tc>
        <w:tc>
          <w:tcPr>
            <w:tcW w:w="2041" w:type="dxa"/>
            <w:tcBorders/>
            <w:shd w:fill="auto" w:val="clear"/>
            <w:vAlign w:val="center"/>
          </w:tcPr>
          <w:p>
            <w:pPr>
              <w:pStyle w:val="TableContents"/>
              <w:spacing w:before="0" w:after="283"/>
              <w:jc w:val="center"/>
              <w:rPr/>
            </w:pPr>
            <w:r>
              <w:rPr/>
              <w:t> </w:t>
            </w:r>
          </w:p>
        </w:tc>
        <w:tc>
          <w:tcPr>
            <w:tcW w:w="2041" w:type="dxa"/>
            <w:tcBorders/>
            <w:shd w:fill="auto" w:val="clear"/>
            <w:vAlign w:val="center"/>
          </w:tcPr>
          <w:p>
            <w:pPr>
              <w:pStyle w:val="TableContents"/>
              <w:spacing w:before="0" w:after="283"/>
              <w:jc w:val="center"/>
              <w:rPr/>
            </w:pPr>
            <w:r>
              <w:rPr/>
              <w:t> </w:t>
            </w:r>
          </w:p>
        </w:tc>
        <w:tc>
          <w:tcPr>
            <w:tcW w:w="2041" w:type="dxa"/>
            <w:tcBorders/>
            <w:shd w:fill="auto" w:val="clear"/>
            <w:vAlign w:val="center"/>
          </w:tcPr>
          <w:p>
            <w:pPr>
              <w:pStyle w:val="TableContents"/>
              <w:spacing w:before="0" w:after="283"/>
              <w:jc w:val="center"/>
              <w:rPr/>
            </w:pPr>
            <w:r>
              <w:rPr/>
              <w:t> </w:t>
            </w:r>
          </w:p>
        </w:tc>
      </w:tr>
      <w:tr>
        <w:trPr/>
        <w:tc>
          <w:tcPr>
            <w:tcW w:w="2041" w:type="dxa"/>
            <w:tcBorders/>
            <w:shd w:fill="auto" w:val="clear"/>
            <w:vAlign w:val="center"/>
          </w:tcPr>
          <w:p>
            <w:pPr>
              <w:pStyle w:val="TableContents"/>
              <w:spacing w:before="0" w:after="283"/>
              <w:jc w:val="center"/>
              <w:rPr/>
            </w:pPr>
            <w:r>
              <w:rPr/>
              <w:t> </w:t>
            </w:r>
          </w:p>
        </w:tc>
        <w:tc>
          <w:tcPr>
            <w:tcW w:w="2041" w:type="dxa"/>
            <w:tcBorders/>
            <w:shd w:fill="auto" w:val="clear"/>
            <w:vAlign w:val="center"/>
          </w:tcPr>
          <w:p>
            <w:pPr>
              <w:pStyle w:val="TableContents"/>
              <w:spacing w:before="0" w:after="283"/>
              <w:jc w:val="center"/>
              <w:rPr/>
            </w:pPr>
            <w:r>
              <w:rPr/>
              <w:t> </w:t>
            </w:r>
          </w:p>
        </w:tc>
        <w:tc>
          <w:tcPr>
            <w:tcW w:w="2041" w:type="dxa"/>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425-462-2556</w:t>
            </w:r>
          </w:p>
        </w:tc>
        <w:tc>
          <w:tcPr>
            <w:tcW w:w="2041" w:type="dxa"/>
            <w:tcBorders/>
            <w:shd w:fill="auto" w:val="clear"/>
            <w:vAlign w:val="center"/>
          </w:tcPr>
          <w:p>
            <w:pPr>
              <w:pStyle w:val="TableContents"/>
              <w:spacing w:before="0" w:after="283"/>
              <w:jc w:val="center"/>
              <w:rPr/>
            </w:pPr>
            <w:r>
              <w:rPr/>
              <w:t> </w:t>
            </w:r>
          </w:p>
        </w:tc>
        <w:tc>
          <w:tcPr>
            <w:tcW w:w="2041" w:type="dxa"/>
            <w:tcBorders/>
            <w:shd w:fill="auto" w:val="clear"/>
            <w:vAlign w:val="center"/>
          </w:tcPr>
          <w:p>
            <w:pPr>
              <w:pStyle w:val="TableContents"/>
              <w:spacing w:before="0" w:after="283"/>
              <w:jc w:val="center"/>
              <w:rPr/>
            </w:pPr>
            <w:r>
              <w:rPr/>
              <w:t> </w:t>
            </w:r>
          </w:p>
        </w:tc>
      </w:tr>
      <w:tr>
        <w:trPr/>
        <w:tc>
          <w:tcPr>
            <w:tcW w:w="2041" w:type="dxa"/>
            <w:tcBorders/>
            <w:shd w:fill="auto" w:val="clear"/>
            <w:vAlign w:val="center"/>
          </w:tcPr>
          <w:p>
            <w:pPr>
              <w:pStyle w:val="TableContents"/>
              <w:spacing w:before="0" w:after="283"/>
              <w:jc w:val="center"/>
              <w:rPr/>
            </w:pPr>
            <w:r>
              <w:rPr/>
              <w:t> </w:t>
            </w:r>
          </w:p>
        </w:tc>
        <w:tc>
          <w:tcPr>
            <w:tcW w:w="2041" w:type="dxa"/>
            <w:tcBorders/>
            <w:shd w:fill="auto" w:val="clear"/>
            <w:vAlign w:val="center"/>
          </w:tcPr>
          <w:p>
            <w:pPr>
              <w:pStyle w:val="TableContents"/>
              <w:spacing w:before="0" w:after="283"/>
              <w:jc w:val="center"/>
              <w:rPr/>
            </w:pPr>
            <w:r>
              <w:rPr/>
              <w:t> </w:t>
            </w:r>
          </w:p>
        </w:tc>
        <w:tc>
          <w:tcPr>
            <w:tcW w:w="204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tc>
        <w:tc>
          <w:tcPr>
            <w:tcW w:w="2041" w:type="dxa"/>
            <w:tcBorders/>
            <w:shd w:fill="auto" w:val="clear"/>
            <w:vAlign w:val="center"/>
          </w:tcPr>
          <w:p>
            <w:pPr>
              <w:pStyle w:val="TableContents"/>
              <w:spacing w:before="0" w:after="283"/>
              <w:jc w:val="center"/>
              <w:rPr/>
            </w:pPr>
            <w:r>
              <w:rPr/>
              <w:t> </w:t>
            </w:r>
          </w:p>
        </w:tc>
        <w:tc>
          <w:tcPr>
            <w:tcW w:w="2041"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spacing w:before="0" w:after="0"/>
        <w:ind w:left="0" w:right="0" w:hanging="0"/>
        <w:jc w:val="both"/>
        <w:rPr/>
      </w:pPr>
      <w:r>
        <w:rPr/>
        <w:t> </w:t>
      </w:r>
    </w:p>
    <w:p>
      <w:pPr>
        <w:pStyle w:val="TextBody"/>
        <w:spacing w:before="0" w:after="0"/>
        <w:ind w:left="0" w:right="0" w:hanging="0"/>
        <w:jc w:val="left"/>
        <w:rPr/>
      </w:pPr>
      <w:r>
        <w:rPr/>
        <w:t> </w:t>
      </w:r>
      <w:r>
        <w:rPr>
          <w:rFonts w:ascii="Times New Roman" w:hAnsi="Times New Roman"/>
          <w:sz w:val="20"/>
        </w:rPr>
        <w:t>Check the appropriate box below if the Form 8-K is intended to simultaneously satisfy the filing obligation of the registrant under any of the following provisions: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240"/>
        <w:gridCol w:w="8965"/>
      </w:tblGrid>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12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896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1.01                      Entry into a Material Definitive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TapImmune Inc. (the “Company”) closed its sale of Senior Convertible Notes due on May 24, 2011 (collectively, the “Notes”) in the amount of $1,530,000 as described in our Form 8-K current report filed on May 18, 2010.</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7.01                      Regulation FD Disclosure.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May 24, 2010, we issued a press release entitled “TapImmune Inc. Closes Institutional Financing Totaling $1.53 million.” A copy of the press release is furnished herewith as Exhibit 99.1.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information in this Item 7.01 of this Form 8-K is being furnished and shall not be deemed “filed” for the purposes of Section 18 of the Securities Exchange Act of 1934, or otherwise subject to the liabilities of that section.  The information in this Item 7.01 of this Form 8-K also shall not be deemed to be incorporated by reference into any filing under the Act or the Securities Exchange Act of 1934, except to the extent that we specifically incorporate it by reference.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Exhibits.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83"/>
        <w:gridCol w:w="9422"/>
      </w:tblGrid>
      <w:tr>
        <w:trPr/>
        <w:tc>
          <w:tcPr>
            <w:tcW w:w="78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99.1</w:t>
            </w:r>
          </w:p>
        </w:tc>
        <w:tc>
          <w:tcPr>
            <w:tcW w:w="942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entitled “TapImmune Inc. Closes Institutional Financing Totaling $1.53 million” dated May 24, 2010.</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 w:name="PGBRK"/>
      <w:bookmarkStart w:id="3" w:name="PGBRK"/>
      <w:bookmarkEnd w:id="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 w:name="FTR"/>
      <w:bookmarkStart w:id="5" w:name="FTR"/>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 w:name="GLFTR"/>
      <w:bookmarkEnd w:id="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 w:name="PN"/>
      <w:bookmarkEnd w:id="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HDR"/>
      <w:bookmarkStart w:id="9" w:name="HD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 w:name="GLHD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SIGNATURE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duly authorized.</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b/>
          <w:sz w:val="20"/>
        </w:rPr>
        <w:t>TAPIMMUNE INC.</w:t>
      </w:r>
    </w:p>
    <w:p>
      <w:pPr>
        <w:pStyle w:val="TextBody"/>
        <w:spacing w:before="0" w:after="0"/>
        <w:ind w:left="0" w:right="0" w:hanging="0"/>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Denis Corin</w:t>
      </w:r>
    </w:p>
    <w:p>
      <w:pPr>
        <w:pStyle w:val="TextBody"/>
        <w:spacing w:before="0" w:after="0"/>
        <w:ind w:left="0" w:right="0" w:hanging="0"/>
        <w:jc w:val="left"/>
        <w:rPr>
          <w:rFonts w:ascii="Times New Roman" w:hAnsi="Times New Roman"/>
          <w:sz w:val="20"/>
        </w:rPr>
      </w:pPr>
      <w:r>
        <w:rPr>
          <w:rFonts w:ascii="Times New Roman" w:hAnsi="Times New Roman"/>
          <w:sz w:val="20"/>
        </w:rPr>
        <w:t>Denis Corin</w:t>
      </w:r>
    </w:p>
    <w:p>
      <w:pPr>
        <w:pStyle w:val="TextBody"/>
        <w:spacing w:before="0" w:after="0"/>
        <w:ind w:left="0" w:right="0" w:hanging="0"/>
        <w:jc w:val="left"/>
        <w:rPr>
          <w:rFonts w:ascii="Times New Roman" w:hAnsi="Times New Roman"/>
          <w:sz w:val="20"/>
        </w:rPr>
      </w:pPr>
      <w:r>
        <w:rPr>
          <w:rFonts w:ascii="Times New Roman" w:hAnsi="Times New Roman"/>
          <w:sz w:val="20"/>
        </w:rPr>
        <w:t>President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May 24, 2010</w:t>
      </w:r>
    </w:p>
    <w:p>
      <w:pPr>
        <w:pStyle w:val="TextBody"/>
        <w:rPr/>
      </w:pPr>
      <w:r>
        <w:rPr/>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TextBody"/>
        <w:spacing w:before="0" w:after="0"/>
        <w:rPr/>
      </w:pPr>
      <w:bookmarkStart w:id="11" w:name="exhibit99-1.htm"/>
      <w:bookmarkStart w:id="12" w:name="ksexhibit991"/>
      <w:bookmarkEnd w:id="11"/>
      <w:bookmarkEnd w:id="12"/>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u w:val="single"/>
        </w:rPr>
      </w:pPr>
      <w:r>
        <w:rPr>
          <w:rFonts w:ascii="Times New Roman" w:hAnsi="Times New Roman"/>
          <w:b/>
          <w:sz w:val="20"/>
          <w:u w:val="single"/>
        </w:rPr>
        <w:t>Exhibit 99.1</w:t>
      </w:r>
    </w:p>
    <w:p>
      <w:pPr>
        <w:pStyle w:val="TextBody"/>
        <w:spacing w:before="0" w:after="0"/>
        <w:ind w:left="0" w:right="0" w:hanging="0"/>
        <w:jc w:val="both"/>
        <w:rPr/>
      </w:pPr>
      <w:r>
        <w:rPr/>
        <w:t> </w:t>
      </w:r>
    </w:p>
    <w:p>
      <w:pPr>
        <w:pStyle w:val="TextBody"/>
        <w:spacing w:before="0" w:after="0"/>
        <w:ind w:left="0" w:right="0" w:hanging="0"/>
        <w:jc w:val="left"/>
        <w:rPr/>
      </w:pPr>
      <w:r>
        <w:rPr/>
        <w:drawing>
          <wp:inline distT="0" distB="0" distL="0" distR="0">
            <wp:extent cx="1771650"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1152525"/>
                    </a:xfrm>
                    <a:prstGeom prst="rect">
                      <a:avLst/>
                    </a:prstGeom>
                  </pic:spPr>
                </pic:pic>
              </a:graphicData>
            </a:graphic>
          </wp:inline>
        </w:drawing>
      </w:r>
      <w:r>
        <w:rPr/>
        <w:t>                                                                                    </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b/>
          <w:sz w:val="20"/>
        </w:rPr>
        <w:t>FOR IMMEDIATE RELEASE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CONTACTS:</w:t>
      </w:r>
    </w:p>
    <w:p>
      <w:pPr>
        <w:pStyle w:val="TextBody"/>
        <w:spacing w:before="0" w:after="0"/>
        <w:ind w:left="0" w:right="0" w:hanging="0"/>
        <w:jc w:val="left"/>
        <w:rPr>
          <w:rFonts w:ascii="Times New Roman" w:hAnsi="Times New Roman"/>
          <w:sz w:val="20"/>
        </w:rPr>
      </w:pPr>
      <w:r>
        <w:rPr>
          <w:rFonts w:ascii="Times New Roman" w:hAnsi="Times New Roman"/>
          <w:sz w:val="20"/>
        </w:rPr>
        <w:t>Glynn Wilson, Chairman &amp; CEO                                                     </w:t>
      </w:r>
    </w:p>
    <w:p>
      <w:pPr>
        <w:pStyle w:val="TextBody"/>
        <w:spacing w:before="0" w:after="0"/>
        <w:ind w:left="0" w:right="0" w:hanging="0"/>
        <w:jc w:val="left"/>
        <w:rPr>
          <w:rFonts w:ascii="Times New Roman" w:hAnsi="Times New Roman"/>
          <w:b/>
          <w:sz w:val="20"/>
        </w:rPr>
      </w:pPr>
      <w:r>
        <w:rPr>
          <w:rFonts w:ascii="Times New Roman" w:hAnsi="Times New Roman"/>
          <w:b/>
          <w:sz w:val="20"/>
        </w:rPr>
        <w:t>Taplmmune Inc.                                                                                </w:t>
      </w:r>
    </w:p>
    <w:p>
      <w:pPr>
        <w:pStyle w:val="TextBody"/>
        <w:spacing w:before="0" w:after="0"/>
        <w:ind w:left="0" w:right="0" w:hanging="0"/>
        <w:jc w:val="left"/>
        <w:rPr>
          <w:rFonts w:ascii="Times New Roman" w:hAnsi="Times New Roman"/>
          <w:sz w:val="20"/>
        </w:rPr>
      </w:pPr>
      <w:r>
        <w:rPr>
          <w:rFonts w:ascii="Times New Roman" w:hAnsi="Times New Roman"/>
          <w:sz w:val="20"/>
        </w:rPr>
        <w:t>(866) 359-7541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Donald C. Weinberger/Adam Lowensteiner</w:t>
      </w:r>
    </w:p>
    <w:p>
      <w:pPr>
        <w:pStyle w:val="TextBody"/>
        <w:spacing w:before="0" w:after="0"/>
        <w:ind w:left="0" w:right="0" w:hanging="0"/>
        <w:jc w:val="left"/>
        <w:rPr>
          <w:rFonts w:ascii="Times New Roman" w:hAnsi="Times New Roman"/>
          <w:sz w:val="20"/>
        </w:rPr>
      </w:pPr>
      <w:r>
        <w:rPr>
          <w:rFonts w:ascii="Times New Roman" w:hAnsi="Times New Roman"/>
          <w:sz w:val="20"/>
        </w:rPr>
        <w:t>Wolfe Axelrod Weinberger Assoc. LLC</w:t>
      </w:r>
    </w:p>
    <w:p>
      <w:pPr>
        <w:pStyle w:val="TextBody"/>
        <w:spacing w:before="0" w:after="0"/>
        <w:ind w:left="0" w:right="0" w:hanging="0"/>
        <w:jc w:val="left"/>
        <w:rPr>
          <w:rFonts w:ascii="Times New Roman" w:hAnsi="Times New Roman"/>
          <w:sz w:val="20"/>
        </w:rPr>
      </w:pPr>
      <w:r>
        <w:rPr>
          <w:rFonts w:ascii="Times New Roman" w:hAnsi="Times New Roman"/>
          <w:sz w:val="20"/>
        </w:rPr>
        <w:t>Tel. (212) 370-4500 Fax (212) 370- 4505</w:t>
      </w:r>
    </w:p>
    <w:p>
      <w:pPr>
        <w:pStyle w:val="TextBody"/>
        <w:spacing w:before="0" w:after="0"/>
        <w:rPr/>
      </w:pPr>
      <w:r>
        <w:rPr/>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TAPIMMUNE CLOSES INSTITUTIONAL FINANCING TOTALING $1.53 MILLION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Bellevue, WA, May 24, 2010 — TapImmune Inc. (OTCBB: TPIV)</w:t>
      </w:r>
      <w:r>
        <w:rPr>
          <w:rFonts w:ascii="Times New Roman" w:hAnsi="Times New Roman"/>
          <w:sz w:val="20"/>
        </w:rPr>
        <w:t xml:space="preserve"> announced today that the Company has completed the sale of Senior Secured Convertible Notes (“Notes”) totaling $1.53 million.  As previously announced the net proceeds of the financing will be used for the development of partnerships for the clinical development of proprietary vaccine technologies and for general working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Glynn Wilson, Chairman &amp; CEO of TapImmune, stated, “We view this financing, which is above the most recent market price, as particularly significant in the current economic climate and a reflection of the confidence that investors have in our potential.  The warrants issued with this transaction alone can potentially generate a gross additional investment of $5.69 million in TapImmune over the next five years.  This financing will allow us to commit to our clinical programs and fund strategic R&amp;D relationships.”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More detailed information on this financing can be found in TapImmune’s Current Report on Form 8-K and related exhibits filed with the SEC on May 18,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About Tapimmune Inc.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Taplmmune Inc.</w:t>
      </w:r>
      <w:r>
        <w:rPr>
          <w:rFonts w:ascii="Times New Roman" w:hAnsi="Times New Roman"/>
          <w:sz w:val="20"/>
        </w:rPr>
        <w:t xml:space="preserve"> is developing its TAP technology platform for both the treatement of cancer and infectious disease. The Company is currently developing its lead clinical candidate, AdhTAP for the treatment of TAP deficient cancers. In preclinical studies using a simple injection this product has shown effective restoration of TAP which enhances antigen presentation and improved recognition and killing of cancer cells by the immune system. The TAP technology can also improve the potency of vaccines against infectious disease.  The Company is working with partners to test TAP in new prophylactic vaccines.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Forward-Looking Statement Disclaimer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and other SEC filings which are available through EDGAR at www.sec.gov. The Company assumes no obligation to update the forward-looking statements.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841</Words>
  <CharactersWithSpaces>5942</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