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4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22860</wp:posOffset>
            </wp:positionV>
            <wp:extent cx="3001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6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1)*</w:t>
      </w:r>
    </w:p>
    <w:p>
      <w:pPr>
        <w:spacing w:after="0" w:line="229" w:lineRule="exact"/>
        <w:rPr>
          <w:sz w:val="24"/>
          <w:szCs w:val="24"/>
          <w:color w:val="auto"/>
        </w:rPr>
      </w:pPr>
    </w:p>
    <w:p>
      <w:pPr>
        <w:ind w:left="5060"/>
        <w:spacing w:after="0"/>
        <w:rPr>
          <w:sz w:val="20"/>
          <w:szCs w:val="20"/>
          <w:color w:val="auto"/>
        </w:rPr>
      </w:pPr>
      <w:r>
        <w:rPr>
          <w:rFonts w:ascii="Arial" w:cs="Arial" w:eastAsia="Arial" w:hAnsi="Arial"/>
          <w:sz w:val="20"/>
          <w:szCs w:val="20"/>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60" w:right="9100" w:hanging="6"/>
        <w:spacing w:after="0" w:line="251" w:lineRule="exact"/>
        <w:tabs>
          <w:tab w:leader="none" w:pos="10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6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225" w:right="4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CUSIP No. 876033309</w:t>
            </w:r>
          </w:p>
        </w:tc>
        <w:tc>
          <w:tcPr>
            <w:tcW w:w="380" w:type="dxa"/>
            <w:vAlign w:val="bottom"/>
          </w:tcPr>
          <w:p>
            <w:pPr>
              <w:spacing w:after="0"/>
              <w:rPr>
                <w:sz w:val="20"/>
                <w:szCs w:val="20"/>
                <w:color w:val="auto"/>
              </w:rPr>
            </w:pPr>
          </w:p>
        </w:tc>
        <w:tc>
          <w:tcPr>
            <w:tcW w:w="5820" w:type="dxa"/>
            <w:vAlign w:val="bottom"/>
          </w:tcPr>
          <w:p>
            <w:pPr>
              <w:ind w:left="1920"/>
              <w:spacing w:after="0"/>
              <w:rPr>
                <w:sz w:val="20"/>
                <w:szCs w:val="20"/>
                <w:color w:val="auto"/>
              </w:rPr>
            </w:pPr>
            <w:r>
              <w:rPr>
                <w:rFonts w:ascii="Arial" w:cs="Arial" w:eastAsia="Arial" w:hAnsi="Arial"/>
                <w:sz w:val="18"/>
                <w:szCs w:val="18"/>
                <w:b w:val="1"/>
                <w:bCs w:val="1"/>
                <w:color w:val="auto"/>
              </w:rPr>
              <w:t>13G</w:t>
            </w:r>
          </w:p>
        </w:tc>
        <w:tc>
          <w:tcPr>
            <w:tcW w:w="1960" w:type="dxa"/>
            <w:vAlign w:val="bottom"/>
          </w:tcPr>
          <w:p>
            <w:pPr>
              <w:ind w:left="640"/>
              <w:spacing w:after="0"/>
              <w:rPr>
                <w:sz w:val="20"/>
                <w:szCs w:val="20"/>
                <w:color w:val="auto"/>
              </w:rPr>
            </w:pPr>
            <w:r>
              <w:rPr>
                <w:rFonts w:ascii="Arial" w:cs="Arial" w:eastAsia="Arial" w:hAnsi="Arial"/>
                <w:sz w:val="18"/>
                <w:szCs w:val="18"/>
                <w:b w:val="1"/>
                <w:bCs w:val="1"/>
                <w:color w:val="auto"/>
                <w:w w:val="83"/>
              </w:rPr>
              <w:t>Page 2 of 6 Pages</w:t>
            </w:r>
          </w:p>
        </w:tc>
        <w:tc>
          <w:tcPr>
            <w:tcW w:w="0" w:type="dxa"/>
            <w:vAlign w:val="bottom"/>
          </w:tcPr>
          <w:p>
            <w:pPr>
              <w:spacing w:after="0"/>
              <w:rPr>
                <w:sz w:val="1"/>
                <w:szCs w:val="1"/>
                <w:color w:val="auto"/>
              </w:rPr>
            </w:pPr>
          </w:p>
        </w:tc>
      </w:tr>
      <w:tr>
        <w:trPr>
          <w:trHeight w:val="338"/>
        </w:trPr>
        <w:tc>
          <w:tcPr>
            <w:tcW w:w="326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2"/>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NAMES OF REPORTING PERSONS</w:t>
            </w:r>
          </w:p>
        </w:tc>
        <w:tc>
          <w:tcPr>
            <w:tcW w:w="1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60" w:type="dxa"/>
            <w:vAlign w:val="bottom"/>
            <w:tcBorders>
              <w:left w:val="single" w:sz="8" w:color="auto"/>
              <w:right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5820" w:type="dxa"/>
            <w:vAlign w:val="bottom"/>
            <w:vMerge w:val="restart"/>
          </w:tcPr>
          <w:p>
            <w:pPr>
              <w:ind w:left="40"/>
              <w:spacing w:after="0"/>
              <w:rPr>
                <w:sz w:val="20"/>
                <w:szCs w:val="20"/>
                <w:color w:val="auto"/>
              </w:rPr>
            </w:pPr>
            <w:r>
              <w:rPr>
                <w:rFonts w:ascii="Arial" w:cs="Arial" w:eastAsia="Arial" w:hAnsi="Arial"/>
                <w:sz w:val="22"/>
                <w:szCs w:val="22"/>
                <w:color w:val="auto"/>
              </w:rPr>
              <w:t>Empery Asset Management, LP</w:t>
            </w:r>
          </w:p>
        </w:tc>
        <w:tc>
          <w:tcPr>
            <w:tcW w:w="1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3260" w:type="dxa"/>
            <w:vAlign w:val="bottom"/>
            <w:tcBorders>
              <w:left w:val="single" w:sz="8" w:color="auto"/>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820" w:type="dxa"/>
            <w:vAlign w:val="bottom"/>
            <w:vMerge w:val="continue"/>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3260" w:type="dxa"/>
            <w:vAlign w:val="bottom"/>
            <w:tcBorders>
              <w:left w:val="single" w:sz="8" w:color="auto"/>
              <w:bottom w:val="single" w:sz="8" w:color="auto"/>
              <w:right w:val="single" w:sz="8" w:color="auto"/>
            </w:tcBorders>
          </w:tcPr>
          <w:p>
            <w:pPr>
              <w:spacing w:after="0"/>
              <w:rPr>
                <w:sz w:val="8"/>
                <w:szCs w:val="8"/>
                <w:color w:val="auto"/>
              </w:rPr>
            </w:pPr>
          </w:p>
        </w:tc>
        <w:tc>
          <w:tcPr>
            <w:tcW w:w="6200" w:type="dxa"/>
            <w:vAlign w:val="bottom"/>
            <w:tcBorders>
              <w:bottom w:val="single" w:sz="8" w:color="auto"/>
            </w:tcBorders>
            <w:gridSpan w:val="2"/>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960" w:type="dxa"/>
            <w:vAlign w:val="bottom"/>
            <w:tcBorders>
              <w:right w:val="single" w:sz="8" w:color="auto"/>
            </w:tcBorders>
            <w:vMerge w:val="restart"/>
          </w:tcPr>
          <w:p>
            <w:pPr>
              <w:ind w:left="2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3260" w:type="dxa"/>
            <w:vAlign w:val="bottom"/>
            <w:tcBorders>
              <w:left w:val="single" w:sz="8" w:color="auto"/>
              <w:right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5820" w:type="dxa"/>
            <w:vAlign w:val="bottom"/>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3260" w:type="dxa"/>
            <w:vAlign w:val="bottom"/>
            <w:tcBorders>
              <w:left w:val="single" w:sz="8" w:color="auto"/>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ind w:left="2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1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260" w:type="dxa"/>
            <w:vAlign w:val="bottom"/>
            <w:tcBorders>
              <w:left w:val="single" w:sz="8" w:color="auto"/>
              <w:right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260" w:type="dxa"/>
            <w:vAlign w:val="bottom"/>
            <w:tcBorders>
              <w:left w:val="single" w:sz="8" w:color="auto"/>
              <w:bottom w:val="single" w:sz="8" w:color="auto"/>
              <w:right w:val="single" w:sz="8" w:color="auto"/>
            </w:tcBorders>
          </w:tcPr>
          <w:p>
            <w:pPr>
              <w:spacing w:after="0"/>
              <w:rPr>
                <w:sz w:val="8"/>
                <w:szCs w:val="8"/>
                <w:color w:val="auto"/>
              </w:rPr>
            </w:pPr>
          </w:p>
        </w:tc>
        <w:tc>
          <w:tcPr>
            <w:tcW w:w="6200" w:type="dxa"/>
            <w:vAlign w:val="bottom"/>
            <w:tcBorders>
              <w:bottom w:val="single" w:sz="8" w:color="auto"/>
            </w:tcBorders>
            <w:gridSpan w:val="2"/>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260" w:type="dxa"/>
            <w:vAlign w:val="bottom"/>
            <w:tcBorders>
              <w:left w:val="single" w:sz="8" w:color="auto"/>
              <w:right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820" w:type="dxa"/>
            <w:vAlign w:val="bottom"/>
            <w:vMerge w:val="restart"/>
          </w:tcPr>
          <w:p>
            <w:pPr>
              <w:ind w:left="40"/>
              <w:spacing w:after="0"/>
              <w:rPr>
                <w:sz w:val="20"/>
                <w:szCs w:val="20"/>
                <w:color w:val="auto"/>
              </w:rPr>
            </w:pPr>
            <w:r>
              <w:rPr>
                <w:rFonts w:ascii="Arial" w:cs="Arial" w:eastAsia="Arial" w:hAnsi="Arial"/>
                <w:sz w:val="20"/>
                <w:szCs w:val="20"/>
                <w:color w:val="auto"/>
              </w:rPr>
              <w:t>Delaware</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260" w:type="dxa"/>
            <w:vAlign w:val="bottom"/>
            <w:tcBorders>
              <w:left w:val="single" w:sz="8" w:color="auto"/>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4"/>
        </w:trPr>
        <w:tc>
          <w:tcPr>
            <w:tcW w:w="3260" w:type="dxa"/>
            <w:vAlign w:val="bottom"/>
            <w:tcBorders>
              <w:left w:val="single" w:sz="8" w:color="auto"/>
              <w:right w:val="single" w:sz="8" w:color="auto"/>
            </w:tcBorders>
          </w:tcPr>
          <w:p>
            <w:pPr>
              <w:spacing w:after="0"/>
              <w:rPr>
                <w:sz w:val="24"/>
                <w:szCs w:val="24"/>
                <w:color w:val="auto"/>
              </w:rPr>
            </w:pPr>
          </w:p>
        </w:tc>
        <w:tc>
          <w:tcPr>
            <w:tcW w:w="380" w:type="dxa"/>
            <w:vAlign w:val="bottom"/>
            <w:tcBorders>
              <w:right w:val="single" w:sz="8" w:color="auto"/>
            </w:tcBorders>
          </w:tcPr>
          <w:p>
            <w:pPr>
              <w:ind w:left="100"/>
              <w:spacing w:after="0"/>
              <w:rPr>
                <w:sz w:val="20"/>
                <w:szCs w:val="20"/>
                <w:color w:val="auto"/>
              </w:rPr>
            </w:pPr>
            <w:r>
              <w:rPr>
                <w:rFonts w:ascii="Arial" w:cs="Arial" w:eastAsia="Arial" w:hAnsi="Arial"/>
                <w:sz w:val="29"/>
                <w:szCs w:val="29"/>
                <w:b w:val="1"/>
                <w:bCs w:val="1"/>
                <w:color w:val="auto"/>
              </w:rPr>
              <w:t>5</w:t>
            </w:r>
          </w:p>
        </w:tc>
        <w:tc>
          <w:tcPr>
            <w:tcW w:w="582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260" w:type="dxa"/>
            <w:vAlign w:val="bottom"/>
            <w:tcBorders>
              <w:left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5820" w:type="dxa"/>
            <w:vAlign w:val="bottom"/>
            <w:tcBorders>
              <w:bottom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3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9"/>
                <w:szCs w:val="29"/>
                <w:b w:val="1"/>
                <w:bCs w:val="1"/>
                <w:color w:val="auto"/>
              </w:rPr>
              <w:t>6</w:t>
            </w:r>
          </w:p>
        </w:tc>
        <w:tc>
          <w:tcPr>
            <w:tcW w:w="582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260" w:type="dxa"/>
            <w:vAlign w:val="bottom"/>
            <w:tcBorders>
              <w:left w:val="single" w:sz="8" w:color="auto"/>
              <w:right w:val="single" w:sz="8" w:color="auto"/>
            </w:tcBorders>
            <w:vMerge w:val="continue"/>
          </w:tcPr>
          <w:p>
            <w:pPr>
              <w:spacing w:after="0"/>
              <w:rPr>
                <w:sz w:val="15"/>
                <w:szCs w:val="15"/>
                <w:color w:val="auto"/>
              </w:rPr>
            </w:pPr>
          </w:p>
        </w:tc>
        <w:tc>
          <w:tcPr>
            <w:tcW w:w="380" w:type="dxa"/>
            <w:vAlign w:val="bottom"/>
            <w:tcBorders>
              <w:right w:val="single" w:sz="8" w:color="auto"/>
            </w:tcBorders>
            <w:vMerge w:val="continue"/>
          </w:tcPr>
          <w:p>
            <w:pPr>
              <w:spacing w:after="0"/>
              <w:rPr>
                <w:sz w:val="15"/>
                <w:szCs w:val="15"/>
                <w:color w:val="auto"/>
              </w:rPr>
            </w:pPr>
          </w:p>
        </w:tc>
        <w:tc>
          <w:tcPr>
            <w:tcW w:w="5820" w:type="dxa"/>
            <w:vAlign w:val="bottom"/>
          </w:tcPr>
          <w:p>
            <w:pPr>
              <w:ind w:left="440"/>
              <w:spacing w:after="0" w:line="180" w:lineRule="exact"/>
              <w:rPr>
                <w:sz w:val="20"/>
                <w:szCs w:val="20"/>
                <w:color w:val="auto"/>
              </w:rPr>
            </w:pPr>
            <w:r>
              <w:rPr>
                <w:rFonts w:ascii="Arial" w:cs="Arial" w:eastAsia="Arial" w:hAnsi="Arial"/>
                <w:sz w:val="18"/>
                <w:szCs w:val="18"/>
                <w:color w:val="auto"/>
              </w:rPr>
              <w:t>757,000 shares of Common Stock</w:t>
            </w:r>
          </w:p>
        </w:tc>
        <w:tc>
          <w:tcPr>
            <w:tcW w:w="1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SHARES</w:t>
            </w:r>
          </w:p>
        </w:tc>
        <w:tc>
          <w:tcPr>
            <w:tcW w:w="380" w:type="dxa"/>
            <w:vAlign w:val="bottom"/>
            <w:tcBorders>
              <w:right w:val="single" w:sz="8" w:color="auto"/>
            </w:tcBorders>
          </w:tcPr>
          <w:p>
            <w:pPr>
              <w:spacing w:after="0"/>
              <w:rPr>
                <w:sz w:val="18"/>
                <w:szCs w:val="18"/>
                <w:color w:val="auto"/>
              </w:rPr>
            </w:pPr>
          </w:p>
        </w:tc>
        <w:tc>
          <w:tcPr>
            <w:tcW w:w="778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rPr>
              <w:t>1,886,792 shares of Common Stock issuable upon exercise of 2014 Warrants (See Item 4)*</w:t>
            </w: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380" w:type="dxa"/>
            <w:vAlign w:val="bottom"/>
            <w:tcBorders>
              <w:right w:val="single" w:sz="8" w:color="auto"/>
            </w:tcBorders>
          </w:tcPr>
          <w:p>
            <w:pPr>
              <w:spacing w:after="0"/>
              <w:rPr>
                <w:sz w:val="18"/>
                <w:szCs w:val="18"/>
                <w:color w:val="auto"/>
              </w:rPr>
            </w:pPr>
          </w:p>
        </w:tc>
        <w:tc>
          <w:tcPr>
            <w:tcW w:w="778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w w:val="96"/>
              </w:rPr>
              <w:t>2,320,000 shares of Common Stock issuable upon exercise of Series C Warrants (See Item 4)*</w:t>
            </w:r>
          </w:p>
        </w:tc>
        <w:tc>
          <w:tcPr>
            <w:tcW w:w="0" w:type="dxa"/>
            <w:vAlign w:val="bottom"/>
          </w:tcPr>
          <w:p>
            <w:pPr>
              <w:spacing w:after="0"/>
              <w:rPr>
                <w:sz w:val="1"/>
                <w:szCs w:val="1"/>
                <w:color w:val="auto"/>
              </w:rPr>
            </w:pPr>
          </w:p>
        </w:tc>
      </w:tr>
      <w:tr>
        <w:trPr>
          <w:trHeight w:val="54"/>
        </w:trPr>
        <w:tc>
          <w:tcPr>
            <w:tcW w:w="3260" w:type="dxa"/>
            <w:vAlign w:val="bottom"/>
            <w:tcBorders>
              <w:left w:val="single" w:sz="8" w:color="auto"/>
              <w:right w:val="single" w:sz="8" w:color="auto"/>
            </w:tcBorders>
            <w:vMerge w:val="restart"/>
          </w:tcPr>
          <w:p>
            <w:pPr>
              <w:jc w:val="center"/>
              <w:spacing w:after="0" w:line="179" w:lineRule="exact"/>
              <w:rPr>
                <w:sz w:val="20"/>
                <w:szCs w:val="20"/>
                <w:color w:val="auto"/>
              </w:rPr>
            </w:pPr>
            <w:r>
              <w:rPr>
                <w:rFonts w:ascii="Arial" w:cs="Arial" w:eastAsia="Arial" w:hAnsi="Arial"/>
                <w:sz w:val="16"/>
                <w:szCs w:val="16"/>
                <w:color w:val="auto"/>
                <w:w w:val="98"/>
              </w:rPr>
              <w:t>OWNED BY</w:t>
            </w:r>
          </w:p>
        </w:tc>
        <w:tc>
          <w:tcPr>
            <w:tcW w:w="380" w:type="dxa"/>
            <w:vAlign w:val="bottom"/>
            <w:tcBorders>
              <w:bottom w:val="single" w:sz="8" w:color="auto"/>
              <w:right w:val="single" w:sz="8" w:color="auto"/>
            </w:tcBorders>
          </w:tcPr>
          <w:p>
            <w:pPr>
              <w:spacing w:after="0"/>
              <w:rPr>
                <w:sz w:val="4"/>
                <w:szCs w:val="4"/>
                <w:color w:val="auto"/>
              </w:rPr>
            </w:pPr>
          </w:p>
        </w:tc>
        <w:tc>
          <w:tcPr>
            <w:tcW w:w="5820" w:type="dxa"/>
            <w:vAlign w:val="bottom"/>
            <w:tcBorders>
              <w:bottom w:val="single" w:sz="8" w:color="auto"/>
            </w:tcBorders>
          </w:tcPr>
          <w:p>
            <w:pPr>
              <w:spacing w:after="0"/>
              <w:rPr>
                <w:sz w:val="4"/>
                <w:szCs w:val="4"/>
                <w:color w:val="auto"/>
              </w:rPr>
            </w:pPr>
          </w:p>
        </w:tc>
        <w:tc>
          <w:tcPr>
            <w:tcW w:w="19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326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Borders>
              <w:right w:val="single" w:sz="8" w:color="auto"/>
            </w:tcBorders>
            <w:vMerge w:val="restart"/>
          </w:tcPr>
          <w:p>
            <w:pPr>
              <w:ind w:left="100"/>
              <w:spacing w:after="0" w:line="317" w:lineRule="exact"/>
              <w:rPr>
                <w:sz w:val="20"/>
                <w:szCs w:val="20"/>
                <w:color w:val="auto"/>
              </w:rPr>
            </w:pPr>
            <w:r>
              <w:rPr>
                <w:rFonts w:ascii="Arial" w:cs="Arial" w:eastAsia="Arial" w:hAnsi="Arial"/>
                <w:sz w:val="29"/>
                <w:szCs w:val="29"/>
                <w:b w:val="1"/>
                <w:bCs w:val="1"/>
                <w:color w:val="auto"/>
              </w:rPr>
              <w:t>7</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EACH</w:t>
            </w:r>
          </w:p>
        </w:tc>
        <w:tc>
          <w:tcPr>
            <w:tcW w:w="380" w:type="dxa"/>
            <w:vAlign w:val="bottom"/>
            <w:tcBorders>
              <w:right w:val="single" w:sz="8" w:color="auto"/>
            </w:tcBorders>
            <w:vMerge w:val="continue"/>
          </w:tcPr>
          <w:p>
            <w:pPr>
              <w:spacing w:after="0"/>
              <w:rPr>
                <w:sz w:val="18"/>
                <w:szCs w:val="18"/>
                <w:color w:val="auto"/>
              </w:rPr>
            </w:pPr>
          </w:p>
        </w:tc>
        <w:tc>
          <w:tcPr>
            <w:tcW w:w="5820" w:type="dxa"/>
            <w:vAlign w:val="bottom"/>
            <w:vMerge w:val="continue"/>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380" w:type="dxa"/>
            <w:vAlign w:val="bottom"/>
            <w:tcBorders>
              <w:right w:val="single" w:sz="8" w:color="auto"/>
            </w:tcBorders>
          </w:tcPr>
          <w:p>
            <w:pPr>
              <w:spacing w:after="0"/>
              <w:rPr>
                <w:sz w:val="16"/>
                <w:szCs w:val="16"/>
                <w:color w:val="auto"/>
              </w:rPr>
            </w:pPr>
          </w:p>
        </w:tc>
        <w:tc>
          <w:tcPr>
            <w:tcW w:w="5820" w:type="dxa"/>
            <w:vAlign w:val="bottom"/>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38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26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9"/>
                <w:szCs w:val="29"/>
                <w:b w:val="1"/>
                <w:bCs w:val="1"/>
                <w:color w:val="auto"/>
              </w:rPr>
              <w:t>8</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260" w:type="dxa"/>
            <w:vAlign w:val="bottom"/>
            <w:tcBorders>
              <w:left w:val="single" w:sz="8" w:color="auto"/>
              <w:right w:val="single" w:sz="8" w:color="auto"/>
            </w:tcBorders>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5820" w:type="dxa"/>
            <w:vAlign w:val="bottom"/>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5820" w:type="dxa"/>
            <w:vAlign w:val="bottom"/>
          </w:tcPr>
          <w:p>
            <w:pPr>
              <w:ind w:left="440"/>
              <w:spacing w:after="0"/>
              <w:rPr>
                <w:sz w:val="20"/>
                <w:szCs w:val="20"/>
                <w:color w:val="auto"/>
              </w:rPr>
            </w:pPr>
            <w:r>
              <w:rPr>
                <w:rFonts w:ascii="Arial" w:cs="Arial" w:eastAsia="Arial" w:hAnsi="Arial"/>
                <w:sz w:val="18"/>
                <w:szCs w:val="18"/>
                <w:color w:val="auto"/>
              </w:rPr>
              <w:t>757,000 shares of Common Stock</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778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rPr>
              <w:t>1,886,792 shares of Common Stock issuable upon exercise of 2014 Warrants (See Item 4)*</w:t>
            </w:r>
          </w:p>
        </w:tc>
        <w:tc>
          <w:tcPr>
            <w:tcW w:w="0" w:type="dxa"/>
            <w:vAlign w:val="bottom"/>
          </w:tcPr>
          <w:p>
            <w:pPr>
              <w:spacing w:after="0"/>
              <w:rPr>
                <w:sz w:val="1"/>
                <w:szCs w:val="1"/>
                <w:color w:val="auto"/>
              </w:rPr>
            </w:pPr>
          </w:p>
        </w:tc>
      </w:tr>
      <w:tr>
        <w:trPr>
          <w:trHeight w:val="230"/>
        </w:trPr>
        <w:tc>
          <w:tcPr>
            <w:tcW w:w="326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7780" w:type="dxa"/>
            <w:vAlign w:val="bottom"/>
            <w:tcBorders>
              <w:bottom w:val="single" w:sz="8" w:color="auto"/>
              <w:right w:val="single" w:sz="8" w:color="auto"/>
            </w:tcBorders>
            <w:gridSpan w:val="2"/>
          </w:tcPr>
          <w:p>
            <w:pPr>
              <w:ind w:left="420"/>
              <w:spacing w:after="0"/>
              <w:rPr>
                <w:sz w:val="20"/>
                <w:szCs w:val="20"/>
                <w:color w:val="auto"/>
              </w:rPr>
            </w:pPr>
            <w:r>
              <w:rPr>
                <w:rFonts w:ascii="Arial" w:cs="Arial" w:eastAsia="Arial" w:hAnsi="Arial"/>
                <w:sz w:val="18"/>
                <w:szCs w:val="18"/>
                <w:color w:val="auto"/>
                <w:w w:val="96"/>
              </w:rPr>
              <w:t>2,320,000 shares of Common Stock issuable upon exercise of Series C Warrants (See Item 4)*</w:t>
            </w:r>
          </w:p>
        </w:tc>
        <w:tc>
          <w:tcPr>
            <w:tcW w:w="0" w:type="dxa"/>
            <w:vAlign w:val="bottom"/>
          </w:tcPr>
          <w:p>
            <w:pPr>
              <w:spacing w:after="0"/>
              <w:rPr>
                <w:sz w:val="1"/>
                <w:szCs w:val="1"/>
                <w:color w:val="auto"/>
              </w:rPr>
            </w:pPr>
          </w:p>
        </w:tc>
      </w:tr>
      <w:tr>
        <w:trPr>
          <w:trHeight w:val="236"/>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757,000 shares of Common Stock</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7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1,886,792 shares of Common Stock issuable upon exercise of 2014 Warrants (See Item 4)*</w:t>
            </w:r>
          </w:p>
        </w:tc>
        <w:tc>
          <w:tcPr>
            <w:tcW w:w="0" w:type="dxa"/>
            <w:vAlign w:val="bottom"/>
          </w:tcPr>
          <w:p>
            <w:pPr>
              <w:spacing w:after="0"/>
              <w:rPr>
                <w:sz w:val="1"/>
                <w:szCs w:val="1"/>
                <w:color w:val="auto"/>
              </w:rPr>
            </w:pPr>
          </w:p>
        </w:tc>
      </w:tr>
      <w:tr>
        <w:trPr>
          <w:trHeight w:val="230"/>
        </w:trPr>
        <w:tc>
          <w:tcPr>
            <w:tcW w:w="3260" w:type="dxa"/>
            <w:vAlign w:val="bottom"/>
            <w:tcBorders>
              <w:left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7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2,320,000 shares of Common Stock issuable upon exercise of Series C Warrants (See Item 4)*</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2"/>
              </w:rPr>
              <w:t>10</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w:t>
            </w:r>
          </w:p>
        </w:tc>
        <w:tc>
          <w:tcPr>
            <w:tcW w:w="1960" w:type="dxa"/>
            <w:vAlign w:val="bottom"/>
            <w:tcBorders>
              <w:right w:val="single" w:sz="8" w:color="auto"/>
            </w:tcBorders>
            <w:vMerge w:val="restart"/>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7"/>
        </w:trPr>
        <w:tc>
          <w:tcPr>
            <w:tcW w:w="3260" w:type="dxa"/>
            <w:vAlign w:val="bottom"/>
            <w:tcBorders>
              <w:left w:val="single" w:sz="8" w:color="auto"/>
              <w:right w:val="single" w:sz="8" w:color="auto"/>
            </w:tcBorders>
            <w:vMerge w:val="continue"/>
          </w:tcPr>
          <w:p>
            <w:pPr>
              <w:spacing w:after="0"/>
              <w:rPr>
                <w:sz w:val="17"/>
                <w:szCs w:val="17"/>
                <w:color w:val="auto"/>
              </w:rPr>
            </w:pP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SHARES</w:t>
            </w:r>
          </w:p>
        </w:tc>
        <w:tc>
          <w:tcPr>
            <w:tcW w:w="19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260" w:type="dxa"/>
            <w:vAlign w:val="bottom"/>
            <w:tcBorders>
              <w:left w:val="single" w:sz="8" w:color="auto"/>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82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260" w:type="dxa"/>
            <w:vAlign w:val="bottom"/>
            <w:tcBorders>
              <w:left w:val="single" w:sz="8" w:color="auto"/>
              <w:right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820" w:type="dxa"/>
            <w:vAlign w:val="bottom"/>
            <w:vMerge w:val="restart"/>
          </w:tcPr>
          <w:p>
            <w:pPr>
              <w:ind w:left="40"/>
              <w:spacing w:after="0"/>
              <w:rPr>
                <w:sz w:val="20"/>
                <w:szCs w:val="20"/>
                <w:color w:val="auto"/>
              </w:rPr>
            </w:pPr>
            <w:r>
              <w:rPr>
                <w:rFonts w:ascii="Arial" w:cs="Arial" w:eastAsia="Arial" w:hAnsi="Arial"/>
                <w:sz w:val="20"/>
                <w:szCs w:val="20"/>
                <w:color w:val="auto"/>
              </w:rPr>
              <w:t>4.99% (See Item 4)*</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260" w:type="dxa"/>
            <w:vAlign w:val="bottom"/>
            <w:tcBorders>
              <w:left w:val="single" w:sz="8" w:color="auto"/>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260" w:type="dxa"/>
            <w:vAlign w:val="bottom"/>
            <w:tcBorders>
              <w:left w:val="single" w:sz="8" w:color="auto"/>
              <w:right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820" w:type="dxa"/>
            <w:vAlign w:val="bottom"/>
            <w:vMerge w:val="restart"/>
          </w:tcPr>
          <w:p>
            <w:pPr>
              <w:ind w:left="40"/>
              <w:spacing w:after="0"/>
              <w:rPr>
                <w:sz w:val="20"/>
                <w:szCs w:val="20"/>
                <w:color w:val="auto"/>
              </w:rPr>
            </w:pPr>
            <w:r>
              <w:rPr>
                <w:rFonts w:ascii="Arial" w:cs="Arial" w:eastAsia="Arial" w:hAnsi="Arial"/>
                <w:sz w:val="20"/>
                <w:szCs w:val="20"/>
                <w:color w:val="auto"/>
              </w:rPr>
              <w:t>PN</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260" w:type="dxa"/>
            <w:vAlign w:val="bottom"/>
            <w:tcBorders>
              <w:left w:val="single" w:sz="8" w:color="auto"/>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8"/>
        <w:spacing w:after="0" w:line="25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more fully described in Item 4, the Series C Warrants are subject to a 9.9% blocker, and the 2014 Warrants are subject to a 4.99% blocker and the percentage set forth in row (11) gives effect to such blockers. However, as more fully described in Item 4, the securities reported in rows (6), (8) and (9) show the number of shares of Common Stock that would be issuable upon full exercise of such reported securities and do not give effect to such blockers. Therefore, the actual number of shares of Common Stock beneficially owned by such Reporting Person, after giving effect to such blockers, is less than the number of securities reported in rows (6), (8) and (9).</w:t>
      </w:r>
    </w:p>
    <w:p>
      <w:pPr>
        <w:sectPr>
          <w:pgSz w:w="11900" w:h="16838" w:orient="portrait"/>
          <w:cols w:equalWidth="0" w:num="1">
            <w:col w:w="11420"/>
          </w:cols>
          <w:pgMar w:left="240" w:top="229"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CUSIP No. 876033309</w:t>
            </w:r>
          </w:p>
        </w:tc>
        <w:tc>
          <w:tcPr>
            <w:tcW w:w="380" w:type="dxa"/>
            <w:vAlign w:val="bottom"/>
          </w:tcPr>
          <w:p>
            <w:pPr>
              <w:spacing w:after="0"/>
              <w:rPr>
                <w:sz w:val="20"/>
                <w:szCs w:val="20"/>
                <w:color w:val="auto"/>
              </w:rPr>
            </w:pPr>
          </w:p>
        </w:tc>
        <w:tc>
          <w:tcPr>
            <w:tcW w:w="5820" w:type="dxa"/>
            <w:vAlign w:val="bottom"/>
          </w:tcPr>
          <w:p>
            <w:pPr>
              <w:ind w:left="1920"/>
              <w:spacing w:after="0"/>
              <w:rPr>
                <w:sz w:val="20"/>
                <w:szCs w:val="20"/>
                <w:color w:val="auto"/>
              </w:rPr>
            </w:pPr>
            <w:r>
              <w:rPr>
                <w:rFonts w:ascii="Arial" w:cs="Arial" w:eastAsia="Arial" w:hAnsi="Arial"/>
                <w:sz w:val="18"/>
                <w:szCs w:val="18"/>
                <w:b w:val="1"/>
                <w:bCs w:val="1"/>
                <w:color w:val="auto"/>
              </w:rPr>
              <w:t>13G</w:t>
            </w:r>
          </w:p>
        </w:tc>
        <w:tc>
          <w:tcPr>
            <w:tcW w:w="1960" w:type="dxa"/>
            <w:vAlign w:val="bottom"/>
          </w:tcPr>
          <w:p>
            <w:pPr>
              <w:ind w:left="640"/>
              <w:spacing w:after="0"/>
              <w:rPr>
                <w:sz w:val="20"/>
                <w:szCs w:val="20"/>
                <w:color w:val="auto"/>
              </w:rPr>
            </w:pPr>
            <w:r>
              <w:rPr>
                <w:rFonts w:ascii="Arial" w:cs="Arial" w:eastAsia="Arial" w:hAnsi="Arial"/>
                <w:sz w:val="18"/>
                <w:szCs w:val="18"/>
                <w:b w:val="1"/>
                <w:bCs w:val="1"/>
                <w:color w:val="auto"/>
                <w:w w:val="83"/>
              </w:rPr>
              <w:t>Page 3 of 6 Pages</w:t>
            </w:r>
          </w:p>
        </w:tc>
        <w:tc>
          <w:tcPr>
            <w:tcW w:w="0" w:type="dxa"/>
            <w:vAlign w:val="bottom"/>
          </w:tcPr>
          <w:p>
            <w:pPr>
              <w:spacing w:after="0"/>
              <w:rPr>
                <w:sz w:val="1"/>
                <w:szCs w:val="1"/>
                <w:color w:val="auto"/>
              </w:rPr>
            </w:pPr>
          </w:p>
        </w:tc>
      </w:tr>
      <w:tr>
        <w:trPr>
          <w:trHeight w:val="338"/>
        </w:trPr>
        <w:tc>
          <w:tcPr>
            <w:tcW w:w="326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2"/>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NAMES OF REPORTING PERSONS</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260" w:type="dxa"/>
            <w:vAlign w:val="bottom"/>
            <w:tcBorders>
              <w:left w:val="single" w:sz="8" w:color="auto"/>
              <w:right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820" w:type="dxa"/>
            <w:vAlign w:val="bottom"/>
            <w:vMerge w:val="restart"/>
          </w:tcPr>
          <w:p>
            <w:pPr>
              <w:ind w:left="40"/>
              <w:spacing w:after="0"/>
              <w:rPr>
                <w:sz w:val="20"/>
                <w:szCs w:val="20"/>
                <w:color w:val="auto"/>
              </w:rPr>
            </w:pPr>
            <w:r>
              <w:rPr>
                <w:rFonts w:ascii="Arial" w:cs="Arial" w:eastAsia="Arial" w:hAnsi="Arial"/>
                <w:sz w:val="20"/>
                <w:szCs w:val="20"/>
                <w:color w:val="auto"/>
              </w:rPr>
              <w:t>Ryan M. Lane</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260" w:type="dxa"/>
            <w:vAlign w:val="bottom"/>
            <w:tcBorders>
              <w:left w:val="single" w:sz="8" w:color="auto"/>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6200" w:type="dxa"/>
            <w:vAlign w:val="bottom"/>
            <w:tcBorders>
              <w:bottom w:val="single" w:sz="8" w:color="auto"/>
            </w:tcBorders>
            <w:gridSpan w:val="2"/>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960" w:type="dxa"/>
            <w:vAlign w:val="bottom"/>
            <w:tcBorders>
              <w:right w:val="single" w:sz="8" w:color="auto"/>
            </w:tcBorders>
            <w:vMerge w:val="restart"/>
          </w:tcPr>
          <w:p>
            <w:pPr>
              <w:ind w:left="2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3260" w:type="dxa"/>
            <w:vAlign w:val="bottom"/>
            <w:tcBorders>
              <w:left w:val="single" w:sz="8" w:color="auto"/>
              <w:right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5820" w:type="dxa"/>
            <w:vAlign w:val="bottom"/>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3260" w:type="dxa"/>
            <w:vAlign w:val="bottom"/>
            <w:tcBorders>
              <w:left w:val="single" w:sz="8" w:color="auto"/>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ind w:left="2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1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260" w:type="dxa"/>
            <w:vAlign w:val="bottom"/>
            <w:tcBorders>
              <w:left w:val="single" w:sz="8" w:color="auto"/>
              <w:right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260" w:type="dxa"/>
            <w:vAlign w:val="bottom"/>
            <w:tcBorders>
              <w:left w:val="single" w:sz="8" w:color="auto"/>
              <w:bottom w:val="single" w:sz="8" w:color="auto"/>
              <w:right w:val="single" w:sz="8" w:color="auto"/>
            </w:tcBorders>
          </w:tcPr>
          <w:p>
            <w:pPr>
              <w:spacing w:after="0"/>
              <w:rPr>
                <w:sz w:val="8"/>
                <w:szCs w:val="8"/>
                <w:color w:val="auto"/>
              </w:rPr>
            </w:pPr>
          </w:p>
        </w:tc>
        <w:tc>
          <w:tcPr>
            <w:tcW w:w="6200" w:type="dxa"/>
            <w:vAlign w:val="bottom"/>
            <w:tcBorders>
              <w:bottom w:val="single" w:sz="8" w:color="auto"/>
            </w:tcBorders>
            <w:gridSpan w:val="2"/>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260" w:type="dxa"/>
            <w:vAlign w:val="bottom"/>
            <w:tcBorders>
              <w:left w:val="single" w:sz="8" w:color="auto"/>
              <w:right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820" w:type="dxa"/>
            <w:vAlign w:val="bottom"/>
            <w:vMerge w:val="restart"/>
          </w:tcPr>
          <w:p>
            <w:pPr>
              <w:ind w:left="40"/>
              <w:spacing w:after="0"/>
              <w:rPr>
                <w:sz w:val="20"/>
                <w:szCs w:val="20"/>
                <w:color w:val="auto"/>
              </w:rPr>
            </w:pPr>
            <w:r>
              <w:rPr>
                <w:rFonts w:ascii="Arial" w:cs="Arial" w:eastAsia="Arial" w:hAnsi="Arial"/>
                <w:sz w:val="20"/>
                <w:szCs w:val="20"/>
                <w:color w:val="auto"/>
              </w:rPr>
              <w:t>United States</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260" w:type="dxa"/>
            <w:vAlign w:val="bottom"/>
            <w:tcBorders>
              <w:left w:val="single" w:sz="8" w:color="auto"/>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4"/>
        </w:trPr>
        <w:tc>
          <w:tcPr>
            <w:tcW w:w="3260" w:type="dxa"/>
            <w:vAlign w:val="bottom"/>
            <w:tcBorders>
              <w:left w:val="single" w:sz="8" w:color="auto"/>
              <w:right w:val="single" w:sz="8" w:color="auto"/>
            </w:tcBorders>
          </w:tcPr>
          <w:p>
            <w:pPr>
              <w:spacing w:after="0"/>
              <w:rPr>
                <w:sz w:val="24"/>
                <w:szCs w:val="24"/>
                <w:color w:val="auto"/>
              </w:rPr>
            </w:pPr>
          </w:p>
        </w:tc>
        <w:tc>
          <w:tcPr>
            <w:tcW w:w="380" w:type="dxa"/>
            <w:vAlign w:val="bottom"/>
            <w:tcBorders>
              <w:right w:val="single" w:sz="8" w:color="auto"/>
            </w:tcBorders>
          </w:tcPr>
          <w:p>
            <w:pPr>
              <w:ind w:left="100"/>
              <w:spacing w:after="0"/>
              <w:rPr>
                <w:sz w:val="20"/>
                <w:szCs w:val="20"/>
                <w:color w:val="auto"/>
              </w:rPr>
            </w:pPr>
            <w:r>
              <w:rPr>
                <w:rFonts w:ascii="Arial" w:cs="Arial" w:eastAsia="Arial" w:hAnsi="Arial"/>
                <w:sz w:val="29"/>
                <w:szCs w:val="29"/>
                <w:b w:val="1"/>
                <w:bCs w:val="1"/>
                <w:color w:val="auto"/>
              </w:rPr>
              <w:t>5</w:t>
            </w:r>
          </w:p>
        </w:tc>
        <w:tc>
          <w:tcPr>
            <w:tcW w:w="582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260" w:type="dxa"/>
            <w:vAlign w:val="bottom"/>
            <w:tcBorders>
              <w:left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5820" w:type="dxa"/>
            <w:vAlign w:val="bottom"/>
            <w:tcBorders>
              <w:bottom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260" w:type="dxa"/>
            <w:vAlign w:val="bottom"/>
            <w:tcBorders>
              <w:left w:val="single" w:sz="8" w:color="auto"/>
              <w:right w:val="single" w:sz="8" w:color="auto"/>
            </w:tcBorders>
          </w:tcPr>
          <w:p>
            <w:pPr>
              <w:spacing w:after="0"/>
              <w:rPr>
                <w:sz w:val="21"/>
                <w:szCs w:val="21"/>
                <w:color w:val="auto"/>
              </w:rPr>
            </w:pPr>
          </w:p>
        </w:tc>
        <w:tc>
          <w:tcPr>
            <w:tcW w:w="380" w:type="dxa"/>
            <w:vAlign w:val="bottom"/>
            <w:tcBorders>
              <w:right w:val="single" w:sz="8" w:color="auto"/>
            </w:tcBorders>
          </w:tcPr>
          <w:p>
            <w:pPr>
              <w:ind w:left="100"/>
              <w:spacing w:after="0" w:line="252" w:lineRule="exact"/>
              <w:rPr>
                <w:sz w:val="20"/>
                <w:szCs w:val="20"/>
                <w:color w:val="auto"/>
              </w:rPr>
            </w:pPr>
            <w:r>
              <w:rPr>
                <w:rFonts w:ascii="Arial" w:cs="Arial" w:eastAsia="Arial" w:hAnsi="Arial"/>
                <w:sz w:val="29"/>
                <w:szCs w:val="29"/>
                <w:b w:val="1"/>
                <w:bCs w:val="1"/>
                <w:color w:val="auto"/>
              </w:rPr>
              <w:t>6</w:t>
            </w:r>
          </w:p>
        </w:tc>
        <w:tc>
          <w:tcPr>
            <w:tcW w:w="582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1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380" w:type="dxa"/>
            <w:vAlign w:val="bottom"/>
            <w:tcBorders>
              <w:right w:val="single" w:sz="8" w:color="auto"/>
            </w:tcBorders>
          </w:tcPr>
          <w:p>
            <w:pPr>
              <w:spacing w:after="0"/>
              <w:rPr>
                <w:sz w:val="17"/>
                <w:szCs w:val="17"/>
                <w:color w:val="auto"/>
              </w:rPr>
            </w:pPr>
          </w:p>
        </w:tc>
        <w:tc>
          <w:tcPr>
            <w:tcW w:w="5820" w:type="dxa"/>
            <w:vAlign w:val="bottom"/>
          </w:tcPr>
          <w:p>
            <w:pPr>
              <w:ind w:left="440"/>
              <w:spacing w:after="0" w:line="200" w:lineRule="exact"/>
              <w:rPr>
                <w:sz w:val="20"/>
                <w:szCs w:val="20"/>
                <w:color w:val="auto"/>
              </w:rPr>
            </w:pPr>
            <w:r>
              <w:rPr>
                <w:rFonts w:ascii="Arial" w:cs="Arial" w:eastAsia="Arial" w:hAnsi="Arial"/>
                <w:sz w:val="18"/>
                <w:szCs w:val="18"/>
                <w:color w:val="auto"/>
              </w:rPr>
              <w:t>757,000 shares of Common Stock</w:t>
            </w:r>
          </w:p>
        </w:tc>
        <w:tc>
          <w:tcPr>
            <w:tcW w:w="1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3260" w:type="dxa"/>
            <w:vAlign w:val="bottom"/>
            <w:tcBorders>
              <w:left w:val="single" w:sz="8" w:color="auto"/>
              <w:right w:val="single" w:sz="8" w:color="auto"/>
            </w:tcBorders>
            <w:vMerge w:val="continue"/>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7780" w:type="dxa"/>
            <w:vAlign w:val="bottom"/>
            <w:tcBorders>
              <w:right w:val="single" w:sz="8" w:color="auto"/>
            </w:tcBorders>
            <w:gridSpan w:val="2"/>
            <w:vMerge w:val="restart"/>
          </w:tcPr>
          <w:p>
            <w:pPr>
              <w:ind w:left="420"/>
              <w:spacing w:after="0"/>
              <w:rPr>
                <w:sz w:val="20"/>
                <w:szCs w:val="20"/>
                <w:color w:val="auto"/>
              </w:rPr>
            </w:pPr>
            <w:r>
              <w:rPr>
                <w:rFonts w:ascii="Arial" w:cs="Arial" w:eastAsia="Arial" w:hAnsi="Arial"/>
                <w:sz w:val="18"/>
                <w:szCs w:val="18"/>
                <w:color w:val="auto"/>
              </w:rPr>
              <w:t>1,886,792 shares of Common Stock issuable upon exercise of 2014 Warrants (See Item 4)*</w:t>
            </w:r>
          </w:p>
        </w:tc>
        <w:tc>
          <w:tcPr>
            <w:tcW w:w="0" w:type="dxa"/>
            <w:vAlign w:val="bottom"/>
          </w:tcPr>
          <w:p>
            <w:pPr>
              <w:spacing w:after="0"/>
              <w:rPr>
                <w:sz w:val="1"/>
                <w:szCs w:val="1"/>
                <w:color w:val="auto"/>
              </w:rPr>
            </w:pPr>
          </w:p>
        </w:tc>
      </w:tr>
      <w:tr>
        <w:trPr>
          <w:trHeight w:val="158"/>
        </w:trPr>
        <w:tc>
          <w:tcPr>
            <w:tcW w:w="326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380" w:type="dxa"/>
            <w:vAlign w:val="bottom"/>
            <w:tcBorders>
              <w:right w:val="single" w:sz="8" w:color="auto"/>
            </w:tcBorders>
          </w:tcPr>
          <w:p>
            <w:pPr>
              <w:spacing w:after="0"/>
              <w:rPr>
                <w:sz w:val="13"/>
                <w:szCs w:val="13"/>
                <w:color w:val="auto"/>
              </w:rPr>
            </w:pPr>
          </w:p>
        </w:tc>
        <w:tc>
          <w:tcPr>
            <w:tcW w:w="778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380" w:type="dxa"/>
            <w:vAlign w:val="bottom"/>
            <w:tcBorders>
              <w:right w:val="single" w:sz="8" w:color="auto"/>
            </w:tcBorders>
          </w:tcPr>
          <w:p>
            <w:pPr>
              <w:spacing w:after="0"/>
              <w:rPr>
                <w:sz w:val="21"/>
                <w:szCs w:val="21"/>
                <w:color w:val="auto"/>
              </w:rPr>
            </w:pPr>
          </w:p>
        </w:tc>
        <w:tc>
          <w:tcPr>
            <w:tcW w:w="778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w w:val="96"/>
              </w:rPr>
              <w:t>2,320,000 shares of Common Stock issuable upon exercise of Series C Warrants (See Item 4)*</w:t>
            </w:r>
          </w:p>
        </w:tc>
        <w:tc>
          <w:tcPr>
            <w:tcW w:w="0" w:type="dxa"/>
            <w:vAlign w:val="bottom"/>
          </w:tcPr>
          <w:p>
            <w:pPr>
              <w:spacing w:after="0"/>
              <w:rPr>
                <w:sz w:val="1"/>
                <w:szCs w:val="1"/>
                <w:color w:val="auto"/>
              </w:rPr>
            </w:pPr>
          </w:p>
        </w:tc>
      </w:tr>
      <w:tr>
        <w:trPr>
          <w:trHeight w:val="77"/>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38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26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Borders>
              <w:right w:val="single" w:sz="8" w:color="auto"/>
            </w:tcBorders>
            <w:vMerge w:val="restart"/>
          </w:tcPr>
          <w:p>
            <w:pPr>
              <w:ind w:left="100"/>
              <w:spacing w:after="0" w:line="317" w:lineRule="exact"/>
              <w:rPr>
                <w:sz w:val="20"/>
                <w:szCs w:val="20"/>
                <w:color w:val="auto"/>
              </w:rPr>
            </w:pPr>
            <w:r>
              <w:rPr>
                <w:rFonts w:ascii="Arial" w:cs="Arial" w:eastAsia="Arial" w:hAnsi="Arial"/>
                <w:sz w:val="29"/>
                <w:szCs w:val="29"/>
                <w:b w:val="1"/>
                <w:bCs w:val="1"/>
                <w:color w:val="auto"/>
              </w:rPr>
              <w:t>7</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EACH</w:t>
            </w:r>
          </w:p>
        </w:tc>
        <w:tc>
          <w:tcPr>
            <w:tcW w:w="380" w:type="dxa"/>
            <w:vAlign w:val="bottom"/>
            <w:tcBorders>
              <w:right w:val="single" w:sz="8" w:color="auto"/>
            </w:tcBorders>
            <w:vMerge w:val="continue"/>
          </w:tcPr>
          <w:p>
            <w:pPr>
              <w:spacing w:after="0"/>
              <w:rPr>
                <w:sz w:val="18"/>
                <w:szCs w:val="18"/>
                <w:color w:val="auto"/>
              </w:rPr>
            </w:pPr>
          </w:p>
        </w:tc>
        <w:tc>
          <w:tcPr>
            <w:tcW w:w="5820" w:type="dxa"/>
            <w:vAlign w:val="bottom"/>
            <w:vMerge w:val="continue"/>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380" w:type="dxa"/>
            <w:vAlign w:val="bottom"/>
            <w:tcBorders>
              <w:right w:val="single" w:sz="8" w:color="auto"/>
            </w:tcBorders>
          </w:tcPr>
          <w:p>
            <w:pPr>
              <w:spacing w:after="0"/>
              <w:rPr>
                <w:sz w:val="16"/>
                <w:szCs w:val="16"/>
                <w:color w:val="auto"/>
              </w:rPr>
            </w:pPr>
          </w:p>
        </w:tc>
        <w:tc>
          <w:tcPr>
            <w:tcW w:w="5820" w:type="dxa"/>
            <w:vAlign w:val="bottom"/>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38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26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9"/>
                <w:szCs w:val="29"/>
                <w:b w:val="1"/>
                <w:bCs w:val="1"/>
                <w:color w:val="auto"/>
              </w:rPr>
              <w:t>8</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260" w:type="dxa"/>
            <w:vAlign w:val="bottom"/>
            <w:tcBorders>
              <w:left w:val="single" w:sz="8" w:color="auto"/>
              <w:right w:val="single" w:sz="8" w:color="auto"/>
            </w:tcBorders>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5820" w:type="dxa"/>
            <w:vAlign w:val="bottom"/>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5820" w:type="dxa"/>
            <w:vAlign w:val="bottom"/>
          </w:tcPr>
          <w:p>
            <w:pPr>
              <w:ind w:left="440"/>
              <w:spacing w:after="0"/>
              <w:rPr>
                <w:sz w:val="20"/>
                <w:szCs w:val="20"/>
                <w:color w:val="auto"/>
              </w:rPr>
            </w:pPr>
            <w:r>
              <w:rPr>
                <w:rFonts w:ascii="Arial" w:cs="Arial" w:eastAsia="Arial" w:hAnsi="Arial"/>
                <w:sz w:val="18"/>
                <w:szCs w:val="18"/>
                <w:color w:val="auto"/>
              </w:rPr>
              <w:t>757,000 shares of Common Stock</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778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rPr>
              <w:t>1,886,792 shares of Common Stock issuable upon exercise of 2014 Warrants (See Item 4)*</w:t>
            </w:r>
          </w:p>
        </w:tc>
        <w:tc>
          <w:tcPr>
            <w:tcW w:w="0" w:type="dxa"/>
            <w:vAlign w:val="bottom"/>
          </w:tcPr>
          <w:p>
            <w:pPr>
              <w:spacing w:after="0"/>
              <w:rPr>
                <w:sz w:val="1"/>
                <w:szCs w:val="1"/>
                <w:color w:val="auto"/>
              </w:rPr>
            </w:pPr>
          </w:p>
        </w:tc>
      </w:tr>
      <w:tr>
        <w:trPr>
          <w:trHeight w:val="230"/>
        </w:trPr>
        <w:tc>
          <w:tcPr>
            <w:tcW w:w="3260" w:type="dxa"/>
            <w:vAlign w:val="bottom"/>
            <w:tcBorders>
              <w:left w:val="single" w:sz="8" w:color="auto"/>
              <w:righ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778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w w:val="96"/>
              </w:rPr>
              <w:t>2,320,000 shares of Common Stock issuable upon exercise of Series C Warrants (See Item 4)*</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757,000 shares of Common Stock</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7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1,886,792 shares of Common Stock issuable upon exercise of 2014 Warrants (See Item 4)*</w:t>
            </w:r>
          </w:p>
        </w:tc>
        <w:tc>
          <w:tcPr>
            <w:tcW w:w="0" w:type="dxa"/>
            <w:vAlign w:val="bottom"/>
          </w:tcPr>
          <w:p>
            <w:pPr>
              <w:spacing w:after="0"/>
              <w:rPr>
                <w:sz w:val="1"/>
                <w:szCs w:val="1"/>
                <w:color w:val="auto"/>
              </w:rPr>
            </w:pPr>
          </w:p>
        </w:tc>
      </w:tr>
      <w:tr>
        <w:trPr>
          <w:trHeight w:val="230"/>
        </w:trPr>
        <w:tc>
          <w:tcPr>
            <w:tcW w:w="3260" w:type="dxa"/>
            <w:vAlign w:val="bottom"/>
            <w:tcBorders>
              <w:left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7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2,320,000 shares of Common Stock issuable upon exercise of Series C Warrants (See Item 4)*</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2"/>
              </w:rPr>
              <w:t>10</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w:t>
            </w:r>
          </w:p>
        </w:tc>
        <w:tc>
          <w:tcPr>
            <w:tcW w:w="1960" w:type="dxa"/>
            <w:vAlign w:val="bottom"/>
            <w:tcBorders>
              <w:right w:val="single" w:sz="8" w:color="auto"/>
            </w:tcBorders>
            <w:vMerge w:val="restart"/>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7"/>
        </w:trPr>
        <w:tc>
          <w:tcPr>
            <w:tcW w:w="3260" w:type="dxa"/>
            <w:vAlign w:val="bottom"/>
            <w:tcBorders>
              <w:left w:val="single" w:sz="8" w:color="auto"/>
              <w:right w:val="single" w:sz="8" w:color="auto"/>
            </w:tcBorders>
            <w:vMerge w:val="continue"/>
          </w:tcPr>
          <w:p>
            <w:pPr>
              <w:spacing w:after="0"/>
              <w:rPr>
                <w:sz w:val="17"/>
                <w:szCs w:val="17"/>
                <w:color w:val="auto"/>
              </w:rPr>
            </w:pP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SHARES</w:t>
            </w:r>
          </w:p>
        </w:tc>
        <w:tc>
          <w:tcPr>
            <w:tcW w:w="19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260" w:type="dxa"/>
            <w:vAlign w:val="bottom"/>
            <w:tcBorders>
              <w:left w:val="single" w:sz="8" w:color="auto"/>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82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260" w:type="dxa"/>
            <w:vAlign w:val="bottom"/>
            <w:tcBorders>
              <w:left w:val="single" w:sz="8" w:color="auto"/>
              <w:right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820" w:type="dxa"/>
            <w:vAlign w:val="bottom"/>
            <w:vMerge w:val="restart"/>
          </w:tcPr>
          <w:p>
            <w:pPr>
              <w:ind w:left="40"/>
              <w:spacing w:after="0"/>
              <w:rPr>
                <w:sz w:val="20"/>
                <w:szCs w:val="20"/>
                <w:color w:val="auto"/>
              </w:rPr>
            </w:pPr>
            <w:r>
              <w:rPr>
                <w:rFonts w:ascii="Arial" w:cs="Arial" w:eastAsia="Arial" w:hAnsi="Arial"/>
                <w:sz w:val="20"/>
                <w:szCs w:val="20"/>
                <w:color w:val="auto"/>
              </w:rPr>
              <w:t>4.99% (See Item 4)*</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260" w:type="dxa"/>
            <w:vAlign w:val="bottom"/>
            <w:tcBorders>
              <w:left w:val="single" w:sz="8" w:color="auto"/>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1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260" w:type="dxa"/>
            <w:vAlign w:val="bottom"/>
            <w:tcBorders>
              <w:left w:val="single" w:sz="8" w:color="auto"/>
              <w:right w:val="single" w:sz="8" w:color="auto"/>
            </w:tcBorders>
            <w:vMerge w:val="continue"/>
          </w:tcPr>
          <w:p>
            <w:pPr>
              <w:spacing w:after="0"/>
              <w:rPr>
                <w:sz w:val="13"/>
                <w:szCs w:val="13"/>
                <w:color w:val="auto"/>
              </w:rPr>
            </w:pPr>
          </w:p>
        </w:tc>
        <w:tc>
          <w:tcPr>
            <w:tcW w:w="380" w:type="dxa"/>
            <w:vAlign w:val="bottom"/>
            <w:vMerge w:val="restart"/>
          </w:tcPr>
          <w:p>
            <w:pPr>
              <w:ind w:left="100"/>
              <w:spacing w:after="0"/>
              <w:rPr>
                <w:sz w:val="20"/>
                <w:szCs w:val="20"/>
                <w:color w:val="auto"/>
              </w:rPr>
            </w:pPr>
            <w:r>
              <w:rPr>
                <w:rFonts w:ascii="Arial" w:cs="Arial" w:eastAsia="Arial" w:hAnsi="Arial"/>
                <w:sz w:val="16"/>
                <w:szCs w:val="16"/>
                <w:color w:val="auto"/>
              </w:rPr>
              <w:t>IN</w:t>
            </w:r>
          </w:p>
        </w:tc>
        <w:tc>
          <w:tcPr>
            <w:tcW w:w="582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3260" w:type="dxa"/>
            <w:vAlign w:val="bottom"/>
            <w:tcBorders>
              <w:left w:val="single" w:sz="8" w:color="auto"/>
              <w:bottom w:val="single" w:sz="8" w:color="auto"/>
              <w:right w:val="single" w:sz="8" w:color="auto"/>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5820" w:type="dxa"/>
            <w:vAlign w:val="bottom"/>
            <w:tcBorders>
              <w:bottom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8"/>
        <w:spacing w:after="0" w:line="25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more fully described in Item 4, the Series C Warrants are subject to a 9.9% blocker, and the 2014 Warrants are subject to a 4.99% blocker and the percentage set forth in row (11) gives effect to such blockers. However, as more fully described in Item 4, the securities reported in rows (6), (8) and (9) show the number of shares of Common Stock that would be issuable upon full exercise of such reported securities and do not give effect to such blockers. Therefore, the actual number of shares of Common Stock beneficially owned by such Reporting Person, after giving effect to such blockers, is less than the number of securities reported in rows (6), (8) and (9).</w:t>
      </w:r>
    </w:p>
    <w:p>
      <w:pPr>
        <w:sectPr>
          <w:pgSz w:w="11900" w:h="16838" w:orient="portrait"/>
          <w:cols w:equalWidth="0" w:num="1">
            <w:col w:w="11420"/>
          </w:cols>
          <w:pgMar w:left="240" w:top="229"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CUSIP No. 876033309</w:t>
            </w:r>
          </w:p>
        </w:tc>
        <w:tc>
          <w:tcPr>
            <w:tcW w:w="380" w:type="dxa"/>
            <w:vAlign w:val="bottom"/>
          </w:tcPr>
          <w:p>
            <w:pPr>
              <w:spacing w:after="0"/>
              <w:rPr>
                <w:sz w:val="20"/>
                <w:szCs w:val="20"/>
                <w:color w:val="auto"/>
              </w:rPr>
            </w:pPr>
          </w:p>
        </w:tc>
        <w:tc>
          <w:tcPr>
            <w:tcW w:w="5820" w:type="dxa"/>
            <w:vAlign w:val="bottom"/>
          </w:tcPr>
          <w:p>
            <w:pPr>
              <w:ind w:left="1920"/>
              <w:spacing w:after="0"/>
              <w:rPr>
                <w:sz w:val="20"/>
                <w:szCs w:val="20"/>
                <w:color w:val="auto"/>
              </w:rPr>
            </w:pPr>
            <w:r>
              <w:rPr>
                <w:rFonts w:ascii="Arial" w:cs="Arial" w:eastAsia="Arial" w:hAnsi="Arial"/>
                <w:sz w:val="18"/>
                <w:szCs w:val="18"/>
                <w:b w:val="1"/>
                <w:bCs w:val="1"/>
                <w:color w:val="auto"/>
              </w:rPr>
              <w:t>13G</w:t>
            </w:r>
          </w:p>
        </w:tc>
        <w:tc>
          <w:tcPr>
            <w:tcW w:w="1960" w:type="dxa"/>
            <w:vAlign w:val="bottom"/>
          </w:tcPr>
          <w:p>
            <w:pPr>
              <w:ind w:left="640"/>
              <w:spacing w:after="0"/>
              <w:rPr>
                <w:sz w:val="20"/>
                <w:szCs w:val="20"/>
                <w:color w:val="auto"/>
              </w:rPr>
            </w:pPr>
            <w:r>
              <w:rPr>
                <w:rFonts w:ascii="Arial" w:cs="Arial" w:eastAsia="Arial" w:hAnsi="Arial"/>
                <w:sz w:val="18"/>
                <w:szCs w:val="18"/>
                <w:b w:val="1"/>
                <w:bCs w:val="1"/>
                <w:color w:val="auto"/>
                <w:w w:val="83"/>
              </w:rPr>
              <w:t>Page 4 of 6 Pages</w:t>
            </w:r>
          </w:p>
        </w:tc>
        <w:tc>
          <w:tcPr>
            <w:tcW w:w="0" w:type="dxa"/>
            <w:vAlign w:val="bottom"/>
          </w:tcPr>
          <w:p>
            <w:pPr>
              <w:spacing w:after="0"/>
              <w:rPr>
                <w:sz w:val="1"/>
                <w:szCs w:val="1"/>
                <w:color w:val="auto"/>
              </w:rPr>
            </w:pPr>
          </w:p>
        </w:tc>
      </w:tr>
      <w:tr>
        <w:trPr>
          <w:trHeight w:val="338"/>
        </w:trPr>
        <w:tc>
          <w:tcPr>
            <w:tcW w:w="326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2"/>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1</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NAMES OF REPORTING PERSONS</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260" w:type="dxa"/>
            <w:vAlign w:val="bottom"/>
            <w:tcBorders>
              <w:left w:val="single" w:sz="8" w:color="auto"/>
              <w:right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820" w:type="dxa"/>
            <w:vAlign w:val="bottom"/>
            <w:vMerge w:val="restart"/>
          </w:tcPr>
          <w:p>
            <w:pPr>
              <w:ind w:left="40"/>
              <w:spacing w:after="0"/>
              <w:rPr>
                <w:sz w:val="20"/>
                <w:szCs w:val="20"/>
                <w:color w:val="auto"/>
              </w:rPr>
            </w:pPr>
            <w:r>
              <w:rPr>
                <w:rFonts w:ascii="Arial" w:cs="Arial" w:eastAsia="Arial" w:hAnsi="Arial"/>
                <w:sz w:val="20"/>
                <w:szCs w:val="20"/>
                <w:color w:val="auto"/>
              </w:rPr>
              <w:t>Martin D. Hoe</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260" w:type="dxa"/>
            <w:vAlign w:val="bottom"/>
            <w:tcBorders>
              <w:left w:val="single" w:sz="8" w:color="auto"/>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6200" w:type="dxa"/>
            <w:vAlign w:val="bottom"/>
            <w:tcBorders>
              <w:bottom w:val="single" w:sz="8" w:color="auto"/>
            </w:tcBorders>
            <w:gridSpan w:val="2"/>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2</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1960" w:type="dxa"/>
            <w:vAlign w:val="bottom"/>
            <w:tcBorders>
              <w:right w:val="single" w:sz="8" w:color="auto"/>
            </w:tcBorders>
            <w:vMerge w:val="restart"/>
          </w:tcPr>
          <w:p>
            <w:pPr>
              <w:ind w:left="20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3260" w:type="dxa"/>
            <w:vAlign w:val="bottom"/>
            <w:tcBorders>
              <w:left w:val="single" w:sz="8" w:color="auto"/>
              <w:right w:val="single" w:sz="8" w:color="auto"/>
            </w:tcBorders>
            <w:vMerge w:val="continue"/>
          </w:tcPr>
          <w:p>
            <w:pPr>
              <w:spacing w:after="0"/>
              <w:rPr>
                <w:sz w:val="7"/>
                <w:szCs w:val="7"/>
                <w:color w:val="auto"/>
              </w:rPr>
            </w:pPr>
          </w:p>
        </w:tc>
        <w:tc>
          <w:tcPr>
            <w:tcW w:w="380" w:type="dxa"/>
            <w:vAlign w:val="bottom"/>
          </w:tcPr>
          <w:p>
            <w:pPr>
              <w:spacing w:after="0"/>
              <w:rPr>
                <w:sz w:val="7"/>
                <w:szCs w:val="7"/>
                <w:color w:val="auto"/>
              </w:rPr>
            </w:pPr>
          </w:p>
        </w:tc>
        <w:tc>
          <w:tcPr>
            <w:tcW w:w="5820" w:type="dxa"/>
            <w:vAlign w:val="bottom"/>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6"/>
        </w:trPr>
        <w:tc>
          <w:tcPr>
            <w:tcW w:w="3260" w:type="dxa"/>
            <w:vAlign w:val="bottom"/>
            <w:tcBorders>
              <w:left w:val="single" w:sz="8" w:color="auto"/>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c>
          <w:tcPr>
            <w:tcW w:w="1960" w:type="dxa"/>
            <w:vAlign w:val="bottom"/>
            <w:tcBorders>
              <w:bottom w:val="single" w:sz="8" w:color="auto"/>
              <w:right w:val="single" w:sz="8" w:color="auto"/>
            </w:tcBorders>
          </w:tcPr>
          <w:p>
            <w:pPr>
              <w:ind w:left="20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3</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1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260" w:type="dxa"/>
            <w:vAlign w:val="bottom"/>
            <w:tcBorders>
              <w:left w:val="single" w:sz="8" w:color="auto"/>
              <w:right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260" w:type="dxa"/>
            <w:vAlign w:val="bottom"/>
            <w:tcBorders>
              <w:left w:val="single" w:sz="8" w:color="auto"/>
              <w:bottom w:val="single" w:sz="8" w:color="auto"/>
              <w:right w:val="single" w:sz="8" w:color="auto"/>
            </w:tcBorders>
          </w:tcPr>
          <w:p>
            <w:pPr>
              <w:spacing w:after="0"/>
              <w:rPr>
                <w:sz w:val="8"/>
                <w:szCs w:val="8"/>
                <w:color w:val="auto"/>
              </w:rPr>
            </w:pPr>
          </w:p>
        </w:tc>
        <w:tc>
          <w:tcPr>
            <w:tcW w:w="6200" w:type="dxa"/>
            <w:vAlign w:val="bottom"/>
            <w:tcBorders>
              <w:bottom w:val="single" w:sz="8" w:color="auto"/>
            </w:tcBorders>
            <w:gridSpan w:val="2"/>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260" w:type="dxa"/>
            <w:vAlign w:val="bottom"/>
            <w:tcBorders>
              <w:left w:val="single" w:sz="8" w:color="auto"/>
              <w:right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820" w:type="dxa"/>
            <w:vAlign w:val="bottom"/>
            <w:vMerge w:val="restart"/>
          </w:tcPr>
          <w:p>
            <w:pPr>
              <w:ind w:left="40"/>
              <w:spacing w:after="0"/>
              <w:rPr>
                <w:sz w:val="20"/>
                <w:szCs w:val="20"/>
                <w:color w:val="auto"/>
              </w:rPr>
            </w:pPr>
            <w:r>
              <w:rPr>
                <w:rFonts w:ascii="Arial" w:cs="Arial" w:eastAsia="Arial" w:hAnsi="Arial"/>
                <w:sz w:val="20"/>
                <w:szCs w:val="20"/>
                <w:color w:val="auto"/>
              </w:rPr>
              <w:t>United States</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260" w:type="dxa"/>
            <w:vAlign w:val="bottom"/>
            <w:tcBorders>
              <w:left w:val="single" w:sz="8" w:color="auto"/>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04"/>
        </w:trPr>
        <w:tc>
          <w:tcPr>
            <w:tcW w:w="3260" w:type="dxa"/>
            <w:vAlign w:val="bottom"/>
            <w:tcBorders>
              <w:left w:val="single" w:sz="8" w:color="auto"/>
              <w:right w:val="single" w:sz="8" w:color="auto"/>
            </w:tcBorders>
          </w:tcPr>
          <w:p>
            <w:pPr>
              <w:spacing w:after="0"/>
              <w:rPr>
                <w:sz w:val="24"/>
                <w:szCs w:val="24"/>
                <w:color w:val="auto"/>
              </w:rPr>
            </w:pPr>
          </w:p>
        </w:tc>
        <w:tc>
          <w:tcPr>
            <w:tcW w:w="380" w:type="dxa"/>
            <w:vAlign w:val="bottom"/>
            <w:tcBorders>
              <w:right w:val="single" w:sz="8" w:color="auto"/>
            </w:tcBorders>
          </w:tcPr>
          <w:p>
            <w:pPr>
              <w:ind w:left="100"/>
              <w:spacing w:after="0"/>
              <w:rPr>
                <w:sz w:val="20"/>
                <w:szCs w:val="20"/>
                <w:color w:val="auto"/>
              </w:rPr>
            </w:pPr>
            <w:r>
              <w:rPr>
                <w:rFonts w:ascii="Arial" w:cs="Arial" w:eastAsia="Arial" w:hAnsi="Arial"/>
                <w:sz w:val="29"/>
                <w:szCs w:val="29"/>
                <w:b w:val="1"/>
                <w:bCs w:val="1"/>
                <w:color w:val="auto"/>
              </w:rPr>
              <w:t>5</w:t>
            </w:r>
          </w:p>
        </w:tc>
        <w:tc>
          <w:tcPr>
            <w:tcW w:w="582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260" w:type="dxa"/>
            <w:vAlign w:val="bottom"/>
            <w:tcBorders>
              <w:left w:val="single" w:sz="8" w:color="auto"/>
              <w:right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5820" w:type="dxa"/>
            <w:vAlign w:val="bottom"/>
            <w:tcBorders>
              <w:bottom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260" w:type="dxa"/>
            <w:vAlign w:val="bottom"/>
            <w:tcBorders>
              <w:left w:val="single" w:sz="8" w:color="auto"/>
              <w:right w:val="single" w:sz="8" w:color="auto"/>
            </w:tcBorders>
          </w:tcPr>
          <w:p>
            <w:pPr>
              <w:spacing w:after="0"/>
              <w:rPr>
                <w:sz w:val="21"/>
                <w:szCs w:val="21"/>
                <w:color w:val="auto"/>
              </w:rPr>
            </w:pPr>
          </w:p>
        </w:tc>
        <w:tc>
          <w:tcPr>
            <w:tcW w:w="380" w:type="dxa"/>
            <w:vAlign w:val="bottom"/>
            <w:tcBorders>
              <w:right w:val="single" w:sz="8" w:color="auto"/>
            </w:tcBorders>
          </w:tcPr>
          <w:p>
            <w:pPr>
              <w:ind w:left="100"/>
              <w:spacing w:after="0" w:line="252" w:lineRule="exact"/>
              <w:rPr>
                <w:sz w:val="20"/>
                <w:szCs w:val="20"/>
                <w:color w:val="auto"/>
              </w:rPr>
            </w:pPr>
            <w:r>
              <w:rPr>
                <w:rFonts w:ascii="Arial" w:cs="Arial" w:eastAsia="Arial" w:hAnsi="Arial"/>
                <w:sz w:val="29"/>
                <w:szCs w:val="29"/>
                <w:b w:val="1"/>
                <w:bCs w:val="1"/>
                <w:color w:val="auto"/>
              </w:rPr>
              <w:t>6</w:t>
            </w:r>
          </w:p>
        </w:tc>
        <w:tc>
          <w:tcPr>
            <w:tcW w:w="582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1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380" w:type="dxa"/>
            <w:vAlign w:val="bottom"/>
            <w:tcBorders>
              <w:right w:val="single" w:sz="8" w:color="auto"/>
            </w:tcBorders>
          </w:tcPr>
          <w:p>
            <w:pPr>
              <w:spacing w:after="0"/>
              <w:rPr>
                <w:sz w:val="17"/>
                <w:szCs w:val="17"/>
                <w:color w:val="auto"/>
              </w:rPr>
            </w:pPr>
          </w:p>
        </w:tc>
        <w:tc>
          <w:tcPr>
            <w:tcW w:w="5820" w:type="dxa"/>
            <w:vAlign w:val="bottom"/>
          </w:tcPr>
          <w:p>
            <w:pPr>
              <w:ind w:left="440"/>
              <w:spacing w:after="0" w:line="200" w:lineRule="exact"/>
              <w:rPr>
                <w:sz w:val="20"/>
                <w:szCs w:val="20"/>
                <w:color w:val="auto"/>
              </w:rPr>
            </w:pPr>
            <w:r>
              <w:rPr>
                <w:rFonts w:ascii="Arial" w:cs="Arial" w:eastAsia="Arial" w:hAnsi="Arial"/>
                <w:sz w:val="18"/>
                <w:szCs w:val="18"/>
                <w:color w:val="auto"/>
              </w:rPr>
              <w:t>757,000 shares of Common Stock</w:t>
            </w:r>
          </w:p>
        </w:tc>
        <w:tc>
          <w:tcPr>
            <w:tcW w:w="1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3260" w:type="dxa"/>
            <w:vAlign w:val="bottom"/>
            <w:tcBorders>
              <w:left w:val="single" w:sz="8" w:color="auto"/>
              <w:right w:val="single" w:sz="8" w:color="auto"/>
            </w:tcBorders>
            <w:vMerge w:val="continue"/>
          </w:tcPr>
          <w:p>
            <w:pPr>
              <w:spacing w:after="0"/>
              <w:rPr>
                <w:sz w:val="6"/>
                <w:szCs w:val="6"/>
                <w:color w:val="auto"/>
              </w:rPr>
            </w:pPr>
          </w:p>
        </w:tc>
        <w:tc>
          <w:tcPr>
            <w:tcW w:w="380" w:type="dxa"/>
            <w:vAlign w:val="bottom"/>
            <w:tcBorders>
              <w:right w:val="single" w:sz="8" w:color="auto"/>
            </w:tcBorders>
          </w:tcPr>
          <w:p>
            <w:pPr>
              <w:spacing w:after="0"/>
              <w:rPr>
                <w:sz w:val="6"/>
                <w:szCs w:val="6"/>
                <w:color w:val="auto"/>
              </w:rPr>
            </w:pPr>
          </w:p>
        </w:tc>
        <w:tc>
          <w:tcPr>
            <w:tcW w:w="7780" w:type="dxa"/>
            <w:vAlign w:val="bottom"/>
            <w:tcBorders>
              <w:right w:val="single" w:sz="8" w:color="auto"/>
            </w:tcBorders>
            <w:gridSpan w:val="2"/>
            <w:vMerge w:val="restart"/>
          </w:tcPr>
          <w:p>
            <w:pPr>
              <w:ind w:left="420"/>
              <w:spacing w:after="0"/>
              <w:rPr>
                <w:sz w:val="20"/>
                <w:szCs w:val="20"/>
                <w:color w:val="auto"/>
              </w:rPr>
            </w:pPr>
            <w:r>
              <w:rPr>
                <w:rFonts w:ascii="Arial" w:cs="Arial" w:eastAsia="Arial" w:hAnsi="Arial"/>
                <w:sz w:val="18"/>
                <w:szCs w:val="18"/>
                <w:color w:val="auto"/>
              </w:rPr>
              <w:t>1,886,792 shares of Common Stock issuable upon exercise of 2014 Warrants (See Item 4)*</w:t>
            </w:r>
          </w:p>
        </w:tc>
        <w:tc>
          <w:tcPr>
            <w:tcW w:w="0" w:type="dxa"/>
            <w:vAlign w:val="bottom"/>
          </w:tcPr>
          <w:p>
            <w:pPr>
              <w:spacing w:after="0"/>
              <w:rPr>
                <w:sz w:val="1"/>
                <w:szCs w:val="1"/>
                <w:color w:val="auto"/>
              </w:rPr>
            </w:pPr>
          </w:p>
        </w:tc>
      </w:tr>
      <w:tr>
        <w:trPr>
          <w:trHeight w:val="158"/>
        </w:trPr>
        <w:tc>
          <w:tcPr>
            <w:tcW w:w="326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380" w:type="dxa"/>
            <w:vAlign w:val="bottom"/>
            <w:tcBorders>
              <w:right w:val="single" w:sz="8" w:color="auto"/>
            </w:tcBorders>
          </w:tcPr>
          <w:p>
            <w:pPr>
              <w:spacing w:after="0"/>
              <w:rPr>
                <w:sz w:val="13"/>
                <w:szCs w:val="13"/>
                <w:color w:val="auto"/>
              </w:rPr>
            </w:pPr>
          </w:p>
        </w:tc>
        <w:tc>
          <w:tcPr>
            <w:tcW w:w="778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380" w:type="dxa"/>
            <w:vAlign w:val="bottom"/>
            <w:tcBorders>
              <w:right w:val="single" w:sz="8" w:color="auto"/>
            </w:tcBorders>
          </w:tcPr>
          <w:p>
            <w:pPr>
              <w:spacing w:after="0"/>
              <w:rPr>
                <w:sz w:val="21"/>
                <w:szCs w:val="21"/>
                <w:color w:val="auto"/>
              </w:rPr>
            </w:pPr>
          </w:p>
        </w:tc>
        <w:tc>
          <w:tcPr>
            <w:tcW w:w="778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w w:val="96"/>
              </w:rPr>
              <w:t>2,320,000 shares of Common Stock issuable upon exercise of Series C Warrants (See Item 4)*</w:t>
            </w:r>
          </w:p>
        </w:tc>
        <w:tc>
          <w:tcPr>
            <w:tcW w:w="0" w:type="dxa"/>
            <w:vAlign w:val="bottom"/>
          </w:tcPr>
          <w:p>
            <w:pPr>
              <w:spacing w:after="0"/>
              <w:rPr>
                <w:sz w:val="1"/>
                <w:szCs w:val="1"/>
                <w:color w:val="auto"/>
              </w:rPr>
            </w:pPr>
          </w:p>
        </w:tc>
      </w:tr>
      <w:tr>
        <w:trPr>
          <w:trHeight w:val="77"/>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38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26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Borders>
              <w:right w:val="single" w:sz="8" w:color="auto"/>
            </w:tcBorders>
            <w:vMerge w:val="restart"/>
          </w:tcPr>
          <w:p>
            <w:pPr>
              <w:ind w:left="100"/>
              <w:spacing w:after="0" w:line="317" w:lineRule="exact"/>
              <w:rPr>
                <w:sz w:val="20"/>
                <w:szCs w:val="20"/>
                <w:color w:val="auto"/>
              </w:rPr>
            </w:pPr>
            <w:r>
              <w:rPr>
                <w:rFonts w:ascii="Arial" w:cs="Arial" w:eastAsia="Arial" w:hAnsi="Arial"/>
                <w:sz w:val="29"/>
                <w:szCs w:val="29"/>
                <w:b w:val="1"/>
                <w:bCs w:val="1"/>
                <w:color w:val="auto"/>
              </w:rPr>
              <w:t>7</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EACH</w:t>
            </w:r>
          </w:p>
        </w:tc>
        <w:tc>
          <w:tcPr>
            <w:tcW w:w="380" w:type="dxa"/>
            <w:vAlign w:val="bottom"/>
            <w:tcBorders>
              <w:right w:val="single" w:sz="8" w:color="auto"/>
            </w:tcBorders>
            <w:vMerge w:val="continue"/>
          </w:tcPr>
          <w:p>
            <w:pPr>
              <w:spacing w:after="0"/>
              <w:rPr>
                <w:sz w:val="18"/>
                <w:szCs w:val="18"/>
                <w:color w:val="auto"/>
              </w:rPr>
            </w:pPr>
          </w:p>
        </w:tc>
        <w:tc>
          <w:tcPr>
            <w:tcW w:w="5820" w:type="dxa"/>
            <w:vAlign w:val="bottom"/>
            <w:vMerge w:val="continue"/>
          </w:tcPr>
          <w:p>
            <w:pPr>
              <w:spacing w:after="0"/>
              <w:rPr>
                <w:sz w:val="18"/>
                <w:szCs w:val="18"/>
                <w:color w:val="auto"/>
              </w:rPr>
            </w:pP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380" w:type="dxa"/>
            <w:vAlign w:val="bottom"/>
            <w:tcBorders>
              <w:right w:val="single" w:sz="8" w:color="auto"/>
            </w:tcBorders>
          </w:tcPr>
          <w:p>
            <w:pPr>
              <w:spacing w:after="0"/>
              <w:rPr>
                <w:sz w:val="16"/>
                <w:szCs w:val="16"/>
                <w:color w:val="auto"/>
              </w:rPr>
            </w:pPr>
          </w:p>
        </w:tc>
        <w:tc>
          <w:tcPr>
            <w:tcW w:w="5820" w:type="dxa"/>
            <w:vAlign w:val="bottom"/>
          </w:tcPr>
          <w:p>
            <w:pPr>
              <w:spacing w:after="0"/>
              <w:rPr>
                <w:sz w:val="16"/>
                <w:szCs w:val="16"/>
                <w:color w:val="auto"/>
              </w:rPr>
            </w:pPr>
          </w:p>
        </w:tc>
        <w:tc>
          <w:tcPr>
            <w:tcW w:w="1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380" w:type="dxa"/>
            <w:vAlign w:val="bottom"/>
            <w:tcBorders>
              <w:bottom w:val="single" w:sz="8" w:color="auto"/>
              <w:right w:val="single" w:sz="8" w:color="auto"/>
            </w:tcBorders>
          </w:tcPr>
          <w:p>
            <w:pPr>
              <w:spacing w:after="0"/>
              <w:rPr>
                <w:sz w:val="6"/>
                <w:szCs w:val="6"/>
                <w:color w:val="auto"/>
              </w:rPr>
            </w:pPr>
          </w:p>
        </w:tc>
        <w:tc>
          <w:tcPr>
            <w:tcW w:w="582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260" w:type="dxa"/>
            <w:vAlign w:val="bottom"/>
            <w:tcBorders>
              <w:left w:val="single" w:sz="8" w:color="auto"/>
              <w:right w:val="single" w:sz="8" w:color="auto"/>
            </w:tcBorders>
            <w:vMerge w:val="continue"/>
          </w:tcPr>
          <w:p>
            <w:pPr>
              <w:spacing w:after="0"/>
              <w:rPr>
                <w:sz w:val="9"/>
                <w:szCs w:val="9"/>
                <w:color w:val="auto"/>
              </w:rPr>
            </w:pPr>
          </w:p>
        </w:tc>
        <w:tc>
          <w:tcPr>
            <w:tcW w:w="3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9"/>
                <w:szCs w:val="29"/>
                <w:b w:val="1"/>
                <w:bCs w:val="1"/>
                <w:color w:val="auto"/>
              </w:rPr>
              <w:t>8</w:t>
            </w:r>
          </w:p>
        </w:tc>
        <w:tc>
          <w:tcPr>
            <w:tcW w:w="582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260" w:type="dxa"/>
            <w:vAlign w:val="bottom"/>
            <w:tcBorders>
              <w:left w:val="single" w:sz="8" w:color="auto"/>
              <w:right w:val="single" w:sz="8" w:color="auto"/>
            </w:tcBorders>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5820" w:type="dxa"/>
            <w:vAlign w:val="bottom"/>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80" w:type="dxa"/>
            <w:vAlign w:val="bottom"/>
            <w:tcBorders>
              <w:right w:val="single" w:sz="8" w:color="auto"/>
            </w:tcBorders>
            <w:vMerge w:val="continue"/>
          </w:tcPr>
          <w:p>
            <w:pPr>
              <w:spacing w:after="0"/>
              <w:rPr>
                <w:sz w:val="18"/>
                <w:szCs w:val="18"/>
                <w:color w:val="auto"/>
              </w:rPr>
            </w:pPr>
          </w:p>
        </w:tc>
        <w:tc>
          <w:tcPr>
            <w:tcW w:w="5820" w:type="dxa"/>
            <w:vAlign w:val="bottom"/>
          </w:tcPr>
          <w:p>
            <w:pPr>
              <w:ind w:left="440"/>
              <w:spacing w:after="0"/>
              <w:rPr>
                <w:sz w:val="20"/>
                <w:szCs w:val="20"/>
                <w:color w:val="auto"/>
              </w:rPr>
            </w:pPr>
            <w:r>
              <w:rPr>
                <w:rFonts w:ascii="Arial" w:cs="Arial" w:eastAsia="Arial" w:hAnsi="Arial"/>
                <w:sz w:val="18"/>
                <w:szCs w:val="18"/>
                <w:color w:val="auto"/>
              </w:rPr>
              <w:t>757,000 shares of Common Stock</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778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rPr>
              <w:t>1,886,792 shares of Common Stock issuable upon exercise of 2014 Warrants (See Item 4)*</w:t>
            </w:r>
          </w:p>
        </w:tc>
        <w:tc>
          <w:tcPr>
            <w:tcW w:w="0" w:type="dxa"/>
            <w:vAlign w:val="bottom"/>
          </w:tcPr>
          <w:p>
            <w:pPr>
              <w:spacing w:after="0"/>
              <w:rPr>
                <w:sz w:val="1"/>
                <w:szCs w:val="1"/>
                <w:color w:val="auto"/>
              </w:rPr>
            </w:pPr>
          </w:p>
        </w:tc>
      </w:tr>
      <w:tr>
        <w:trPr>
          <w:trHeight w:val="230"/>
        </w:trPr>
        <w:tc>
          <w:tcPr>
            <w:tcW w:w="3260" w:type="dxa"/>
            <w:vAlign w:val="bottom"/>
            <w:tcBorders>
              <w:left w:val="single" w:sz="8" w:color="auto"/>
              <w:righ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7780" w:type="dxa"/>
            <w:vAlign w:val="bottom"/>
            <w:tcBorders>
              <w:right w:val="single" w:sz="8" w:color="auto"/>
            </w:tcBorders>
            <w:gridSpan w:val="2"/>
          </w:tcPr>
          <w:p>
            <w:pPr>
              <w:ind w:left="420"/>
              <w:spacing w:after="0"/>
              <w:rPr>
                <w:sz w:val="20"/>
                <w:szCs w:val="20"/>
                <w:color w:val="auto"/>
              </w:rPr>
            </w:pPr>
            <w:r>
              <w:rPr>
                <w:rFonts w:ascii="Arial" w:cs="Arial" w:eastAsia="Arial" w:hAnsi="Arial"/>
                <w:sz w:val="18"/>
                <w:szCs w:val="18"/>
                <w:color w:val="auto"/>
                <w:w w:val="96"/>
              </w:rPr>
              <w:t>2,320,000 shares of Common Stock issuable upon exercise of Series C Warrants (See Item 4)*</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right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757,000 shares of Common Stock</w:t>
            </w:r>
          </w:p>
        </w:tc>
        <w:tc>
          <w:tcPr>
            <w:tcW w:w="1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7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1,886,792 shares of Common Stock issuable upon exercise of 2014 Warrants (See Item 4)*</w:t>
            </w:r>
          </w:p>
        </w:tc>
        <w:tc>
          <w:tcPr>
            <w:tcW w:w="0" w:type="dxa"/>
            <w:vAlign w:val="bottom"/>
          </w:tcPr>
          <w:p>
            <w:pPr>
              <w:spacing w:after="0"/>
              <w:rPr>
                <w:sz w:val="1"/>
                <w:szCs w:val="1"/>
                <w:color w:val="auto"/>
              </w:rPr>
            </w:pPr>
          </w:p>
        </w:tc>
      </w:tr>
      <w:tr>
        <w:trPr>
          <w:trHeight w:val="230"/>
        </w:trPr>
        <w:tc>
          <w:tcPr>
            <w:tcW w:w="3260" w:type="dxa"/>
            <w:vAlign w:val="bottom"/>
            <w:tcBorders>
              <w:left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77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2,320,000 shares of Common Stock issuable upon exercise of Series C Warrants (See Item 4)*</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2"/>
              </w:rPr>
              <w:t>10</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w:t>
            </w:r>
          </w:p>
        </w:tc>
        <w:tc>
          <w:tcPr>
            <w:tcW w:w="1960" w:type="dxa"/>
            <w:vAlign w:val="bottom"/>
            <w:tcBorders>
              <w:right w:val="single" w:sz="8" w:color="auto"/>
            </w:tcBorders>
            <w:vMerge w:val="restart"/>
          </w:tcPr>
          <w:p>
            <w:pPr>
              <w:ind w:left="240"/>
              <w:spacing w:after="0" w:line="291" w:lineRule="exact"/>
              <w:rPr>
                <w:sz w:val="20"/>
                <w:szCs w:val="20"/>
                <w:color w:val="auto"/>
              </w:rPr>
            </w:pPr>
            <w:r>
              <w:rPr>
                <w:rFonts w:ascii="MS PGothic" w:cs="MS PGothic" w:eastAsia="MS PGothic" w:hAnsi="MS PGothic"/>
                <w:sz w:val="29"/>
                <w:szCs w:val="29"/>
                <w:color w:val="auto"/>
              </w:rPr>
              <w:t>☐</w:t>
            </w:r>
          </w:p>
        </w:tc>
        <w:tc>
          <w:tcPr>
            <w:tcW w:w="0" w:type="dxa"/>
            <w:vAlign w:val="bottom"/>
          </w:tcPr>
          <w:p>
            <w:pPr>
              <w:spacing w:after="0"/>
              <w:rPr>
                <w:sz w:val="1"/>
                <w:szCs w:val="1"/>
                <w:color w:val="auto"/>
              </w:rPr>
            </w:pPr>
          </w:p>
        </w:tc>
      </w:tr>
      <w:tr>
        <w:trPr>
          <w:trHeight w:val="207"/>
        </w:trPr>
        <w:tc>
          <w:tcPr>
            <w:tcW w:w="3260" w:type="dxa"/>
            <w:vAlign w:val="bottom"/>
            <w:tcBorders>
              <w:left w:val="single" w:sz="8" w:color="auto"/>
              <w:right w:val="single" w:sz="8" w:color="auto"/>
            </w:tcBorders>
            <w:vMerge w:val="continue"/>
          </w:tcPr>
          <w:p>
            <w:pPr>
              <w:spacing w:after="0"/>
              <w:rPr>
                <w:sz w:val="17"/>
                <w:szCs w:val="17"/>
                <w:color w:val="auto"/>
              </w:rPr>
            </w:pP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SHARES</w:t>
            </w:r>
          </w:p>
        </w:tc>
        <w:tc>
          <w:tcPr>
            <w:tcW w:w="19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260" w:type="dxa"/>
            <w:vAlign w:val="bottom"/>
            <w:tcBorders>
              <w:left w:val="single" w:sz="8" w:color="auto"/>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82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3260" w:type="dxa"/>
            <w:vAlign w:val="bottom"/>
            <w:tcBorders>
              <w:left w:val="single" w:sz="8" w:color="auto"/>
              <w:right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5820" w:type="dxa"/>
            <w:vAlign w:val="bottom"/>
            <w:vMerge w:val="restart"/>
          </w:tcPr>
          <w:p>
            <w:pPr>
              <w:ind w:left="40"/>
              <w:spacing w:after="0"/>
              <w:rPr>
                <w:sz w:val="20"/>
                <w:szCs w:val="20"/>
                <w:color w:val="auto"/>
              </w:rPr>
            </w:pPr>
            <w:r>
              <w:rPr>
                <w:rFonts w:ascii="Arial" w:cs="Arial" w:eastAsia="Arial" w:hAnsi="Arial"/>
                <w:sz w:val="20"/>
                <w:szCs w:val="20"/>
                <w:color w:val="auto"/>
              </w:rPr>
              <w:t>4.99% (See Item 4)*</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3260" w:type="dxa"/>
            <w:vAlign w:val="bottom"/>
            <w:tcBorders>
              <w:left w:val="single" w:sz="8" w:color="auto"/>
              <w:righ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820" w:type="dxa"/>
            <w:vAlign w:val="bottom"/>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26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20" w:type="dxa"/>
            <w:vAlign w:val="bottom"/>
            <w:tcBorders>
              <w:bottom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620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1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3260" w:type="dxa"/>
            <w:vAlign w:val="bottom"/>
            <w:tcBorders>
              <w:left w:val="single" w:sz="8" w:color="auto"/>
              <w:right w:val="single" w:sz="8" w:color="auto"/>
            </w:tcBorders>
            <w:vMerge w:val="continue"/>
          </w:tcPr>
          <w:p>
            <w:pPr>
              <w:spacing w:after="0"/>
              <w:rPr>
                <w:sz w:val="13"/>
                <w:szCs w:val="13"/>
                <w:color w:val="auto"/>
              </w:rPr>
            </w:pPr>
          </w:p>
        </w:tc>
        <w:tc>
          <w:tcPr>
            <w:tcW w:w="380" w:type="dxa"/>
            <w:vAlign w:val="bottom"/>
            <w:vMerge w:val="restart"/>
          </w:tcPr>
          <w:p>
            <w:pPr>
              <w:ind w:left="100"/>
              <w:spacing w:after="0"/>
              <w:rPr>
                <w:sz w:val="20"/>
                <w:szCs w:val="20"/>
                <w:color w:val="auto"/>
              </w:rPr>
            </w:pPr>
            <w:r>
              <w:rPr>
                <w:rFonts w:ascii="Arial" w:cs="Arial" w:eastAsia="Arial" w:hAnsi="Arial"/>
                <w:sz w:val="16"/>
                <w:szCs w:val="16"/>
                <w:color w:val="auto"/>
              </w:rPr>
              <w:t>IN</w:t>
            </w:r>
          </w:p>
        </w:tc>
        <w:tc>
          <w:tcPr>
            <w:tcW w:w="582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3260" w:type="dxa"/>
            <w:vAlign w:val="bottom"/>
            <w:tcBorders>
              <w:left w:val="single" w:sz="8" w:color="auto"/>
              <w:bottom w:val="single" w:sz="8" w:color="auto"/>
              <w:right w:val="single" w:sz="8" w:color="auto"/>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5820" w:type="dxa"/>
            <w:vAlign w:val="bottom"/>
            <w:tcBorders>
              <w:bottom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8"/>
        <w:spacing w:after="0" w:line="25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more fully described in Item 4, the Series C Warrants are subject to a 9.9% blocker, and the 2014 Warrants are subject to a 4.99% blocker and the percentage set forth in row (11) gives effect to such blockers. However, as more fully described in Item 4, the securities reported in rows (6), (8) and (9) show the number of shares of Common Stock that would be issuable upon full exercise of such reported securities and do not give effect to such blockers. Therefore, the actual number of shares of Common Stock beneficially owned by such Reporting Person, after giving effect to such blockers, is less than the number of securities reported in rows (6), (8) and (9).</w:t>
      </w:r>
    </w:p>
    <w:p>
      <w:pPr>
        <w:sectPr>
          <w:pgSz w:w="11900" w:h="16838" w:orient="portrait"/>
          <w:cols w:equalWidth="0" w:num="1">
            <w:col w:w="11420"/>
          </w:cols>
          <w:pgMar w:left="240" w:top="229" w:right="239" w:bottom="1440" w:gutter="0" w:footer="0" w:header="0"/>
        </w:sectPr>
      </w:pPr>
    </w:p>
    <w:bookmarkStart w:id="4" w:name="page5"/>
    <w:bookmarkEnd w:id="4"/>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6 Pages</w:t>
      </w:r>
    </w:p>
    <w:p>
      <w:pPr>
        <w:spacing w:after="0" w:line="200" w:lineRule="exact"/>
        <w:rPr>
          <w:sz w:val="20"/>
          <w:szCs w:val="20"/>
          <w:color w:val="auto"/>
        </w:rPr>
      </w:pPr>
    </w:p>
    <w:p>
      <w:pPr>
        <w:spacing w:after="0" w:line="27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the statement on Schedule 13G filed on January 12, 2015 (the "</w:t>
      </w:r>
      <w:r>
        <w:rPr>
          <w:rFonts w:ascii="Arial" w:cs="Arial" w:eastAsia="Arial" w:hAnsi="Arial"/>
          <w:sz w:val="18"/>
          <w:szCs w:val="18"/>
          <w:u w:val="single" w:color="auto"/>
          <w:color w:val="auto"/>
        </w:rPr>
        <w:t>Original Schedule 13G</w:t>
      </w:r>
      <w:r>
        <w:rPr>
          <w:rFonts w:ascii="Arial" w:cs="Arial" w:eastAsia="Arial" w:hAnsi="Arial"/>
          <w:sz w:val="18"/>
          <w:szCs w:val="18"/>
          <w:color w:val="auto"/>
        </w:rPr>
        <w:t>" and the Original Schedule 13G as amended, the "</w:t>
      </w:r>
      <w:r>
        <w:rPr>
          <w:rFonts w:ascii="Arial" w:cs="Arial" w:eastAsia="Arial" w:hAnsi="Arial"/>
          <w:sz w:val="18"/>
          <w:szCs w:val="18"/>
          <w:u w:val="single" w:color="auto"/>
          <w:color w:val="auto"/>
        </w:rPr>
        <w:t>Schedule 13G</w:t>
      </w:r>
      <w:r>
        <w:rPr>
          <w:rFonts w:ascii="Arial" w:cs="Arial" w:eastAsia="Arial" w:hAnsi="Arial"/>
          <w:sz w:val="18"/>
          <w:szCs w:val="18"/>
          <w:color w:val="auto"/>
        </w:rPr>
        <w:t>"), with respect to shares of Common Stock, $0.001 par value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of TapImmune Inc.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and not otherwise defined in this Amendment have the meanings set forth in the Schedule 13G. This Amendment amends and restates Items 4 and 5 in their entirety as set forth below.</w:t>
      </w:r>
    </w:p>
    <w:p>
      <w:pPr>
        <w:spacing w:after="0" w:line="169"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5" w:lineRule="exact"/>
        <w:rPr>
          <w:sz w:val="20"/>
          <w:szCs w:val="20"/>
          <w:color w:val="auto"/>
        </w:rPr>
      </w:pPr>
    </w:p>
    <w:p>
      <w:pPr>
        <w:ind w:left="1720" w:right="120"/>
        <w:spacing w:after="0" w:line="273" w:lineRule="auto"/>
        <w:rPr>
          <w:sz w:val="20"/>
          <w:szCs w:val="20"/>
          <w:color w:val="auto"/>
        </w:rPr>
      </w:pPr>
      <w:r>
        <w:rPr>
          <w:rFonts w:ascii="Arial" w:cs="Arial" w:eastAsia="Arial" w:hAnsi="Arial"/>
          <w:sz w:val="18"/>
          <w:szCs w:val="18"/>
          <w:color w:val="auto"/>
        </w:rPr>
        <w:t>The information as of the date of the event which requires filing of this statement required by Items 4(a) – (c) is set forth in Rows 5 – 11 of the cover page for each Reporting Person hereto and is incorporated herein by reference for each such Reporting Person. The percentage set forth in Row 11 of the cover page for each Reporting Person is based on 64,618,762 shares of Common Stock issued and outstanding as of November 16, 2015, as represented in the Company's Quarterly Report on Form 10-Q filed with the Securities and Exchange Commission on November 16, 2015, an additional 5,712,000 shares of Common Stock subsequently issued, as indicated in the Current Report on Form 8-K filed with the Securities and Exchange Commission on December 11, 2015, and assumes the exercise of the reported warrants (the "</w:t>
      </w:r>
      <w:r>
        <w:rPr>
          <w:rFonts w:ascii="Arial" w:cs="Arial" w:eastAsia="Arial" w:hAnsi="Arial"/>
          <w:sz w:val="18"/>
          <w:szCs w:val="18"/>
          <w:u w:val="single" w:color="auto"/>
          <w:color w:val="auto"/>
        </w:rPr>
        <w:t>Reported Warrants</w:t>
      </w:r>
      <w:r>
        <w:rPr>
          <w:rFonts w:ascii="Arial" w:cs="Arial" w:eastAsia="Arial" w:hAnsi="Arial"/>
          <w:sz w:val="18"/>
          <w:szCs w:val="18"/>
          <w:color w:val="auto"/>
        </w:rPr>
        <w:t>") subject to the Blockers (as defined below).</w:t>
      </w:r>
    </w:p>
    <w:p>
      <w:pPr>
        <w:spacing w:after="0" w:line="183" w:lineRule="exact"/>
        <w:rPr>
          <w:sz w:val="20"/>
          <w:szCs w:val="20"/>
          <w:color w:val="auto"/>
        </w:rPr>
      </w:pPr>
    </w:p>
    <w:p>
      <w:pPr>
        <w:ind w:left="1720" w:right="180"/>
        <w:spacing w:after="0" w:line="274" w:lineRule="auto"/>
        <w:rPr>
          <w:sz w:val="20"/>
          <w:szCs w:val="20"/>
          <w:color w:val="auto"/>
        </w:rPr>
      </w:pPr>
      <w:r>
        <w:rPr>
          <w:rFonts w:ascii="Arial" w:cs="Arial" w:eastAsia="Arial" w:hAnsi="Arial"/>
          <w:sz w:val="18"/>
          <w:szCs w:val="18"/>
          <w:color w:val="auto"/>
        </w:rPr>
        <w:t>Pursuant to the terms of (i) the Series C Warrants, the Reporting Persons cannot exercise any of such warrants if the Reporting Persons would beneficially own, after any such exercise, more than 9.9% of the outstanding shares of Common Stock, and (ii) the 2014 Warrants, the Reporting Persons cannot exercise any of such warrants if the Reporting Persons would beneficially own, after any such exercise, more than 4.99% of the outstanding shares of Common Stock (the "</w:t>
      </w:r>
      <w:r>
        <w:rPr>
          <w:rFonts w:ascii="Arial" w:cs="Arial" w:eastAsia="Arial" w:hAnsi="Arial"/>
          <w:sz w:val="18"/>
          <w:szCs w:val="18"/>
          <w:u w:val="single" w:color="auto"/>
          <w:color w:val="auto"/>
        </w:rPr>
        <w:t>Blockers</w:t>
      </w:r>
      <w:r>
        <w:rPr>
          <w:rFonts w:ascii="Arial" w:cs="Arial" w:eastAsia="Arial" w:hAnsi="Arial"/>
          <w:sz w:val="18"/>
          <w:szCs w:val="18"/>
          <w:color w:val="auto"/>
        </w:rPr>
        <w:t>"), and the percentage set forth in Row 11 of the cover page for each Reporting Person gives effect to the Blockers. Consequently, as of the date of the event which requires the filing of this statement, the Reporting Persons were not able to exercise all of the Reported Warrants due to the Blockers.</w:t>
      </w:r>
    </w:p>
    <w:p>
      <w:pPr>
        <w:spacing w:after="0" w:line="183" w:lineRule="exact"/>
        <w:rPr>
          <w:sz w:val="20"/>
          <w:szCs w:val="20"/>
          <w:color w:val="auto"/>
        </w:rPr>
      </w:pPr>
    </w:p>
    <w:p>
      <w:pPr>
        <w:ind w:left="1720" w:right="140"/>
        <w:spacing w:after="0" w:line="273" w:lineRule="auto"/>
        <w:rPr>
          <w:sz w:val="20"/>
          <w:szCs w:val="20"/>
          <w:color w:val="auto"/>
        </w:rPr>
      </w:pPr>
      <w:r>
        <w:rPr>
          <w:rFonts w:ascii="Arial" w:cs="Arial" w:eastAsia="Arial" w:hAnsi="Arial"/>
          <w:sz w:val="18"/>
          <w:szCs w:val="18"/>
          <w:color w:val="auto"/>
        </w:rPr>
        <w:t>The Investment Manager, which serves as the investment manager to the Empery Funds, may be deemed to be the beneficial owner of all shares of Common Stock held by, and underlying the Reported Warrants (subject to the Blockers) held by, the Empery Funds. Each of the Reporting Individuals, as Managing Members of the General Partner of the Investment Manager with the power to exercise investment discretion, may be deemed to be the beneficial owner of all shares of Common Stock held by, and underlying the Reported Warrants (subject to the Blockers) held by, the Empery Funds. The foregoing should not be construed in and of itself as an admission by any Reporting Person as to beneficial ownership of shares of Common Stock owned by another Reporting Person. Each of the Reporting Individuals hereby disclaims any beneficial ownership of any such shares of Common Stock.</w:t>
      </w:r>
    </w:p>
    <w:p>
      <w:pPr>
        <w:spacing w:after="0" w:line="177" w:lineRule="exact"/>
        <w:rPr>
          <w:sz w:val="20"/>
          <w:szCs w:val="20"/>
          <w:color w:val="auto"/>
        </w:rPr>
      </w:pPr>
    </w:p>
    <w:p>
      <w:pPr>
        <w:ind w:left="100"/>
        <w:spacing w:after="0"/>
        <w:tabs>
          <w:tab w:leader="none" w:pos="17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720" w:right="720"/>
        <w:spacing w:after="0" w:line="28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1420"/>
          </w:cols>
          <w:pgMar w:left="240" w:top="229" w:right="239" w:bottom="1440" w:gutter="0" w:footer="0" w:header="0"/>
        </w:sectPr>
      </w:pPr>
    </w:p>
    <w:bookmarkStart w:id="5" w:name="page6"/>
    <w:bookmarkEnd w:id="5"/>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6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January 19, 2016</w:t>
      </w:r>
    </w:p>
    <w:p>
      <w:pPr>
        <w:spacing w:after="0" w:line="229"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EMPERY ASSET MANAGEMENT, LP</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EMPERY AM GP, LLC, its General Partner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Ryan M. Lane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Name: Ryan M. Lane</w:t>
      </w:r>
    </w:p>
    <w:p>
      <w:pPr>
        <w:ind w:left="538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Ryan M. Lane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Ryan M. Lane</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Martin D. Hoe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Martin D. Hoe</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2020-01-19T06:25:00Z</dcterms:created>
  <dcterms:modified xsi:type="dcterms:W3CDTF">2020-01-19T06:25:00Z</dcterms:modified>
</cp:coreProperties>
</file>