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t>Filed Pursuant to Rule 424(b)(3)</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333-220538</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2672080</wp:posOffset>
            </wp:positionH>
            <wp:positionV relativeFrom="paragraph">
              <wp:posOffset>154940</wp:posOffset>
            </wp:positionV>
            <wp:extent cx="1886585" cy="1003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86585" cy="1003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10,866,425 Shares of Common Stock</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We are registering for resale 4,408,014 shares of our common stock which are currently held by the selling stockholders named herein.</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We are registering 6,458,411 shares of our common stock issuable upon the exercise of the following warrants held by the selling shareholders named herein:</w:t>
      </w:r>
    </w:p>
    <w:p>
      <w:pPr>
        <w:spacing w:after="0" w:line="248" w:lineRule="exact"/>
        <w:rPr>
          <w:sz w:val="24"/>
          <w:szCs w:val="24"/>
          <w:color w:val="auto"/>
        </w:rPr>
      </w:pPr>
    </w:p>
    <w:p>
      <w:pPr>
        <w:ind w:left="1260" w:hanging="69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157,233</w:t>
      </w:r>
      <w:r>
        <w:rPr>
          <w:rFonts w:ascii="Arial" w:cs="Arial" w:eastAsia="Arial" w:hAnsi="Arial"/>
          <w:sz w:val="16"/>
          <w:szCs w:val="16"/>
          <w:color w:val="auto"/>
        </w:rPr>
        <w:t>shares of common stock issuable upon exercise of warrants issued on August 13, 2014,</w:t>
      </w:r>
    </w:p>
    <w:p>
      <w:pPr>
        <w:spacing w:after="0" w:line="23" w:lineRule="exact"/>
        <w:rPr>
          <w:rFonts w:ascii="Arial" w:cs="Arial" w:eastAsia="Arial" w:hAnsi="Arial"/>
          <w:sz w:val="18"/>
          <w:szCs w:val="18"/>
          <w:color w:val="auto"/>
        </w:rPr>
      </w:pPr>
    </w:p>
    <w:p>
      <w:pPr>
        <w:ind w:left="1260" w:hanging="69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208,333</w:t>
      </w:r>
      <w:r>
        <w:rPr>
          <w:rFonts w:ascii="Arial" w:cs="Arial" w:eastAsia="Arial" w:hAnsi="Arial"/>
          <w:sz w:val="16"/>
          <w:szCs w:val="16"/>
          <w:color w:val="auto"/>
        </w:rPr>
        <w:t>shares of common stock issuable upon exercise of Series A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416,667</w:t>
      </w:r>
      <w:r>
        <w:rPr>
          <w:rFonts w:ascii="Arial" w:cs="Arial" w:eastAsia="Arial" w:hAnsi="Arial"/>
          <w:sz w:val="16"/>
          <w:szCs w:val="16"/>
          <w:color w:val="auto"/>
        </w:rPr>
        <w:t>shares of common stock issuable upon exercise of Series A-1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418,333</w:t>
      </w:r>
      <w:r>
        <w:rPr>
          <w:rFonts w:ascii="Arial" w:cs="Arial" w:eastAsia="Arial" w:hAnsi="Arial"/>
          <w:sz w:val="16"/>
          <w:szCs w:val="16"/>
          <w:color w:val="auto"/>
        </w:rPr>
        <w:t>shares of common stock issuable upon exercise of Series C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610,000</w:t>
      </w:r>
      <w:r>
        <w:rPr>
          <w:rFonts w:ascii="Arial" w:cs="Arial" w:eastAsia="Arial" w:hAnsi="Arial"/>
          <w:sz w:val="16"/>
          <w:szCs w:val="16"/>
          <w:color w:val="auto"/>
        </w:rPr>
        <w:t>shares of common stock issuable upon exercise of Series D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416,667</w:t>
      </w:r>
      <w:r>
        <w:rPr>
          <w:rFonts w:ascii="Arial" w:cs="Arial" w:eastAsia="Arial" w:hAnsi="Arial"/>
          <w:sz w:val="16"/>
          <w:szCs w:val="16"/>
          <w:color w:val="auto"/>
        </w:rPr>
        <w:t>shares of common stock issuable upon exercise of Series D-1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442,074</w:t>
      </w:r>
      <w:r>
        <w:rPr>
          <w:rFonts w:ascii="Arial" w:cs="Arial" w:eastAsia="Arial" w:hAnsi="Arial"/>
          <w:sz w:val="16"/>
          <w:szCs w:val="16"/>
          <w:color w:val="auto"/>
        </w:rPr>
        <w:t>shares of common stock issuable upon exercise of Series E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416,667</w:t>
      </w:r>
      <w:r>
        <w:rPr>
          <w:rFonts w:ascii="Arial" w:cs="Arial" w:eastAsia="Arial" w:hAnsi="Arial"/>
          <w:sz w:val="16"/>
          <w:szCs w:val="16"/>
          <w:color w:val="auto"/>
        </w:rPr>
        <w:t>shares of common stock issuable upon exercise of Series E-1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583,333</w:t>
      </w:r>
      <w:r>
        <w:rPr>
          <w:rFonts w:ascii="Arial" w:cs="Arial" w:eastAsia="Arial" w:hAnsi="Arial"/>
          <w:sz w:val="16"/>
          <w:szCs w:val="16"/>
          <w:color w:val="auto"/>
        </w:rPr>
        <w:t>shares of common stock issuable upon exercise of Series F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416,667</w:t>
      </w:r>
      <w:r>
        <w:rPr>
          <w:rFonts w:ascii="Arial" w:cs="Arial" w:eastAsia="Arial" w:hAnsi="Arial"/>
          <w:sz w:val="16"/>
          <w:szCs w:val="16"/>
          <w:color w:val="auto"/>
        </w:rPr>
        <w:t>shares of common stock issuable upon exercise of Series F-1 Warrants,</w:t>
      </w:r>
    </w:p>
    <w:p>
      <w:pPr>
        <w:spacing w:after="0" w:line="9" w:lineRule="exact"/>
        <w:rPr>
          <w:rFonts w:ascii="Arial" w:cs="Arial" w:eastAsia="Arial" w:hAnsi="Arial"/>
          <w:sz w:val="18"/>
          <w:szCs w:val="18"/>
          <w:color w:val="auto"/>
        </w:rPr>
      </w:pPr>
    </w:p>
    <w:p>
      <w:pPr>
        <w:ind w:left="2380" w:hanging="1818"/>
        <w:spacing w:after="0" w:line="250" w:lineRule="auto"/>
        <w:tabs>
          <w:tab w:leader="none" w:pos="1246" w:val="left"/>
        </w:tabs>
        <w:numPr>
          <w:ilvl w:val="0"/>
          <w:numId w:val="1"/>
        </w:numPr>
        <w:rPr>
          <w:rFonts w:ascii="Arial" w:cs="Arial" w:eastAsia="Arial" w:hAnsi="Arial"/>
          <w:sz w:val="18"/>
          <w:szCs w:val="18"/>
          <w:color w:val="auto"/>
        </w:rPr>
      </w:pPr>
      <w:r>
        <w:rPr>
          <w:rFonts w:ascii="Arial" w:cs="Arial" w:eastAsia="Arial" w:hAnsi="Arial"/>
          <w:sz w:val="18"/>
          <w:szCs w:val="18"/>
          <w:color w:val="auto"/>
        </w:rPr>
        <w:t>653,187shares of common stock issuable upon exercise of five-year warrants to purchase one share of our common stock for $6.00 (the “2016 PIPE Warrants”), and</w:t>
      </w:r>
    </w:p>
    <w:p>
      <w:pPr>
        <w:ind w:left="2380" w:hanging="1818"/>
        <w:spacing w:after="0" w:line="250" w:lineRule="auto"/>
        <w:tabs>
          <w:tab w:leader="none" w:pos="1246" w:val="left"/>
        </w:tabs>
        <w:numPr>
          <w:ilvl w:val="0"/>
          <w:numId w:val="1"/>
        </w:numPr>
        <w:rPr>
          <w:rFonts w:ascii="Arial" w:cs="Arial" w:eastAsia="Arial" w:hAnsi="Arial"/>
          <w:sz w:val="18"/>
          <w:szCs w:val="18"/>
          <w:color w:val="auto"/>
        </w:rPr>
      </w:pPr>
      <w:r>
        <w:rPr>
          <w:rFonts w:ascii="Arial" w:cs="Arial" w:eastAsia="Arial" w:hAnsi="Arial"/>
          <w:sz w:val="18"/>
          <w:szCs w:val="18"/>
          <w:color w:val="auto"/>
        </w:rPr>
        <w:t>65,327shares of common stock issuable upon exercise of five-year warrants to purchase one share of our common stock for $4.80 (the “2016 Broker PIPE Warrants”),</w:t>
      </w:r>
    </w:p>
    <w:p>
      <w:pPr>
        <w:ind w:left="2380" w:hanging="1818"/>
        <w:spacing w:after="0" w:line="250" w:lineRule="auto"/>
        <w:tabs>
          <w:tab w:leader="none" w:pos="1246" w:val="left"/>
        </w:tabs>
        <w:numPr>
          <w:ilvl w:val="0"/>
          <w:numId w:val="1"/>
        </w:numPr>
        <w:rPr>
          <w:rFonts w:ascii="Arial" w:cs="Arial" w:eastAsia="Arial" w:hAnsi="Arial"/>
          <w:sz w:val="18"/>
          <w:szCs w:val="18"/>
          <w:color w:val="auto"/>
        </w:rPr>
      </w:pPr>
      <w:r>
        <w:rPr>
          <w:rFonts w:ascii="Arial" w:cs="Arial" w:eastAsia="Arial" w:hAnsi="Arial"/>
          <w:sz w:val="18"/>
          <w:szCs w:val="18"/>
          <w:color w:val="auto"/>
        </w:rPr>
        <w:t>1,503,567shares of common stock issuable upon exercise of five-year warrants to purchase one share of our common stock for $3.97 (the “2017 PIPE Warrants”),</w:t>
      </w:r>
    </w:p>
    <w:p>
      <w:pPr>
        <w:ind w:left="2380" w:right="140" w:hanging="1818"/>
        <w:spacing w:after="0" w:line="261" w:lineRule="auto"/>
        <w:tabs>
          <w:tab w:leader="none" w:pos="1246" w:val="left"/>
        </w:tabs>
        <w:numPr>
          <w:ilvl w:val="0"/>
          <w:numId w:val="1"/>
        </w:numPr>
        <w:rPr>
          <w:rFonts w:ascii="Arial" w:cs="Arial" w:eastAsia="Arial" w:hAnsi="Arial"/>
          <w:sz w:val="18"/>
          <w:szCs w:val="18"/>
          <w:color w:val="auto"/>
        </w:rPr>
      </w:pPr>
      <w:r>
        <w:rPr>
          <w:rFonts w:ascii="Arial" w:cs="Arial" w:eastAsia="Arial" w:hAnsi="Arial"/>
          <w:sz w:val="18"/>
          <w:szCs w:val="18"/>
          <w:color w:val="auto"/>
        </w:rPr>
        <w:t>150,356shares of common stock issuable upon exercise of five-year warrants to purchase one share of our common stock for $3.97 (the “ 2017 Broker PIPE Warrants”),</w:t>
      </w:r>
    </w:p>
    <w:p>
      <w:pPr>
        <w:spacing w:after="0" w:line="18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 order for the holders of such warrants to exercise the warrants, in their discretion, as well as for the resale of such shares of common stock by the selling stockholders.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The table below sets forth the exercise prices of our outstanding warrants:</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 Per</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Share, Subject to</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r>
      <w:tr>
        <w:trPr>
          <w:trHeight w:val="234"/>
        </w:trPr>
        <w:tc>
          <w:tcPr>
            <w:tcW w:w="3700" w:type="dxa"/>
            <w:vAlign w:val="bottom"/>
            <w:gridSpan w:val="2"/>
          </w:tcPr>
          <w:p>
            <w:pPr>
              <w:ind w:left="1240"/>
              <w:spacing w:after="0"/>
              <w:rPr>
                <w:sz w:val="20"/>
                <w:szCs w:val="20"/>
                <w:color w:val="auto"/>
              </w:rPr>
            </w:pPr>
            <w:r>
              <w:rPr>
                <w:rFonts w:ascii="Arial" w:cs="Arial" w:eastAsia="Arial" w:hAnsi="Arial"/>
                <w:sz w:val="18"/>
                <w:szCs w:val="18"/>
                <w:b w:val="1"/>
                <w:bCs w:val="1"/>
                <w:color w:val="auto"/>
              </w:rPr>
              <w:t>Warrant Type</w:t>
            </w:r>
          </w:p>
        </w:tc>
        <w:tc>
          <w:tcPr>
            <w:tcW w:w="16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Adjustments</w:t>
            </w:r>
          </w:p>
        </w:tc>
        <w:tc>
          <w:tcPr>
            <w:tcW w:w="15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Warrants</w:t>
            </w: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August 2014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157,233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Series A</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208,333</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Series A-1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416,667</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Series 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6.00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104,583</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Series C*</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313,750</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Series 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9.00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297,500</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Series 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312,500</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Series D-1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9.00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416,667</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Series 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255,519</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Series 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186,555</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Series E-1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416,667</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Series F</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7.20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290,833</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Series F*</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292,500</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Series F-1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7.20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416,667</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2016 Broker PIPE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65,327</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2016 PIPE*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653,187</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2017 Broker PIPE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150,356</w:t>
            </w:r>
          </w:p>
        </w:tc>
      </w:tr>
      <w:tr>
        <w:trPr>
          <w:trHeight w:val="234"/>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2017 PIPE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1420" w:type="dxa"/>
            <w:vAlign w:val="bottom"/>
          </w:tcPr>
          <w:p>
            <w:pPr>
              <w:jc w:val="right"/>
              <w:spacing w:after="0"/>
              <w:rPr>
                <w:sz w:val="20"/>
                <w:szCs w:val="20"/>
                <w:color w:val="auto"/>
              </w:rPr>
            </w:pPr>
            <w:r>
              <w:rPr>
                <w:rFonts w:ascii="Arial" w:cs="Arial" w:eastAsia="Arial" w:hAnsi="Arial"/>
                <w:sz w:val="18"/>
                <w:szCs w:val="18"/>
                <w:color w:val="auto"/>
              </w:rPr>
              <w:t>1,503,567</w:t>
            </w:r>
          </w:p>
        </w:tc>
        <w:tc>
          <w:tcPr>
            <w:tcW w:w="80" w:type="dxa"/>
            <w:vAlign w:val="bottom"/>
          </w:tcPr>
          <w:p>
            <w:pPr>
              <w:spacing w:after="0"/>
              <w:rPr>
                <w:sz w:val="20"/>
                <w:szCs w:val="20"/>
                <w:color w:val="auto"/>
              </w:rPr>
            </w:pPr>
          </w:p>
        </w:tc>
      </w:tr>
    </w:tbl>
    <w:p>
      <w:pPr>
        <w:spacing w:after="0" w:line="183" w:lineRule="exact"/>
        <w:rPr>
          <w:sz w:val="24"/>
          <w:szCs w:val="24"/>
          <w:color w:val="auto"/>
        </w:rPr>
      </w:pPr>
    </w:p>
    <w:p>
      <w:pPr>
        <w:jc w:val="both"/>
        <w:ind w:firstLine="8"/>
        <w:spacing w:after="0" w:line="302" w:lineRule="auto"/>
        <w:tabs>
          <w:tab w:leader="none" w:pos="141"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June 23, 2017, certain existing institutional shareholders of TapImmune who hold various outstanding warrants to purchase our common stock, entered into warrant exercise agreements, in which we agreed to reduce the exercise price for 75% of the investors’ existing Series C, Series D, Series E and Series F Warrants. In connection with the private placement of common stock in June 2017, the Company reduced the exercise price for the warrants to purchase an aggregate of 653,187 shares of common stock issued to investors in the private placement that closed in August 2016 from $6.00 per share to $3.97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3" w:right="239" w:bottom="610" w:gutter="0" w:footer="0" w:header="0"/>
        </w:sectPr>
      </w:pPr>
    </w:p>
    <w:bookmarkStart w:id="1" w:name="page2"/>
    <w:bookmarkEnd w:id="1"/>
    <w:p>
      <w:pPr>
        <w:jc w:val="both"/>
        <w:spacing w:after="0" w:line="272" w:lineRule="auto"/>
        <w:rPr>
          <w:sz w:val="20"/>
          <w:szCs w:val="20"/>
          <w:color w:val="auto"/>
        </w:rPr>
      </w:pPr>
      <w:r>
        <w:rPr>
          <w:rFonts w:ascii="Arial" w:cs="Arial" w:eastAsia="Arial" w:hAnsi="Arial"/>
          <w:sz w:val="17"/>
          <w:szCs w:val="17"/>
          <w:color w:val="auto"/>
        </w:rPr>
        <w:t>The terms of the Series A, Series D and Series E Warrants provide that in no event shall shares of common stock be issued to any holder of those Warrants to the extent such issuances of shares of common stock would result in such holder having ownership in excess of 4.9% of our outstanding shares of common stock. The terms of the Warrants issued in August 2014, Series C and Series F Warrants provide that in no event shall shares of common stock be issued to any holder of those Warrants to the extent such issuances of shares of common stock would result in such holder having ownership in excess of 9.9% of our outstanding shares of common stock. The terms of the Series A-1, Series D-1, Series E-1 and Series F-1 Warrants provide that in no event shall shares of common stock be issued to any holder of those Warrants to the extent such issuances of shares of common stock would result in such holder having ownership in excess of 49.9% of our outstanding shares of common stock.</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prices at which the selling stockholders may sell the shares of common stock underlying the securities held by them will be determined by the prevailing market price for the shares or in negotiated transactions. We provide more information on how the selling stockholders may resell their respective shares of our common stock in the Section titled “Plan of Distribution” beginning on page 7. We are not selling any securities under this prospectus and we will not receive proceeds from the sale of the shares by the selling stockholders, except pursuant to the exercise of the Warrants.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obligated to pay the expenses of registering these shares, but all selling and other expenses incurred by the selling stockholders will be paid by the selling stockholder.</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common stock is quoted on the Nasdaq Capital Market under the symbol “TPIV.” On December 26, 2017, the last reported sale price of our common stock on the Nasdaq Capital Market was $4.00 per share, and we had 10,605,724 shares of common stock outstanding.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prospectus provides a general description of the securities being offered. You should carefully read this prospectus and the registration statement of which it forms a part carefully before you invest in any securities.</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Investing in our securities involves risks. You should review carefully the risks and uncertainties described under the heading “Risk Factors” beginning on page 2.</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December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0" w:type="dxa"/>
            <w:vAlign w:val="bottom"/>
            <w:gridSpan w:val="2"/>
          </w:tcPr>
          <w:p>
            <w:pPr>
              <w:ind w:left="138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80" w:type="dxa"/>
            <w:vAlign w:val="bottom"/>
            <w:gridSpan w:val="5"/>
          </w:tcPr>
          <w:p>
            <w:pPr>
              <w:ind w:left="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40" w:type="dxa"/>
            <w:vAlign w:val="bottom"/>
            <w:tcBorders>
              <w:top w:val="single" w:sz="8" w:color="CCEEFF"/>
            </w:tcBorders>
            <w:gridSpan w:val="15"/>
            <w:shd w:val="clear" w:color="auto" w:fill="CCEEFF"/>
          </w:tcPr>
          <w:p>
            <w:pPr>
              <w:spacing w:after="0" w:line="136" w:lineRule="exact"/>
              <w:rPr>
                <w:rFonts w:ascii="Arial" w:cs="Arial" w:eastAsia="Arial" w:hAnsi="Arial"/>
                <w:sz w:val="15"/>
                <w:szCs w:val="15"/>
                <w:color w:val="0000EE"/>
              </w:rPr>
            </w:pPr>
            <w:hyperlink w:anchor="page4">
              <w:r>
                <w:rPr>
                  <w:rFonts w:ascii="Arial" w:cs="Arial" w:eastAsia="Arial" w:hAnsi="Arial"/>
                  <w:sz w:val="15"/>
                  <w:szCs w:val="15"/>
                  <w:color w:val="0000EE"/>
                </w:rPr>
                <w:t>About This Prospectus</w:t>
              </w:r>
            </w:hyperlink>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42" w:lineRule="exact"/>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47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15"/>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gridSpan w:val="2"/>
          </w:tcPr>
          <w:p>
            <w:pPr>
              <w:jc w:val="right"/>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ii</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20" w:type="dxa"/>
            <w:vAlign w:val="bottom"/>
            <w:gridSpan w:val="7"/>
            <w:shd w:val="clear" w:color="auto" w:fill="CCEEFF"/>
          </w:tcPr>
          <w:p>
            <w:pPr>
              <w:spacing w:after="0" w:line="17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Prospectus Summary</w:t>
              </w:r>
            </w:hyperlink>
          </w:p>
        </w:tc>
        <w:tc>
          <w:tcPr>
            <w:tcW w:w="9320" w:type="dxa"/>
            <w:vAlign w:val="bottom"/>
            <w:gridSpan w:val="8"/>
            <w:shd w:val="clear" w:color="auto" w:fill="CCEEFF"/>
          </w:tcPr>
          <w:p>
            <w:pPr>
              <w:spacing w:after="0"/>
              <w:rPr>
                <w:sz w:val="15"/>
                <w:szCs w:val="15"/>
                <w:color w:val="auto"/>
              </w:rPr>
            </w:pPr>
          </w:p>
        </w:tc>
        <w:tc>
          <w:tcPr>
            <w:tcW w:w="56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20" w:type="dxa"/>
            <w:vAlign w:val="bottom"/>
            <w:gridSpan w:val="7"/>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9320" w:type="dxa"/>
            <w:vAlign w:val="bottom"/>
            <w:gridSpan w:val="8"/>
          </w:tcPr>
          <w:p>
            <w:pPr>
              <w:spacing w:after="0"/>
              <w:rPr>
                <w:sz w:val="15"/>
                <w:szCs w:val="15"/>
                <w:color w:val="auto"/>
              </w:rPr>
            </w:pPr>
          </w:p>
        </w:tc>
        <w:tc>
          <w:tcPr>
            <w:tcW w:w="560" w:type="dxa"/>
            <w:vAlign w:val="bottom"/>
            <w:gridSpan w:val="4"/>
          </w:tcPr>
          <w:p>
            <w:pPr>
              <w:jc w:val="right"/>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gridSpan w:val="4"/>
            <w:shd w:val="clear" w:color="auto" w:fill="CCEEFF"/>
          </w:tcPr>
          <w:p>
            <w:pPr>
              <w:spacing w:after="0" w:line="176" w:lineRule="exact"/>
              <w:rPr>
                <w:rFonts w:ascii="Arial" w:cs="Arial" w:eastAsia="Arial" w:hAnsi="Arial"/>
                <w:sz w:val="18"/>
                <w:szCs w:val="18"/>
                <w:color w:val="0000EE"/>
                <w:w w:val="85"/>
              </w:rPr>
            </w:pPr>
            <w:hyperlink w:anchor="page9">
              <w:r>
                <w:rPr>
                  <w:rFonts w:ascii="Arial" w:cs="Arial" w:eastAsia="Arial" w:hAnsi="Arial"/>
                  <w:sz w:val="18"/>
                  <w:szCs w:val="18"/>
                  <w:color w:val="0000EE"/>
                  <w:w w:val="85"/>
                </w:rPr>
                <w:t>Use of Proceeds</w:t>
              </w:r>
            </w:hyperlink>
          </w:p>
        </w:tc>
        <w:tc>
          <w:tcPr>
            <w:tcW w:w="9680" w:type="dxa"/>
            <w:vAlign w:val="bottom"/>
            <w:gridSpan w:val="11"/>
            <w:shd w:val="clear" w:color="auto" w:fill="CCEEFF"/>
          </w:tcPr>
          <w:p>
            <w:pPr>
              <w:spacing w:after="0"/>
              <w:rPr>
                <w:sz w:val="15"/>
                <w:szCs w:val="15"/>
                <w:color w:val="auto"/>
              </w:rPr>
            </w:pPr>
          </w:p>
        </w:tc>
        <w:tc>
          <w:tcPr>
            <w:tcW w:w="56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15"/>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Determination of Offering Price</w:t>
              </w:r>
            </w:hyperlink>
          </w:p>
        </w:tc>
        <w:tc>
          <w:tcPr>
            <w:tcW w:w="560" w:type="dxa"/>
            <w:vAlign w:val="bottom"/>
            <w:gridSpan w:val="4"/>
          </w:tcPr>
          <w:p>
            <w:pPr>
              <w:jc w:val="right"/>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15"/>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Selling Stockholders</w:t>
              </w:r>
            </w:hyperlink>
          </w:p>
        </w:tc>
        <w:tc>
          <w:tcPr>
            <w:tcW w:w="56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gridSpan w:val="6"/>
          </w:tcPr>
          <w:p>
            <w:pPr>
              <w:spacing w:after="0" w:line="17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Plan of Distribution</w:t>
              </w:r>
            </w:hyperlink>
          </w:p>
        </w:tc>
        <w:tc>
          <w:tcPr>
            <w:tcW w:w="9360" w:type="dxa"/>
            <w:vAlign w:val="bottom"/>
            <w:gridSpan w:val="9"/>
          </w:tcPr>
          <w:p>
            <w:pPr>
              <w:spacing w:after="0"/>
              <w:rPr>
                <w:sz w:val="15"/>
                <w:szCs w:val="15"/>
                <w:color w:val="auto"/>
              </w:rPr>
            </w:pPr>
          </w:p>
        </w:tc>
        <w:tc>
          <w:tcPr>
            <w:tcW w:w="560" w:type="dxa"/>
            <w:vAlign w:val="bottom"/>
            <w:gridSpan w:val="4"/>
          </w:tcPr>
          <w:p>
            <w:pPr>
              <w:jc w:val="right"/>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80" w:type="dxa"/>
            <w:vAlign w:val="bottom"/>
            <w:gridSpan w:val="9"/>
            <w:shd w:val="clear" w:color="auto" w:fill="CCEEFF"/>
          </w:tcPr>
          <w:p>
            <w:pPr>
              <w:spacing w:after="0" w:line="17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Description of Securities</w:t>
              </w:r>
            </w:hyperlink>
          </w:p>
        </w:tc>
        <w:tc>
          <w:tcPr>
            <w:tcW w:w="9060" w:type="dxa"/>
            <w:vAlign w:val="bottom"/>
            <w:gridSpan w:val="6"/>
            <w:shd w:val="clear" w:color="auto" w:fill="CCEEFF"/>
          </w:tcPr>
          <w:p>
            <w:pPr>
              <w:spacing w:after="0"/>
              <w:rPr>
                <w:sz w:val="15"/>
                <w:szCs w:val="15"/>
                <w:color w:val="auto"/>
              </w:rPr>
            </w:pPr>
          </w:p>
        </w:tc>
        <w:tc>
          <w:tcPr>
            <w:tcW w:w="56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80" w:type="dxa"/>
            <w:vAlign w:val="bottom"/>
            <w:gridSpan w:val="9"/>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Experts</w:t>
              </w:r>
            </w:hyperlink>
          </w:p>
        </w:tc>
        <w:tc>
          <w:tcPr>
            <w:tcW w:w="9060" w:type="dxa"/>
            <w:vAlign w:val="bottom"/>
            <w:gridSpan w:val="6"/>
          </w:tcPr>
          <w:p>
            <w:pPr>
              <w:spacing w:after="0"/>
              <w:rPr>
                <w:sz w:val="15"/>
                <w:szCs w:val="15"/>
                <w:color w:val="auto"/>
              </w:rPr>
            </w:pPr>
          </w:p>
        </w:tc>
        <w:tc>
          <w:tcPr>
            <w:tcW w:w="560" w:type="dxa"/>
            <w:vAlign w:val="bottom"/>
            <w:gridSpan w:val="4"/>
          </w:tcPr>
          <w:p>
            <w:pPr>
              <w:jc w:val="right"/>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14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Legal Matters</w:t>
              </w:r>
            </w:hyperlink>
          </w:p>
        </w:tc>
        <w:tc>
          <w:tcPr>
            <w:tcW w:w="9840" w:type="dxa"/>
            <w:vAlign w:val="bottom"/>
            <w:tcBorders>
              <w:bottom w:val="single" w:sz="8" w:color="CCEEFF"/>
            </w:tcBorders>
            <w:gridSpan w:val="12"/>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14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15"/>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Disclosure of Commission Position of Indemnification For Securities Act Liabilities</w:t>
              </w:r>
            </w:hyperlink>
          </w:p>
        </w:tc>
        <w:tc>
          <w:tcPr>
            <w:tcW w:w="560" w:type="dxa"/>
            <w:vAlign w:val="bottom"/>
            <w:gridSpan w:val="4"/>
          </w:tcPr>
          <w:p>
            <w:pPr>
              <w:jc w:val="right"/>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14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420" w:type="dxa"/>
            <w:vAlign w:val="bottom"/>
            <w:tcBorders>
              <w:top w:val="single" w:sz="8" w:color="0000EE"/>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Where You Can Find More Information</w:t>
              </w:r>
            </w:hyperlink>
          </w:p>
        </w:tc>
        <w:tc>
          <w:tcPr>
            <w:tcW w:w="7980" w:type="dxa"/>
            <w:vAlign w:val="bottom"/>
            <w:tcBorders>
              <w:bottom w:val="single" w:sz="8" w:color="CCEEFF"/>
            </w:tcBorders>
            <w:gridSpan w:val="3"/>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14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15"/>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Incorporation of Certain Information by Reference</w:t>
              </w:r>
            </w:hyperlink>
          </w:p>
        </w:tc>
        <w:tc>
          <w:tcPr>
            <w:tcW w:w="560" w:type="dxa"/>
            <w:vAlign w:val="bottom"/>
            <w:gridSpan w:val="4"/>
          </w:tcPr>
          <w:p>
            <w:pPr>
              <w:jc w:val="right"/>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15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6"/>
        </w:trPr>
        <w:tc>
          <w:tcPr>
            <w:tcW w:w="20" w:type="dxa"/>
            <w:vAlign w:val="bottom"/>
            <w:tcBorders>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this prospectus, all references to (i) “TapImmune” “we,” “us,” “our” or the “Company” mean TapImmune Inc.; (ii) “SEC” refers to the Securities and Exchange Commission; (iii) “Securities Act” refers to the United States Securities Act of 1933, as amended; (iv) “Exchange Act” refers to the United States Securities Exchange Act of 1934, as amended; and (v) all dollar amounts refer to United States dollars unless otherwise indicated.</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You should rely only on the information we have provided or incorporated by reference into this prospectus, any applicable prospectus supplement and any related free writing prospectus. We have not authorized anyone to provide you with information different from that contained in this prospectus, any applicable prospectus supplement or any related free writing prospectus. No dealer, salesperson or other person is authorized to give any information or to represent anything not contained in this prospectus, any applicable prospectus supplement or any related free writing prospectus. You must not rely on any unauthorized information or representation. This prospectus is an offer to sell only the common stock offered hereby, but only under circumstances and in jurisdictions where it is lawful to do so. You should assume that the information in this prospectus, any applicable prospectus supplement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or any sale of a security.</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Selling Stockholders are offering the common stock only in jurisdictions where such issuances are permitted. The distribution of this prospectus and the issuance of the common stock in certain jurisdictions may be restricted by law. Persons outside the United States who come into possession of this prospectus must inform themselves about, and observe any restrictions relating to, the issuance of the common stock and the distribution of this prospectus outside the United States. This prospectus does not constitute, and may not be used in connection with, an offer to sell, or a solicitation of an offer to buy, the common stock offered by this prospectus by any person in any jurisdiction in which it is unlawful for such person to make such an offer or solicitation.</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under which the Selling Stockholders may offer from time to time up to an aggregate of 10,866,425 shares of our common stock in one or more offerings. If required, each time a Selling Stockholder offers common stock, in addition to this prospectus, we will provide you with a prospectus supplement that will contain specific information about the terms of that offering. We may also authorize one or more free writing prospectuses to be provided to you that may contain material information relating to that offering. We may also use a prospectus supplement and any related free writing prospectus to add, update or change any of the information contained in this prospectus or in documents we have incorporated by reference. This prospectus, together with any applicable prospectus supplements, any related free writing prospectuses and the documents incorporated by reference into this prospectus, includes all material information relating to this offering. To the extent that any statement that we make in a prospectus supplement is inconsistent with statements made in this prospectus, the statements made in this prospectus will be deemed modified or superseded by those made in a prospectus supplement. Please carefully read both this prospectus and any prospectus supplement together with the additional information described below under “Where You Can Find More Information” and “Incorporation of Certain Information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Regarding Reverse Stock Splits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18, 2014, we filed a Certificate of Change pursuant to NRS 78.209 with the Secretary of State of the State of Nevada to effect a reverse split of our common stock at a ratio of one for 100. On September 15, 2016, we filed another Certificate of Change pursuant to NRS 78.209 with the Secretary of State of the State of Nevada to effect a reverse split of our common stock at a ratio of one for 12. All historical share and per share amounts reflected in this prospectus have been adjusted to reflect the reverse stock splits.</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prospectus contains forward-looking statements that involve risks and uncertainties.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In evaluating these statements, you should consider various factors, including the assumptions, risks and uncertainties outlined in this prospectus. Any of these items may cause our actual results to differ materially from any forward-looking statement made in this prospectus. Forward-looking statements in this prospectus include, statements as to:</w:t>
      </w:r>
    </w:p>
    <w:p>
      <w:pPr>
        <w:spacing w:after="0" w:line="19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discovery, development, formulation, manufacturing and commercialization of our compounds, our drug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conducting clinical trials internally, with collaborators, or with clinical research organizations;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collaboration and strategic relationship strategy; anticipated benefits and disadvantages of entering into such agreements;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licensing, investment and commercialization strategies;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regulatory approval process, including obtaining U.S. Food and Drug Administration and other international health authorities approval for our products in the United States and abroad;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effectiveness and potential benefits and indications of our drug candidates and other compounds under development;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size of our clinical trials; the compounds expected to enter clinical trials; timing of clinical trial results;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of our drug discovery and development operations;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required expertise relating to clinical trials, manufacturing, sales and marketing;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obtaining and terminating licenses to products, drug candidates or technology, or other intellectual property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receipt from or payments pursuant to collaboration or license agreements resulting from milestones or royalties;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to develop and commercialize products on our own;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to use third party manufacturers;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expenses and expenditure levels; expected uses of cash;</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capital resources to continue operations;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raise additional capital;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competition;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investments, including anticipated expenditures, losses and expenses;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patent prosecution and maintenance efforts; and</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While these forward-looking statements, and any assumptions upon which they are based, are made in good faith and reflect our current judgment regarding future events, our actual results will likely vary, sometimes materially, from any estimates, predictions, projections, assumptions or other future performance suggested herein. Some of the risks and assumptions include:</w:t>
      </w:r>
    </w:p>
    <w:p>
      <w:pPr>
        <w:spacing w:after="0" w:line="18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additional capital when needed;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net cash provided and used by operating, financing and investing activities;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history of operating losses;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discover, develop, formulate, manufacture and commercialize our drug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unanticipated delays in, or discontinuations of, research and development efforts;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previous preclinical testing or clinical trial results are not necessarily indicative of future clinical trial results;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conduct of our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changing regulatory requirements and administrative practice;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adverse safety findings;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results of our clinical trials do not support submission of a marketing approval application for our drug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significant delays or costs in obtaining regulatory approvals;</w:t>
      </w:r>
    </w:p>
    <w:p>
      <w:pPr>
        <w:spacing w:after="0" w:line="225" w:lineRule="exact"/>
        <w:rPr>
          <w:rFonts w:ascii="Arial" w:cs="Arial" w:eastAsia="Arial" w:hAnsi="Arial"/>
          <w:sz w:val="18"/>
          <w:szCs w:val="18"/>
          <w:color w:val="auto"/>
        </w:rPr>
      </w:pPr>
    </w:p>
    <w:p>
      <w:pPr>
        <w:ind w:left="400" w:hanging="324"/>
        <w:spacing w:after="0"/>
        <w:tabs>
          <w:tab w:leader="none" w:pos="400" w:val="left"/>
        </w:tabs>
        <w:numPr>
          <w:ilvl w:val="1"/>
          <w:numId w:val="4"/>
        </w:numPr>
        <w:rPr>
          <w:rFonts w:ascii="Arial" w:cs="Arial" w:eastAsia="Arial" w:hAnsi="Arial"/>
          <w:sz w:val="18"/>
          <w:szCs w:val="18"/>
          <w:color w:val="auto"/>
        </w:rPr>
      </w:pPr>
      <w:r>
        <w:rPr>
          <w:rFonts w:ascii="Arial" w:cs="Arial" w:eastAsia="Arial" w:hAnsi="Arial"/>
          <w:sz w:val="18"/>
          <w:szCs w:val="18"/>
          <w:color w:val="auto"/>
        </w:rPr>
        <w:t>risks relating to our reliance on third party manufacturers, collaborators, and clinical research organizations;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development of new products and their use by us and our current and potential collaborators;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inability to control the development of out-licensed compounds or drug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collaborators’ ability to develop and commercialize drug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prosecuting,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or obtain adequate product and clinical trial liability and other insurance coverage;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our drug candidates may not obtain or maintain regulatory approval;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technological advances and competition, including potential generic competition;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against third parties with greater resources than ours;</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changes in pricing and reimbursements in the markets in which we may compete;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to develop and commercialize similar drug products;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freedom to operate for our discoveries and to continue to be effective in expanding our patent coverage;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changing laws on our patent portfolio;</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in and expenses relating to litigation;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in-license drug candidates or other technology;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net cash provided and used by operating, financing and investing activities;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competitive environment in which we operate;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key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conflicts of interest of our directors and officers;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fully implement our business plan;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manage our growth;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regulatory, legislative and judicial developments.</w:t>
      </w:r>
    </w:p>
    <w:p>
      <w:pPr>
        <w:spacing w:after="0" w:line="22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b w:val="1"/>
          <w:bCs w:val="1"/>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This summary highlights selected information appearing elsewhere in this prospectus or in documents incorporated herein by reference. This summary is not complete and does not contain all of the information that you should consider before making your investment decision. You should carefully read the entire prospectus, including the information set forth in the section entitled “Risk Factors” and the information that is incorporated by reference into this prospectus. See the sections entitled “Where You Can Find More Information” and “Incorporation of Certain Information by Reference” for a further discussion on incorporation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(the “Company” or “we”),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principal executive offices are located at 5 West Forsyth Street, Suite 200 Jacksonville, FL 32202 and our telephone number is 904-516-5436.</w:t>
      </w:r>
    </w:p>
    <w:p>
      <w:pPr>
        <w:sectPr>
          <w:pgSz w:w="11900" w:h="16838" w:orient="portrait"/>
          <w:cols w:equalWidth="0" w:num="1">
            <w:col w:w="11420"/>
          </w:cols>
          <w:pgMar w:left="240" w:top="904" w:right="23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outstanding:</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10,605,724 shares as of December 26, 2017</w:t>
      </w:r>
    </w:p>
    <w:p>
      <w:pPr>
        <w:spacing w:after="0" w:line="200" w:lineRule="exact"/>
        <w:rPr>
          <w:sz w:val="20"/>
          <w:szCs w:val="20"/>
          <w:color w:val="auto"/>
        </w:rPr>
      </w:pPr>
    </w:p>
    <w:p>
      <w:pPr>
        <w:sectPr>
          <w:pgSz w:w="11900" w:h="16838" w:orient="portrait"/>
          <w:cols w:equalWidth="0" w:num="2">
            <w:col w:w="3280" w:space="720"/>
            <w:col w:w="7420"/>
          </w:cols>
          <w:pgMar w:left="240" w:top="904"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 offered by selling stockholders: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10,866,425 shares</w:t>
      </w:r>
    </w:p>
    <w:p>
      <w:pPr>
        <w:spacing w:after="0" w:line="200" w:lineRule="exact"/>
        <w:rPr>
          <w:sz w:val="20"/>
          <w:szCs w:val="20"/>
          <w:color w:val="auto"/>
        </w:rPr>
      </w:pPr>
    </w:p>
    <w:p>
      <w:pPr>
        <w:sectPr>
          <w:pgSz w:w="11900" w:h="16838" w:orient="portrait"/>
          <w:cols w:equalWidth="0" w:num="2">
            <w:col w:w="3600" w:space="400"/>
            <w:col w:w="7420"/>
          </w:cols>
          <w:pgMar w:left="240" w:top="904" w:right="2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outstanding after the offering:</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17,064,135 shares (1)</w:t>
      </w:r>
    </w:p>
    <w:p>
      <w:pPr>
        <w:spacing w:after="0" w:line="207" w:lineRule="exact"/>
        <w:rPr>
          <w:sz w:val="20"/>
          <w:szCs w:val="20"/>
          <w:color w:val="auto"/>
        </w:rPr>
      </w:pPr>
    </w:p>
    <w:p>
      <w:pPr>
        <w:sectPr>
          <w:pgSz w:w="11900" w:h="16838" w:orient="portrait"/>
          <w:cols w:equalWidth="0" w:num="2">
            <w:col w:w="3540" w:space="460"/>
            <w:col w:w="7420"/>
          </w:cols>
          <w:pgMar w:left="240" w:top="90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will not receive any proceeds from the sale of the common stock by the selling stockholders. We may receive proceeds, rounded to the nearest thousand dollars, if the following warrants are exercised:</w:t>
      </w:r>
    </w:p>
    <w:p>
      <w:pPr>
        <w:spacing w:after="0" w:line="124" w:lineRule="exact"/>
        <w:rPr>
          <w:sz w:val="20"/>
          <w:szCs w:val="20"/>
          <w:color w:val="auto"/>
        </w:rPr>
      </w:pPr>
    </w:p>
    <w:p>
      <w:pPr>
        <w:sectPr>
          <w:pgSz w:w="11900" w:h="16838" w:orient="portrait"/>
          <w:cols w:equalWidth="0" w:num="2">
            <w:col w:w="3280" w:space="720"/>
            <w:col w:w="7420"/>
          </w:cols>
          <w:pgMar w:left="240" w:top="904" w:right="239" w:bottom="1440" w:gutter="0" w:footer="0" w:header="0"/>
          <w:type w:val="continuous"/>
        </w:sectPr>
      </w:pPr>
    </w:p>
    <w:p>
      <w:pPr>
        <w:ind w:left="4000"/>
        <w:spacing w:after="0"/>
        <w:rPr>
          <w:sz w:val="20"/>
          <w:szCs w:val="20"/>
          <w:color w:val="auto"/>
        </w:rPr>
      </w:pPr>
      <w:r>
        <w:rPr>
          <w:rFonts w:ascii="Arial" w:cs="Arial" w:eastAsia="Arial" w:hAnsi="Arial"/>
          <w:sz w:val="18"/>
          <w:szCs w:val="18"/>
          <w:color w:val="auto"/>
        </w:rPr>
        <w:t>$2,208,000 if the outstanding warrants issued in August 2014 are exercised,</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$250,000 if the outstanding Series A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$500,000 if the outstanding Series A-1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$1,882,000 if the outstanding Series C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$3,928,000 if the outstanding Series D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$3,750,000 if the outstanding Series D-1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$4,672,000 if the outstanding Series E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$6,250,000 if the outstanding Series E-1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$3,264,000 if the outstanding Series F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$3,000,000 if the outstanding Series F-1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$2,593,000 if the outstanding 2016 PIPE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$314,000 if the outstanding 2016 Broker PIPE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$5,969,000 if the outstanding 2017 PIPE Warrants are exercised, and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$597,000 if the outstanding 2017 Broker PIPE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(to the extent the registration statement of which this prospectus is a part is then effective and, if</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applicable, the “cashless exercise” provision is not utilized by the holder). Any proceeds will be used</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for general corporate and working capital or for other purposes that the Board of Directors, in their</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good faith, deems to be in the best interest of the Company. No assurances can be given that any of</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such warrants will be exercised. See “Use of Proceeds.”</w:t>
      </w:r>
    </w:p>
    <w:p>
      <w:pPr>
        <w:sectPr>
          <w:pgSz w:w="11900" w:h="16838" w:orient="portrait"/>
          <w:cols w:equalWidth="0" w:num="1">
            <w:col w:w="11420"/>
          </w:cols>
          <w:pgMar w:left="240" w:top="904" w:right="2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 of common stock:</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Nasdaq Capital Market under the symbol “TPIV.”</w:t>
      </w:r>
    </w:p>
    <w:p>
      <w:pPr>
        <w:spacing w:after="0" w:line="200" w:lineRule="exact"/>
        <w:rPr>
          <w:sz w:val="20"/>
          <w:szCs w:val="20"/>
          <w:color w:val="auto"/>
        </w:rPr>
      </w:pPr>
    </w:p>
    <w:p>
      <w:pPr>
        <w:sectPr>
          <w:pgSz w:w="11900" w:h="16838" w:orient="portrait"/>
          <w:cols w:equalWidth="0" w:num="2">
            <w:col w:w="3280" w:space="720"/>
            <w:col w:w="7420"/>
          </w:cols>
          <w:pgMar w:left="240" w:top="904"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We currently intend to retain any future earnings to fund the development and growth of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Therefore, we do not currently anticipate paying cash dividends on our common stock.</w:t>
      </w:r>
    </w:p>
    <w:p>
      <w:pPr>
        <w:spacing w:after="0" w:line="200" w:lineRule="exact"/>
        <w:rPr>
          <w:sz w:val="20"/>
          <w:szCs w:val="20"/>
          <w:color w:val="auto"/>
        </w:rPr>
      </w:pPr>
    </w:p>
    <w:p>
      <w:pPr>
        <w:sectPr>
          <w:pgSz w:w="11900" w:h="16838" w:orient="portrait"/>
          <w:cols w:equalWidth="0" w:num="2">
            <w:col w:w="3280" w:space="720"/>
            <w:col w:w="7420"/>
          </w:cols>
          <w:pgMar w:left="240" w:top="904"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7"/>
          <w:szCs w:val="17"/>
          <w:color w:val="auto"/>
        </w:rPr>
        <w:t>An investment in our company is highly speculative and involves a significant degree of risk. See “Risk Factors” and other information included in this prospectus for a discussion of factors you should carefully consider before deciding to invest in shares of our common stock.</w:t>
      </w:r>
    </w:p>
    <w:p>
      <w:pPr>
        <w:spacing w:after="0" w:line="166" w:lineRule="exact"/>
        <w:rPr>
          <w:sz w:val="20"/>
          <w:szCs w:val="20"/>
          <w:color w:val="auto"/>
        </w:rPr>
      </w:pPr>
    </w:p>
    <w:p>
      <w:pPr>
        <w:sectPr>
          <w:pgSz w:w="11900" w:h="16838" w:orient="portrait"/>
          <w:cols w:equalWidth="0" w:num="2">
            <w:col w:w="3280" w:space="720"/>
            <w:col w:w="7420"/>
          </w:cols>
          <w:pgMar w:left="240" w:top="904" w:right="239" w:bottom="1440" w:gutter="0" w:footer="0" w:header="0"/>
          <w:type w:val="continuous"/>
        </w:sectPr>
      </w:pPr>
    </w:p>
    <w:p>
      <w:pPr>
        <w:ind w:right="60" w:firstLine="8"/>
        <w:spacing w:after="0" w:line="259" w:lineRule="auto"/>
        <w:tabs>
          <w:tab w:leader="none" w:pos="60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the exercise of all of the outstanding warrants issued in August 2014 and all of the outstanding Series A Warrants, Series A-1 Warrants, Series C Warrants, Series D Warrants, Series D-1 Warrants, Series E Warrants, Series E-1 Warrants, Series F Warrants, Series F-1 Warrants, 2016 PIPE Warrants, 2016 Broker PIPE Warrants, 2017 PIPE Warrants and 2017 Broker PIPE Warrants, for which the underlying shares of common stock are registered herein, and that we do not issue any other shares of common stock.</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48"/>
        <w:spacing w:after="0" w:line="273" w:lineRule="auto"/>
        <w:rPr>
          <w:sz w:val="20"/>
          <w:szCs w:val="20"/>
          <w:color w:val="auto"/>
        </w:rPr>
      </w:pPr>
      <w:r>
        <w:rPr>
          <w:rFonts w:ascii="Arial" w:cs="Arial" w:eastAsia="Arial" w:hAnsi="Arial"/>
          <w:sz w:val="17"/>
          <w:szCs w:val="17"/>
          <w:i w:val="1"/>
          <w:iCs w:val="1"/>
          <w:color w:val="auto"/>
        </w:rPr>
        <w:t>Investing in securities issued by us involves certain risks. Before you invest in any securities issued by us, in addition to the other information included in, or incorporated by reference into, this prospectus, you should carefully consider the risk factors contained in Part I, Item 1A under the caption “Risk Factors” and elsewhere in our 2016 Form 10-K, which is incorporated by reference into this prospectus, as updated by our annual or quarterly reports for subsequent fiscal years or fiscal quarters that we file with the SEC and that are so incorporated. See “Where You Can Find More Information” for information about how to obtain a copy of these documents. You should also carefully consider the risks and other information that may be contained in, or incorporated by reference into, any prospectus supplement relating to specific offerings of securities.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will not receive any proceeds from the sale of shares by the selling stockholders. We may receive proceeds of up to approximately $39,177,000 if all of the outstanding warrants issued in August 2014 and all outstanding Series A Warrants, Series A-1 Warrants, Series C Warrants, Series D Warrants, Series D-1 Warrants, Series E Warrants, Series E-1 Warrants, Series F Warrants, Series F-1 Warrants, 2016 PIPE Warrants, 2016 Broker PIPE Warrants, 2017 PIPE Warrants and 2017 Broker PIPE Warrants for which the underlying shares of common stock are registered herein, are exercised (to the extent the registration statement of which this prospectus is a part is then effective and, if applicable, the “cashless exercise” provision is not utilized by the holder). Any net proceeds we receive will be used for general corporate and working capital or other purposes that our Board of Directors deems to be in our best interest. As of the date of this prospectus, we cannot specify with certainty the particular uses for the net proceeds we may receive. Accordingly, we will retain broad discretion over the use of these proceeds, if 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stockholders will offer common stock at the prevailing market prices or privately negotiated prices. The offering price of our common stock does not necessarily bear any relationship to our book value, assets, past operating results, financial condition or any other established criteria of value. Our common stock may not trade at market prices in excess of the offering price as prices for common stock in any public market will be determined in the marketplace and may be influenced by many factors, including the depth and liquidity.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of common stock being offered by the selling stockholders include those issuable to the selling stockholders upon the exercise of warrants as described in this prospectus. Upon the effectiveness of the registration statement of which this prospectus forms a part, the selling stockholders may offer the shares underlying those warrants for resale from time to time. Except as otherwise set out in this prospectus, the selling stockholders have not had any material relationship with us within the past three years.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table below lists the selling stockholders and other information regarding the ownership of shares of common stock by each of the selling stockholders. The second column lists the number of shares of common stock owned by the selling stockholders as of December 26, 2017, assuming exercise of the warrants held by each such selling stockholder on that date and not taking account of any limitations on conversion and exercise set forth therein.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third column lists the shares of common stock being offered by this Prospectus by the selling stockholders and does not take in account any limitations on exercise of the warrants set forth therein.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fourth column assumes the sale of all of the shares offered by the selling stockholders pursuant to this Prospectus, but not the sale of any other shares held by the selling stockholders.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terms of the Series A, Series D and Series E warrants provide that in no event shall shares of common stock be issued to any holder of those warrants to the extent such issuances of shares of common stock would result in such holder having ownership in excess of 4.9% of our outstanding shares of common stock. The terms of the warrants issued in August 2014, Series C and Series F warrants provide that in no event shall shares of common stock be issued to any holder of those warrants to the extent such issuances of shares of common stock would result in such holder having ownership in excess of 9.9% of our outstanding shares of common stock. The terms of the Series A-1, Series D-1, Series E-1 and Series F-1 warrants provide that in no event shall shares of common stock be issued to any holder of those warrants to the extent such issuances of shares of common stock would result in such holder having ownership in excess of 49.9% of our outstanding shares of common stock. The number of shares in the second column and the third column do not reflect these limitations. The selling stockholders may sell all, some or none of their shares in this offering. See “Plan of Distribution”.</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Maximum</w:t>
            </w:r>
          </w:p>
        </w:tc>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Number of</w:t>
            </w:r>
          </w:p>
        </w:tc>
        <w:tc>
          <w:tcPr>
            <w:tcW w:w="146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558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Number of</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Shares of</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Number of</w:t>
            </w: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of Shares of</w:t>
            </w:r>
          </w:p>
        </w:tc>
      </w:tr>
      <w:tr>
        <w:trPr>
          <w:trHeight w:val="216"/>
        </w:trPr>
        <w:tc>
          <w:tcPr>
            <w:tcW w:w="558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Shares of</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Common</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Shares of</w:t>
            </w: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Common</w:t>
            </w:r>
          </w:p>
        </w:tc>
      </w:tr>
      <w:tr>
        <w:trPr>
          <w:trHeight w:val="216"/>
        </w:trPr>
        <w:tc>
          <w:tcPr>
            <w:tcW w:w="558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Common</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Stock to be</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Common</w:t>
            </w: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Stock</w:t>
            </w:r>
          </w:p>
        </w:tc>
      </w:tr>
      <w:tr>
        <w:trPr>
          <w:trHeight w:val="216"/>
        </w:trPr>
        <w:tc>
          <w:tcPr>
            <w:tcW w:w="558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Stock</w:t>
            </w: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Sold</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Stock</w:t>
            </w: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558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Beneficially</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Pursuant to</w:t>
            </w: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Owned</w:t>
            </w:r>
          </w:p>
        </w:tc>
      </w:tr>
      <w:tr>
        <w:trPr>
          <w:trHeight w:val="216"/>
        </w:trPr>
        <w:tc>
          <w:tcPr>
            <w:tcW w:w="558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Owned</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this</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After the</w:t>
            </w:r>
          </w:p>
        </w:tc>
      </w:tr>
      <w:tr>
        <w:trPr>
          <w:trHeight w:val="216"/>
        </w:trPr>
        <w:tc>
          <w:tcPr>
            <w:tcW w:w="5580" w:type="dxa"/>
            <w:vAlign w:val="bottom"/>
          </w:tcPr>
          <w:p>
            <w:pPr>
              <w:spacing w:after="0"/>
              <w:rPr>
                <w:sz w:val="18"/>
                <w:szCs w:val="18"/>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Prior to</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Prospectus</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After</w:t>
            </w: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Offering</w:t>
            </w:r>
          </w:p>
        </w:tc>
      </w:tr>
      <w:tr>
        <w:trPr>
          <w:trHeight w:val="234"/>
        </w:trPr>
        <w:tc>
          <w:tcPr>
            <w:tcW w:w="5580" w:type="dxa"/>
            <w:vAlign w:val="bottom"/>
          </w:tcPr>
          <w:p>
            <w:pPr>
              <w:spacing w:after="0"/>
              <w:rPr>
                <w:sz w:val="20"/>
                <w:szCs w:val="20"/>
                <w:color w:val="auto"/>
              </w:rPr>
            </w:pPr>
            <w:r>
              <w:rPr>
                <w:rFonts w:ascii="Arial" w:cs="Arial" w:eastAsia="Arial" w:hAnsi="Arial"/>
                <w:sz w:val="18"/>
                <w:szCs w:val="18"/>
                <w:b w:val="1"/>
                <w:bCs w:val="1"/>
                <w:color w:val="auto"/>
              </w:rPr>
              <w:t>Name of Selling Stockholder</w:t>
            </w:r>
          </w:p>
        </w:tc>
        <w:tc>
          <w:tcPr>
            <w:tcW w:w="1500" w:type="dxa"/>
            <w:vAlign w:val="bottom"/>
          </w:tcPr>
          <w:p>
            <w:pPr>
              <w:jc w:val="right"/>
              <w:ind w:right="450"/>
              <w:spacing w:after="0"/>
              <w:rPr>
                <w:sz w:val="20"/>
                <w:szCs w:val="20"/>
                <w:color w:val="auto"/>
              </w:rPr>
            </w:pPr>
            <w:r>
              <w:rPr>
                <w:rFonts w:ascii="Arial" w:cs="Arial" w:eastAsia="Arial" w:hAnsi="Arial"/>
                <w:sz w:val="18"/>
                <w:szCs w:val="18"/>
                <w:b w:val="1"/>
                <w:bCs w:val="1"/>
                <w:color w:val="auto"/>
              </w:rPr>
              <w:t>Offering</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(1)</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Offering (2)</w:t>
            </w: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(1) (2)</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Empery Asset Master, LTD (3)</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289,560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178,665</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110,895</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Empery Tax Efficient, LP (4)</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69,239</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42,722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26,517</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Empery Tax Efficient II, LP (5)</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581,201</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358,614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222,587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Iroquois Master Fund Ltd. (6)</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702,500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520,833</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181,667</w:t>
            </w:r>
          </w:p>
        </w:tc>
        <w:tc>
          <w:tcPr>
            <w:tcW w:w="14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American Capital Management LLC (7)</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421,500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312,500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109,000</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The Merav Abbe Irrevocable Trust (8)</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140,500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104,166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36,334</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The Samantha Abbe Irrevocable Trust (9)</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46,834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34,724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12,110</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The Talia Abbe Irrevocable Trust (10)</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46,832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34,720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12,112</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The Bennett Abbe Irrevocable Trust (11)</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46,832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34,720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12,112</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Brio Capital Master Fund, Ltd. (12)</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1,177,576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808,337</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369,239</w:t>
            </w:r>
          </w:p>
        </w:tc>
        <w:tc>
          <w:tcPr>
            <w:tcW w:w="142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Eastern Capital Limited (13)</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4,000,000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3,750,000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250,000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OTA LLC (14)</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157,233</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157,233</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Kola Agbaje</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111</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111</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Allen Chase Foundation-Special Investment Account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4,168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4,168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American Portfolios Financial Services Inc.</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4,135</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4,135</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Barclay Armitage</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10,662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10,662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Alexander Arrow</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10,418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10,418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Wayne K Baldwin</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22,270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22,270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Jeremy Berney</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3,420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3,420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Joseph Biancaniello</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Michael Bigger</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41,516</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41,516</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w w:val="97"/>
              </w:rPr>
              <w:t>Michael Bigger Custodian FBO Andreas Bigger UGMA NY Until Age 21</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41,516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41,516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8"/>
              </w:rPr>
              <w:t>Michael Bigger Custodian FBO Mathias Bigger UGMA NY Until Age 21</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41,516</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41,516</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John C. Blazier</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Jay Bradbury</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Andrew Brenner</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24,330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24,330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Alexander J. Brown Trust dtd Apr 11 1996</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50,000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50,000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Larry Caillouet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Scott Cardone</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1,223</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1,223</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 Stuart Chase</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4,168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4,168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Chitayat Family Gift Trust</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20,834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20,834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Carol Cody</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14,654</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14,654</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Barry Cohn</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Lee Harrison Corbin</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50,256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45,256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5,000</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John A. &amp; Wendy M. Cotter</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10,418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10,418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Christopher Cozzolino</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23,597</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23,597</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Arielle Crothers</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4,886</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4,886</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Robert T. Crothers</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30,010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30,010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Robinson W. Crothers</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3,334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3,334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David M. Rickey Trust dtd 5/8/02</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10,418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10,418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Linda DelPonte</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Bruce Doniger</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Ernest Dronenburg</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16,668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16,668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Norman Dumbroff</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24,422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24,422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Eastside Holdings Ltd.</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36,632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36,632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EFD Capital Inc.</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11,418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11,418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Paul Ehrenstein</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1,667</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1,667</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Steven Elias &amp; Bessie Elias, JTWROS</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14,994</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14,994</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 L.P.</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104,168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104,168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Ernest W. Moody Revocable Trust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452,536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452,536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Philip W. Faucette, II</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22,630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22,630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Kevin Filosa</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1,806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1,806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FirstFire Global Opportunities Fund LLC</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52,084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52,084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Albert &amp; Hiedi Gentile</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20,546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20,546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Gibralt Capital Corporation</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125,000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125,000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Bruce D. &amp; Laura K. Goethe</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16,668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16,668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Jessica Greenfield</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Ravi Gutta</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31,748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31,748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Kimberly Hanley</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159</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159</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Matthew Hayden &amp; Julie Hayden, Tenants in Common</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48,842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48,842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Todd Harrigan</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1,223</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1,223</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Timothy Herrmann</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1,223</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1,223</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Daniel W. and Allaire Hummel, JTWROS</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ectPr>
          <w:pgSz w:w="11900" w:h="16897" w:orient="portrait"/>
          <w:cols w:equalWidth="0" w:num="1">
            <w:col w:w="11420"/>
          </w:cols>
          <w:pgMar w:left="240" w:top="904"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Intracoastal Capital LLC (15)</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170,940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170,940</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Robert Jacob &amp; Christine Jacob, JTWROS</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7,328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7,328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Morgan Janssen</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14,597</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14,597</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Peter K. Janssen</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62,792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62,792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JMG Holdings, LLC</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48,842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48,842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Martin Junge</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56,168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56,168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William Jeffrey Kadi</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27,352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27,352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Bobby Kato Jr.</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5,210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5,210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Justin Kenner D/B/A JMJ Financial</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122,102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122,102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Edward King</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24,422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24,422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Patricia King</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12,212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12,212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Mackie Klingbeil</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10,418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10,418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Peter M. Knapp</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6,250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6,250</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Douglas Kohrs</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48,842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48,842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Ryan Konik</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256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256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Jeffrey Kuhr</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5,862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5,862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Thomas LaMarca</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4,886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4,886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David Landskowsky</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5,658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5,658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Brian K. Langham</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10,418</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10,418</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Clay Lebhar</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10,418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10,418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Thomas Leith</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97,682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97,682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Leonite Capital LLC</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24,422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24,422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Lincoln Park Capital Fund, LLC</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73,262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73,262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Allan Lipkowitz Revocable Living Trust dtd August 26, 2005</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23,081</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19,538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3,543</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Norman Liss</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244,202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244,202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Roman Livson</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365</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365</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Richard Madison</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26,570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26,570</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Veronica Marano &amp; Thomas M. Volckening</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69,748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69,748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Michael J. Mathieu</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58,842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48,842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10,000</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Ernest J. &amp; Michele M. Mattei</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22,630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22,630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Noel McGee</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4,886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4,886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Rory McGee</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4,886</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4,886</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Samantha McGrandy</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104</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104</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Robert McGrath</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14,214</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14,214</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Thomas McGurk</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16,560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16,560</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Stephen R. Mut</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41,668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41,668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Thomas Norgiel</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24,422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24,422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Northlea Partners LLLP</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6,250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6,250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Nybor Group Inc.</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4,168</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4,168</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Terence Oi &amp; Patricia Meehan, JTWROS</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9,770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9,770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OS Media SEZC Ltd.</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25,000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25,000</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Osprey I LLC</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20,834</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20,834</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Pauline M. Howard Trust dtd 01.02.98, Candy D’Azevedo TTEE</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14,654</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14,654</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Lisa Piper</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17,096</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17,096</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Stephen Piscano</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4,886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4,886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Kenneth S. Pizzo, Jr.</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208,334</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208,334</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 James Prieur &amp; Karen Prieur, JTWROS</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48,842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48,842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Joel Pruzansky</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34,840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34,840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Harmon L. Remmel</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27,897</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24,422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3,475</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Stephen Renaud</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39,430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39,430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Jeff Rennell &amp; Christine Kellye Rennell, JTWROS</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44,738</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44,738</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Richard A. Brown Revocable Trust u/t/d October 18, 2016</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150,000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150,000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Dyke Rogers</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88,256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88,256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Eric Rubenstein</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5,658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5,658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Art Sadin</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10,418</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10,418</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Giles Sandvik &amp; Jeanne Sandvik, JTWROS</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7,328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7,328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James Saylor &amp; Dorothy Saylor, JTWROS</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14,654</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14,654</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David M. Schloss</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6,838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6,838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Robert A. Schloss</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4,886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4,886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Joseph Schump</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129,582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129,582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Aaron Segal</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1,223</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1,223</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Stephen Shumpert</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66,090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66,090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Michael Silverman</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58,548</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58,548</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Daryl Squicciarini</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48,842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48,842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William C. Stone</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24,422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24,422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Spencer Stouffer</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24,422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24,422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Clayton A. Struve</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57,756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57,756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William Sykes</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68,378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68,378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Tim Elmes, LLC Pension Plan</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12,212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12,212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Lisa Torsiello</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43,224</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43,224</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The Trust of Abraham Schloss UAD 06/15/2011</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17,096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17,096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John V. Wagner, Jr.</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29,966</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29,966</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Jason and Amanda Willis, JTWROS</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24,422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24,422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Michael L. and Sharon D. Willis, JTWROS</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97,682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97,682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Julie Wineman</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12,212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12,212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WestPark Capital Inc.</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111</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111</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bl>
    <w:p>
      <w:pPr>
        <w:sectPr>
          <w:pgSz w:w="11900" w:h="16838" w:orient="portrait"/>
          <w:cols w:equalWidth="0" w:num="1">
            <w:col w:w="11420"/>
          </w:cols>
          <w:pgMar w:left="240" w:top="125"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Jacob D. Wiznitzer</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The Steve and Kaye Yost Family Trust dtd 2.7.92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Amir Zaghloul &amp; Mona Zaghloul, JTWROS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27,352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27,352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Thomas Zahavi</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39,074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39,074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Lynn Zheng</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39,074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39,074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Michael Zimmerman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8,220</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0"/>
        </w:trPr>
        <w:tc>
          <w:tcPr>
            <w:tcW w:w="5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firstLine="8"/>
        <w:spacing w:after="0" w:line="253" w:lineRule="auto"/>
        <w:tabs>
          <w:tab w:leader="none" w:pos="69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shares of common stock underlying warrants held by the Selling Stockholder that are covered by this Prospectus, including warrants that, due to contractual restrictions, may not be exercisable if such exercise would result in beneficial ownership greater than 4.9%, 9.9% and 49.9% of our outstanding common stock, as applicable. As these ownership amounts are not calculated according to Rule 13d-3 under the Securities Exchange Act of 1934, as amended, they differ from the amounts shown in the section of this Prospectus entitled “Beneficial Ownership of Principal Stockholders, Officers and Directors”.</w:t>
      </w:r>
    </w:p>
    <w:p>
      <w:pPr>
        <w:spacing w:after="0" w:line="191" w:lineRule="exact"/>
        <w:rPr>
          <w:rFonts w:ascii="Arial" w:cs="Arial" w:eastAsia="Arial" w:hAnsi="Arial"/>
          <w:sz w:val="18"/>
          <w:szCs w:val="18"/>
          <w:color w:val="auto"/>
        </w:rPr>
      </w:pPr>
    </w:p>
    <w:p>
      <w:pPr>
        <w:jc w:val="both"/>
        <w:ind w:firstLine="8"/>
        <w:spacing w:after="0" w:line="257" w:lineRule="auto"/>
        <w:tabs>
          <w:tab w:leader="none" w:pos="69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17,064,165 shares of common stock, which includes 10,605,724 shares of common stock issued and outstanding on December 26, 2017, and 6,458,411 shares of common stock being offered in this Prospectus that may be issued upon exercise of the warrants. In determining this amount, we assumed that (i) all 6,458,411 shares of common stock being offered in this Prospectus that may be issued upon exercise of the warrants will be sold and (ii) we issue no other shares of common stock. If these assumptions are incorrect, the number of shares and percentages included in this column will differ from what we have provided.</w:t>
      </w:r>
    </w:p>
    <w:p>
      <w:pPr>
        <w:spacing w:after="0" w:line="188" w:lineRule="exact"/>
        <w:rPr>
          <w:rFonts w:ascii="Arial" w:cs="Arial" w:eastAsia="Arial" w:hAnsi="Arial"/>
          <w:sz w:val="18"/>
          <w:szCs w:val="18"/>
          <w:color w:val="auto"/>
        </w:rPr>
      </w:pPr>
    </w:p>
    <w:p>
      <w:pPr>
        <w:jc w:val="both"/>
        <w:ind w:firstLine="8"/>
        <w:spacing w:after="0" w:line="259" w:lineRule="auto"/>
        <w:tabs>
          <w:tab w:leader="none" w:pos="704"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Asset Master Ltd (“EAM”), has discretionary authority to vote and dispose of the shares held by EAM and may be deemed to be the beneficial owner of these shares. Martin Hoe and Ryan Lane, in their capacity as investment managers of Empery Asset Management LP, may also be deemed to have investment discretion and voting power over the shares held by EAM. EAM, Mr. Hoe and Mr. Lane each disclaim any beneficial ownership of these shares.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335,898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 The warrants referred to in the immediately preceding paragraph are comprised of (i) 59,555 shares of common stock issuable upon exercise of the Series D Warrants, (ii) 59,555 shares of common stock issuable upon exercise of the Series E Warrants and (iii) 59,555 shares of common stock issuable upon exercise of the Series F Warrants.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line="74" w:lineRule="exact"/>
        <w:rPr>
          <w:sz w:val="20"/>
          <w:szCs w:val="20"/>
          <w:color w:val="auto"/>
        </w:rPr>
      </w:pPr>
    </w:p>
    <w:p>
      <w:pPr>
        <w:jc w:val="both"/>
        <w:ind w:firstLine="8"/>
        <w:spacing w:after="0" w:line="259" w:lineRule="auto"/>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Tax Efficient, LP (“ETE”), has discretionary authority to vote and dispose of the shares held by ETE and may be deemed to be the beneficial owner of these shares. Martin Hoe and Ryan Lane, in their capacity as investment managers of Empery Asset Management LP, may also be deemed to have investment discretion and voting power over the shares held by ETE. ETE, Mr. Hoe and Mr. Lane each disclaim any beneficial ownership of these shares.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42,722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warrants referred to in the immediately preceding paragraph are comprised of (i) 14,241 shares of common stock issuable upon exercise of the Series D Warrants, (ii) 14,241 shares of common stock issuable upon exercise of the Series E Warrants and (iii) 14,241 shares of common stock issuable upon exercise of the Series F Warrants.</w:t>
      </w:r>
    </w:p>
    <w:p>
      <w:pPr>
        <w:spacing w:after="0" w:line="181" w:lineRule="exact"/>
        <w:rPr>
          <w:sz w:val="20"/>
          <w:szCs w:val="20"/>
          <w:color w:val="auto"/>
        </w:rPr>
      </w:pPr>
    </w:p>
    <w:p>
      <w:pPr>
        <w:jc w:val="both"/>
        <w:ind w:firstLine="8"/>
        <w:spacing w:after="0" w:line="259" w:lineRule="auto"/>
        <w:tabs>
          <w:tab w:leader="none" w:pos="67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Tax Efficient, LP (“ETE II”), has discretionary authority to vote and dispose of the shares held by ETE II and may be deemed to be the beneficial owner of these shares. Martin Hoe and Ryan Lane, in their capacity as investment managers of Empery Asset Management LP, may also be deemed to have investment discretion and voting power over the shares held by ETE II. ETE II, Mr. Hoe and Mr. Lane each disclaim any beneficial ownership of these shares.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358,614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warrants referred to in the immediately preceding paragraph are comprised of (i) 119,538 shares of common stock issuable upon exercise of the Series D Warrants, (ii) 119,538 shares of common stock issuable upon exercise of the Series E Warrants and (iii) 119,538 shares of common stock issuable upon exercise of the Series F Warrants.</w:t>
      </w:r>
    </w:p>
    <w:p>
      <w:pPr>
        <w:spacing w:after="0" w:line="181" w:lineRule="exact"/>
        <w:rPr>
          <w:sz w:val="20"/>
          <w:szCs w:val="20"/>
          <w:color w:val="auto"/>
        </w:rPr>
      </w:pPr>
    </w:p>
    <w:p>
      <w:pPr>
        <w:ind w:right="260" w:firstLine="8"/>
        <w:spacing w:after="0" w:line="264" w:lineRule="auto"/>
        <w:tabs>
          <w:tab w:leader="none" w:pos="6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Iroquois Capital Management L.L.C. (“Iroquois”) is the investment manager of Iroquois Master Fund Ltd. (the “Fund”) and Richard Abbe is the President of Iroquois. Mr. Abbe shares authority and responsibility for the investments made on behalf of the Fund with Kimberly Page, each of whom is a director of the Fund.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468,356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104,167 shares of common stock issuable upon exercise of the Series A Warrants, (ii) 110,000 shares of common stock issuable upon exercise of the Series C Warrants, (iii) 104,167 shares of common stock issuable upon exercise of the Series D Warrants, (iv) 51,690 shares of common stock issuable upon exercise of the Series E Warrants and (v) 98,334 shares of common stock issuable upon exercise of the Series F Warrants.</w:t>
      </w:r>
    </w:p>
    <w:p>
      <w:pPr>
        <w:spacing w:after="0" w:line="187" w:lineRule="exact"/>
        <w:rPr>
          <w:sz w:val="20"/>
          <w:szCs w:val="20"/>
          <w:color w:val="auto"/>
        </w:rPr>
      </w:pPr>
    </w:p>
    <w:p>
      <w:pPr>
        <w:ind w:firstLine="8"/>
        <w:spacing w:after="0" w:line="277" w:lineRule="auto"/>
        <w:tabs>
          <w:tab w:leader="none" w:pos="8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Kimberly Page has the authority and responsibility for the investments made on behalf of American Capital Management LLC (“ACM”) and accordingly, has voting and dispositive power over the securities held by ACM.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302,004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62,500 shares of common stock issuable upon exercise of the Series A Warrants, (ii) 66,000 shares of common stock issuable upon exercise of the Series C Warrants, (iii) 62,500 shares of common stock issuable upon exercise of the Series D Warrants, (iii) 52,004 shares of common stock issuable upon exercise of the Series E Warrants and (iv) 59,000 shares of common stock issuable upon exercise of the Series F Warrants.</w:t>
      </w:r>
    </w:p>
    <w:p>
      <w:pPr>
        <w:spacing w:after="0" w:line="187" w:lineRule="exact"/>
        <w:rPr>
          <w:sz w:val="20"/>
          <w:szCs w:val="20"/>
          <w:color w:val="auto"/>
        </w:rPr>
      </w:pPr>
    </w:p>
    <w:p>
      <w:pPr>
        <w:ind w:left="620" w:hanging="61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By virtue of his position as trustee, Leo Abbe has voting and dispositive power over the securities held by The Merav Abbe Irrevocable Trust.</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93,670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20,833 shares of common stock issuable upon exercise of the Series A Warrants, (ii) 22,000 shares of common stock issuable upon exercise of the Series C Warrants, (iii) 20,833 shares of common stock issuable upon exercise of the Series D Warrants, (iv) 10,337 shares of common stock issuable upon exercise of the Series E Warrants and (v) 19,667 shares of common stock issuable upon exercise of the Series F Warrants.</w:t>
      </w:r>
    </w:p>
    <w:p>
      <w:pPr>
        <w:spacing w:after="0" w:line="187" w:lineRule="exact"/>
        <w:rPr>
          <w:sz w:val="20"/>
          <w:szCs w:val="20"/>
          <w:color w:val="auto"/>
        </w:rPr>
      </w:pPr>
    </w:p>
    <w:p>
      <w:pPr>
        <w:ind w:left="620" w:hanging="612"/>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Samantha Abbe Irrevocable Trust.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31,226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ectPr>
          <w:pgSz w:w="11900" w:h="16912" w:orient="portrait"/>
          <w:cols w:equalWidth="0" w:num="1">
            <w:col w:w="11420"/>
          </w:cols>
          <w:pgMar w:left="240" w:top="908" w:right="239" w:bottom="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6,945 shares of common stock issuable upon exercise of the Series A Warrants, (ii) 7,333 shares of common stock issuable upon exercise of the Series C Warrants, (iii) 6,945 shares of common stock issuable upon exercise of the Series D Warrants, (iv) 3,447 shares of common stock issuable upon exercise of the Series E Warrants and (v) 6,556 shares of common stock issuable upon exercise of the Series F Warrants.</w:t>
      </w:r>
    </w:p>
    <w:p>
      <w:pPr>
        <w:spacing w:after="0" w:line="18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Talia Abbe Irrevocable Trust.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31,222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6,944 shares of common stock issuable upon exercise of the Series A Warrants, (ii) 7,333 shares of common stock issuable upon exercise of the Series C Warrants, (iii) 6,944 shares of common stock issuable upon exercise of the Series D Warrants, (iv) 3,446 shares of common stock issuable upon exercise of the Series E Warrants and (v) 6,555 shares of common stock issuable upon exercise of the Series F Warrants.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Bennett Abbe Irrevocable Trust.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31,222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6,944 shares of common stock issuable upon exercise of the Series A Warrants, (ii) 7,333 shares of common stock issuable upon exercise of the Series C Warrants, (iii) 6,944 shares of common stock issuable upon exercise of the Series D Warrants, (iv) 3,446 shares of common stock issuable upon exercise of the Series E Warrants and (v) 6,555 shares of common stock issuable upon exercise of the Series F Warrants.</w:t>
      </w:r>
    </w:p>
    <w:p>
      <w:pPr>
        <w:spacing w:after="0" w:line="187"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Shaye Hirsch has voting and dispositive power over the securities owned by the selling stockholder.</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724,374 shares issuable upon the exercise of warrants held by the stockholder. This amount does not (i) give effect to limitations on ownership set out in any of the warrants that may be exercised into such shares or (ii) include any shares that may be beneficially owned by an affiliate.</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warrants referred to in the immediately preceding paragraph are comprised of (i) 198,334 shares of common stock issuable upon exercise of the Series C Warrants, (ii) 208,334 shares of common stock issuable upon exercise of the Series D Warrants, (iii) 124,371 shares of common stock issuable upon exercise of the Series E Warrants and (iv) 193,334 shares of common stock issuable upon exercise of the Series F Warrants.</w:t>
      </w:r>
    </w:p>
    <w:p>
      <w:pPr>
        <w:spacing w:after="0" w:line="166" w:lineRule="exact"/>
        <w:rPr>
          <w:sz w:val="20"/>
          <w:szCs w:val="20"/>
          <w:color w:val="auto"/>
        </w:rPr>
      </w:pPr>
    </w:p>
    <w:p>
      <w:pPr>
        <w:jc w:val="both"/>
        <w:ind w:firstLine="8"/>
        <w:spacing w:after="0" w:line="264" w:lineRule="auto"/>
        <w:tabs>
          <w:tab w:leader="none" w:pos="8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Eastern Capital Limited is a direct wholly-owned subsidiary of Portfolio Services Ltd. Kenneth B. Dart is the beneficial owner of all of the outstanding shares of Portfolio Services Ltd. Eastern Capital Limited, Portfolio Services Ltd. and Mr. Dart have shared voting and dispositive powers with respect to the shares of common stock referenced above.”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“Number of Shares of Common Stock Owned Prior to Offering” and “Shares of Common Stock to be Sold Pursuant to this Prospectus” include 1,666,667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“Shares of Common Stock to be Sold Pursuant to this Prospectus” includes (i) 416,667 shares of common stock issuable upon exercise of the Series A-1 Warrants, (ii) 416,667 shares of common stock issuable upon exercise of the Series D-1 Warrants (iii) 416,667 shares of common stock issuable upon exercise of the Series E-1 Warrants and (iv) 416,667 shares of common stock issuable upon exercise of the Series F-1 Warrants.</w:t>
      </w:r>
    </w:p>
    <w:p>
      <w:pPr>
        <w:spacing w:after="0" w:line="166" w:lineRule="exact"/>
        <w:rPr>
          <w:sz w:val="20"/>
          <w:szCs w:val="20"/>
          <w:color w:val="auto"/>
        </w:rPr>
      </w:pPr>
    </w:p>
    <w:p>
      <w:pPr>
        <w:jc w:val="both"/>
        <w:ind w:firstLine="8"/>
        <w:spacing w:after="0" w:line="297" w:lineRule="auto"/>
        <w:tabs>
          <w:tab w:leader="none" w:pos="702"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OTA LLC (“OTA”) is a broker-dealer registered with the Securities and Exchange Commission and a member of the Financial Industry Regulatory Authority. Ira M. Leventhal, as a senior managing director of OTA, has voting and investment control over the reported securities. The shares listed under “Number of Shares of Common Stock Owned Prior to Offering” and “Shares of Common Stock to be Sold Pursuant to this Prospectus” include 157,233 shares of common stock issuable upon exercise of the warrants sold in August 2014. This amount does not (i) give effect to limitations on ownership set out in any of the warrants that may be exercised into such shares or (ii) include any shares that may be beneficially owned by an affiliate.</w:t>
      </w:r>
    </w:p>
    <w:p>
      <w:pPr>
        <w:spacing w:after="0" w:line="158" w:lineRule="exact"/>
        <w:rPr>
          <w:rFonts w:ascii="Arial" w:cs="Arial" w:eastAsia="Arial" w:hAnsi="Arial"/>
          <w:sz w:val="16"/>
          <w:szCs w:val="16"/>
          <w:color w:val="auto"/>
        </w:rPr>
      </w:pPr>
    </w:p>
    <w:p>
      <w:pPr>
        <w:jc w:val="both"/>
        <w:ind w:right="100" w:firstLine="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(the “Exchange Act”)) of the securities reported herein that are held by Intracoastal.</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Asher, who is a manager of Intracoastal, is also a control person of a broker-dealer. As a result of such common control, Intracoastal may be deemed to be an affiliate of a broker-dealer. Intracoastal acquired the ordinary shares being registered hereunder in the ordinary course of business, and at the time of the acquisition of the ordinary shares and warrants described herein, Intracoastal did not have any arrangements or understandings with any person to distribute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common stock held by the selling stockholders may be sold or distributed from time to time by the selling stockholders directly to one or more purchasers or through brokers, dealers, or underwriters who may act solely as agents at market prices prevailing at the time of sale, at prices related to the prevailing market prices, at negotiated prices, or at fixed prices, which may be changed on any stock exchange, market or trading facility on which the shares are traded or in private transactions. The sale of the selling stockholders’ common stock offered by this prospectus may be effected in one or more of the following methods:</w:t>
      </w:r>
    </w:p>
    <w:p>
      <w:pPr>
        <w:spacing w:after="0" w:line="188"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transactions involving cross or block trades;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 sales after the registration statement, of which this prospectus forms a part, becomes effective;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the market” into an existing market for the common stock;</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the writing of options on the shares;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comply with the securities laws of certain states, if applicable, the shares of each of the selling stockholders may be sold only through registered or licensed brokers or dealers. In addition, in certain states, such shares may not be sold unless they have been registered or qualified for sale in the state or an exemption from the registration or qualification requirement is available and complied with.</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selling stockholders may also sell shares of common stock under Rule 144 promulgated under the Securities Act, if available, or any other exemption available under the Securities Act rather than under this prospectus. In addition, the selling stockholders may transfer the shares of common stock by other means not described in this prospectus.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stockholders may also sell the shares directly to market makers acting as principals and/or broker-dealers acting as agents for themselves or their customers. Such broker-dealers may receive compensation in the form of discounts, concessions or commissions from the selling stockholders and/or the purchasers of shares for whom such broker-dealers may act as agents or to whom they sell as principal or both, which compensation as to a particular broker-dealer might be in excess of customary commissions. Market makers and block purchasers purchasing the shares will do so for their own account and at their own risk. It is possible that a selling stockholder will attempt to sell shares of common stock in block transactions to market makers or other purchasers at a price per share which may be below the then market price. The selling stockholders cannot assure that all or any of the shares offered in this prospectus will be issued to, or sold by, such selling stockholder.</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Brokers, dealers, underwriters, or agents participating in the distribution of the shares held by the selling stockholders as agents may receive compensation in the form of commissions, discounts, or concessions from the selling stockholders and/or purchasers of the common stock for whom the broker-dealers may act as agent. The selling stockholders may agree to indemnify any agent, dealer or broker-dealer that participates in transactions involving sales of the shares if liabilities are imposed on that person under the Securities Act.</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t>Each of the selling stockholders acquired the securities offered hereby in the ordinary course of business and has advised us that they have not entered into any agreements, understandings or arrangements with any underwriters or broker-dealers regarding the sale of their shares of common stock, nor is there an underwriter or coordinating broker acting in connection with a proposed sale of shares of common stock by any selling stockholder. If we are notified by any selling stockholder that any material arrangement has been entered into with a broker-dealer for the sale of shares of common stock, if required, we will file a supplement to this prospectus.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suspend the sale of shares by the selling stockholders pursuant to this prospectus for certain periods of time for certain reasons, including if the prospectus is required to be supplemented or amended to include additional material information.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any of the selling stockholders use this prospectus for any sale of the shares of common stock, such selling stockholder will be subject to the prospectus delivery requirements of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anti-manipulation rules of Regulation M under the Exchange Act of 1934, as amended (the “Exchange Act”) may apply to sales of our common stock and activities of the selling stockholder.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advised the selling stockholders that while it is engaged in a distribution of the shares included in this prospectus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date hereof, we are authorized by our articles of incorporation to issue an aggregate of 41,666,667 shares of common stock, par value $0.001 per share, and 5,000,000 shares of preferred stock, par value $0.001 per share. As of December 26, 2017, we had 10,605,724 shares of common stock, and no shares of preferred stock, issued and outstanding, as well as warrants and stock options outstanding to purchase an aggregate of 6,975,407 shares of our common stock at prices ranging between $1.20 and $220.00 per share,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Arial" w:cs="Arial" w:eastAsia="Arial" w:hAnsi="Arial"/>
                <w:sz w:val="18"/>
                <w:szCs w:val="18"/>
                <w:b w:val="1"/>
                <w:bCs w:val="1"/>
                <w:color w:val="auto"/>
              </w:rPr>
              <w:t>Outstanding Warrants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Exercise Price</w:t>
            </w:r>
          </w:p>
        </w:tc>
        <w:tc>
          <w:tcPr>
            <w:tcW w:w="5460" w:type="dxa"/>
            <w:vAlign w:val="bottom"/>
          </w:tcPr>
          <w:p>
            <w:pPr>
              <w:spacing w:after="0"/>
              <w:rPr>
                <w:sz w:val="20"/>
                <w:szCs w:val="20"/>
                <w:color w:val="auto"/>
              </w:rPr>
            </w:pPr>
            <w:r>
              <w:rPr>
                <w:rFonts w:ascii="Arial" w:cs="Arial" w:eastAsia="Arial" w:hAnsi="Arial"/>
                <w:sz w:val="18"/>
                <w:szCs w:val="18"/>
                <w:b w:val="1"/>
                <w:bCs w:val="1"/>
                <w:color w:val="auto"/>
              </w:rPr>
              <w:t>Expiration</w:t>
            </w:r>
          </w:p>
        </w:tc>
      </w:tr>
      <w:tr>
        <w:trPr>
          <w:trHeight w:val="210"/>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Series A</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214,433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top w:val="single" w:sz="8" w:color="CCEEFF"/>
            </w:tcBorders>
            <w:shd w:val="clear" w:color="auto" w:fill="CCEEFF"/>
          </w:tcPr>
          <w:p>
            <w:pPr>
              <w:spacing w:after="0"/>
              <w:rPr>
                <w:sz w:val="18"/>
                <w:szCs w:val="18"/>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01/13/2020</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Series C</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110,683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5460" w:type="dxa"/>
            <w:vAlign w:val="bottom"/>
          </w:tcPr>
          <w:p>
            <w:pPr>
              <w:spacing w:after="0"/>
              <w:rPr>
                <w:sz w:val="20"/>
                <w:szCs w:val="20"/>
                <w:color w:val="auto"/>
              </w:rPr>
            </w:pPr>
            <w:r>
              <w:rPr>
                <w:rFonts w:ascii="Arial" w:cs="Arial" w:eastAsia="Arial" w:hAnsi="Arial"/>
                <w:sz w:val="18"/>
                <w:szCs w:val="18"/>
                <w:color w:val="auto"/>
              </w:rPr>
              <w:t>01/13/2020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C</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313,750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01/13/2020</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Series D</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297,500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9.00</w:t>
            </w:r>
          </w:p>
        </w:tc>
        <w:tc>
          <w:tcPr>
            <w:tcW w:w="5460" w:type="dxa"/>
            <w:vAlign w:val="bottom"/>
          </w:tcPr>
          <w:p>
            <w:pPr>
              <w:spacing w:after="0"/>
              <w:rPr>
                <w:sz w:val="20"/>
                <w:szCs w:val="20"/>
                <w:color w:val="auto"/>
              </w:rPr>
            </w:pPr>
            <w:r>
              <w:rPr>
                <w:rFonts w:ascii="Arial" w:cs="Arial" w:eastAsia="Arial" w:hAnsi="Arial"/>
                <w:sz w:val="18"/>
                <w:szCs w:val="18"/>
                <w:color w:val="auto"/>
                <w:w w:val="97"/>
              </w:rPr>
              <w:t>Between 07/16/2020 and 08/13/2020 and 08/19/2020 and 09/09/2020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D</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312,500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7"/>
              </w:rPr>
              <w:t>Between 07/16/2020 and 08/13/2020 and 08/19/2020 and 09/09/2020</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Series 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261,619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5460" w:type="dxa"/>
            <w:vAlign w:val="bottom"/>
          </w:tcPr>
          <w:p>
            <w:pPr>
              <w:spacing w:after="0"/>
              <w:rPr>
                <w:sz w:val="20"/>
                <w:szCs w:val="20"/>
                <w:color w:val="auto"/>
              </w:rPr>
            </w:pPr>
            <w:r>
              <w:rPr>
                <w:rFonts w:ascii="Arial" w:cs="Arial" w:eastAsia="Arial" w:hAnsi="Arial"/>
                <w:sz w:val="18"/>
                <w:szCs w:val="18"/>
                <w:color w:val="auto"/>
                <w:w w:val="97"/>
              </w:rPr>
              <w:t>Between 10/01/2020 and 11/12/2020 and 11/30/2020 and 12/09/2020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E</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186,555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7"/>
              </w:rPr>
              <w:t>Between 10/01/2020 and 11/12/2020 and 11/30/2020 and 12/09/2020</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Series F</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290,833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5460" w:type="dxa"/>
            <w:vAlign w:val="bottom"/>
          </w:tcPr>
          <w:p>
            <w:pPr>
              <w:spacing w:after="0"/>
              <w:rPr>
                <w:sz w:val="20"/>
                <w:szCs w:val="20"/>
                <w:color w:val="auto"/>
              </w:rPr>
            </w:pPr>
            <w:r>
              <w:rPr>
                <w:rFonts w:ascii="Arial" w:cs="Arial" w:eastAsia="Arial" w:hAnsi="Arial"/>
                <w:sz w:val="18"/>
                <w:szCs w:val="18"/>
                <w:color w:val="auto"/>
              </w:rPr>
              <w:t>08/11/2021</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F</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292,500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08/11/2021</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Series A-1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418,750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5460" w:type="dxa"/>
            <w:vAlign w:val="bottom"/>
          </w:tcPr>
          <w:p>
            <w:pPr>
              <w:spacing w:after="0"/>
              <w:rPr>
                <w:sz w:val="20"/>
                <w:szCs w:val="20"/>
                <w:color w:val="auto"/>
              </w:rPr>
            </w:pPr>
            <w:r>
              <w:rPr>
                <w:rFonts w:ascii="Arial" w:cs="Arial" w:eastAsia="Arial" w:hAnsi="Arial"/>
                <w:sz w:val="18"/>
                <w:szCs w:val="18"/>
                <w:color w:val="auto"/>
              </w:rPr>
              <w:t>03/09/2020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C-1</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01/13/2020</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Series D-1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416,667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9.00</w:t>
            </w:r>
          </w:p>
        </w:tc>
        <w:tc>
          <w:tcPr>
            <w:tcW w:w="5460" w:type="dxa"/>
            <w:vAlign w:val="bottom"/>
          </w:tcPr>
          <w:p>
            <w:pPr>
              <w:spacing w:after="0"/>
              <w:rPr>
                <w:sz w:val="20"/>
                <w:szCs w:val="20"/>
                <w:color w:val="auto"/>
              </w:rPr>
            </w:pPr>
            <w:r>
              <w:rPr>
                <w:rFonts w:ascii="Arial" w:cs="Arial" w:eastAsia="Arial" w:hAnsi="Arial"/>
                <w:sz w:val="18"/>
                <w:szCs w:val="18"/>
                <w:color w:val="auto"/>
              </w:rPr>
              <w:t>Between 08/19/2020 and 09/09/2020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E-1</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418,750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06/16/2020</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Series F-1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416,667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5460" w:type="dxa"/>
            <w:vAlign w:val="bottom"/>
          </w:tcPr>
          <w:p>
            <w:pPr>
              <w:spacing w:after="0"/>
              <w:rPr>
                <w:sz w:val="20"/>
                <w:szCs w:val="20"/>
                <w:color w:val="auto"/>
              </w:rPr>
            </w:pPr>
            <w:r>
              <w:rPr>
                <w:rFonts w:ascii="Arial" w:cs="Arial" w:eastAsia="Arial" w:hAnsi="Arial"/>
                <w:sz w:val="18"/>
                <w:szCs w:val="18"/>
                <w:color w:val="auto"/>
              </w:rPr>
              <w:t>08/11/2021</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 PIPE Investor Warrants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653,187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08/11/2021</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2016 PIPE Broker Warrants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65,327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4.80</w:t>
            </w:r>
          </w:p>
        </w:tc>
        <w:tc>
          <w:tcPr>
            <w:tcW w:w="5460" w:type="dxa"/>
            <w:vAlign w:val="bottom"/>
          </w:tcPr>
          <w:p>
            <w:pPr>
              <w:spacing w:after="0"/>
              <w:rPr>
                <w:sz w:val="20"/>
                <w:szCs w:val="20"/>
                <w:color w:val="auto"/>
              </w:rPr>
            </w:pPr>
            <w:r>
              <w:rPr>
                <w:rFonts w:ascii="Arial" w:cs="Arial" w:eastAsia="Arial" w:hAnsi="Arial"/>
                <w:sz w:val="18"/>
                <w:szCs w:val="18"/>
                <w:color w:val="auto"/>
              </w:rPr>
              <w:t>08/11/2021</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Various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3,869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Various</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Various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16,667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10.00-$14.00</w:t>
            </w:r>
          </w:p>
        </w:tc>
        <w:tc>
          <w:tcPr>
            <w:tcW w:w="2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Various</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Warrants issued in August 2014</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157,233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14.04</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08/14/19</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Various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16,195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14.01-$16.00</w:t>
            </w:r>
          </w:p>
        </w:tc>
        <w:tc>
          <w:tcPr>
            <w:tcW w:w="2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Various</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Various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12/18/2017</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2017 PIPE Investor Warrants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1,503,567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5460" w:type="dxa"/>
            <w:vAlign w:val="bottom"/>
          </w:tcPr>
          <w:p>
            <w:pPr>
              <w:spacing w:after="0"/>
              <w:rPr>
                <w:sz w:val="20"/>
                <w:szCs w:val="20"/>
                <w:color w:val="auto"/>
              </w:rPr>
            </w:pPr>
            <w:r>
              <w:rPr>
                <w:rFonts w:ascii="Arial" w:cs="Arial" w:eastAsia="Arial" w:hAnsi="Arial"/>
                <w:sz w:val="18"/>
                <w:szCs w:val="18"/>
                <w:color w:val="auto"/>
              </w:rPr>
              <w:t>06/26/2022</w:t>
            </w:r>
          </w:p>
        </w:tc>
      </w:tr>
      <w:tr>
        <w:trPr>
          <w:trHeight w:val="230"/>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 PIPE Broker Warrants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150,356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06/26/2022</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Arial" w:cs="Arial" w:eastAsia="Arial" w:hAnsi="Arial"/>
                <w:sz w:val="18"/>
                <w:szCs w:val="18"/>
                <w:b w:val="1"/>
                <w:bCs w:val="1"/>
                <w:color w:val="auto"/>
              </w:rPr>
              <w:t>Outstanding Stock Options</w:t>
            </w:r>
          </w:p>
        </w:tc>
        <w:tc>
          <w:tcPr>
            <w:tcW w:w="1440" w:type="dxa"/>
            <w:vAlign w:val="bottom"/>
          </w:tcPr>
          <w:p>
            <w:pPr>
              <w:spacing w:after="0"/>
              <w:rPr>
                <w:sz w:val="20"/>
                <w:szCs w:val="20"/>
                <w:color w:val="auto"/>
              </w:rPr>
            </w:pPr>
          </w:p>
        </w:tc>
        <w:tc>
          <w:tcPr>
            <w:tcW w:w="15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5"/>
              </w:rPr>
              <w:t>Exercise Price</w:t>
            </w:r>
          </w:p>
        </w:tc>
        <w:tc>
          <w:tcPr>
            <w:tcW w:w="5560" w:type="dxa"/>
            <w:vAlign w:val="bottom"/>
            <w:gridSpan w:val="2"/>
          </w:tcPr>
          <w:p>
            <w:pPr>
              <w:ind w:left="100"/>
              <w:spacing w:after="0"/>
              <w:rPr>
                <w:sz w:val="20"/>
                <w:szCs w:val="20"/>
                <w:color w:val="auto"/>
              </w:rPr>
            </w:pPr>
            <w:r>
              <w:rPr>
                <w:rFonts w:ascii="Arial" w:cs="Arial" w:eastAsia="Arial" w:hAnsi="Arial"/>
                <w:sz w:val="18"/>
                <w:szCs w:val="18"/>
                <w:b w:val="1"/>
                <w:bCs w:val="1"/>
                <w:color w:val="auto"/>
              </w:rPr>
              <w:t>Expiration</w:t>
            </w:r>
          </w:p>
        </w:tc>
      </w:tr>
      <w:tr>
        <w:trPr>
          <w:trHeight w:val="210"/>
        </w:trPr>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Various</w:t>
            </w: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62,916</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various</w:t>
            </w:r>
          </w:p>
        </w:tc>
      </w:tr>
      <w:tr>
        <w:trPr>
          <w:trHeight w:val="216"/>
        </w:trPr>
        <w:tc>
          <w:tcPr>
            <w:tcW w:w="2840" w:type="dxa"/>
            <w:vAlign w:val="bottom"/>
          </w:tcPr>
          <w:p>
            <w:pPr>
              <w:spacing w:after="0"/>
              <w:rPr>
                <w:sz w:val="20"/>
                <w:szCs w:val="20"/>
                <w:color w:val="auto"/>
              </w:rPr>
            </w:pPr>
            <w:r>
              <w:rPr>
                <w:rFonts w:ascii="Arial" w:cs="Arial" w:eastAsia="Arial" w:hAnsi="Arial"/>
                <w:sz w:val="18"/>
                <w:szCs w:val="18"/>
                <w:b w:val="1"/>
                <w:bCs w:val="1"/>
                <w:color w:val="auto"/>
              </w:rPr>
              <w:t>Various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141,667</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$4.00-$7.00</w:t>
            </w:r>
          </w:p>
        </w:tc>
        <w:tc>
          <w:tcPr>
            <w:tcW w:w="5560" w:type="dxa"/>
            <w:vAlign w:val="bottom"/>
            <w:gridSpan w:val="2"/>
          </w:tcPr>
          <w:p>
            <w:pPr>
              <w:ind w:left="100"/>
              <w:spacing w:after="0"/>
              <w:rPr>
                <w:sz w:val="20"/>
                <w:szCs w:val="20"/>
                <w:color w:val="auto"/>
              </w:rPr>
            </w:pPr>
            <w:r>
              <w:rPr>
                <w:rFonts w:ascii="Arial" w:cs="Arial" w:eastAsia="Arial" w:hAnsi="Arial"/>
                <w:sz w:val="18"/>
                <w:szCs w:val="18"/>
                <w:color w:val="auto"/>
              </w:rPr>
              <w:t>various</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Various</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248,333</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$7.00-$8.00</w:t>
            </w:r>
          </w:p>
        </w:tc>
        <w:tc>
          <w:tcPr>
            <w:tcW w:w="5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various</w:t>
            </w:r>
          </w:p>
        </w:tc>
      </w:tr>
      <w:tr>
        <w:trPr>
          <w:trHeight w:val="234"/>
        </w:trPr>
        <w:tc>
          <w:tcPr>
            <w:tcW w:w="2840" w:type="dxa"/>
            <w:vAlign w:val="bottom"/>
          </w:tcPr>
          <w:p>
            <w:pPr>
              <w:spacing w:after="0"/>
              <w:rPr>
                <w:sz w:val="20"/>
                <w:szCs w:val="20"/>
                <w:color w:val="auto"/>
              </w:rPr>
            </w:pPr>
            <w:r>
              <w:rPr>
                <w:rFonts w:ascii="Arial" w:cs="Arial" w:eastAsia="Arial" w:hAnsi="Arial"/>
                <w:sz w:val="18"/>
                <w:szCs w:val="18"/>
                <w:b w:val="1"/>
                <w:bCs w:val="1"/>
                <w:color w:val="auto"/>
              </w:rPr>
              <w:t>Various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1,967</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$120.00-$220.00</w:t>
            </w:r>
          </w:p>
        </w:tc>
        <w:tc>
          <w:tcPr>
            <w:tcW w:w="5560" w:type="dxa"/>
            <w:vAlign w:val="bottom"/>
            <w:gridSpan w:val="2"/>
          </w:tcPr>
          <w:p>
            <w:pPr>
              <w:ind w:left="100"/>
              <w:spacing w:after="0"/>
              <w:rPr>
                <w:sz w:val="20"/>
                <w:szCs w:val="20"/>
                <w:color w:val="auto"/>
              </w:rPr>
            </w:pPr>
            <w:r>
              <w:rPr>
                <w:rFonts w:ascii="Arial" w:cs="Arial" w:eastAsia="Arial" w:hAnsi="Arial"/>
                <w:sz w:val="18"/>
                <w:szCs w:val="18"/>
                <w:color w:val="auto"/>
              </w:rPr>
              <w:t>various</w:t>
            </w:r>
          </w:p>
        </w:tc>
      </w:tr>
    </w:tbl>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The following summary of the terms of our common stock and preferred stock, respectively, may not be complete and is subject to, and qualified in its entirety by reference to, the terms and provisions of our amended and restated certificate of incorporation and our amended and restated bylaws. You should refer to, and read this summary together with, our amended and restated certificate of incorporation and amended and restated bylaws to review all of the terms of our common stock and preferred stock, respectively, that may be important to you.</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authorized, subject to limitations prescribed by Nevada law, to issue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our common stock. We have no current plan to issue any shares of preferred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of record on each matter submitted to a vote of stockholders. Except as otherwise required by Nevada law, and subject to the rights of the holders of outstanding preferred stock, if any, all stockholder action is taken by the vote of a majority of the outstanding shares of common stock voting as a single class present at a meeting of stockholders at which a quorum consisting of one-third of the outstanding shares of common stock is present in person or proxy. Directors are elected by plurality vote, and stockholders do not have the ability to cumulate votes for the election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the prior rights of any class or series of preferred stock which may from time to time be outstanding, if any, holders of our common stock are entitled to receive ratably, dividends when, as, and if declared by our board of directors out of funds legally available for that purpose and, upon our liquidation, dissolution, or winding up, are entitled to share ratably in all assets remaining after payment of liabilities and payment of accrued dividends and liquidation preferences on any outstanding preferred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Provisions of the Nevada Corporation Law and our articles of incorporation and bylaws could make it more difficult to acquire our company by means of a tender offer, a proxy contest or otherwise, or to remove incumbent officers and directors. These provisions, summarized below, would be expected to discourage certain types of takeover practices and takeover bids our Board may consider inadequate and to encourage persons seeking to acquire control of our Company to first negotiate with us. We believe that the benefits of increased protection of our ability to negotiate with the proponent of an unfriendly or unsolicited proposal to acquire or restructure our Company will outweigh the disadvantages of discouraging takeover or acquisition proposals because, among other things, negotiation of these proposals could result in an improvement of their terms.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authorized but unissued shares of common stock and preferred stock will be available for future issuance without stockholder approval, except as may be required under the listing rules of any stock exchange on which our common stock is then listed. We may use additional shares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us by means of a proxy contest, tender offer, merger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Blank Check Preferred Stock</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articles of incorporation permit our Board to issue preferred stock with voting, conversion and exchange rights that could negatively affect the voting power or other rights of our common stockholders. The issuance of our preferred stock could delay or prevent a change of control of our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Vacancies may be Filled by Remaining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bylaws provide that vacancies on the Board may be filled by the remaining directors then in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our Articles of Incorporation and Bylaws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Nevada Corporation Law, our articles of incorporation may not be amended by stockholder action alone. Amendments to our articles of incorporation require a board resolution approved by the majority of the outstanding capital stock entitled to vote. Our bylaws may only be amended by a majority vote of the stockholders at any annual meeting or special meeting called for that purpose. Subject to the right of stockholders as described in the immediately preceding sentence, the Board has the power to make, adopt, alter, amend and repeal, from time to time, our bylaws.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Notice of Stockholder Director Nominations and Stockholder Business at Meetings.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our bylaws, nominations of persons to stand for election as a director may be made by the Board of Directors or by any stockholder entitled to vote for the election of directors who complies with the applicable notice requirements set out therein. If a stockholder wishes to nominate someone to stand for election as a director, or bring any business before an annual or special meeting, the stockholder must comply with certain procedures set out in our bylaws. These provisions specify the timing for delivery of the stockholder’s notice of such business and the information that such notice must contain. The information that may be required in a stockholder notice includes general information regarding the stockholder, a description of the proposed business, and, with respect to nominations for the Board of Directors, certain specified information regarding the nominee(s). In addition to the information required in a stockholder notice described above, our bylaws require under certain circumstances a representation that the stockholder is a holder of our voting stock and intends to appear in person or by proxy at the meeting to make the nomination or bring up the matter specified in the notice. For the timing of the stockholder notice, our bylaws require that the notice must be received by our secretary:</w:t>
      </w:r>
    </w:p>
    <w:p>
      <w:pPr>
        <w:spacing w:after="0" w:line="182" w:lineRule="exact"/>
        <w:rPr>
          <w:sz w:val="20"/>
          <w:szCs w:val="20"/>
          <w:color w:val="auto"/>
        </w:rPr>
      </w:pPr>
    </w:p>
    <w:p>
      <w:pPr>
        <w:jc w:val="both"/>
        <w:ind w:left="980" w:hanging="648"/>
        <w:spacing w:after="0" w:line="25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any annual meeting, 120 days prior to the anniversary date of the immediately preceding annual meeting of stockholders; provided, however, that in the event that the annual meeting is called for a date that is not within 30 days before or 60 days after such anniversary date, notice by the stockholder in order to be timely must be so received no later than the close of business on the tenth day following the day on which notice of the date of the annual meeting was mailed or public disclosure of the date of the annual meeting was made, whichever first occurs; and</w:t>
      </w:r>
    </w:p>
    <w:p>
      <w:pPr>
        <w:spacing w:after="0" w:line="188"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a special meeting of stockholders called for the purpose of electing directors, not later than the close of business on the tenth day following the day on which notice of the date of the special meeting was mailed or public disclosure of the date of the special meeting was made, whichever first occurs.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Nevada Law</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Nevada law contains a provision governing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stockholders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“control share acquisition” is generally defined as the direct or indirect acquisition of either ownership or voting power associated with issued and outstanding control shares. The stockholders or Board of Directors of a corporation may elect to exempt the stock of the corporation from the provisions of the control share acquisition act through adoption of a provision to that effect in the articles of incorporation or bylaws of the corporation. Our articles of incorporation and bylaws do not exempt our common stock from the control share acquisition act.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control share acquisition act is applicable only to shares of “Issuing Corporations” as defined by the Nevada law. An Issuing Corporation is a Nevada corporation which (i) has 200 or more stockholders, with at least 100 of such stockholders being both stockholders of record and residents of Nevada, and (ii) does business in Nevada directly or through an affiliated corporation.</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this time, we do not believe we have 100 stockholders of record resident in Nevada and we do not conduct business in Nevada directly. Therefore, the provisions of the control share acquisition act are believed not to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our Company, regardless of whether such acquisition may be in the interest of our stockholders.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Nevada “Combination with Interested Stockholders Statute” may also have an effect of delaying or making it more difficult to effect a change in control of our Company. This statute prevents an “interested stockholder” and a resident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5% or more of the aggregate market value of the assets of the corporation, (ii) an aggregate market value equal to 5% or more of the aggregate market value of all outstanding shares of the corporation, or (iii) representing 10% or more of the earning power or net income of the corporation.</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of Directors before the interested stockholder acquired such shares. If approval is not obtained, then after the expiration of the three-year period, the business combination may be consummated with the approval of the Board of Directors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 of the preferred stock.</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Nevada Law also includes express provisions preserving the right of a corporation to adopt or sign “plans, arrangements or instruments that grant or deny rights, privileges, power or authority to a holder or holders of a specified number of shares or percentage of share ownership or voting power.” A common example is where the board issues the right for certain stockholders to purchase shares of the corporation at a substantially discounted price if one stockholder reaches a specified percentage of share ownership. The purchase of discounted shares dilutes the share ownership of such potential acquirer.</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Holders of approximately 4,408,014 shares of our outstanding common stock, and of warrants to purchase approximately 6,458,411 shares of our common stock, are entitled to certain rights with respect to registration of such outstanding shares, and the shares of common stock underlying such warrants, under the Securities Act. These shares are referred to as registrable securities. The holders of these registrable securities possess registration rights pursuant to the terms of various purchase agreements and registration rights agreements entered into with us in connection with our sale of such stock and warrants to such investors. This registration statement covers all of such securities. We are required to pay all expenses incurred in connection with such registration.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registration rights described above will terminate as to any stockholder at such time as all of such stockholder’s securities (together with any affiliate of the stockholder with whom such stockholder must aggregate its sales) could be sold without compliance with the registration requirements of the Securities Act pursuant to Rule 144.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Island Stock Transfer, 1550 Roosevelt Blvd Suite 301, Clearwater, Florida 33760.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shares of common stock are listed for trading on the Nasdaq Capital Market under the symbol TPIV. On December 26, 2017, the last reported sale price per share for our common stock on the Nasdaq Capital Market was $4.00.</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financial statements as of December 31, 2016 and December 31, 2015, and for the years then ended, have been incorporated by reference in the prospectus in reliance upon the report of Marcum LLP, independent registered public accounting firm, and upon the authority of said firm as experts in accounting and auditing.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firm of Shumaker, Loop &amp; Kendrick, LLP has issued an opinion regarding the legality and validity of the securities offered under this prospectus.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by-laws require us to indemnify any of our officers or directors, and certain other persons, under certain circumstances against all expenses and liabilities incurred or suffered by such persons because of a lawsuit or similar proceeding to which the person is made a party by reason of a his being a director or officer of TapImmune or our subsidiaries, unless that indemnification is prohibited by law. We may also purchase and maintain insurance for the benefit of any officer which may cover claims for which we could not indemnify a director or officer. We have been advised that in the opinion of the Securities and Exchange Commission, indemnification of our officers, directors and controlling persons under these provisions, or otherwise, is against public policy and is unenforceable.</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(the “Securities Act”), may be permitted to directors, officers or persons controlling us pursuant to the foregoing provisions, or otherwise, we have been advised that in the opinion of the Securities and Exchange Commission, such indemnification is against public policy as expressed in the Securities Act, and is therefore unenforceable.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 reporting company and file annual, quarterly and current reports, proxy statements and other information with the SEC. We have filed with the SEC registration statements on Forms S-1 and Form S-3 under the Securities Act with respect to the securities we are offering under this prospectus (Commission File Nos. 333-196115, 333-205757, 333-215258 and 333-220538). This prospectus does not contain all of the information set forth in the registration statements and the exhibits to the registration statements. For further information with respect to us and the securities we are offering under this prospectus, we refer you to the registration statements and the exhibits and schedules filed as a part of the registration statements. You may read and copy the registration statements, as well as our reports, proxy statements and other information,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The SEC maintains an internet site that contains reports, proxy and information statements, and other information regarding issuers that file electronically with the SEC, where our SEC filings are also available. The address of the SEC’s web site is http://www.sec.gov.</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a website at www.tapimmune.com. The information contained in, or that can be accessed through, our website is not incorporated by reference herein and is not part of this prospectus.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Statements contained in this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incorporated by reference into this prospectus:</w:t>
      </w:r>
    </w:p>
    <w:p>
      <w:pPr>
        <w:spacing w:after="0" w:line="225" w:lineRule="exact"/>
        <w:rPr>
          <w:sz w:val="20"/>
          <w:szCs w:val="20"/>
          <w:color w:val="auto"/>
        </w:rPr>
      </w:pPr>
    </w:p>
    <w:p>
      <w:pPr>
        <w:ind w:left="920" w:hanging="264"/>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2016, filed on March 14, 2017;</w:t>
      </w:r>
    </w:p>
    <w:p>
      <w:pPr>
        <w:spacing w:after="0" w:line="225" w:lineRule="exact"/>
        <w:rPr>
          <w:rFonts w:ascii="Arial" w:cs="Arial" w:eastAsia="Arial" w:hAnsi="Arial"/>
          <w:sz w:val="18"/>
          <w:szCs w:val="18"/>
          <w:color w:val="auto"/>
        </w:rPr>
      </w:pPr>
    </w:p>
    <w:p>
      <w:pPr>
        <w:ind w:right="100" w:firstLine="656"/>
        <w:spacing w:after="0" w:line="277" w:lineRule="auto"/>
        <w:tabs>
          <w:tab w:leader="none" w:pos="9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2017 and June 30, 2017, filed on May 5, 2017 and August 7, 2017, respectively;</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Reports on Form 8-K filed on April 28, 2017, June 22, 2017, June 26, 2017, July 11, 2017 and September 5, 2017;</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on July 12, 2017; and</w:t>
      </w:r>
    </w:p>
    <w:p>
      <w:pPr>
        <w:spacing w:after="0" w:line="225" w:lineRule="exact"/>
        <w:rPr>
          <w:rFonts w:ascii="Arial" w:cs="Arial" w:eastAsia="Arial" w:hAnsi="Arial"/>
          <w:sz w:val="18"/>
          <w:szCs w:val="18"/>
          <w:color w:val="auto"/>
        </w:rPr>
      </w:pPr>
    </w:p>
    <w:p>
      <w:pPr>
        <w:ind w:right="260" w:firstLine="656"/>
        <w:spacing w:after="0" w:line="277" w:lineRule="auto"/>
        <w:tabs>
          <w:tab w:leader="none" w:pos="9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its registration statement on Form 8-A (Registration No. 001-37939), filed on November 3, 2016, including any amendments or reports filed for the purpose of updating such description.</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forms a part and prior to effectiveness of such registration statement, until we file a post-effective amendment that indicates the termination of the offering of the common stock made by this prospectus and such future filings will become a part of this prospectus from the respective dates that such documents are filed with the SEC. Our SEC file number is 001-37939. Any statement contained herein or in a document incorporated or deemed to be incorporated by reference herein shall be deemed to be modified or superseded for purposes hereof or of the related prospectus supplement to the extent that a statement contained herein or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furnish without charge to each person to whom this prospectus is delivered, upon written or oral request, a copy of any document incorporated by reference. Requests should be addressed to Corporate Secretary, 5 West Forsyth Street, Suite 200 Jacksonville, FL 32202, or may be made telephonically at (904) 516-5436.</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You should not assume that the information contained in this prospectus or the accompanying prospectus supplement is accurate on any date subsequent to the date set forth on the front of the document or that any information we have incorporated by reference is correct on any date subsequent to the date of the document incorporated by reference, even though this prospectus and any accompanying prospectus supplement is delivered or securities are sold on a later date.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lvl w:ilvl="1">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4"/>
    </w:lvl>
  </w:abstractNum>
  <w:abstractNum w:abstractNumId="9">
    <w:nsid w:val="6B68079A"/>
    <w:multiLevelType w:val="hybridMultilevel"/>
    <w:lvl w:ilvl="0">
      <w:lvlJc w:val="left"/>
      <w:lvlText w:val="(%1)"/>
      <w:numFmt w:val="decimal"/>
      <w:start w:val="5"/>
    </w:lvl>
  </w:abstractNum>
  <w:abstractNum w:abstractNumId="10">
    <w:nsid w:val="4E6AFB66"/>
    <w:multiLevelType w:val="hybridMultilevel"/>
    <w:lvl w:ilvl="0">
      <w:lvlJc w:val="left"/>
      <w:lvlText w:val="(%1)"/>
      <w:numFmt w:val="decimal"/>
      <w:start w:val="6"/>
    </w:lvl>
  </w:abstractNum>
  <w:abstractNum w:abstractNumId="11">
    <w:nsid w:val="25E45D32"/>
    <w:multiLevelType w:val="hybridMultilevel"/>
    <w:lvl w:ilvl="0">
      <w:lvlJc w:val="left"/>
      <w:lvlText w:val="(%1)"/>
      <w:numFmt w:val="decimal"/>
      <w:start w:val="7"/>
    </w:lvl>
  </w:abstractNum>
  <w:abstractNum w:abstractNumId="12">
    <w:nsid w:val="519B500D"/>
    <w:multiLevelType w:val="hybridMultilevel"/>
    <w:lvl w:ilvl="0">
      <w:lvlJc w:val="left"/>
      <w:lvlText w:val="(%1)"/>
      <w:numFmt w:val="decimal"/>
      <w:start w:val="8"/>
    </w:lvl>
  </w:abstractNum>
  <w:abstractNum w:abstractNumId="13">
    <w:nsid w:val="431BD7B7"/>
    <w:multiLevelType w:val="hybridMultilevel"/>
    <w:lvl w:ilvl="0">
      <w:lvlJc w:val="left"/>
      <w:lvlText w:val="(%1)"/>
      <w:numFmt w:val="decimal"/>
      <w:start w:val="9"/>
    </w:lvl>
  </w:abstractNum>
  <w:abstractNum w:abstractNumId="14">
    <w:nsid w:val="3F2DBA31"/>
    <w:multiLevelType w:val="hybridMultilevel"/>
    <w:lvl w:ilvl="0">
      <w:lvlJc w:val="left"/>
      <w:lvlText w:val="(%1)"/>
      <w:numFmt w:val="decimal"/>
      <w:start w:val="10"/>
    </w:lvl>
  </w:abstractNum>
  <w:abstractNum w:abstractNumId="15">
    <w:nsid w:val="7C83E458"/>
    <w:multiLevelType w:val="hybridMultilevel"/>
    <w:lvl w:ilvl="0">
      <w:lvlJc w:val="left"/>
      <w:lvlText w:val="(%1)"/>
      <w:numFmt w:val="decimal"/>
      <w:start w:val="11"/>
    </w:lvl>
  </w:abstractNum>
  <w:abstractNum w:abstractNumId="16">
    <w:nsid w:val="257130A3"/>
    <w:multiLevelType w:val="hybridMultilevel"/>
    <w:lvl w:ilvl="0">
      <w:lvlJc w:val="left"/>
      <w:lvlText w:val="(%1)"/>
      <w:numFmt w:val="decimal"/>
      <w:start w:val="12"/>
    </w:lvl>
  </w:abstractNum>
  <w:abstractNum w:abstractNumId="17">
    <w:nsid w:val="62BBD95A"/>
    <w:multiLevelType w:val="hybridMultilevel"/>
    <w:lvl w:ilvl="0">
      <w:lvlJc w:val="left"/>
      <w:lvlText w:val="(%1)"/>
      <w:numFmt w:val="decimal"/>
      <w:start w:val="13"/>
    </w:lvl>
  </w:abstractNum>
  <w:abstractNum w:abstractNumId="18">
    <w:nsid w:val="436C6125"/>
    <w:multiLevelType w:val="hybridMultilevel"/>
    <w:lvl w:ilvl="0">
      <w:lvlJc w:val="left"/>
      <w:lvlText w:val="(%1)"/>
      <w:numFmt w:val="decimal"/>
      <w:start w:val="14"/>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2020-01-19T01:48:50Z</dcterms:created>
  <dcterms:modified xsi:type="dcterms:W3CDTF">2020-01-19T01:48:50Z</dcterms:modified>
</cp:coreProperties>
</file>