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22"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SCHEDULE 13D</w:t>
      </w:r>
    </w:p>
    <w:p>
      <w:pPr>
        <w:spacing w:after="0" w:line="131"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8"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(Amendment No. 5)*</w:t>
      </w:r>
    </w:p>
    <w:p>
      <w:pPr>
        <w:spacing w:after="0" w:line="144" w:lineRule="exact"/>
        <w:rPr>
          <w:sz w:val="24"/>
          <w:szCs w:val="24"/>
          <w:color w:val="auto"/>
        </w:rPr>
      </w:pPr>
    </w:p>
    <w:p>
      <w:pPr>
        <w:ind w:left="4980"/>
        <w:spacing w:after="0"/>
        <w:rPr>
          <w:sz w:val="20"/>
          <w:szCs w:val="20"/>
          <w:color w:val="auto"/>
        </w:rPr>
      </w:pPr>
      <w:r>
        <w:rPr>
          <w:rFonts w:ascii="Arial" w:cs="Arial" w:eastAsia="Arial" w:hAnsi="Arial"/>
          <w:sz w:val="18"/>
          <w:szCs w:val="18"/>
          <w:color w:val="auto"/>
        </w:rPr>
        <w:t>TAPIMMUNE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(Name of Issuer)</w:t>
      </w:r>
    </w:p>
    <w:p>
      <w:pPr>
        <w:spacing w:after="0" w:line="198"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COMMON,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(Title of Class of Securities)</w:t>
      </w:r>
    </w:p>
    <w:p>
      <w:pPr>
        <w:spacing w:after="0" w:line="198" w:lineRule="exact"/>
        <w:rPr>
          <w:sz w:val="24"/>
          <w:szCs w:val="24"/>
          <w:color w:val="auto"/>
        </w:rPr>
      </w:pPr>
    </w:p>
    <w:p>
      <w:pPr>
        <w:ind w:left="5260"/>
        <w:spacing w:after="0"/>
        <w:rPr>
          <w:sz w:val="20"/>
          <w:szCs w:val="20"/>
          <w:color w:val="auto"/>
        </w:rPr>
      </w:pPr>
      <w:r>
        <w:rPr>
          <w:rFonts w:ascii="Arial" w:cs="Arial" w:eastAsia="Arial" w:hAnsi="Arial"/>
          <w:sz w:val="18"/>
          <w:szCs w:val="18"/>
          <w:color w:val="auto"/>
        </w:rPr>
        <w:t>876033309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(CUSIP Number)</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William Sullivan, 10 Market Street, #773 Camana Bay Grand Cayman, KY1-9006 CAYMAN ISLANDS, 345-640-3300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(Name, Address and Telephone Number of Person</w:t>
      </w:r>
    </w:p>
    <w:p>
      <w:pPr>
        <w:jc w:val="center"/>
        <w:ind w:right="-79"/>
        <w:spacing w:after="0"/>
        <w:rPr>
          <w:sz w:val="20"/>
          <w:szCs w:val="20"/>
          <w:color w:val="auto"/>
        </w:rPr>
      </w:pPr>
      <w:r>
        <w:rPr>
          <w:rFonts w:ascii="Arial" w:cs="Arial" w:eastAsia="Arial" w:hAnsi="Arial"/>
          <w:sz w:val="18"/>
          <w:szCs w:val="18"/>
          <w:color w:val="auto"/>
        </w:rPr>
        <w:t>Authorized to Receive Notices and Communications)</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September 29,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185" w:lineRule="exact"/>
        <w:rPr>
          <w:sz w:val="24"/>
          <w:szCs w:val="24"/>
          <w:color w:val="auto"/>
        </w:rPr>
      </w:pPr>
    </w:p>
    <w:p>
      <w:pPr>
        <w:ind w:right="240"/>
        <w:spacing w:after="0" w:line="21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40" w:lineRule="exact"/>
        <w:rPr>
          <w:sz w:val="24"/>
          <w:szCs w:val="24"/>
          <w:color w:val="auto"/>
        </w:rPr>
      </w:pPr>
    </w:p>
    <w:p>
      <w:pPr>
        <w:ind w:right="80"/>
        <w:spacing w:after="0" w:line="256"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whom copies are to be sent.</w:t>
      </w:r>
    </w:p>
    <w:p>
      <w:pPr>
        <w:spacing w:after="0" w:line="134" w:lineRule="exact"/>
        <w:rPr>
          <w:sz w:val="24"/>
          <w:szCs w:val="24"/>
          <w:color w:val="auto"/>
        </w:rPr>
      </w:pPr>
    </w:p>
    <w:p>
      <w:pPr>
        <w:ind w:right="640" w:firstLine="8"/>
        <w:spacing w:after="0" w:line="180" w:lineRule="auto"/>
        <w:tabs>
          <w:tab w:leader="none" w:pos="108"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1" w:lineRule="exact"/>
        <w:rPr>
          <w:sz w:val="24"/>
          <w:szCs w:val="24"/>
          <w:color w:val="auto"/>
        </w:rPr>
      </w:pPr>
    </w:p>
    <w:p>
      <w:pPr>
        <w:spacing w:after="0" w:line="229"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40"/>
          </w:cols>
          <w:pgMar w:left="240" w:top="225" w:right="319" w:bottom="1440" w:gutter="0" w:footer="0" w:header="0"/>
        </w:sectPr>
      </w:pPr>
    </w:p>
    <w:bookmarkStart w:id="1" w:name="page2"/>
    <w:bookmarkEnd w:id="1"/>
    <w:p>
      <w:pPr>
        <w:spacing w:after="0"/>
        <w:tabs>
          <w:tab w:leader="none" w:pos="732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ind w:left="3240" w:right="840" w:hanging="708"/>
        <w:spacing w:after="0" w:line="235" w:lineRule="auto"/>
        <w:tabs>
          <w:tab w:leader="none" w:pos="3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3240"/>
        <w:spacing w:after="0"/>
        <w:rPr>
          <w:rFonts w:ascii="Arial" w:cs="Arial" w:eastAsia="Arial" w:hAnsi="Arial"/>
          <w:sz w:val="18"/>
          <w:szCs w:val="18"/>
          <w:color w:val="auto"/>
        </w:rPr>
      </w:pPr>
      <w:r>
        <w:rPr>
          <w:rFonts w:ascii="Arial" w:cs="Arial" w:eastAsia="Arial" w:hAnsi="Arial"/>
          <w:sz w:val="18"/>
          <w:szCs w:val="18"/>
          <w:b w:val="1"/>
          <w:bCs w:val="1"/>
          <w:color w:val="auto"/>
        </w:rPr>
        <w:t>EASTERN CAPITAL LIMITED</w:t>
      </w:r>
    </w:p>
    <w:p>
      <w:pPr>
        <w:spacing w:after="0" w:line="31" w:lineRule="exact"/>
        <w:rPr>
          <w:rFonts w:ascii="Arial" w:cs="Arial" w:eastAsia="Arial" w:hAnsi="Arial"/>
          <w:sz w:val="18"/>
          <w:szCs w:val="18"/>
          <w:color w:val="auto"/>
        </w:rPr>
      </w:pPr>
    </w:p>
    <w:p>
      <w:pPr>
        <w:ind w:left="3240" w:right="3000" w:hanging="708"/>
        <w:spacing w:after="0" w:line="219" w:lineRule="auto"/>
        <w:tabs>
          <w:tab w:leader="none" w:pos="3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3660" w:hanging="424"/>
        <w:spacing w:after="0" w:line="189" w:lineRule="exact"/>
        <w:tabs>
          <w:tab w:leader="none" w:pos="36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ind w:left="3660" w:hanging="424"/>
        <w:spacing w:after="0" w:line="202" w:lineRule="exact"/>
        <w:tabs>
          <w:tab w:leader="none" w:pos="36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ind w:left="3240" w:hanging="708"/>
        <w:spacing w:after="0"/>
        <w:tabs>
          <w:tab w:leader="none" w:pos="3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240" w:hanging="708"/>
        <w:spacing w:after="0"/>
        <w:tabs>
          <w:tab w:leader="none" w:pos="3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3240"/>
        <w:spacing w:after="0"/>
        <w:rPr>
          <w:rFonts w:ascii="Arial" w:cs="Arial" w:eastAsia="Arial" w:hAnsi="Arial"/>
          <w:sz w:val="18"/>
          <w:szCs w:val="18"/>
          <w:color w:val="auto"/>
        </w:rPr>
      </w:pPr>
      <w:r>
        <w:rPr>
          <w:rFonts w:ascii="Arial" w:cs="Arial" w:eastAsia="Arial" w:hAnsi="Arial"/>
          <w:sz w:val="18"/>
          <w:szCs w:val="18"/>
          <w:b w:val="1"/>
          <w:bCs w:val="1"/>
          <w:color w:val="auto"/>
        </w:rPr>
        <w:t>WC</w:t>
      </w:r>
    </w:p>
    <w:p>
      <w:pPr>
        <w:spacing w:after="0" w:line="31" w:lineRule="exact"/>
        <w:rPr>
          <w:rFonts w:ascii="Arial" w:cs="Arial" w:eastAsia="Arial" w:hAnsi="Arial"/>
          <w:sz w:val="18"/>
          <w:szCs w:val="18"/>
          <w:color w:val="auto"/>
        </w:rPr>
      </w:pPr>
    </w:p>
    <w:p>
      <w:pPr>
        <w:ind w:left="3240" w:right="220" w:hanging="708"/>
        <w:spacing w:after="0" w:line="232" w:lineRule="auto"/>
        <w:tabs>
          <w:tab w:leader="none" w:pos="3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2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3240" w:hanging="708"/>
        <w:spacing w:after="0"/>
        <w:tabs>
          <w:tab w:leader="none" w:pos="3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324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4520" w:right="4960" w:hanging="232"/>
        <w:spacing w:after="0" w:line="336" w:lineRule="auto"/>
        <w:tabs>
          <w:tab w:leader="none" w:pos="4520" w:val="left"/>
        </w:tabs>
        <w:numPr>
          <w:ilvl w:val="2"/>
          <w:numId w:val="2"/>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4520" w:hanging="232"/>
        <w:spacing w:after="0"/>
        <w:tabs>
          <w:tab w:leader="none" w:pos="4520" w:val="left"/>
        </w:tabs>
        <w:numPr>
          <w:ilvl w:val="2"/>
          <w:numId w:val="2"/>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-2994660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-2497455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-2008505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-1759585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-130175</wp:posOffset>
            </wp:positionV>
            <wp:extent cx="46824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4020" w:type="dxa"/>
            <w:vAlign w:val="bottom"/>
          </w:tcPr>
          <w:p>
            <w:pPr>
              <w:jc w:val="center"/>
              <w:ind w:right="10"/>
              <w:spacing w:after="0"/>
              <w:rPr>
                <w:sz w:val="20"/>
                <w:szCs w:val="20"/>
                <w:color w:val="auto"/>
              </w:rPr>
            </w:pPr>
            <w:r>
              <w:rPr>
                <w:rFonts w:ascii="Arial" w:cs="Arial" w:eastAsia="Arial" w:hAnsi="Arial"/>
                <w:sz w:val="18"/>
                <w:szCs w:val="18"/>
                <w:color w:val="auto"/>
                <w:w w:val="99"/>
              </w:rPr>
              <w:t>NUMBER OF SHARES BENEFICIALLY OWNED</w:t>
            </w:r>
          </w:p>
        </w:tc>
        <w:tc>
          <w:tcPr>
            <w:tcW w:w="7380" w:type="dxa"/>
            <w:vAlign w:val="bottom"/>
            <w:tcBorders>
              <w:bottom w:val="single" w:sz="8" w:color="auto"/>
            </w:tcBorders>
          </w:tcPr>
          <w:p>
            <w:pPr>
              <w:jc w:val="right"/>
              <w:ind w:right="5910"/>
              <w:spacing w:after="0"/>
              <w:rPr>
                <w:sz w:val="20"/>
                <w:szCs w:val="20"/>
                <w:color w:val="auto"/>
              </w:rPr>
            </w:pPr>
            <w:r>
              <w:rPr>
                <w:rFonts w:ascii="Arial" w:cs="Arial" w:eastAsia="Arial" w:hAnsi="Arial"/>
                <w:sz w:val="18"/>
                <w:szCs w:val="18"/>
                <w:b w:val="1"/>
                <w:bCs w:val="1"/>
                <w:color w:val="auto"/>
              </w:rPr>
              <w:t>40,000,000</w:t>
            </w:r>
          </w:p>
        </w:tc>
      </w:tr>
      <w:tr>
        <w:trPr>
          <w:trHeight w:val="217"/>
        </w:trPr>
        <w:tc>
          <w:tcPr>
            <w:tcW w:w="4020" w:type="dxa"/>
            <w:vAlign w:val="bottom"/>
          </w:tcPr>
          <w:p>
            <w:pPr>
              <w:jc w:val="center"/>
              <w:spacing w:after="0" w:line="189" w:lineRule="exact"/>
              <w:rPr>
                <w:sz w:val="20"/>
                <w:szCs w:val="20"/>
                <w:color w:val="auto"/>
              </w:rPr>
            </w:pPr>
            <w:r>
              <w:rPr>
                <w:rFonts w:ascii="Arial" w:cs="Arial" w:eastAsia="Arial" w:hAnsi="Arial"/>
                <w:sz w:val="18"/>
                <w:szCs w:val="18"/>
                <w:color w:val="auto"/>
                <w:w w:val="99"/>
              </w:rPr>
              <w:t>BY EACH REPORTING PERSON WITH</w:t>
            </w:r>
          </w:p>
        </w:tc>
        <w:tc>
          <w:tcPr>
            <w:tcW w:w="7380" w:type="dxa"/>
            <w:vAlign w:val="bottom"/>
          </w:tcPr>
          <w:p>
            <w:pPr>
              <w:jc w:val="right"/>
              <w:ind w:right="4430"/>
              <w:spacing w:after="0"/>
              <w:rPr>
                <w:sz w:val="20"/>
                <w:szCs w:val="20"/>
                <w:color w:val="auto"/>
              </w:rPr>
            </w:pPr>
            <w:r>
              <w:rPr>
                <w:rFonts w:ascii="Arial" w:cs="Arial" w:eastAsia="Arial" w:hAnsi="Arial"/>
                <w:sz w:val="18"/>
                <w:szCs w:val="18"/>
                <w:color w:val="auto"/>
              </w:rPr>
              <w:t>9. SOLE DISPOSITIVE POWER</w:t>
            </w:r>
          </w:p>
        </w:tc>
      </w:tr>
    </w:tbl>
    <w:p>
      <w:pPr>
        <w:spacing w:after="0" w:line="14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-0-</w:t>
      </w:r>
    </w:p>
    <w:p>
      <w:pPr>
        <w:ind w:left="4520" w:hanging="332"/>
        <w:spacing w:after="0"/>
        <w:tabs>
          <w:tab w:leader="none" w:pos="452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149" w:lineRule="exact"/>
        <w:rPr>
          <w:rFonts w:ascii="Arial" w:cs="Arial" w:eastAsia="Arial" w:hAnsi="Arial"/>
          <w:sz w:val="18"/>
          <w:szCs w:val="18"/>
          <w:color w:val="auto"/>
        </w:rPr>
      </w:pPr>
    </w:p>
    <w:p>
      <w:pPr>
        <w:ind w:left="4520"/>
        <w:spacing w:after="0"/>
        <w:rPr>
          <w:rFonts w:ascii="Arial" w:cs="Arial" w:eastAsia="Arial" w:hAnsi="Arial"/>
          <w:sz w:val="18"/>
          <w:szCs w:val="18"/>
          <w:color w:val="auto"/>
        </w:rPr>
      </w:pPr>
      <w:r>
        <w:rPr>
          <w:rFonts w:ascii="Arial" w:cs="Arial" w:eastAsia="Arial" w:hAnsi="Arial"/>
          <w:sz w:val="18"/>
          <w:szCs w:val="18"/>
          <w:b w:val="1"/>
          <w:bCs w:val="1"/>
          <w:color w:val="auto"/>
        </w:rPr>
        <w:t>40,000,000</w:t>
      </w:r>
    </w:p>
    <w:p>
      <w:pPr>
        <w:spacing w:after="0" w:line="220" w:lineRule="exact"/>
        <w:rPr>
          <w:rFonts w:ascii="Arial" w:cs="Arial" w:eastAsia="Arial" w:hAnsi="Arial"/>
          <w:sz w:val="18"/>
          <w:szCs w:val="18"/>
          <w:color w:val="auto"/>
        </w:rPr>
      </w:pPr>
    </w:p>
    <w:p>
      <w:pPr>
        <w:ind w:left="3240" w:hanging="808"/>
        <w:spacing w:after="0"/>
        <w:tabs>
          <w:tab w:leader="none" w:pos="3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9" w:lineRule="exact"/>
        <w:rPr>
          <w:rFonts w:ascii="Arial" w:cs="Arial" w:eastAsia="Arial" w:hAnsi="Arial"/>
          <w:sz w:val="18"/>
          <w:szCs w:val="18"/>
          <w:color w:val="auto"/>
        </w:rPr>
      </w:pPr>
    </w:p>
    <w:p>
      <w:pPr>
        <w:ind w:left="3240"/>
        <w:spacing w:after="0"/>
        <w:rPr>
          <w:rFonts w:ascii="Arial" w:cs="Arial" w:eastAsia="Arial" w:hAnsi="Arial"/>
          <w:sz w:val="18"/>
          <w:szCs w:val="18"/>
          <w:color w:val="auto"/>
        </w:rPr>
      </w:pPr>
      <w:r>
        <w:rPr>
          <w:rFonts w:ascii="Arial" w:cs="Arial" w:eastAsia="Arial" w:hAnsi="Arial"/>
          <w:sz w:val="18"/>
          <w:szCs w:val="18"/>
          <w:b w:val="1"/>
          <w:bCs w:val="1"/>
          <w:color w:val="auto"/>
        </w:rPr>
        <w:t>40,000,000*</w:t>
      </w:r>
    </w:p>
    <w:p>
      <w:pPr>
        <w:spacing w:after="0" w:line="17" w:lineRule="exact"/>
        <w:rPr>
          <w:rFonts w:ascii="Arial" w:cs="Arial" w:eastAsia="Arial" w:hAnsi="Arial"/>
          <w:sz w:val="18"/>
          <w:szCs w:val="18"/>
          <w:color w:val="auto"/>
        </w:rPr>
      </w:pPr>
    </w:p>
    <w:p>
      <w:pPr>
        <w:ind w:left="3240" w:right="780" w:hanging="808"/>
        <w:spacing w:after="0" w:line="213" w:lineRule="exact"/>
        <w:tabs>
          <w:tab w:leader="none" w:pos="3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3" w:lineRule="exact"/>
        <w:rPr>
          <w:rFonts w:ascii="Arial" w:cs="Arial" w:eastAsia="Arial" w:hAnsi="Arial"/>
          <w:sz w:val="18"/>
          <w:szCs w:val="18"/>
          <w:color w:val="auto"/>
        </w:rPr>
      </w:pPr>
    </w:p>
    <w:p>
      <w:pPr>
        <w:ind w:left="3240" w:hanging="808"/>
        <w:spacing w:after="0"/>
        <w:tabs>
          <w:tab w:leader="none" w:pos="3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3240"/>
        <w:spacing w:after="0"/>
        <w:rPr>
          <w:rFonts w:ascii="Arial" w:cs="Arial" w:eastAsia="Arial" w:hAnsi="Arial"/>
          <w:sz w:val="18"/>
          <w:szCs w:val="18"/>
          <w:color w:val="auto"/>
        </w:rPr>
      </w:pPr>
      <w:r>
        <w:rPr>
          <w:rFonts w:ascii="Arial" w:cs="Arial" w:eastAsia="Arial" w:hAnsi="Arial"/>
          <w:sz w:val="18"/>
          <w:szCs w:val="18"/>
          <w:b w:val="1"/>
          <w:bCs w:val="1"/>
          <w:color w:val="auto"/>
        </w:rPr>
        <w:t>48.3%</w:t>
      </w:r>
    </w:p>
    <w:p>
      <w:pPr>
        <w:spacing w:after="0" w:line="17" w:lineRule="exact"/>
        <w:rPr>
          <w:rFonts w:ascii="Arial" w:cs="Arial" w:eastAsia="Arial" w:hAnsi="Arial"/>
          <w:sz w:val="18"/>
          <w:szCs w:val="18"/>
          <w:color w:val="auto"/>
        </w:rPr>
      </w:pPr>
    </w:p>
    <w:p>
      <w:pPr>
        <w:ind w:left="3240" w:hanging="808"/>
        <w:spacing w:after="0"/>
        <w:tabs>
          <w:tab w:leader="none" w:pos="3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324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314" w:lineRule="exact"/>
        <w:rPr>
          <w:rFonts w:ascii="Arial" w:cs="Arial" w:eastAsia="Arial" w:hAnsi="Arial"/>
          <w:sz w:val="18"/>
          <w:szCs w:val="18"/>
          <w:color w:val="auto"/>
        </w:rPr>
      </w:pPr>
    </w:p>
    <w:p>
      <w:pPr>
        <w:ind w:right="100"/>
        <w:spacing w:after="0" w:line="225" w:lineRule="auto"/>
        <w:rPr>
          <w:rFonts w:ascii="Arial" w:cs="Arial" w:eastAsia="Arial" w:hAnsi="Arial"/>
          <w:sz w:val="18"/>
          <w:szCs w:val="18"/>
          <w:color w:val="auto"/>
        </w:rPr>
      </w:pPr>
      <w:r>
        <w:rPr>
          <w:rFonts w:ascii="Arial" w:cs="Arial" w:eastAsia="Arial" w:hAnsi="Arial"/>
          <w:sz w:val="18"/>
          <w:szCs w:val="18"/>
          <w:color w:val="auto"/>
        </w:rPr>
        <w:t>* As of the filing date and as described in Items 4, 5(a) and 5(b), Eastern Capital Limited beneficially owns 20,000,000 shares of Common Stock and 20,000,000 shares of Common Stock issuable upon exercise of the Series A-1 Warrant (which becomes exercisable within 60 days hereof), Series D-1 Warrant, Series E-1 Warrant or the remainder of the Series C-1 Warrant. As described in Item 6, 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-2793365</wp:posOffset>
            </wp:positionV>
            <wp:extent cx="46824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82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-2424430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-1927225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-1541145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-1172210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2" w:name="page3"/>
    <w:bookmarkEnd w:id="2"/>
    <w:p>
      <w:pPr>
        <w:spacing w:after="0"/>
        <w:tabs>
          <w:tab w:leader="none" w:pos="730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3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ind w:left="3160" w:right="900" w:hanging="682"/>
        <w:spacing w:after="0" w:line="235" w:lineRule="auto"/>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PORTFOLIO SERVICES LTD.</w:t>
      </w:r>
    </w:p>
    <w:p>
      <w:pPr>
        <w:spacing w:after="0" w:line="31" w:lineRule="exact"/>
        <w:rPr>
          <w:rFonts w:ascii="Arial" w:cs="Arial" w:eastAsia="Arial" w:hAnsi="Arial"/>
          <w:sz w:val="18"/>
          <w:szCs w:val="18"/>
          <w:color w:val="auto"/>
        </w:rPr>
      </w:pPr>
    </w:p>
    <w:p>
      <w:pPr>
        <w:ind w:left="3160" w:right="3060" w:hanging="682"/>
        <w:spacing w:after="0" w:line="219" w:lineRule="auto"/>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3580" w:hanging="412"/>
        <w:spacing w:after="0" w:line="189" w:lineRule="exact"/>
        <w:tabs>
          <w:tab w:leader="none" w:pos="35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ind w:left="3580" w:hanging="412"/>
        <w:spacing w:after="0" w:line="202" w:lineRule="exact"/>
        <w:tabs>
          <w:tab w:leader="none" w:pos="35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ind w:left="3160" w:hanging="682"/>
        <w:spacing w:after="0"/>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160" w:hanging="682"/>
        <w:spacing w:after="0"/>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 w:lineRule="exact"/>
        <w:rPr>
          <w:rFonts w:ascii="Arial" w:cs="Arial" w:eastAsia="Arial" w:hAnsi="Arial"/>
          <w:sz w:val="18"/>
          <w:szCs w:val="18"/>
          <w:color w:val="auto"/>
        </w:rPr>
      </w:pPr>
    </w:p>
    <w:p>
      <w:pPr>
        <w:ind w:left="3160" w:right="300" w:hanging="682"/>
        <w:spacing w:after="0" w:line="232" w:lineRule="auto"/>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1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3160" w:hanging="682"/>
        <w:spacing w:after="0"/>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4460" w:right="5000" w:hanging="226"/>
        <w:spacing w:after="0" w:line="336" w:lineRule="auto"/>
        <w:tabs>
          <w:tab w:leader="none" w:pos="446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4460" w:hanging="226"/>
        <w:spacing w:after="0"/>
        <w:tabs>
          <w:tab w:leader="none" w:pos="446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-2994660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-2497455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-2008505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-1759585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-130175</wp:posOffset>
            </wp:positionV>
            <wp:extent cx="47167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3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3760" w:type="dxa"/>
            <w:vAlign w:val="bottom"/>
          </w:tcPr>
          <w:p>
            <w:pPr>
              <w:jc w:val="center"/>
              <w:ind w:right="230"/>
              <w:spacing w:after="0"/>
              <w:rPr>
                <w:sz w:val="20"/>
                <w:szCs w:val="20"/>
                <w:color w:val="auto"/>
              </w:rPr>
            </w:pPr>
            <w:r>
              <w:rPr>
                <w:rFonts w:ascii="Arial" w:cs="Arial" w:eastAsia="Arial" w:hAnsi="Arial"/>
                <w:sz w:val="18"/>
                <w:szCs w:val="18"/>
                <w:color w:val="auto"/>
                <w:w w:val="99"/>
              </w:rPr>
              <w:t>NUMBER OF SHARES BENEFICIALLY</w:t>
            </w:r>
          </w:p>
        </w:tc>
        <w:tc>
          <w:tcPr>
            <w:tcW w:w="7420" w:type="dxa"/>
            <w:vAlign w:val="bottom"/>
            <w:vMerge w:val="restart"/>
          </w:tcPr>
          <w:p>
            <w:pPr>
              <w:jc w:val="right"/>
              <w:ind w:right="5850"/>
              <w:spacing w:after="0"/>
              <w:rPr>
                <w:sz w:val="20"/>
                <w:szCs w:val="20"/>
                <w:color w:val="auto"/>
              </w:rPr>
            </w:pPr>
            <w:r>
              <w:rPr>
                <w:rFonts w:ascii="Arial" w:cs="Arial" w:eastAsia="Arial" w:hAnsi="Arial"/>
                <w:sz w:val="18"/>
                <w:szCs w:val="18"/>
                <w:b w:val="1"/>
                <w:bCs w:val="1"/>
                <w:color w:val="auto"/>
              </w:rPr>
              <w:t>40,000,000*</w:t>
            </w:r>
          </w:p>
        </w:tc>
        <w:tc>
          <w:tcPr>
            <w:tcW w:w="0" w:type="dxa"/>
            <w:vAlign w:val="bottom"/>
          </w:tcPr>
          <w:p>
            <w:pPr>
              <w:spacing w:after="0"/>
              <w:rPr>
                <w:sz w:val="1"/>
                <w:szCs w:val="1"/>
                <w:color w:val="auto"/>
              </w:rPr>
            </w:pPr>
          </w:p>
        </w:tc>
      </w:tr>
      <w:tr>
        <w:trPr>
          <w:trHeight w:val="114"/>
        </w:trPr>
        <w:tc>
          <w:tcPr>
            <w:tcW w:w="3760" w:type="dxa"/>
            <w:vAlign w:val="bottom"/>
            <w:vMerge w:val="restart"/>
          </w:tcPr>
          <w:p>
            <w:pPr>
              <w:jc w:val="center"/>
              <w:ind w:right="230"/>
              <w:spacing w:after="0" w:line="189" w:lineRule="exact"/>
              <w:rPr>
                <w:sz w:val="20"/>
                <w:szCs w:val="20"/>
                <w:color w:val="auto"/>
              </w:rPr>
            </w:pPr>
            <w:r>
              <w:rPr>
                <w:rFonts w:ascii="Arial" w:cs="Arial" w:eastAsia="Arial" w:hAnsi="Arial"/>
                <w:sz w:val="18"/>
                <w:szCs w:val="18"/>
                <w:color w:val="auto"/>
                <w:w w:val="99"/>
              </w:rPr>
              <w:t>OWNED BY EACH REPORTING PERSON</w:t>
            </w:r>
          </w:p>
        </w:tc>
        <w:tc>
          <w:tcPr>
            <w:tcW w:w="74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3760" w:type="dxa"/>
            <w:vAlign w:val="bottom"/>
            <w:vMerge w:val="continue"/>
          </w:tcPr>
          <w:p>
            <w:pPr>
              <w:spacing w:after="0"/>
              <w:rPr>
                <w:sz w:val="5"/>
                <w:szCs w:val="5"/>
                <w:color w:val="auto"/>
              </w:rPr>
            </w:pPr>
          </w:p>
        </w:tc>
        <w:tc>
          <w:tcPr>
            <w:tcW w:w="7420" w:type="dxa"/>
            <w:vAlign w:val="bottom"/>
            <w:vMerge w:val="restart"/>
          </w:tcPr>
          <w:p>
            <w:pPr>
              <w:jc w:val="right"/>
              <w:ind w:right="4470"/>
              <w:spacing w:after="0"/>
              <w:rPr>
                <w:sz w:val="20"/>
                <w:szCs w:val="20"/>
                <w:color w:val="auto"/>
              </w:rPr>
            </w:pPr>
            <w:r>
              <w:rPr>
                <w:rFonts w:ascii="Arial" w:cs="Arial" w:eastAsia="Arial" w:hAnsi="Arial"/>
                <w:sz w:val="18"/>
                <w:szCs w:val="18"/>
                <w:color w:val="auto"/>
              </w:rPr>
              <w:t>9. SOLE DISPOSITIVE POWER</w:t>
            </w:r>
          </w:p>
        </w:tc>
        <w:tc>
          <w:tcPr>
            <w:tcW w:w="0" w:type="dxa"/>
            <w:vAlign w:val="bottom"/>
          </w:tcPr>
          <w:p>
            <w:pPr>
              <w:spacing w:after="0"/>
              <w:rPr>
                <w:sz w:val="1"/>
                <w:szCs w:val="1"/>
                <w:color w:val="auto"/>
              </w:rPr>
            </w:pPr>
          </w:p>
        </w:tc>
      </w:tr>
      <w:tr>
        <w:trPr>
          <w:trHeight w:val="150"/>
        </w:trPr>
        <w:tc>
          <w:tcPr>
            <w:tcW w:w="376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WITH</w:t>
            </w:r>
          </w:p>
        </w:tc>
        <w:tc>
          <w:tcPr>
            <w:tcW w:w="7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60" w:type="dxa"/>
            <w:vAlign w:val="bottom"/>
            <w:vMerge w:val="continue"/>
          </w:tcPr>
          <w:p>
            <w:pPr>
              <w:spacing w:after="0"/>
              <w:rPr>
                <w:sz w:val="5"/>
                <w:szCs w:val="5"/>
                <w:color w:val="auto"/>
              </w:rPr>
            </w:pPr>
          </w:p>
        </w:tc>
        <w:tc>
          <w:tcPr>
            <w:tcW w:w="7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-0-</w:t>
      </w:r>
    </w:p>
    <w:p>
      <w:pPr>
        <w:ind w:left="4460" w:hanging="326"/>
        <w:spacing w:after="0"/>
        <w:tabs>
          <w:tab w:leader="none" w:pos="446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149"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b w:val="1"/>
          <w:bCs w:val="1"/>
          <w:color w:val="auto"/>
        </w:rPr>
        <w:t>40,000,000*</w:t>
      </w:r>
    </w:p>
    <w:p>
      <w:pPr>
        <w:spacing w:after="0" w:line="220" w:lineRule="exact"/>
        <w:rPr>
          <w:rFonts w:ascii="Arial" w:cs="Arial" w:eastAsia="Arial" w:hAnsi="Arial"/>
          <w:sz w:val="18"/>
          <w:szCs w:val="18"/>
          <w:color w:val="auto"/>
        </w:rPr>
      </w:pPr>
    </w:p>
    <w:p>
      <w:pPr>
        <w:ind w:left="3160" w:hanging="782"/>
        <w:spacing w:after="0"/>
        <w:tabs>
          <w:tab w:leader="none" w:pos="3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40,000,000*</w:t>
      </w:r>
    </w:p>
    <w:p>
      <w:pPr>
        <w:spacing w:after="0" w:line="17" w:lineRule="exact"/>
        <w:rPr>
          <w:rFonts w:ascii="Arial" w:cs="Arial" w:eastAsia="Arial" w:hAnsi="Arial"/>
          <w:sz w:val="18"/>
          <w:szCs w:val="18"/>
          <w:color w:val="auto"/>
        </w:rPr>
      </w:pPr>
    </w:p>
    <w:p>
      <w:pPr>
        <w:ind w:left="3160" w:right="840" w:hanging="782"/>
        <w:spacing w:after="0" w:line="213" w:lineRule="exact"/>
        <w:tabs>
          <w:tab w:leader="none" w:pos="3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3" w:lineRule="exact"/>
        <w:rPr>
          <w:rFonts w:ascii="Arial" w:cs="Arial" w:eastAsia="Arial" w:hAnsi="Arial"/>
          <w:sz w:val="18"/>
          <w:szCs w:val="18"/>
          <w:color w:val="auto"/>
        </w:rPr>
      </w:pPr>
    </w:p>
    <w:p>
      <w:pPr>
        <w:ind w:left="3160" w:hanging="782"/>
        <w:spacing w:after="0"/>
        <w:tabs>
          <w:tab w:leader="none" w:pos="3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48.3%</w:t>
      </w:r>
    </w:p>
    <w:p>
      <w:pPr>
        <w:spacing w:after="0" w:line="17" w:lineRule="exact"/>
        <w:rPr>
          <w:rFonts w:ascii="Arial" w:cs="Arial" w:eastAsia="Arial" w:hAnsi="Arial"/>
          <w:sz w:val="18"/>
          <w:szCs w:val="18"/>
          <w:color w:val="auto"/>
        </w:rPr>
      </w:pPr>
    </w:p>
    <w:p>
      <w:pPr>
        <w:ind w:left="3160" w:hanging="782"/>
        <w:spacing w:after="0"/>
        <w:tabs>
          <w:tab w:leader="none" w:pos="3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314" w:lineRule="exact"/>
        <w:rPr>
          <w:rFonts w:ascii="Arial" w:cs="Arial" w:eastAsia="Arial" w:hAnsi="Arial"/>
          <w:sz w:val="18"/>
          <w:szCs w:val="18"/>
          <w:color w:val="auto"/>
        </w:rPr>
      </w:pPr>
    </w:p>
    <w:p>
      <w:pPr>
        <w:ind w:right="40"/>
        <w:spacing w:after="0" w:line="225" w:lineRule="auto"/>
        <w:rPr>
          <w:rFonts w:ascii="Arial" w:cs="Arial" w:eastAsia="Arial" w:hAnsi="Arial"/>
          <w:sz w:val="18"/>
          <w:szCs w:val="18"/>
          <w:color w:val="auto"/>
        </w:rPr>
      </w:pPr>
      <w:r>
        <w:rPr>
          <w:rFonts w:ascii="Arial" w:cs="Arial" w:eastAsia="Arial" w:hAnsi="Arial"/>
          <w:sz w:val="18"/>
          <w:szCs w:val="18"/>
          <w:color w:val="auto"/>
        </w:rPr>
        <w:t>* As of the filing date and as described in Items 4, 5(a) and 5(b), Portfolio Services Ltd. beneficially owns 20,000,000 shares of Common Stock, and 20,000,000 shares of Common Stock issuable upon exercise of the Series A-1 Warrant (which becomes exercisable within 60 days hereof), Series D-1 Warrant, Series E-1 Warrant or the remainder of the Series C-1 Warrant. As described in Item 6, 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-2793365</wp:posOffset>
            </wp:positionV>
            <wp:extent cx="4716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-2424430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-1927225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-1541145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-1172210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3" w:name="page4"/>
    <w:bookmarkEnd w:id="3"/>
    <w:p>
      <w:pPr>
        <w:spacing w:after="0"/>
        <w:tabs>
          <w:tab w:leader="none" w:pos="730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4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ind w:left="3160" w:right="900" w:hanging="682"/>
        <w:spacing w:after="0" w:line="235" w:lineRule="auto"/>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KENNETH B. DART</w:t>
      </w:r>
    </w:p>
    <w:p>
      <w:pPr>
        <w:spacing w:after="0" w:line="31" w:lineRule="exact"/>
        <w:rPr>
          <w:rFonts w:ascii="Arial" w:cs="Arial" w:eastAsia="Arial" w:hAnsi="Arial"/>
          <w:sz w:val="18"/>
          <w:szCs w:val="18"/>
          <w:color w:val="auto"/>
        </w:rPr>
      </w:pPr>
    </w:p>
    <w:p>
      <w:pPr>
        <w:ind w:left="3160" w:right="3060" w:hanging="682"/>
        <w:spacing w:after="0" w:line="219" w:lineRule="auto"/>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3580" w:hanging="412"/>
        <w:spacing w:after="0" w:line="189" w:lineRule="exact"/>
        <w:tabs>
          <w:tab w:leader="none" w:pos="35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ind w:left="3580" w:hanging="412"/>
        <w:spacing w:after="0" w:line="202" w:lineRule="exact"/>
        <w:tabs>
          <w:tab w:leader="none" w:pos="35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ind w:left="3160" w:hanging="682"/>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160" w:hanging="682"/>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 w:lineRule="exact"/>
        <w:rPr>
          <w:rFonts w:ascii="Arial" w:cs="Arial" w:eastAsia="Arial" w:hAnsi="Arial"/>
          <w:sz w:val="18"/>
          <w:szCs w:val="18"/>
          <w:color w:val="auto"/>
        </w:rPr>
      </w:pPr>
    </w:p>
    <w:p>
      <w:pPr>
        <w:ind w:left="3160" w:right="300" w:hanging="682"/>
        <w:spacing w:after="0" w:line="232" w:lineRule="auto"/>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1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3160" w:hanging="682"/>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4460" w:right="5000" w:hanging="226"/>
        <w:spacing w:after="0" w:line="336" w:lineRule="auto"/>
        <w:tabs>
          <w:tab w:leader="none" w:pos="446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4460" w:hanging="226"/>
        <w:spacing w:after="0" w:line="219" w:lineRule="auto"/>
        <w:tabs>
          <w:tab w:leader="none" w:pos="446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-2983230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-2485390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-1997075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-1748155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-1379220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-984885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-118745</wp:posOffset>
            </wp:positionV>
            <wp:extent cx="47167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tbl>
      <w:tblPr>
        <w:tblLayout w:type="fixed"/>
        <w:tblInd w:w="240" w:type="dxa"/>
        <w:tblCellMar>
          <w:top w:w="0" w:type="dxa"/>
          <w:left w:w="0" w:type="dxa"/>
          <w:bottom w:w="0" w:type="dxa"/>
          <w:right w:w="0" w:type="dxa"/>
        </w:tblCellMar>
      </w:tblPr>
      <w:tr>
        <w:trPr>
          <w:trHeight w:val="189"/>
        </w:trPr>
        <w:tc>
          <w:tcPr>
            <w:tcW w:w="3760" w:type="dxa"/>
            <w:vAlign w:val="bottom"/>
          </w:tcPr>
          <w:p>
            <w:pPr>
              <w:jc w:val="center"/>
              <w:ind w:right="230"/>
              <w:spacing w:after="0" w:line="189" w:lineRule="exact"/>
              <w:rPr>
                <w:sz w:val="20"/>
                <w:szCs w:val="20"/>
                <w:color w:val="auto"/>
              </w:rPr>
            </w:pPr>
            <w:r>
              <w:rPr>
                <w:rFonts w:ascii="Arial" w:cs="Arial" w:eastAsia="Arial" w:hAnsi="Arial"/>
                <w:sz w:val="18"/>
                <w:szCs w:val="18"/>
                <w:color w:val="auto"/>
                <w:w w:val="99"/>
              </w:rPr>
              <w:t>NUMBER OF SHARES BENEFICIALLY</w:t>
            </w:r>
          </w:p>
        </w:tc>
        <w:tc>
          <w:tcPr>
            <w:tcW w:w="7420" w:type="dxa"/>
            <w:vAlign w:val="bottom"/>
            <w:vMerge w:val="restart"/>
          </w:tcPr>
          <w:p>
            <w:pPr>
              <w:jc w:val="right"/>
              <w:ind w:right="5850"/>
              <w:spacing w:after="0"/>
              <w:rPr>
                <w:sz w:val="20"/>
                <w:szCs w:val="20"/>
                <w:color w:val="auto"/>
              </w:rPr>
            </w:pPr>
            <w:r>
              <w:rPr>
                <w:rFonts w:ascii="Arial" w:cs="Arial" w:eastAsia="Arial" w:hAnsi="Arial"/>
                <w:sz w:val="18"/>
                <w:szCs w:val="18"/>
                <w:b w:val="1"/>
                <w:bCs w:val="1"/>
                <w:color w:val="auto"/>
              </w:rPr>
              <w:t>40,000,000*</w:t>
            </w:r>
          </w:p>
        </w:tc>
        <w:tc>
          <w:tcPr>
            <w:tcW w:w="0" w:type="dxa"/>
            <w:vAlign w:val="bottom"/>
          </w:tcPr>
          <w:p>
            <w:pPr>
              <w:spacing w:after="0"/>
              <w:rPr>
                <w:sz w:val="1"/>
                <w:szCs w:val="1"/>
                <w:color w:val="auto"/>
              </w:rPr>
            </w:pPr>
          </w:p>
        </w:tc>
      </w:tr>
      <w:tr>
        <w:trPr>
          <w:trHeight w:val="202"/>
        </w:trPr>
        <w:tc>
          <w:tcPr>
            <w:tcW w:w="3760" w:type="dxa"/>
            <w:vAlign w:val="bottom"/>
          </w:tcPr>
          <w:p>
            <w:pPr>
              <w:jc w:val="center"/>
              <w:ind w:right="230"/>
              <w:spacing w:after="0" w:line="189" w:lineRule="exact"/>
              <w:rPr>
                <w:sz w:val="20"/>
                <w:szCs w:val="20"/>
                <w:color w:val="auto"/>
              </w:rPr>
            </w:pPr>
            <w:r>
              <w:rPr>
                <w:rFonts w:ascii="Arial" w:cs="Arial" w:eastAsia="Arial" w:hAnsi="Arial"/>
                <w:sz w:val="18"/>
                <w:szCs w:val="18"/>
                <w:color w:val="auto"/>
                <w:w w:val="99"/>
              </w:rPr>
              <w:t>OWNED BY EACH REPORTING PERSON</w:t>
            </w:r>
          </w:p>
        </w:tc>
        <w:tc>
          <w:tcPr>
            <w:tcW w:w="7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60" w:type="dxa"/>
            <w:vAlign w:val="bottom"/>
          </w:tcPr>
          <w:p>
            <w:pPr>
              <w:jc w:val="center"/>
              <w:ind w:right="250"/>
              <w:spacing w:after="0" w:line="189" w:lineRule="exact"/>
              <w:rPr>
                <w:sz w:val="20"/>
                <w:szCs w:val="20"/>
                <w:color w:val="auto"/>
              </w:rPr>
            </w:pPr>
            <w:r>
              <w:rPr>
                <w:rFonts w:ascii="Arial" w:cs="Arial" w:eastAsia="Arial" w:hAnsi="Arial"/>
                <w:sz w:val="18"/>
                <w:szCs w:val="18"/>
                <w:color w:val="auto"/>
                <w:w w:val="99"/>
              </w:rPr>
              <w:t>WITH</w:t>
            </w:r>
          </w:p>
        </w:tc>
        <w:tc>
          <w:tcPr>
            <w:tcW w:w="7420" w:type="dxa"/>
            <w:vAlign w:val="bottom"/>
          </w:tcPr>
          <w:p>
            <w:pPr>
              <w:jc w:val="right"/>
              <w:ind w:right="4470"/>
              <w:spacing w:after="0"/>
              <w:rPr>
                <w:sz w:val="20"/>
                <w:szCs w:val="20"/>
                <w:color w:val="auto"/>
              </w:rPr>
            </w:pPr>
            <w:r>
              <w:rPr>
                <w:rFonts w:ascii="Arial" w:cs="Arial" w:eastAsia="Arial" w:hAnsi="Arial"/>
                <w:sz w:val="18"/>
                <w:szCs w:val="18"/>
                <w:color w:val="auto"/>
              </w:rPr>
              <w:t>9. SOLE DISPOSITIVE POWER</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-0-</w:t>
      </w:r>
    </w:p>
    <w:p>
      <w:pPr>
        <w:ind w:left="4460" w:hanging="326"/>
        <w:spacing w:after="0" w:line="219" w:lineRule="auto"/>
        <w:tabs>
          <w:tab w:leader="none" w:pos="44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DISPOSITIVE POWER</w:t>
      </w:r>
    </w:p>
    <w:p>
      <w:pPr>
        <w:ind w:left="4520"/>
        <w:spacing w:after="0"/>
        <w:rPr>
          <w:rFonts w:ascii="Arial" w:cs="Arial" w:eastAsia="Arial" w:hAnsi="Arial"/>
          <w:sz w:val="18"/>
          <w:szCs w:val="18"/>
          <w:color w:val="auto"/>
        </w:rPr>
      </w:pPr>
      <w:r>
        <w:rPr>
          <w:rFonts w:ascii="Arial" w:cs="Arial" w:eastAsia="Arial" w:hAnsi="Arial"/>
          <w:sz w:val="18"/>
          <w:szCs w:val="18"/>
          <w:b w:val="1"/>
          <w:bCs w:val="1"/>
          <w:color w:val="auto"/>
        </w:rPr>
        <w:t>40,000,000*</w:t>
      </w:r>
    </w:p>
    <w:p>
      <w:pPr>
        <w:spacing w:after="0" w:line="198" w:lineRule="exact"/>
        <w:rPr>
          <w:rFonts w:ascii="Arial" w:cs="Arial" w:eastAsia="Arial" w:hAnsi="Arial"/>
          <w:sz w:val="18"/>
          <w:szCs w:val="18"/>
          <w:color w:val="auto"/>
        </w:rPr>
      </w:pPr>
    </w:p>
    <w:p>
      <w:pPr>
        <w:ind w:left="3160" w:hanging="782"/>
        <w:spacing w:after="0"/>
        <w:tabs>
          <w:tab w:leader="none" w:pos="3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-507365</wp:posOffset>
            </wp:positionV>
            <wp:extent cx="47167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9"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40,000,000*</w:t>
      </w:r>
    </w:p>
    <w:p>
      <w:pPr>
        <w:spacing w:after="0" w:line="18" w:lineRule="exact"/>
        <w:rPr>
          <w:sz w:val="20"/>
          <w:szCs w:val="20"/>
          <w:color w:val="auto"/>
        </w:rPr>
      </w:pPr>
    </w:p>
    <w:p>
      <w:pPr>
        <w:ind w:left="3160" w:right="840" w:hanging="782"/>
        <w:spacing w:after="0" w:line="213" w:lineRule="exact"/>
        <w:tabs>
          <w:tab w:leader="none" w:pos="3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3" w:lineRule="exact"/>
        <w:rPr>
          <w:rFonts w:ascii="Arial" w:cs="Arial" w:eastAsia="Arial" w:hAnsi="Arial"/>
          <w:sz w:val="18"/>
          <w:szCs w:val="18"/>
          <w:color w:val="auto"/>
        </w:rPr>
      </w:pPr>
    </w:p>
    <w:p>
      <w:pPr>
        <w:ind w:left="3160" w:hanging="782"/>
        <w:spacing w:after="0"/>
        <w:tabs>
          <w:tab w:leader="none" w:pos="3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48.3%</w:t>
      </w:r>
    </w:p>
    <w:p>
      <w:pPr>
        <w:spacing w:after="0" w:line="17" w:lineRule="exact"/>
        <w:rPr>
          <w:rFonts w:ascii="Arial" w:cs="Arial" w:eastAsia="Arial" w:hAnsi="Arial"/>
          <w:sz w:val="18"/>
          <w:szCs w:val="18"/>
          <w:color w:val="auto"/>
        </w:rPr>
      </w:pPr>
    </w:p>
    <w:p>
      <w:pPr>
        <w:ind w:left="3160" w:hanging="782"/>
        <w:spacing w:after="0"/>
        <w:tabs>
          <w:tab w:leader="none" w:pos="3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-725170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5"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*As of the filing date and as described in Items 4, 5(a) and 5(b), Kenneth B. Dart beneficially owns 20,000,000 shares of Common Stock, and 20,000,000 shares of Common Stock issuable upon exercise of the Series A-1 Warrant (which becomes exercisable within 60 days hereof), Series D-1 Warrant, Series E-1 Warrant or the remainder of the Series C-1 Warrant. As described in Item 6, all warrants are subject to a limit of exercise to the extent (and only to the extent) that Eastern Capital Limited or any of its affiliates would beneficially own in excess of 49.9% (the “Maximum Percentage”) of the Common Stock after giving effect to such exercise.</w:t>
      </w:r>
    </w:p>
    <w:p>
      <w:pPr>
        <w:sectPr>
          <w:pgSz w:w="11900" w:h="16838" w:orient="portrait"/>
          <w:cols w:equalWidth="0" w:num="1">
            <w:col w:w="11420"/>
          </w:cols>
          <w:pgMar w:left="240" w:top="908" w:right="239" w:bottom="1440" w:gutter="0" w:footer="0" w:header="0"/>
        </w:sectPr>
      </w:pPr>
    </w:p>
    <w:bookmarkStart w:id="4" w:name="page5"/>
    <w:bookmarkEnd w:id="4"/>
    <w:p>
      <w:pPr>
        <w:spacing w:after="0"/>
        <w:tabs>
          <w:tab w:leader="none" w:pos="604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5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1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This Amendment No. 5 to Schedule 13D (the “Schedule 13D”) relates to the common stock (“Common Stock”) of TapImmune Inc. (the “Issuer”), whose principal executive offices are located at 1551 Eastlake Avenue East, Suite 100, Seattle, WA 98102 United States.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No. 5 to Schedule 13D (the “Schedule 13D”) is being filed by Eastern Capital Limited, Portfolio Services Ltd. and Kenneth B.</w:t>
      </w:r>
    </w:p>
    <w:p>
      <w:pPr>
        <w:spacing w:after="0"/>
        <w:rPr>
          <w:sz w:val="20"/>
          <w:szCs w:val="20"/>
          <w:color w:val="auto"/>
        </w:rPr>
      </w:pPr>
      <w:r>
        <w:rPr>
          <w:rFonts w:ascii="Arial" w:cs="Arial" w:eastAsia="Arial" w:hAnsi="Arial"/>
          <w:sz w:val="18"/>
          <w:szCs w:val="18"/>
          <w:color w:val="auto"/>
        </w:rPr>
        <w:t>Dart (collectively, the “Reporting Persons”).</w:t>
      </w:r>
    </w:p>
    <w:p>
      <w:pPr>
        <w:spacing w:after="0" w:line="13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Eastern Capital Limited, 10 Market Street #773, Camana Bay, Grand Cayman, KY1-9006, Cayman Islands, a Cayman Islands corporation, is an investment entity that owns the shares of the Issuer’s Common Stock and Warrants to purchase Common Stock reported in this Schedule 13D. Kenneth B. Dart and Mark R. VanDevelde are directors of Eastern Capital Limited.</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Portfolio Services Ltd., 10 Market Street #773, Camana Bay, Grand Cayman, KY1-9006, Cayman Islands, a Cayman Islands corporation, is a holding company which owns all of the outstanding stock of Eastern Capital Limited. Kenneth B. Dart and Mark R. VanDevelde are directors of Portfolio Services Ltd.</w:t>
      </w:r>
    </w:p>
    <w:p>
      <w:pPr>
        <w:spacing w:after="0" w:line="11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Kenneth B. Dart, P. O. Box 31300 SMB, Grand Cayman, KY1 -1206, Cayman Islands, a British Overseas Territory Citizen / Cayman Islands and businessman, is the beneficial owner of all of the outstanding stock of Portfolio Services Ltd.</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the last five years, none of the persons listed above have been convicted in a criminal proceeding (excluding traffic violations or similar misdemeanors).</w:t>
      </w:r>
    </w:p>
    <w:p>
      <w:pPr>
        <w:spacing w:after="0" w:line="13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 the last five years, none of the persons listed above was a party to a civil proceeding of a judicial or administrative body of competent jurisdiction.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or Amount of Funds or Other Consideration.</w:t>
      </w:r>
    </w:p>
    <w:p>
      <w:pPr>
        <w:spacing w:after="0" w:line="1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source of funds used to acquire the shares of the Issuer’s Common Stock and Warrants was the working capital of Eastern Capital Limited.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November 28, 2015, the Series A-1 Warrant will become exercisable, and as a result the Reporting Persons currently beneficially own 5,000,000 shares of Common Stock issuable upon exercise of the Series A-1 Warrant.</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Reporting Persons currently have no plans or proposals which relate to or would result in any transaction, event or action enumerated in paragraphs (a) through (j) of Item 4 of Schedule 13D.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Item 5(a)–(b)</w:t>
      </w:r>
    </w:p>
    <w:p>
      <w:pPr>
        <w:spacing w:after="0" w:line="11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Eastern Capital Limited beneficially owns 40,000,000 shares of the Issuer’s Common Stock, representing 48.3% of the Issuer’s outstanding Common Stock. Eastern Capital Limited has shared voting and dispositive power of the shares it beneficially owns with its parent, Portfolio Services Ltd. and Kenneth B. Dart.</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Portfolio Services Ltd., as the owner of all of the outstanding shares of Eastern Capital Limited, indirectly beneficially owns 40,000,000 shares of the Issuer’s Common Stock, representing 48.3% of the Issuer’s outstanding Common Stock. Portfolio Services Ltd. has shared voting and dispositive power of the shares it beneficially owns.</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As a result of Kenneth B. Dart’s ownership of all of the outstanding shares of Portfolio Services Ltd., he indirectly beneficially owns 40,000,000 shares of the Issuer’s Common Stock, representing 48.3% of the Issuer’s outstanding Common Stock. Kenneth B. Dart has shared voting and dispositive power of the shares he beneficially owns.</w:t>
      </w:r>
    </w:p>
    <w:p>
      <w:pPr>
        <w:sectPr>
          <w:pgSz w:w="11900" w:h="16838" w:orient="portrait"/>
          <w:cols w:equalWidth="0" w:num="1">
            <w:col w:w="11420"/>
          </w:cols>
          <w:pgMar w:left="240" w:top="827" w:right="239" w:bottom="1440" w:gutter="0" w:footer="0" w:header="0"/>
        </w:sectPr>
      </w:pPr>
    </w:p>
    <w:bookmarkStart w:id="5" w:name="page6"/>
    <w:bookmarkEnd w:id="5"/>
    <w:p>
      <w:pPr>
        <w:spacing w:after="0"/>
        <w:tabs>
          <w:tab w:leader="none" w:pos="596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6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percentage ownership noted in this Schedule 13D/A is based on 62,890,762 shares of Common Stock as reported in the Issuer’s Form 8-Q filed with the U.S. Securities and Exchange Commission on September 10, 2015, plus 20,000,000 shares of Common Stock that would become outstanding upon exercise of the Issuer’s Series A-1 (which becomes exercisable within 60 days hereof), Series D-1, Series E-1 or the remainder of the Series C-1 Warrant.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Item 5(c)</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September 9, 2015, Eastern Capital Limited gave notice to the Issuer to exercise the entire Series B-1 Warrant held by Eastern Capital Limited at the exercise price of $0.20 per share for 10,000,000 shares of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Items 5(d) and (e) - Not applicable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conditions of the Securities Purchase Agreement and the Amended and Restated Restructuring Agreement:</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Series A-1 Warrant, as amended, will have an initial exercise price of $0.10 per share, will be exercisable beginning on November 28, 2015 and will expire on the five year anniversary of the date of issuance.</w:t>
      </w:r>
    </w:p>
    <w:p>
      <w:pPr>
        <w:spacing w:after="0" w:line="81" w:lineRule="exact"/>
        <w:rPr>
          <w:sz w:val="20"/>
          <w:szCs w:val="20"/>
          <w:color w:val="auto"/>
        </w:rPr>
      </w:pPr>
    </w:p>
    <w:p>
      <w:pPr>
        <w:jc w:val="both"/>
        <w:ind w:right="20"/>
        <w:spacing w:after="0" w:line="227" w:lineRule="auto"/>
        <w:rPr>
          <w:sz w:val="20"/>
          <w:szCs w:val="20"/>
          <w:color w:val="auto"/>
        </w:rPr>
      </w:pPr>
      <w:r>
        <w:rPr>
          <w:rFonts w:ascii="Arial" w:cs="Arial" w:eastAsia="Arial" w:hAnsi="Arial"/>
          <w:sz w:val="18"/>
          <w:szCs w:val="18"/>
          <w:color w:val="auto"/>
        </w:rPr>
        <w:t>Each Series C-1 Warrant, as amended, will have an initial exercise price of $0.50 per share, will be immediately exercisable, and will expire on the five year anniversary of the date of issuance. The Issuer may force the exercise of the Series C-1 Warrant in the event that the closing price of the Common Stock is above $1.00 for 10 consecutive trading days (subject to certain conditions, including minimum trading volume requirements and the non-occurrence of an Equity Conditions Failure).</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Series D-1 Warrant is exercisable at an initial exercise price of $0.75 per share, and will expire on the five year anniversary of September 9, 2015.</w:t>
      </w:r>
    </w:p>
    <w:p>
      <w:pPr>
        <w:spacing w:after="0" w:line="8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Each Series E-1 Warrant will be exercisable only if and to the extent that the Series C-1 Warrant is exercised, will have an initial exercise price of $1.25 per share, and will expire on the five year anniversary of the date that the Series C-1 Warrant is initially exercised. As of this filing, 5,000,000 of the Series C-1 Warrant have been exercised.</w:t>
      </w:r>
    </w:p>
    <w:p>
      <w:pPr>
        <w:spacing w:after="0" w:line="8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37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Copies of the form of the respective warrants are included as Exhibits 4.1 – 4.5 to the Form 8-K filed by the Issuer with the U.S. Securities and Exchange Commission on March 10, 2015 and are incorporated by reference herein.</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copy of the Amended and Restated Restructuring Agreement is included as Exhibit 2 to the Schedule 13 D/A filed by the Reporting Persons with the U.S. Securities and Exchange Commission on June 3, 2015 and is incorporated by reference herein.</w:t>
      </w:r>
    </w:p>
    <w:p>
      <w:pPr>
        <w:sectPr>
          <w:pgSz w:w="11900" w:h="16838" w:orient="portrait"/>
          <w:cols w:equalWidth="0" w:num="1">
            <w:col w:w="11420"/>
          </w:cols>
          <w:pgMar w:left="240" w:top="1152" w:right="239" w:bottom="1440" w:gutter="0" w:footer="0" w:header="0"/>
        </w:sectPr>
      </w:pPr>
    </w:p>
    <w:bookmarkStart w:id="6" w:name="page7"/>
    <w:bookmarkEnd w:id="6"/>
    <w:p>
      <w:pPr>
        <w:ind w:left="60"/>
        <w:spacing w:after="0"/>
        <w:tabs>
          <w:tab w:leader="none" w:pos="612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7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Item 7. Material to Be Filed as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Exhibit 1 – Joint Filing Agreement</w:t>
      </w:r>
    </w:p>
    <w:p>
      <w:pPr>
        <w:spacing w:after="0" w:line="9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 – Amended and Restated Restructuring Agreement, dated June 2, 2015 (Incorporated herein by reference to Exhibit 2 to the Schedule 13D/A filed by the Reporting Persons with the U.S. Securities and Exchange Commission on June 3, 2015)</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2.1 – Form of Series A-1 Warrant to Purchase Common Stock (Incorporated herein by reference to Exhibit 4.1 to the Issuer’s Form 8-K filed with the U.S. Securities and Exchange Commission on March 10, 2015)</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2.2 – Form of Series B-1 Warrant to Purchase Common Stock (Incorporated herein by reference to Exhibit 4.2 to the Issuer’s Form 8-K filed with the U.S. Securities and Exchange Commission on March 10, 2015)</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2.3 - Form of Series C-1 Warrant to Purchase Common Stock (Incorporated herein by reference to Exhibit 4.3 to the Issuer’s Form 8-K filed with the U.S. Securities and Exchange Commission on March 10, 2015)</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2.4 - Form of Series D-1 Warrant to Purchase Common Stock (Incorporated herein by reference to Exhibit 4.4 to the Issuer’s Form 8-K filed with the U.S. Securities and Exchange Commission on March 10, 2015)</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2.5 - Form of Series E-1 Warrant to Purchase Common Stock (Incorporated herein by reference to Exhibit 4.5 to the Issuer’s Form 8-K filed with the U.S. Securities and Exchange Commission on March 10, 2015)</w:t>
      </w:r>
    </w:p>
    <w:p>
      <w:pPr>
        <w:sectPr>
          <w:pgSz w:w="11900" w:h="16838" w:orient="portrait"/>
          <w:cols w:equalWidth="0" w:num="1">
            <w:col w:w="11420"/>
          </w:cols>
          <w:pgMar w:left="240" w:top="895" w:right="239" w:bottom="1440" w:gutter="0" w:footer="0" w:header="0"/>
        </w:sectPr>
      </w:pPr>
    </w:p>
    <w:bookmarkStart w:id="7" w:name="page8"/>
    <w:bookmarkEnd w:id="7"/>
    <w:p>
      <w:pPr>
        <w:spacing w:after="0"/>
        <w:tabs>
          <w:tab w:leader="none" w:pos="604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8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6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EASTERN CAPITAL LIMITED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09/29/2015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pacing w:after="0" w:line="29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PORTFOLIO SERVICES LTD.</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09/29/2015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pacing w:after="0" w:line="298"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KENNETH B. DART</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09/29/2015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ectPr>
          <w:pgSz w:w="11900" w:h="16838" w:orient="portrait"/>
          <w:cols w:equalWidth="0" w:num="1">
            <w:col w:w="11420"/>
          </w:cols>
          <w:pgMar w:left="240" w:top="1165" w:right="239" w:bottom="1440" w:gutter="0" w:footer="0" w:header="0"/>
        </w:sectPr>
      </w:pPr>
    </w:p>
    <w:bookmarkStart w:id="8" w:name="page9"/>
    <w:bookmarkEnd w:id="8"/>
    <w:p>
      <w:pPr>
        <w:spacing w:after="0"/>
        <w:tabs>
          <w:tab w:leader="none" w:pos="590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1</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JOINT FILING AGREEMENT</w:t>
      </w:r>
    </w:p>
    <w:p>
      <w:pPr>
        <w:spacing w:after="0" w:line="180" w:lineRule="exact"/>
        <w:rPr>
          <w:sz w:val="20"/>
          <w:szCs w:val="20"/>
          <w:color w:val="auto"/>
        </w:rPr>
      </w:pPr>
    </w:p>
    <w:p>
      <w:pPr>
        <w:jc w:val="both"/>
        <w:ind w:left="40"/>
        <w:spacing w:after="0" w:line="200" w:lineRule="auto"/>
        <w:rPr>
          <w:sz w:val="20"/>
          <w:szCs w:val="20"/>
          <w:color w:val="auto"/>
        </w:rPr>
      </w:pPr>
      <w:r>
        <w:rPr>
          <w:rFonts w:ascii="Arial" w:cs="Arial" w:eastAsia="Arial" w:hAnsi="Arial"/>
          <w:sz w:val="18"/>
          <w:szCs w:val="18"/>
          <w:color w:val="auto"/>
        </w:rPr>
        <w:t>The undersigned agree to the joint filing of Schedule 13D (including any and all amendments thereto) with respect to the shares of common stock of TapImmune Inc. The undersigned further agree and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EASTERN CAPITAL LIMITED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09/29/2015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PORTFOLIO SERVICES LTD.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09/29/2015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KENNETH B. DART</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09/29/2015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ectPr>
          <w:pgSz w:w="11900" w:h="16838" w:orient="portrait"/>
          <w:cols w:equalWidth="0" w:num="1">
            <w:col w:w="11360"/>
          </w:cols>
          <w:pgMar w:left="240" w:top="171" w:right="299" w:bottom="1440" w:gutter="0" w:footer="0" w:header="0"/>
        </w:sectPr>
      </w:pPr>
    </w:p>
    <w:bookmarkStart w:id="9" w:name="page10"/>
    <w:bookmarkEnd w:id="9"/>
    <w:p>
      <w:pPr>
        <w:spacing w:after="0"/>
        <w:tabs>
          <w:tab w:leader="none" w:pos="62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183515</wp:posOffset>
            </wp:positionH>
            <wp:positionV relativeFrom="page">
              <wp:posOffset>106045</wp:posOffset>
            </wp:positionV>
            <wp:extent cx="72205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0585" cy="8890"/>
                    </a:xfrm>
                    <a:prstGeom prst="rect">
                      <a:avLst/>
                    </a:prstGeom>
                    <a:noFill/>
                  </pic:spPr>
                </pic:pic>
              </a:graphicData>
            </a:graphic>
          </wp:anchor>
        </w:drawing>
        <w:t>CUSIP No. 876033309</w:t>
      </w:r>
      <w:r>
        <w:rPr>
          <w:sz w:val="20"/>
          <w:szCs w:val="20"/>
          <w:color w:val="auto"/>
        </w:rPr>
        <w:tab/>
      </w:r>
      <w:r>
        <w:rPr>
          <w:rFonts w:ascii="Arial" w:cs="Arial" w:eastAsia="Arial" w:hAnsi="Arial"/>
          <w:sz w:val="18"/>
          <w:szCs w:val="18"/>
          <w:b w:val="1"/>
          <w:bCs w:val="1"/>
          <w:color w:val="auto"/>
        </w:rPr>
        <w:t>Exhibit 2</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Amended and Restated Restructuring Agreement, dated June 2, 2015 (Incorporated herein by reference to Exhibit 2 to the Schedule 13D/A filed by the Reporting Persons with the Securities and Exchange Commission on June 3, 2015.</w:t>
      </w:r>
    </w:p>
    <w:p>
      <w:pPr>
        <w:sectPr>
          <w:pgSz w:w="11900" w:h="16838" w:orient="portrait"/>
          <w:cols w:equalWidth="0" w:num="1">
            <w:col w:w="11100"/>
          </w:cols>
          <w:pgMar w:left="240" w:top="225" w:right="559" w:bottom="1440" w:gutter="0" w:footer="0" w:header="0"/>
        </w:sectPr>
      </w:pPr>
    </w:p>
    <w:bookmarkStart w:id="10" w:name="page11"/>
    <w:bookmarkEnd w:id="10"/>
    <w:p>
      <w:pPr>
        <w:spacing w:after="0"/>
        <w:tabs>
          <w:tab w:leader="none" w:pos="588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2.1</w:t>
      </w:r>
    </w:p>
    <w:p>
      <w:pPr>
        <w:spacing w:after="0" w:line="200" w:lineRule="exact"/>
        <w:rPr>
          <w:sz w:val="20"/>
          <w:szCs w:val="20"/>
          <w:color w:val="auto"/>
        </w:rPr>
      </w:pPr>
    </w:p>
    <w:p>
      <w:pPr>
        <w:spacing w:after="0" w:line="331"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A-1 Warrant to Purchase Common Stock (Incorporated herein by reference to Exhibit 4.1 to the Issuer’s Form 8-K filed with the Securities and Exchange Commission on March 10, 2015)</w:t>
      </w:r>
    </w:p>
    <w:p>
      <w:pPr>
        <w:sectPr>
          <w:pgSz w:w="11900" w:h="16838" w:orient="portrait"/>
          <w:cols w:equalWidth="0" w:num="1">
            <w:col w:w="11360"/>
          </w:cols>
          <w:pgMar w:left="240" w:top="171" w:right="299" w:bottom="1440" w:gutter="0" w:footer="0" w:header="0"/>
        </w:sectPr>
      </w:pPr>
    </w:p>
    <w:bookmarkStart w:id="11" w:name="page12"/>
    <w:bookmarkEnd w:id="11"/>
    <w:p>
      <w:pPr>
        <w:spacing w:after="0"/>
        <w:tabs>
          <w:tab w:leader="none" w:pos="590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2.2</w:t>
      </w:r>
    </w:p>
    <w:p>
      <w:pPr>
        <w:spacing w:after="0" w:line="200" w:lineRule="exact"/>
        <w:rPr>
          <w:sz w:val="20"/>
          <w:szCs w:val="20"/>
          <w:color w:val="auto"/>
        </w:rPr>
      </w:pPr>
    </w:p>
    <w:p>
      <w:pPr>
        <w:spacing w:after="0" w:line="331"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B-1 Warrant to Purchase Common Stock (Incorporated herein by reference to Exhibit 4.2 to the Issuer’s Form 8-K filed with the Securities and Exchange Commission on March 10, 2015)</w:t>
      </w:r>
    </w:p>
    <w:p>
      <w:pPr>
        <w:sectPr>
          <w:pgSz w:w="11900" w:h="16838" w:orient="portrait"/>
          <w:cols w:equalWidth="0" w:num="1">
            <w:col w:w="11360"/>
          </w:cols>
          <w:pgMar w:left="240" w:top="171" w:right="299" w:bottom="1440" w:gutter="0" w:footer="0" w:header="0"/>
        </w:sectPr>
      </w:pPr>
    </w:p>
    <w:bookmarkStart w:id="12" w:name="page13"/>
    <w:bookmarkEnd w:id="12"/>
    <w:p>
      <w:pPr>
        <w:spacing w:after="0"/>
        <w:tabs>
          <w:tab w:leader="none" w:pos="588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2.3</w:t>
      </w:r>
    </w:p>
    <w:p>
      <w:pPr>
        <w:spacing w:after="0" w:line="200" w:lineRule="exact"/>
        <w:rPr>
          <w:sz w:val="20"/>
          <w:szCs w:val="20"/>
          <w:color w:val="auto"/>
        </w:rPr>
      </w:pPr>
    </w:p>
    <w:p>
      <w:pPr>
        <w:spacing w:after="0" w:line="331"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C-1 Warrant to Purchase Common Stock (Incorporated herein by reference to Exhibit 4.3 to the Issuer’s Form 8-K filed with the Securities and Exchange Commission on March 10, 2015)</w:t>
      </w:r>
    </w:p>
    <w:p>
      <w:pPr>
        <w:sectPr>
          <w:pgSz w:w="11900" w:h="16838" w:orient="portrait"/>
          <w:cols w:equalWidth="0" w:num="1">
            <w:col w:w="11380"/>
          </w:cols>
          <w:pgMar w:left="240" w:top="171" w:right="279" w:bottom="1440" w:gutter="0" w:footer="0" w:header="0"/>
        </w:sectPr>
      </w:pPr>
    </w:p>
    <w:bookmarkStart w:id="13" w:name="page14"/>
    <w:bookmarkEnd w:id="13"/>
    <w:p>
      <w:pPr>
        <w:spacing w:after="0"/>
        <w:tabs>
          <w:tab w:leader="none" w:pos="588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2.4</w:t>
      </w:r>
    </w:p>
    <w:p>
      <w:pPr>
        <w:spacing w:after="0" w:line="200" w:lineRule="exact"/>
        <w:rPr>
          <w:sz w:val="20"/>
          <w:szCs w:val="20"/>
          <w:color w:val="auto"/>
        </w:rPr>
      </w:pPr>
    </w:p>
    <w:p>
      <w:pPr>
        <w:spacing w:after="0" w:line="317"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D-1 Warrant to Purchase Common Stock (Incorporated herein by reference to Exhibit 4.4 to the Issuer’s Form 8-K filed with the Securities and Exchange Commission on March 10, 2015)</w:t>
      </w:r>
    </w:p>
    <w:p>
      <w:pPr>
        <w:sectPr>
          <w:pgSz w:w="11900" w:h="16838" w:orient="portrait"/>
          <w:cols w:equalWidth="0" w:num="1">
            <w:col w:w="11380"/>
          </w:cols>
          <w:pgMar w:left="240" w:top="171" w:right="279" w:bottom="1440" w:gutter="0" w:footer="0" w:header="0"/>
        </w:sectPr>
      </w:pPr>
    </w:p>
    <w:bookmarkStart w:id="14" w:name="page15"/>
    <w:bookmarkEnd w:id="14"/>
    <w:p>
      <w:pPr>
        <w:spacing w:after="0"/>
        <w:tabs>
          <w:tab w:leader="none" w:pos="588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2.5</w:t>
      </w:r>
    </w:p>
    <w:p>
      <w:pPr>
        <w:spacing w:after="0" w:line="200" w:lineRule="exact"/>
        <w:rPr>
          <w:sz w:val="20"/>
          <w:szCs w:val="20"/>
          <w:color w:val="auto"/>
        </w:rPr>
      </w:pPr>
    </w:p>
    <w:p>
      <w:pPr>
        <w:spacing w:after="0" w:line="331"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E-1 Warrant to Purchase Common Stock (Incorporated herein by reference to Exhibit 4.5 to the Issuer’s Form 8-K filed with the Securities and Exchange Commission on March 10, 2015)</w:t>
      </w:r>
    </w:p>
    <w:sectPr>
      <w:pgSz w:w="11900" w:h="16838" w:orient="portrait"/>
      <w:cols w:equalWidth="0" w:num="1">
        <w:col w:w="11360"/>
      </w:cols>
      <w:pgMar w:left="240" w:top="17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41B71EFB"/>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
    <w:nsid w:val="79E2A9E3"/>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
    <w:nsid w:val="7545E146"/>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5">
    <w:nsid w:val="515F007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6">
    <w:nsid w:val="5BD062C2"/>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8">
    <w:nsid w:val="4DB127F8"/>
    <w:multiLevelType w:val="hybridMultilevel"/>
    <w:lvl w:ilvl="0">
      <w:lvlJc w:val="left"/>
      <w:lvlText w:val="%1"/>
      <w:numFmt w:val="decimal"/>
      <w:start w:val="1"/>
    </w:lvl>
    <w:lvl w:ilvl="1">
      <w:lvlJc w:val="left"/>
      <w:lvlText w:val="%2."/>
      <w:numFmt w:val="decimal"/>
      <w:start w:val="10"/>
    </w:lvl>
  </w:abstractNum>
  <w:abstractNum w:abstractNumId="9">
    <w:nsid w:val="216231B"/>
    <w:multiLevelType w:val="hybridMultilevel"/>
    <w:lvl w:ilvl="0">
      <w:lvlJc w:val="left"/>
      <w:lvlText w:val="%1."/>
      <w:numFmt w:val="decimal"/>
      <w:start w:val="11"/>
    </w:lvl>
    <w:lvl w:ilvl="1">
      <w:lvlJc w:val="left"/>
      <w:lvlText w:val="%2"/>
      <w:numFmt w:val="decimal"/>
      <w:start w:val="1"/>
    </w:lvl>
  </w:abstractNum>
  <w:abstractNum w:abstractNumId="10">
    <w:nsid w:val="1F16E9E8"/>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2020-01-24T20:36:08Z</dcterms:created>
  <dcterms:modified xsi:type="dcterms:W3CDTF">2020-01-24T20:36:08Z</dcterms:modified>
</cp:coreProperties>
</file>