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15"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color w:val="auto"/>
        </w:rPr>
        <w:t>March 31, 2017</w:t>
      </w:r>
    </w:p>
    <w:p>
      <w:pPr>
        <w:spacing w:after="0" w:line="229" w:lineRule="exact"/>
        <w:rPr>
          <w:sz w:val="24"/>
          <w:szCs w:val="24"/>
          <w:color w:val="auto"/>
        </w:rPr>
      </w:pPr>
    </w:p>
    <w:p>
      <w:pPr>
        <w:ind w:left="4340" w:right="1220" w:hanging="4332"/>
        <w:spacing w:after="0" w:line="528" w:lineRule="auto"/>
        <w:tabs>
          <w:tab w:leader="none" w:pos="75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-19685</wp:posOffset>
            </wp:positionV>
            <wp:extent cx="141478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45-4497941</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50 N. Laura Street, Suite 2500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0"/>
              </w:rPr>
              <w:t>Jacksonville, FL</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32202</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904-516-5436</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24"/>
        </w:trPr>
        <w:tc>
          <w:tcPr>
            <w:tcW w:w="562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 (check one):</w:t>
      </w:r>
    </w:p>
    <w:p>
      <w:pPr>
        <w:sectPr>
          <w:pgSz w:w="11900" w:h="16838" w:orient="portrait"/>
          <w:cols w:equalWidth="0" w:num="1">
            <w:col w:w="11420"/>
          </w:cols>
          <w:pgMar w:left="240" w:top="472"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(Do not check</w:t>
      </w:r>
    </w:p>
    <w:p>
      <w:pPr>
        <w:spacing w:after="0" w:line="32"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if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1" w:lineRule="exact"/>
        <w:rPr>
          <w:sz w:val="24"/>
          <w:szCs w:val="24"/>
          <w:color w:val="auto"/>
        </w:rPr>
      </w:pPr>
    </w:p>
    <w:p>
      <w:pPr>
        <w:ind w:left="60"/>
        <w:spacing w:after="0"/>
        <w:rPr>
          <w:sz w:val="20"/>
          <w:szCs w:val="20"/>
          <w:color w:val="auto"/>
        </w:rPr>
      </w:pPr>
      <w:r>
        <w:rPr>
          <w:rFonts w:ascii="Arial" w:cs="Arial" w:eastAsia="Arial" w:hAnsi="Arial"/>
          <w:sz w:val="16"/>
          <w:szCs w:val="16"/>
          <w:color w:val="auto"/>
        </w:rPr>
        <w:t>Emerging growth company</w:t>
      </w:r>
    </w:p>
    <w:p>
      <w:pPr>
        <w:spacing w:after="0" w:line="224" w:lineRule="exact"/>
        <w:rPr>
          <w:sz w:val="24"/>
          <w:szCs w:val="24"/>
          <w:color w:val="auto"/>
        </w:rPr>
      </w:pPr>
    </w:p>
    <w:p>
      <w:pPr>
        <w:sectPr>
          <w:pgSz w:w="11900" w:h="16838" w:orient="portrait"/>
          <w:cols w:equalWidth="0" w:num="3">
            <w:col w:w="6140" w:space="720"/>
            <w:col w:w="160" w:space="20"/>
            <w:col w:w="4380"/>
          </w:cols>
          <w:pgMar w:left="240" w:top="472" w:right="239" w:bottom="1440" w:gutter="0" w:footer="0" w:header="0"/>
          <w:type w:val="continuous"/>
        </w:sectPr>
      </w:pPr>
    </w:p>
    <w:p>
      <w:pPr>
        <w:spacing w:after="0" w:line="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2017, the Company had 8,470,833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152400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860" w:type="dxa"/>
            <w:vAlign w:val="bottom"/>
            <w:gridSpan w:val="18"/>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6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and December 31, 2016</w:t>
              </w:r>
            </w:hyperlink>
          </w:p>
        </w:tc>
        <w:tc>
          <w:tcPr>
            <w:tcW w:w="1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2017 and 2016</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6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Stockholders' Equity for the three months ended March 31, 2017</w:t>
              </w:r>
            </w:hyperlink>
          </w:p>
        </w:tc>
        <w:tc>
          <w:tcPr>
            <w:tcW w:w="1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2017 and 2016</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6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8860" w:type="dxa"/>
            <w:vAlign w:val="bottom"/>
            <w:gridSpan w:val="18"/>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4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4440" w:type="dxa"/>
            <w:vAlign w:val="bottom"/>
            <w:tcBorders>
              <w:bottom w:val="single" w:sz="8" w:color="CCEEFF"/>
            </w:tcBorders>
            <w:gridSpan w:val="6"/>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886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1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Item 1.</w:t>
            </w:r>
          </w:p>
        </w:tc>
        <w:tc>
          <w:tcPr>
            <w:tcW w:w="194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6920" w:type="dxa"/>
            <w:vAlign w:val="bottom"/>
            <w:tcBorders>
              <w:top w:val="single" w:sz="8" w:color="CCEEFF"/>
            </w:tcBorders>
            <w:gridSpan w:val="12"/>
          </w:tcPr>
          <w:p>
            <w:pPr>
              <w:spacing w:after="0"/>
              <w:rPr>
                <w:sz w:val="15"/>
                <w:szCs w:val="15"/>
                <w:color w:val="auto"/>
              </w:rPr>
            </w:pPr>
          </w:p>
        </w:tc>
        <w:tc>
          <w:tcPr>
            <w:tcW w:w="1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7900" w:type="dxa"/>
            <w:vAlign w:val="bottom"/>
            <w:tcBorders>
              <w:bottom w:val="single" w:sz="8" w:color="CCEEFF"/>
            </w:tcBorders>
            <w:gridSpan w:val="16"/>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886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6480" w:type="dxa"/>
            <w:vAlign w:val="bottom"/>
            <w:tcBorders>
              <w:bottom w:val="single" w:sz="8" w:color="CCEEFF"/>
            </w:tcBorders>
            <w:gridSpan w:val="10"/>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8860" w:type="dxa"/>
            <w:vAlign w:val="bottom"/>
            <w:gridSpan w:val="18"/>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6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860" w:type="dxa"/>
            <w:vAlign w:val="bottom"/>
            <w:gridSpan w:val="18"/>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3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7500" w:type="dxa"/>
            <w:vAlign w:val="bottom"/>
            <w:tcBorders>
              <w:top w:val="single" w:sz="8" w:color="CCEEFF"/>
            </w:tcBorders>
            <w:gridSpan w:val="15"/>
          </w:tcPr>
          <w:p>
            <w:pPr>
              <w:spacing w:after="0"/>
              <w:rPr>
                <w:sz w:val="15"/>
                <w:szCs w:val="15"/>
                <w:color w:val="auto"/>
              </w:rPr>
            </w:pPr>
          </w:p>
        </w:tc>
        <w:tc>
          <w:tcPr>
            <w:tcW w:w="1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REVERSE STOCK SPLIT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September 13, 2016, we filed a Certificate of Change pursuant to NRS 78.209 with the Secretary of State of the State of Nevada to effect a reverse split of our common stock at a ratio of one for twelve, effective on September 16, 2016. All historical share and per share amounts reflected in this report have been adjusted to reflect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94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4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40" w:type="dxa"/>
            <w:vAlign w:val="bottom"/>
          </w:tcPr>
          <w:p>
            <w:pPr>
              <w:jc w:val="center"/>
              <w:ind w:left="225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940" w:type="dxa"/>
            <w:vAlign w:val="bottom"/>
          </w:tcPr>
          <w:p>
            <w:pPr>
              <w:jc w:val="center"/>
              <w:ind w:left="223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6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85"/>
              </w:rPr>
              <w:t>Current assets:</w:t>
            </w: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69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5,927,565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Prepaid expenses and deposits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177,511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6,105,076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6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6,105,076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1,449,192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1,224,940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agreement obligations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Promissory note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1,964,057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2"/>
              </w:rPr>
              <w:t>Preferred stock - $0.001 par value, 5,000,000 shares authorized at March 31, 2017 and December 31, 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Series A, $0.001 par value, 1,250,000 shares designated, 0 shares issued and outstanding as of March 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2017 and December 31, 2016, respectively</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Series B, $0.001 par value, 1,500,000 shares designated, 0 shares issued and outstanding as of 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2017 and December 31, 2016, respectively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stock, $0.001 par value, 41,666,667 shares authorized, 8,470,833 and 8,421,185 shares issued and</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as of March 31, 2017 and December 31, 2016, respectively</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152,368,241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151,991,974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(148,235,693)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(145,815,808)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4,141,019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6,184,587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6,105,076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989,092</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985,751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1,427,793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9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2,416,885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1,753,739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warrant liability</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9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(2,419,885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(4,749,739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common shares outstanding</w:t>
            </w: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8,429,595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5,882,770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0" w:hanging="161"/>
        <w:spacing w:after="0" w:line="257" w:lineRule="auto"/>
        <w:rPr>
          <w:sz w:val="20"/>
          <w:szCs w:val="20"/>
          <w:color w:val="auto"/>
        </w:rPr>
      </w:pPr>
      <w:r>
        <w:rPr>
          <w:rFonts w:ascii="Arial" w:cs="Arial" w:eastAsia="Arial" w:hAnsi="Arial"/>
          <w:sz w:val="18"/>
          <w:szCs w:val="18"/>
          <w:b w:val="1"/>
          <w:bCs w:val="1"/>
          <w:color w:val="auto"/>
        </w:rPr>
        <w:t xml:space="preserve">Balance January 1, 2017 </w:t>
      </w:r>
      <w:r>
        <w:rPr>
          <w:rFonts w:ascii="Arial" w:cs="Arial" w:eastAsia="Arial" w:hAnsi="Arial"/>
          <w:sz w:val="18"/>
          <w:szCs w:val="18"/>
          <w:color w:val="auto"/>
        </w:rPr>
        <w:t>Stock- based compensation Net loss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at March 31, 2017</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2460"/>
        <w:spacing w:after="0"/>
        <w:rPr>
          <w:sz w:val="20"/>
          <w:szCs w:val="20"/>
          <w:color w:val="auto"/>
        </w:rPr>
      </w:pPr>
      <w:r>
        <w:rPr>
          <w:rFonts w:ascii="Arial" w:cs="Arial" w:eastAsia="Arial" w:hAnsi="Arial"/>
          <w:sz w:val="17"/>
          <w:szCs w:val="17"/>
          <w:b w:val="1"/>
          <w:bCs w:val="1"/>
          <w:color w:val="auto"/>
        </w:rPr>
        <w:t>CONDENSED CONSOLIDATED STATEMENT OF STOCKHOLDERS’ EQUITY</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27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Additional Paid-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Accumulated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152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Par value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in 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Equity</w:t>
            </w:r>
          </w:p>
        </w:tc>
      </w:tr>
      <w:tr>
        <w:trPr>
          <w:trHeight w:val="195"/>
        </w:trPr>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8,421,185</w:t>
            </w: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8,421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151,991,974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9"/>
              </w:rPr>
              <w:t>(145,815,808)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6,184,587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49,648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376,317</w:t>
            </w:r>
          </w:p>
        </w:tc>
        <w:tc>
          <w:tcPr>
            <w:tcW w:w="40" w:type="dxa"/>
            <w:vAlign w:val="bottom"/>
          </w:tcPr>
          <w:p>
            <w:pPr>
              <w:spacing w:after="0"/>
              <w:rPr>
                <w:sz w:val="18"/>
                <w:szCs w:val="18"/>
                <w:color w:val="auto"/>
              </w:rPr>
            </w:pPr>
          </w:p>
        </w:tc>
      </w:tr>
      <w:tr>
        <w:trPr>
          <w:trHeight w:val="244"/>
        </w:trPr>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(2,419,885)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(2,419,885)</w:t>
            </w: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8,470,833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152,368,241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(148,235,693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4,141,019</w:t>
            </w:r>
          </w:p>
        </w:tc>
        <w:tc>
          <w:tcPr>
            <w:tcW w:w="4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-608330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-325120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140" w:space="360"/>
            <w:col w:w="8880"/>
          </w:cols>
          <w:pgMar w:left="240" w:top="904"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(2,419,885)</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(4,749,739)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Changes in fair value of warrant liabilities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2,996,000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376,317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8"/>
                <w:szCs w:val="18"/>
                <w:b w:val="1"/>
                <w:bCs w:val="1"/>
                <w:color w:val="auto"/>
              </w:rPr>
              <w:t>Changes in operating assets and liabilities: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deposits</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224,252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678,555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(1,923,678</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(829,763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promissory note</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5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(854,763)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7,851,243</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15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5,927,565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5,721,801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14605</wp:posOffset>
            </wp:positionV>
            <wp:extent cx="1878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1" w:lineRule="exact"/>
        <w:rPr>
          <w:sz w:val="20"/>
          <w:szCs w:val="20"/>
          <w:color w:val="auto"/>
        </w:rPr>
      </w:pPr>
    </w:p>
    <w:p>
      <w:pPr>
        <w:ind w:left="8840"/>
        <w:spacing w:after="0"/>
        <w:tabs>
          <w:tab w:leader="none" w:pos="1042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tabs>
          <w:tab w:leader="none" w:pos="9620" w:val="left"/>
          <w:tab w:leader="none" w:pos="9900" w:val="left"/>
          <w:tab w:leader="none" w:pos="10700" w:val="left"/>
        </w:tabs>
        <w:rPr>
          <w:sz w:val="20"/>
          <w:szCs w:val="20"/>
          <w:color w:val="auto"/>
        </w:rPr>
      </w:pPr>
      <w:r>
        <w:rPr>
          <w:rFonts w:ascii="Arial" w:cs="Arial" w:eastAsia="Arial" w:hAnsi="Arial"/>
          <w:sz w:val="18"/>
          <w:szCs w:val="18"/>
          <w:color w:val="auto"/>
        </w:rPr>
        <w:t>Reclassification of accrued liability upon issuance of common shares relating to Dr. Glynn Wilson’s compensation $</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191,000</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2017 or for any future interim period. The condensed consolidated balance sheet at March 31, 2017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2016, and notes thereto included in the Company’s annual report on Form 10-K filed on March 14, 2017.</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tab/>
        <w:t>LIQUIDITY AND FINANCIAL CONDITION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and collaborations. From inception, the Company has been funded by a combination of equity and debt financings.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2017, the Company had cash of approximately $5,928,000.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NOTE 4:</w:t>
        <w:tab/>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March 14,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Accounting Standards Update (“ASU”) No. 2016-15, Statement of Cash Flows (Topic 230). This amendment provides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is evaluating the effect that ASU 2016-15 will have on its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FASB issued ASU No. 2015-17, ”Balance Sheet Classification of Deferred Taxes”. ASU No. 2015-17 requires that deferred tax liabilities and assets be classified as noncurrent in a classified statement of financial position. ASU No. 2015-17 is effective for financial statements issued for fiscal years beginning after December 15, 2016, and interim periods within those fiscal years. The Company adopted ASU No. 2015-17 on January 1, 2017 and its adoption did not have a material impact on the Company’s financial position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2016, the FASB issued ASU No. 2016-09, Compensation-Stock Compensation (Topic 718), Improvements to Employee Share-Based Payment Accounting. Under ASU No. 2016-09, companies will no longer record excess tax benefits and certain tax deficiencies in additional paid-in capital (“APIC”). Instead, they will record all excess tax benefits and tax deficiencies as income tax expense or benefit in the income statement and the APIC pools will be eliminated. In addition, ASU No. 2016-09 eliminates the requirement that excess tax benefits be realized before companies can recognize them. ASU No. 2016-09 also requires companies to present excess tax benefits as an operating activity on the statement of cash flows rather than as a financing activity. Furthermore, ASU No. 2016-09 will increase the amount an employer can withhold to cover income taxes on awards and still qualify for the exception to liability classification for shares used to satisfy the employer’s statutory income tax withholding obligation. An employer with a statutory income tax withholding obligation will now be allowed to withhold shares with a fair value up to the amount of taxes owed using the maximum statutory tax rate in the employee’s applicable jurisdiction(s). ASU No. 2016-09 requires a company to classify the cash paid to a tax authority when shares are withheld to satisfy its statutory income tax withholding obligation as a financing activity on the statement of cash flows. Under current U.S. GAAP, it was not specified how these cash flows should be classified. In addition, companies will now have to elect whether to account for forfeitures on share-based payments by (1) recognizing forfeitures of awards as they occur or (2) estimating the number of awards expected to be forfeited and adjusting the estimate when it is likely to change, as is currently required. The amendments of this ASU are effective for reporting periods beginning after January 1, 2017, with early adoption permitted but all of the guidance must be adopted in the same period. The Company adopted this on January 1, 2017. The Company has evaluated the impact of ASU No. 2016-09 and has determined that the adoption of the impact of forfeitures, net of income taxes, did not have a material impact on the Company’s financial position and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Loss per-share amounts for all prior periods have been retroactively adjusted to reflect the Company’s 1-for-12 reverse stock split, which was effective September 16, 2016.</w:t>
      </w:r>
    </w:p>
    <w:p>
      <w:pPr>
        <w:sectPr>
          <w:pgSz w:w="11900" w:h="16838" w:orient="portrait"/>
          <w:cols w:equalWidth="0" w:num="1">
            <w:col w:w="11420"/>
          </w:cols>
          <w:pgMar w:left="240" w:top="90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51764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818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1"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(2,419,885)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(4,749,739)</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20"/>
        <w:spacing w:after="0"/>
        <w:tabs>
          <w:tab w:leader="none" w:pos="2120" w:val="left"/>
        </w:tabs>
        <w:rPr>
          <w:sz w:val="20"/>
          <w:szCs w:val="20"/>
          <w:color w:val="auto"/>
        </w:rPr>
      </w:pPr>
      <w:r>
        <w:rPr>
          <w:rFonts w:ascii="Arial" w:cs="Arial" w:eastAsia="Arial" w:hAnsi="Arial"/>
          <w:sz w:val="17"/>
          <w:szCs w:val="17"/>
          <w:color w:val="auto"/>
        </w:rPr>
        <w:t>8,429,595</w:t>
      </w:r>
      <w:r>
        <w:rPr>
          <w:sz w:val="20"/>
          <w:szCs w:val="20"/>
          <w:color w:val="auto"/>
        </w:rPr>
        <w:tab/>
      </w:r>
      <w:r>
        <w:rPr>
          <w:rFonts w:ascii="Arial" w:cs="Arial" w:eastAsia="Arial" w:hAnsi="Arial"/>
          <w:sz w:val="17"/>
          <w:szCs w:val="17"/>
          <w:color w:val="auto"/>
        </w:rPr>
        <w:t>5,882,770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1818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(0.29)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4100"/>
          </w:cols>
          <w:pgMar w:left="240" w:top="908"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ectPr>
          <w:pgSz w:w="11900" w:h="16838" w:orient="portrait"/>
          <w:cols w:equalWidth="0" w:num="1">
            <w:col w:w="1142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51764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equity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ACCOUNTS PAYABLE AND ACCRUED LIABILITIES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r>
      <w:tr>
        <w:trPr>
          <w:trHeight w:val="195"/>
        </w:trPr>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417,000</w:t>
            </w:r>
          </w:p>
        </w:tc>
        <w:tc>
          <w:tcPr>
            <w:tcW w:w="200" w:type="dxa"/>
            <w:vAlign w:val="bottom"/>
          </w:tcPr>
          <w:p>
            <w:pPr>
              <w:spacing w:after="0"/>
              <w:rPr>
                <w:sz w:val="16"/>
                <w:szCs w:val="16"/>
                <w:color w:val="auto"/>
              </w:rPr>
            </w:pP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299,000</w:t>
            </w:r>
          </w:p>
        </w:tc>
        <w:tc>
          <w:tcPr>
            <w:tcW w:w="20" w:type="dxa"/>
            <w:vAlign w:val="bottom"/>
          </w:tcPr>
          <w:p>
            <w:pPr>
              <w:spacing w:after="0"/>
              <w:rPr>
                <w:sz w:val="16"/>
                <w:szCs w:val="16"/>
                <w:color w:val="auto"/>
              </w:rPr>
            </w:pPr>
          </w:p>
        </w:tc>
      </w:tr>
      <w:tr>
        <w:trPr>
          <w:trHeight w:val="230"/>
        </w:trPr>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5,054,000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213,000</w:t>
            </w:r>
          </w:p>
        </w:tc>
      </w:tr>
      <w:tr>
        <w:trPr>
          <w:trHeight w:val="230"/>
        </w:trPr>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320" w:type="dxa"/>
            <w:vAlign w:val="bottom"/>
          </w:tcPr>
          <w:p>
            <w:pPr>
              <w:jc w:val="right"/>
              <w:spacing w:after="0"/>
              <w:rPr>
                <w:sz w:val="20"/>
                <w:szCs w:val="20"/>
                <w:color w:val="auto"/>
              </w:rPr>
            </w:pPr>
            <w:r>
              <w:rPr>
                <w:rFonts w:ascii="Arial" w:cs="Arial" w:eastAsia="Arial" w:hAnsi="Arial"/>
                <w:sz w:val="18"/>
                <w:szCs w:val="18"/>
                <w:color w:val="auto"/>
              </w:rPr>
              <w:t>4,127,000</w:t>
            </w:r>
          </w:p>
        </w:tc>
        <w:tc>
          <w:tcPr>
            <w:tcW w:w="20" w:type="dxa"/>
            <w:vAlign w:val="bottom"/>
          </w:tcPr>
          <w:p>
            <w:pPr>
              <w:spacing w:after="0"/>
              <w:rPr>
                <w:sz w:val="20"/>
                <w:szCs w:val="20"/>
                <w:color w:val="auto"/>
              </w:rPr>
            </w:pP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5,476,000</w:t>
            </w:r>
          </w:p>
        </w:tc>
        <w:tc>
          <w:tcPr>
            <w:tcW w:w="2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4,639,000</w:t>
            </w:r>
          </w:p>
        </w:tc>
        <w:tc>
          <w:tcPr>
            <w:tcW w:w="20" w:type="dxa"/>
            <w:vAlign w:val="bottom"/>
          </w:tcPr>
          <w:p>
            <w:pPr>
              <w:spacing w:after="0"/>
              <w:rPr>
                <w:sz w:val="19"/>
                <w:szCs w:val="19"/>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600" w:space="720"/>
            <w:col w:w="4100"/>
          </w:cols>
          <w:pgMar w:left="240" w:top="908"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March 31, 2017 and December 31, 2016,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161,439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217,622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188,828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53,428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Consulting agreements</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82,119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94,576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Investor relations fees</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72,835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(1)</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150,620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74,133</w:t>
            </w:r>
          </w:p>
        </w:tc>
      </w:tr>
      <w:tr>
        <w:trPr>
          <w:trHeight w:val="224"/>
        </w:trPr>
        <w:tc>
          <w:tcPr>
            <w:tcW w:w="732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1,449,192</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1,224,940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0</wp:posOffset>
            </wp:positionV>
            <wp:extent cx="1818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 w:lineRule="exact"/>
        <w:rPr>
          <w:sz w:val="20"/>
          <w:szCs w:val="20"/>
          <w:color w:val="auto"/>
        </w:rPr>
      </w:pPr>
    </w:p>
    <w:p>
      <w:pPr>
        <w:ind w:left="5680" w:right="2640" w:hanging="5672"/>
        <w:spacing w:after="0" w:line="778" w:lineRule="auto"/>
        <w:tabs>
          <w:tab w:leader="none" w:pos="267"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March 31, 2017 period, "Other" includes $76,360 of miscellaneous accounts payable invoices not yet received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-850900</wp:posOffset>
            </wp:positionV>
            <wp:extent cx="1818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 w:name="page11"/>
    <w:bookmarkEnd w:id="10"/>
    <w:p>
      <w:pPr>
        <w:spacing w:after="0"/>
        <w:tabs>
          <w:tab w:leader="none" w:pos="960" w:val="left"/>
        </w:tabs>
        <w:rPr>
          <w:sz w:val="20"/>
          <w:szCs w:val="20"/>
          <w:color w:val="auto"/>
        </w:rPr>
      </w:pPr>
      <w:r>
        <w:rPr>
          <w:rFonts w:ascii="Arial" w:cs="Arial" w:eastAsia="Arial" w:hAnsi="Arial"/>
          <w:sz w:val="18"/>
          <w:szCs w:val="18"/>
          <w:b w:val="1"/>
          <w:bCs w:val="1"/>
          <w:color w:val="auto"/>
        </w:rPr>
        <w:t>NOTE 7:</w:t>
        <w:tab/>
        <w:t>WARRANT LIABILITY AND FAIR VALUE MEASUREMENTS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March 31, 2017 and 2016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0" w:type="dxa"/>
            <w:vAlign w:val="bottom"/>
            <w:gridSpan w:val="5"/>
          </w:tcPr>
          <w:p>
            <w:pPr>
              <w:ind w:left="46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69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780" w:type="dxa"/>
            <w:vAlign w:val="bottom"/>
            <w:shd w:val="clear" w:color="auto" w:fill="CCEEFF"/>
          </w:tcPr>
          <w:p>
            <w:pPr>
              <w:jc w:val="right"/>
              <w:ind w:right="61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Exercise price</w:t>
            </w:r>
          </w:p>
        </w:tc>
        <w:tc>
          <w:tcPr>
            <w:tcW w:w="780" w:type="dxa"/>
            <w:vAlign w:val="bottom"/>
          </w:tcPr>
          <w:p>
            <w:pPr>
              <w:jc w:val="right"/>
              <w:ind w:right="61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$1.20 - $300.00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0.53 - 4.45</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Volatility (annual)</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760" w:type="dxa"/>
            <w:vAlign w:val="bottom"/>
          </w:tcPr>
          <w:p>
            <w:pPr>
              <w:ind w:left="20"/>
              <w:spacing w:after="0"/>
              <w:rPr>
                <w:sz w:val="20"/>
                <w:szCs w:val="20"/>
                <w:color w:val="auto"/>
              </w:rPr>
            </w:pPr>
            <w:r>
              <w:rPr>
                <w:rFonts w:ascii="Arial" w:cs="Arial" w:eastAsia="Arial" w:hAnsi="Arial"/>
                <w:sz w:val="18"/>
                <w:szCs w:val="18"/>
                <w:color w:val="auto"/>
              </w:rPr>
              <w:t>- 79%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85% - 151%</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0.65% - 1.12%</w:t>
            </w:r>
          </w:p>
        </w:tc>
        <w:tc>
          <w:tcPr>
            <w:tcW w:w="100" w:type="dxa"/>
            <w:vAlign w:val="bottom"/>
            <w:shd w:val="clear" w:color="auto" w:fill="CCEEFF"/>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Dividend yield (per share)</w:t>
            </w:r>
          </w:p>
        </w:tc>
        <w:tc>
          <w:tcPr>
            <w:tcW w:w="1540" w:type="dxa"/>
            <w:vAlign w:val="bottom"/>
            <w:gridSpan w:val="2"/>
          </w:tcPr>
          <w:p>
            <w:pPr>
              <w:jc w:val="right"/>
              <w:ind w:right="51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Fair value measured at March 31, 2017</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1760" w:type="dxa"/>
            <w:vAlign w:val="bottom"/>
            <w:gridSpan w:val="3"/>
          </w:tcPr>
          <w:p>
            <w:pPr>
              <w:jc w:val="center"/>
              <w:ind w:right="80"/>
              <w:spacing w:after="0" w:line="195" w:lineRule="exact"/>
              <w:rPr>
                <w:sz w:val="20"/>
                <w:szCs w:val="20"/>
                <w:color w:val="auto"/>
              </w:rPr>
            </w:pPr>
            <w:r>
              <w:rPr>
                <w:rFonts w:ascii="Arial" w:cs="Arial" w:eastAsia="Arial" w:hAnsi="Arial"/>
                <w:sz w:val="18"/>
                <w:szCs w:val="18"/>
                <w:color w:val="auto"/>
                <w:w w:val="91"/>
              </w:rPr>
              <w:t>Quoted prices in active</w:t>
            </w:r>
          </w:p>
        </w:tc>
        <w:tc>
          <w:tcPr>
            <w:tcW w:w="12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92"/>
              </w:rPr>
              <w:t>Significant 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markets</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unobservable inputs</w:t>
            </w: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 at</w:t>
            </w:r>
          </w:p>
        </w:tc>
      </w:tr>
      <w:tr>
        <w:trPr>
          <w:trHeight w:val="230"/>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March 31, 2017</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6"/>
              </w:rPr>
              <w:t>Fair value measured at December 31, 2016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170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91"/>
              </w:rPr>
              <w:t>Quoted prices in active</w:t>
            </w:r>
          </w:p>
        </w:tc>
        <w:tc>
          <w:tcPr>
            <w:tcW w:w="18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92"/>
              </w:rPr>
              <w:t>Significant 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93"/>
              </w:rPr>
              <w:t>Significant</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markets</w:t>
            </w:r>
          </w:p>
        </w:tc>
        <w:tc>
          <w:tcPr>
            <w:tcW w:w="1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unobservable inputs</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 at</w:t>
            </w:r>
          </w:p>
        </w:tc>
      </w:tr>
      <w:tr>
        <w:trPr>
          <w:trHeight w:val="230"/>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(Level 1)</w:t>
            </w:r>
          </w:p>
        </w:tc>
        <w:tc>
          <w:tcPr>
            <w:tcW w:w="1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(Level 3)</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December 31, 2016</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inputs: Unobservable inputs for which there is little or no market data, which require the reporting entity to develop its own assumptions.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three months ended March 31,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three months ended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Warrant</w:t>
            </w:r>
          </w:p>
        </w:tc>
      </w:tr>
      <w:tr>
        <w:trPr>
          <w:trHeight w:val="234"/>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r>
      <w:tr>
        <w:trPr>
          <w:trHeight w:val="22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2017</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PROMISSORY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and December 31, 2016, the Company had an outstanding promissory note in the amount of $5,000. The promissory note outstanding and due at March 31, 2017 bears 10% annual interest.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9:</w:t>
        <w:tab/>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2016, the Company effected a one for twelve reverse stock-split of our issued and outstanding common stock and has retroactively adjusted our common shares outstanding, options and warrants amounts outstanding. The Company has presented its share data for and as of all periods presented on this basis. The par value was not adjusted as a result of the one for twelve reverse stock split. All prior period share transactions included in the Company’s stock transactions and balances have been retroactively restated.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Management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9, 2017, the Company issued 12,761 shares of stock in relation to the discretionary 2016 bonus awarded to Dr. Glynn Wilson. The fair value of the common stock of $55,000 was recognized as stock-based compensation in general and administrative expenses. The issuance was based on the closing price or our common stock of $4.31 per share, on the day immediately preceding the date the 2016 bonus award was approved by the Board of Directors.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9, 2017, the Company issued 5,220 shares of stock in relation to the discretionary 2016 bonus awarded to Dr. John Bonfiglio. The fair value of the common stock of $22,500 was recognized as stock-based compensation in general and administrative expenses. The issuance was based on the closing price or our common stock of $4.31 per share, on the day immediately preceding the date the 2016 bonus award was approved by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2017, the Company issued 31,667 shares of common stock as part of consulting agreements. The fair value of the common stock of approximately $133,000 was recognized as stock-based compensation in general and administrative expenses.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approximately $376,000 and $214,000 of stock-based compensation expense for the three months ended March 31, 2017 and 2016, respectively. At March 31, 2017, the total stock-based compensation cost related to unvested awards not yet recognized was $728,000. The expected weighted average period compensation costs to be recognized was 0.75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option grants will impact the compensation expense recognized. Stock-based compensation expense is included in general and administrative expense on the condensed consolidated statements of operations.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SUBSEQUENT EVENT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27, 2017, The Company and Dr. John Bonfiglio have entered into a Separation and Release agreement (the “Separation Agreement”) pursuant to which Dr. John Bonfiglio resigned as President, Chief Operating Officer and director of the Company to pursue other opportunities. Dr. Bonfiglio’s resignation was not due to any disagreement with the Company on any matter related to its operations, policies or practices.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Separation Agreement provides for a customary release by Dr. Bonfiglio of claims against the Company and a mutual non-disparagement covenant. Dr. Bonfiglio is also obligated to comply with various restrictive covenants, including a non-compete, non-solicitation and protection of the Company’s confidential information. Any disputes arising under the Separation Agreement will be resolved by binding arbitration. The Separation Agreement is subject to revocation through May 4, 2017, and the Separation Agreement will not become effective and enforceable until the revocation period expires.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Executive Officer, Dr. Glynn Wilson, was appointed to serve as the President of the Company and the size of the Company’s board of directors was reduced from seven members to six members.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months ended March 31, 2017 included in this quarterly report, as well as our Annual Report on Form 10-K for the year ended December 31, 2016 filed on March 14,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and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cancers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be focused on our entry into Phase II Triple-Negative Breast Cancer Trials including application for Fast Track and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Polystart constructs to facilitate collaborative efforts in our current clinical indications. We will also evaluate those indications where others have already indicated interest in combination therapies.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our company to capitalize on the acceptance of immunotherapy as a leading therapeutic strategy in cancer and infectious disease.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TPIV 200 and TPIV 110 are both off-the-shelf, lyophilized products that only require reconstitution at the clinical site before injection. We believe the investments we have made in the formulation work for both very stable products will result in commercially viable products consistent with typically high pharmaceutical profit margins.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We believe the Phase I data produced for both TPIV 200 and TPIV 100 in collaboration with the Mayo Clinic are the driving force behind the high-value collaborations we have established and maintained with organizations such as Mayo Clinic, AstraZeneca, Sloan Kettering and the U.S. Department of Defense. As we move forward into advancing the Phase II studies, some of which incorporate collaborations with prestigious third-party organizations, we believe this represents further independent validation of the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Strategies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91"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 We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 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Cancers – Mayo Clinic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is expressed in over 80% of triple-negative breast cancers and in addition, over 90% of ovarian cancers, for which the only treatment options are surgery, radiation therapy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24-patient Phase I clinical trial using TPIV 200 was completed in 2015. The vaccine is well tolerated and safe and 20 out of 21 evaluable patients showed positive immune responses which provided a strong rationale for progressing to Phase II trials. Good Manufacturing Practice (“GMP”) for Phase II trials resulted in a commercially viable formulation. On July 27, 2015, we exercised our option agreement with Mayo Clinic with the signing of a worldwide exclusive license agreement to commercialize a proprietary Folate Receptor Alpha Vaccine technology for all cancer indications. As part of this Agreement, the investigational new drug (“IND”) for the Folate Receptor Alpha (TPIV 200) Phase I trial was transferred from Mayo Clinic to the Company for amendment to our Phase II Clinical Trials on our lead product.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280-patient Phase II Clinical Trial of Folate Receptor Alpha Vaccine in patients with triple-negative breast cancer. We are working closely with Mayo Clinic on this clinical trial by providing clinical and manufacturing expertise as well as providing GMP vaccines to supply the study. The vaccine formulation is suitable for multiple Phase II clinical programs in triple-negative breast and ovarian cancers in combination with other immunotherapeutics.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 A Phase II study in this indication was initiated at the end of 2016.</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currently enrolling a Company-sponsored triple-negative breast cancer study at twelve clinical sites nation-wide. The study will enroll a total of 80 patients. It is open-label and designed to look at dosing regimens, immune responses and efficacy.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ovarian cancer study sponsored by Memorial Sloan Kettering Cancer Center in New York City in collaboration with AstraZeneca Pharmaceuticals was initiated in 2016. This study is currently enrolling platinum resistant ovarian cancer patients and is designed to look at the effects of combination therapy with AstraZeneca’s checkpoint inhibitor “durvalumab”. The study will enroll a total of 40 patients and is open label. We have no business relationship with AstraZeneca and we are paying for half of the clinical study plus providing our TPIV 200 for the study.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TPIV 100/110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Phase I study using TPIV 100 (four peptide product) was completed in 2015. Final safety analysis on all the patients treated is complete and shown to be safe. In addition, 19 out of 20 evaluable patients showed robust T-cell immune responses to the antigens in the vaccine composition providing a solid case for advancement to Phase II in 2017. An additional secondary endpoint incorporated into this Phase I Trial will be a two-year follow on recording time to disease recurrence in the participating breast cancer patients.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Phase I(b)/II studies, we plan to add a Class I peptide, licensed from the Mayo Clinic (April 16, 2012), to the four Class II peptides, producing TPIV 110 (five peptide product). Management believes that the combination of Class I and Class II HER2/neu antigens, gives us the leading HER2/neu vaccine platform. We plan to amend the IND to incorporate the fifth peptide in the Phase I(b)/II study. Discussions with the FDA have resulted in a pre-clinical development project that should allow us to file the amended IND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 We plan to develop Polystart as both a stand-alone therapy and as a ‘boost strategy’ to be used synergistically with our peptide-based vaccines for breast and ovarian cancers.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TapImmune’s Clinical Program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5754370" cy="3721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 to the “Clinical Program Pipeline Status Updates” section below for latest updates on above clinical pipeline chart.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GMP Manufacturing Scale Up and Second Clinical Lot of TPIV 200; to Supply Additional Phase II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successfully completed a multi-gram production scale-up as well as GMP manufacturing of a second clinical lot of TPIV 200. The vaccine supply will be used in the company’s ongoing Phase II study in platinum-sensitive ovarian cancer, as well as the planned 280-patient Phase II study sponsored by the Mayo Clinic and funded by the U.S. Department of Defense for treating triple-negative breast cancer. We also made various improvements to the vaccine manufacturing process, resulting in, what we believe to be, a superior formulation of the vaccine that is more amenable to large scale manufacturing and commercialization.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Clinical Program Pipeline Status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 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twelve clinical sites and have begun treating patients in a Phase II trial of our Folate Receptor Alpha cancer vaccine, TPIV 200, in the treatment of triple-negative breast cancer, one of the most difficult cancers to treat, representing a clear unmet medical need. The open-label, 80-patient clinical trial is designed to evaluate dosing regimens, adjuvants,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An independent data safety monitoring board (DSMB) reviewed the safety in this ongoing Phase 2 currently enrolling women with stage IIb-III triple-negative breast cancer who have completed initial surgery and chemo/radiation therapy. The randomized four-arm study is evaluating two doses of TPIV 200 (a high dose and a low dose), each of which will be tested both with and without immune priming with cyclophosphamide prior to vaccination. The planned safety review was performed when enrollment reached the 25% benchmark (20 out of 80 total patients), and showing no safety issues, the study has continued to enroll patients at multiple clinical sites. The study is expected to complete enrollment by year end 2017, with top-line data expected in early 2018. Details regarding this trial can be found at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under identifier numbers NCT02593227 and FRV-002.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 200 in Platinum-Resistant Ovarian Cancer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 Phase II study of TPIV 200 in ovarian cancer patients who are not responsive to platinum, a commonly used chemotherapy for ovarian cancer, sponsored by Memorial Sloan Kettering Cancer Center (“MSKCC”), and in collaboration with AstraZeneca and TapImmune, has begun enrollment for a 40-patient study. The open-label study is designed to evaluate a combination therapy which includes our TPIV 200 T-cell vaccine and AstraZeneca’s checkpoint inhibitor, durvalumab. Because they are unresponsive to platinum, these patients have no real remaining options. If the combination therapy proves effective, we believe it would address a critical unmet need. TPIV 200 has received Orphan Drug designation for use in the treatment of ovarian cancer. We successfully completed the first safety cohort. This enabled MSKCC to increase the number of patients that can be enrolled and will subsequently increase the study’s enrollment rate. Currently more than 50% of patients have been enrolled. An interim analysis is planned in the fourth quarter of 2017. Details regarding this trial can be found at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xml:space="preserve"> under identifier numbers NCT02764333.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 200 Trial in Platinum-Sensitive Ovarian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opened one clinical site (with at least another 10 sites anticipated to open during 2017) in a Phase II trial of TPIV 200 for an 80-patient study on ovarian cancer patients who are responsive to platinum. We have received the FDA’s Fast Track designation to develop TPIV 200 as a maintenance therapy in combination with platinum, in platinum responsive ovarian cancer patients. This multi-center, double-blind efficacy study is sponsored and conducted by TapImmune. We expect to complete enrollment mid-2019. An interim analysis is planned based upon 50% patient enrollment, which the company anticipates completing in the second half of 2018. Details regarding this trial can be found at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identifier numbers NCT02978222 and FRV-004.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Enrollment to Commence in 2017: Phase II Mayo Clinic-U.S. DOD Trial of TPIV 200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this Phase II study of TPIV 200 in the treatment of triple-negative breast cancer, conducted by the Mayo Clinic and sponsored by the U.S. Department of Defense (“DOD”), will begin to enroll patients in 2017. The anticipated 280-patient study will be led by Dr. Keith Knutson of the Mayo Clinic in Jacksonville, Florida. Dr. Knutson is the inventor of the technology and in the Scientific Advisory Board at TapImmune. While TapImmune is supplying doses of TPIV 200 for the trial, and being reimbursed for the costs associated with manufacturing, the remaining costs associated with conducting this study will be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 100 in 2017: Phase II Protocol Now in Preparation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enhanced the reformulation of our second cancer vaccine product, TPIV 110 (five peptide product), following very strong safety and immune responses from a Phase I Mayo Clinic study using TPIV 100 (four peptide product). TPIV 110 targets HER2/neu, which makes it applicable to breast, ovarian and colorectal cancers. The enhanced TPIV product adds a fifth antigen which should produce an even more robust immune response activating both CD4+ and CD8+ T-cells. We have participated in a pre-Investigational New Drug (pre”IND”) meeting with the FDA and are now in discussions with the FDA as to requirements for filing the amended IND containing the fifth peptide. We expect to file the amended IND later this year. Although we cannot know for sure, we anticipate having an open IND sometime in the third or fourth quarter of 2017 pending comments from the FDA. The protocol for a Phase II trial of TPIV 110 in the treatment of HER2/neu positive breast cancer patients is currently under review by our Scientific Advisory Board and collaborators. Our collaborators at Mayo Clinic recently announced a $3.8 million grant which will fully fund a Phase II trial in DCIS that we had planned for our HER2/neu vaccine.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Mayo Clinic to Vaccinate Women With Ductal Carcinoma In Situ (DCIS) Using TapImmune TPIV 110 HER2-targeted T-Cell Vaccine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we announced that our partners at the Mayo Clinic received a grant from the U.S. Department of Defense to conduct a Phase II study of our HER2-targeted vaccine candidate in an early form of breast cancer called DCIS. This is the second TapImmune vaccine to be tested in a fully funded Phase II study sponsored by the Mayo Clinic. If successful, TapImmune’s vaccine may replace standard surgery and chemotherapy, and potentially could become part of a routine immunization schedule for preventing breast cancer in healthy women. The study is expected to enroll 40-45 women with DCIS and commence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to Three Months Ended March 31,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loss of $2,420,000 or ($0.29) basic and diluted per share during the three months ended March 31, 2017 compared to a net loss of $4,750,000 or ($0.81) basic and diluted per share during the three months ended March 31, 2016. The change in net loss period over period was due to the following changes in operating expenses and other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March 31, 2017 were $2,417,000 compared to $1,754,000 in the prior period. Significant changes in operating expenses are outlined as follows:</w:t>
      </w:r>
    </w:p>
    <w:p>
      <w:pPr>
        <w:spacing w:after="0" w:line="170" w:lineRule="exact"/>
        <w:rPr>
          <w:sz w:val="20"/>
          <w:szCs w:val="20"/>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Research and development costs during the three months ended March 31, 2017 were $989,000 compared to $986,000 during the prior year period. This increase is mainly due to the Company’s planned increased expenses during the three months of 2017 relating to the Company’s clinical trials.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$1,428,000 during the three months ended March 31, 2017 from $768,000 during the prior year period. This was due to increased expenses relating to:</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for employees and outside consultants,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compensation expenses resulting from increased headcount,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relations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and other public-related expenses,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legal, audit and other professional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fair value of warrant liabilities for the three months ended March 31, 2017 was ($3,000) as compared to ($2,996,000) for the three months ended March 31, 2016. On August 10, 2016, we amended the Series A and A-1, Series C and C-1, Series D and D-1 and Series E and E-1 warrants agreements issued by us in January and March 2015 to remove the clause that caused the warrants to be classified as warrant liabilities, and the variance period over period is due to that reason, We revalue the remaining warrant liabilities at each balance sheet date to fair value. The fair value is determined using Black-Scholes valuation model using various assumptions. The most significant changes in the assumptions is the strike price used at March 31, 2017 of $4.49. As such, the fair value of the warrant liabilities increased by $3,000 for the three months ended March 31, 2017 and is reflected by a corresponding loss in the condensed consolidated statement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r>
      <w:tr>
        <w:trPr>
          <w:trHeight w:val="210"/>
        </w:trPr>
        <w:tc>
          <w:tcPr>
            <w:tcW w:w="7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5,928,000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7,851,000</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4,141,000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6,185,000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2017 and 2016:</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640" w:type="dxa"/>
            <w:vAlign w:val="bottom"/>
            <w:gridSpan w:val="8"/>
          </w:tcPr>
          <w:p>
            <w:pPr>
              <w:ind w:left="21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390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34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(1,924,000)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(830,000)</w:t>
            </w:r>
          </w:p>
        </w:tc>
      </w:tr>
      <w:tr>
        <w:trPr>
          <w:trHeight w:val="230"/>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2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r>
      <w:tr>
        <w:trPr>
          <w:trHeight w:val="196"/>
        </w:trPr>
        <w:tc>
          <w:tcPr>
            <w:tcW w:w="3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 cash</w:t>
            </w:r>
          </w:p>
        </w:tc>
        <w:tc>
          <w:tcPr>
            <w:tcW w:w="23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previous funding has come from financings that we conducted in January and March of 2015, from the exercises of stock warrants, and from our August 2016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2017, we had working capital of $4,141,000, compared to working capital of $6,185,000 as of December 31, 2016. We expect our expenses to continue at a similar pace during the remainder of 2017 and into 2018 primarily to fund our Phase II clinical trials. Our collaborators at Mayo Clinic recently announced a $3.8 million grant which will fully fund a Phase II trial in DCIS that we had planned for our HER2/neu vaccine.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requirements through and beyond 2017 will depend on numerous factors, including the success of our research and development, the resources we devote to develop and support our technologies and our success in pursuing strategic licensing and funded product development collaborations with external partners. Subject to our ability to raise additional capital, we expect to incur substantial expenditures to further develop our technologies including continued increases in costs related to research, nonclinical testing and clinical studies and trials, as well as costs associated with our capital raising efforts and being a public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existing cash could fund our operations through 2017. We will require additional substantial capital to conduct research and development, to fund nonclinical testing and Phase II clinical trials of our licensed, patented technologies, and to begin cultivating collaborative relationships for the Phase II and future Phase III clinical testing. Our plans could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holders of our common stock and could contain covenants that would restrict our operations. We also will require additional capital beyond our currently forecasted amounts.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our product candidates, we are unable to estimate the exact amounts of our future working capital requirements. Our future funding requirements will depend on many factors, including, but not limited to:</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trials including the research and development expenditures we expect to make in connection with our license agreements with Mayo Foundation;</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and collaborations, licensing or other arrangements and the financial terms of such agreements;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based our estimates on assumptions that may prove to be wrong. We may need to obtain additional funds sooner or in greater amounts than we currently anticipate.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2017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material legal proceedings and there are no pending material procedures that would affect the property of the Company. Management is not aware of any legal proceedings contemplated by any government authority or any other party involving the Company. As of the date of this Quarterly Report, no director, officer or affiliate is (i) a party adverse to us in any legal proceeding, or (ii) has an adverse interest to us in any legal proceeding.</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risk factors, see Item 1.A.-“Risk Factors” in our Annual Report on Form 10-K for the year ended December 31, 2016 filed on March 14, 2017.</w:t>
      </w:r>
    </w:p>
    <w:p>
      <w:pPr>
        <w:spacing w:after="0" w:line="2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7" w:lineRule="exact"/>
        <w:rPr>
          <w:sz w:val="20"/>
          <w:szCs w:val="20"/>
          <w:color w:val="auto"/>
        </w:rPr>
      </w:pPr>
    </w:p>
    <w:p>
      <w:pPr>
        <w:ind w:left="460" w:hanging="452"/>
        <w:spacing w:after="0" w:line="27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issued the following unrestricted securities during the period covered by this report to the named individual pursuant to exemptions under the Securities Act of 1933 including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On March 9, 2017, we issued 12,761 shares of restricted, immediately vested, common stock in relation to the discretionary 2016 bonus awarded to Dr. Glynn Wilson under the Company’s 2014 Omnibus Stock Ownership Plan, based on the closing price or our common stock of $4.31 per share, on the day immediately preceding the date the 2016 bonus award was approved.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9, 2017, we issued 5,220 shares of restricted, immediately vested, common stock in relation to the discretionary 2016 bonus awarded to Dr. John Bonfiglio under the Company’s 2014 Omnibus Stock Ownership Plan, based on the closing price or our common stock of $4.31 per share, on the day immediately preceding the date the 2016 bonus award was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March 15, 2017, we issued 16,667 shares of common stock to Collision Capital, LLC pursuant to a vendor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28, 2017, we issued 15,000 shares of common stock to Omnicor Media, LLC pursuant to a vendor agreement.</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12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Filing</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8"/>
        </w:trPr>
        <w:tc>
          <w:tcPr>
            <w:tcW w:w="1280" w:type="dxa"/>
            <w:vAlign w:val="bottom"/>
            <w:gridSpan w:val="2"/>
            <w:vMerge w:val="continue"/>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Form</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9"/>
              </w:rPr>
              <w:t>Certification of Chief Executive Officer Pursuant to</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Rule 13a-14(a) or 15d-14(a) of the Securities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Exchange Act of 1933, as amended.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and Chief</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Accounting Officer Pursuant to Rule 13a-14(a) or</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4"/>
              </w:rPr>
              <w:t>15d-14(a) of the Securities Exchange Act of 1933, as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amended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9"/>
              </w:rPr>
              <w:t>Certification of Chief Executive Officer Pursuant to</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Rule 13a-14(a) or 15d-14(a) of the Securities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Exchange Act of 1933, as amended.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and Chief</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9"/>
              </w:rPr>
              <w:t>Principal Accounting Officer pursuant to 18 U.S.C.</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8"/>
          <w:szCs w:val="18"/>
          <w:color w:val="auto"/>
        </w:rPr>
        <w:t>1350 as adopted pursuant to Section 906 of the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-130810</wp:posOffset>
            </wp:positionV>
            <wp:extent cx="31127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May 5, 2017</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2017 of TapImmune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2017 of TapImmune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Glynn Wilson, the Chief Executive Officer of TapImmune Inc. (the “Company”) hereby certifies, pursuant to 18 U.S.C. Section 1350, as adopted pursuant to Section 906 of the Sarbanes-Oxley Act of 2002, that the Report on Form 10-Q of TapImmune Inc., for the quarterly period ended March 31, 2017,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7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2017</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Michael J. Loiacono, the Chief Financial Officer and Chief Accounting Officer of TapImmune Inc. (the “Company”) hereby certifies, pursuant to 18 U.S.C. Section 1350, as adopted pursuant to Section 906 of the Sarbanes-Oxley Act of 2002, that the Report on Form 10-Q of TapImmune Inc., for the quarterly period ended March 31, 2017,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18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5, 2017</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2020-01-17T06:41:24Z</dcterms:created>
  <dcterms:modified xsi:type="dcterms:W3CDTF">2020-01-17T06:41:24Z</dcterms:modified>
</cp:coreProperties>
</file>